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8"/>
        <w:gridCol w:w="6627"/>
      </w:tblGrid>
      <w:tr w:rsidR="25028294" w14:paraId="01FEE246" w14:textId="77777777" w:rsidTr="00566526">
        <w:trPr>
          <w:trHeight w:val="300"/>
        </w:trPr>
        <w:tc>
          <w:tcPr>
            <w:tcW w:w="2388" w:type="dxa"/>
            <w:shd w:val="clear" w:color="auto" w:fill="BDD6EE" w:themeFill="accent5" w:themeFillTint="66"/>
            <w:tcMar>
              <w:left w:w="105" w:type="dxa"/>
              <w:right w:w="105" w:type="dxa"/>
            </w:tcMar>
          </w:tcPr>
          <w:p w14:paraId="206510FD" w14:textId="6CCE32A5" w:rsidR="25028294" w:rsidRDefault="25028294" w:rsidP="25028294">
            <w:pPr>
              <w:spacing w:line="259" w:lineRule="auto"/>
              <w:rPr>
                <w:rFonts w:ascii="Arial" w:eastAsia="Arial" w:hAnsi="Arial" w:cs="Arial"/>
                <w:color w:val="000000" w:themeColor="text1"/>
                <w:sz w:val="22"/>
                <w:szCs w:val="22"/>
              </w:rPr>
            </w:pPr>
            <w:bookmarkStart w:id="0" w:name="_Hlk205983891"/>
            <w:bookmarkEnd w:id="0"/>
            <w:r w:rsidRPr="25028294">
              <w:rPr>
                <w:rFonts w:ascii="Arial" w:eastAsia="Arial" w:hAnsi="Arial" w:cs="Arial"/>
                <w:color w:val="000000" w:themeColor="text1"/>
                <w:sz w:val="22"/>
                <w:szCs w:val="22"/>
              </w:rPr>
              <w:t>Policy Number</w:t>
            </w:r>
          </w:p>
        </w:tc>
        <w:tc>
          <w:tcPr>
            <w:tcW w:w="6627" w:type="dxa"/>
            <w:tcMar>
              <w:left w:w="105" w:type="dxa"/>
              <w:right w:w="105" w:type="dxa"/>
            </w:tcMar>
          </w:tcPr>
          <w:p w14:paraId="1494823B" w14:textId="635B428C" w:rsidR="25028294" w:rsidRDefault="00FC68A5" w:rsidP="25028294">
            <w:pPr>
              <w:spacing w:line="259" w:lineRule="auto"/>
              <w:rPr>
                <w:rFonts w:ascii="Arial" w:eastAsia="Arial" w:hAnsi="Arial" w:cs="Arial"/>
                <w:b/>
                <w:bCs/>
                <w:color w:val="000000" w:themeColor="text1"/>
                <w:sz w:val="22"/>
                <w:szCs w:val="22"/>
              </w:rPr>
            </w:pPr>
            <w:r w:rsidRPr="35A60241">
              <w:rPr>
                <w:rFonts w:ascii="Arial" w:eastAsia="Arial" w:hAnsi="Arial" w:cs="Arial"/>
                <w:b/>
                <w:bCs/>
                <w:color w:val="000000" w:themeColor="text1"/>
                <w:sz w:val="22"/>
                <w:szCs w:val="22"/>
              </w:rPr>
              <w:t>SRP</w:t>
            </w:r>
            <w:r w:rsidR="00721BB5">
              <w:rPr>
                <w:rFonts w:ascii="Arial" w:eastAsia="Arial" w:hAnsi="Arial" w:cs="Arial"/>
                <w:b/>
                <w:bCs/>
                <w:color w:val="000000" w:themeColor="text1"/>
                <w:sz w:val="22"/>
                <w:szCs w:val="22"/>
              </w:rPr>
              <w:t xml:space="preserve"> 118</w:t>
            </w:r>
          </w:p>
        </w:tc>
      </w:tr>
      <w:tr w:rsidR="25028294" w14:paraId="18254E5B" w14:textId="77777777" w:rsidTr="00566526">
        <w:trPr>
          <w:trHeight w:val="300"/>
        </w:trPr>
        <w:tc>
          <w:tcPr>
            <w:tcW w:w="2388" w:type="dxa"/>
            <w:tcBorders>
              <w:bottom w:val="single" w:sz="6" w:space="0" w:color="auto"/>
            </w:tcBorders>
            <w:shd w:val="clear" w:color="auto" w:fill="BDD6EE" w:themeFill="accent5" w:themeFillTint="66"/>
            <w:tcMar>
              <w:left w:w="105" w:type="dxa"/>
              <w:right w:w="105" w:type="dxa"/>
            </w:tcMar>
          </w:tcPr>
          <w:p w14:paraId="535F7AED" w14:textId="376004AC"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Policy Name</w:t>
            </w:r>
          </w:p>
        </w:tc>
        <w:tc>
          <w:tcPr>
            <w:tcW w:w="6627" w:type="dxa"/>
            <w:tcBorders>
              <w:bottom w:val="single" w:sz="6" w:space="0" w:color="auto"/>
            </w:tcBorders>
            <w:tcMar>
              <w:left w:w="105" w:type="dxa"/>
              <w:right w:w="105" w:type="dxa"/>
            </w:tcMar>
          </w:tcPr>
          <w:p w14:paraId="45B1B6A5" w14:textId="195374AD" w:rsidR="1B9EC930" w:rsidRDefault="00E05E95" w:rsidP="02DF1F84">
            <w:pPr>
              <w:spacing w:line="259"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Surveillance </w:t>
            </w:r>
            <w:r w:rsidR="00BD0F2E">
              <w:rPr>
                <w:rFonts w:ascii="Arial" w:eastAsia="Arial" w:hAnsi="Arial" w:cs="Arial"/>
                <w:b/>
                <w:bCs/>
                <w:color w:val="000000" w:themeColor="text1"/>
                <w:sz w:val="22"/>
                <w:szCs w:val="22"/>
              </w:rPr>
              <w:t>Colonoscopy</w:t>
            </w:r>
          </w:p>
        </w:tc>
      </w:tr>
      <w:tr w:rsidR="00A65B57" w14:paraId="31BFB7F1" w14:textId="77777777">
        <w:trPr>
          <w:trHeight w:val="300"/>
        </w:trPr>
        <w:tc>
          <w:tcPr>
            <w:tcW w:w="2388" w:type="dxa"/>
            <w:tcBorders>
              <w:bottom w:val="double" w:sz="6" w:space="0" w:color="auto"/>
            </w:tcBorders>
            <w:shd w:val="clear" w:color="auto" w:fill="BDD6EE" w:themeFill="accent5" w:themeFillTint="66"/>
            <w:tcMar>
              <w:left w:w="105" w:type="dxa"/>
              <w:right w:w="105" w:type="dxa"/>
            </w:tcMar>
          </w:tcPr>
          <w:p w14:paraId="5594A73A" w14:textId="77777777" w:rsidR="00A65B57" w:rsidRDefault="00A65B57">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Status</w:t>
            </w:r>
          </w:p>
        </w:tc>
        <w:tc>
          <w:tcPr>
            <w:tcW w:w="6627" w:type="dxa"/>
            <w:tcBorders>
              <w:bottom w:val="double" w:sz="6" w:space="0" w:color="auto"/>
            </w:tcBorders>
            <w:tcMar>
              <w:left w:w="105" w:type="dxa"/>
              <w:right w:w="105" w:type="dxa"/>
            </w:tcMar>
          </w:tcPr>
          <w:p w14:paraId="42E04B90" w14:textId="30AF4BE9" w:rsidR="00A65B57" w:rsidRDefault="00A65B57">
            <w:pPr>
              <w:spacing w:line="259" w:lineRule="auto"/>
              <w:rPr>
                <w:rFonts w:ascii="Arial" w:eastAsia="Arial" w:hAnsi="Arial" w:cs="Arial"/>
                <w:color w:val="000000" w:themeColor="text1"/>
                <w:sz w:val="22"/>
                <w:szCs w:val="22"/>
              </w:rPr>
            </w:pPr>
            <w:r>
              <w:rPr>
                <w:rFonts w:ascii="Arial" w:eastAsia="Arial" w:hAnsi="Arial" w:cs="Arial"/>
                <w:b/>
                <w:bCs/>
                <w:color w:val="000000" w:themeColor="text1"/>
                <w:sz w:val="22"/>
                <w:szCs w:val="22"/>
              </w:rPr>
              <w:t>Group</w:t>
            </w:r>
            <w:r w:rsidRPr="25028294">
              <w:rPr>
                <w:rFonts w:ascii="Arial" w:eastAsia="Arial" w:hAnsi="Arial" w:cs="Arial"/>
                <w:b/>
                <w:bCs/>
                <w:color w:val="000000" w:themeColor="text1"/>
                <w:sz w:val="22"/>
                <w:szCs w:val="22"/>
              </w:rPr>
              <w:t xml:space="preserve"> Prior Approval </w:t>
            </w:r>
          </w:p>
        </w:tc>
      </w:tr>
      <w:tr w:rsidR="25028294" w14:paraId="24FD7121" w14:textId="77777777" w:rsidTr="001B5555">
        <w:trPr>
          <w:trHeight w:val="300"/>
        </w:trPr>
        <w:tc>
          <w:tcPr>
            <w:tcW w:w="2388" w:type="dxa"/>
            <w:tcBorders>
              <w:top w:val="single" w:sz="4" w:space="0" w:color="auto"/>
            </w:tcBorders>
            <w:shd w:val="clear" w:color="auto" w:fill="BDD6EE" w:themeFill="accent5" w:themeFillTint="66"/>
            <w:tcMar>
              <w:left w:w="105" w:type="dxa"/>
              <w:right w:w="105" w:type="dxa"/>
            </w:tcMar>
          </w:tcPr>
          <w:p w14:paraId="793DC29F" w14:textId="24C8D468"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Effective Date</w:t>
            </w:r>
          </w:p>
        </w:tc>
        <w:tc>
          <w:tcPr>
            <w:tcW w:w="6627" w:type="dxa"/>
            <w:tcBorders>
              <w:top w:val="single" w:sz="4" w:space="0" w:color="auto"/>
            </w:tcBorders>
            <w:tcMar>
              <w:left w:w="105" w:type="dxa"/>
              <w:right w:w="105" w:type="dxa"/>
            </w:tcMar>
          </w:tcPr>
          <w:p w14:paraId="532CCD13" w14:textId="7994BAB8" w:rsidR="25028294" w:rsidRDefault="25028294" w:rsidP="25028294">
            <w:pPr>
              <w:spacing w:line="259" w:lineRule="auto"/>
              <w:rPr>
                <w:rFonts w:ascii="Arial" w:eastAsia="Arial" w:hAnsi="Arial" w:cs="Arial"/>
                <w:color w:val="000000" w:themeColor="text1"/>
                <w:sz w:val="22"/>
                <w:szCs w:val="22"/>
              </w:rPr>
            </w:pPr>
            <w:r w:rsidRPr="25028294">
              <w:rPr>
                <w:rStyle w:val="ui-provider"/>
                <w:rFonts w:ascii="Arial" w:eastAsia="Arial" w:hAnsi="Arial" w:cs="Arial"/>
                <w:color w:val="000000" w:themeColor="text1"/>
              </w:rPr>
              <w:t xml:space="preserve">1 </w:t>
            </w:r>
            <w:r w:rsidR="004A3D18">
              <w:rPr>
                <w:rStyle w:val="ui-provider"/>
                <w:rFonts w:ascii="Arial" w:eastAsia="Arial" w:hAnsi="Arial" w:cs="Arial"/>
                <w:color w:val="000000" w:themeColor="text1"/>
              </w:rPr>
              <w:t>November</w:t>
            </w:r>
            <w:r w:rsidRPr="25028294">
              <w:rPr>
                <w:rStyle w:val="ui-provider"/>
                <w:rFonts w:ascii="Arial" w:eastAsia="Arial" w:hAnsi="Arial" w:cs="Arial"/>
                <w:color w:val="000000" w:themeColor="text1"/>
              </w:rPr>
              <w:t xml:space="preserve"> 202</w:t>
            </w:r>
            <w:r w:rsidR="00EC24D5">
              <w:rPr>
                <w:rStyle w:val="ui-provider"/>
                <w:rFonts w:ascii="Arial" w:eastAsia="Arial" w:hAnsi="Arial" w:cs="Arial"/>
                <w:color w:val="000000" w:themeColor="text1"/>
              </w:rPr>
              <w:t>5</w:t>
            </w:r>
          </w:p>
        </w:tc>
      </w:tr>
      <w:tr w:rsidR="25028294" w14:paraId="590BCAA2" w14:textId="77777777" w:rsidTr="00566526">
        <w:trPr>
          <w:trHeight w:val="90"/>
        </w:trPr>
        <w:tc>
          <w:tcPr>
            <w:tcW w:w="2388" w:type="dxa"/>
            <w:shd w:val="clear" w:color="auto" w:fill="BDD6EE" w:themeFill="accent5" w:themeFillTint="66"/>
            <w:tcMar>
              <w:left w:w="105" w:type="dxa"/>
              <w:right w:w="105" w:type="dxa"/>
            </w:tcMar>
          </w:tcPr>
          <w:p w14:paraId="679D7E72" w14:textId="29F9868E"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Next Review Date</w:t>
            </w:r>
          </w:p>
        </w:tc>
        <w:tc>
          <w:tcPr>
            <w:tcW w:w="6627" w:type="dxa"/>
            <w:tcMar>
              <w:left w:w="105" w:type="dxa"/>
              <w:right w:w="105" w:type="dxa"/>
            </w:tcMar>
          </w:tcPr>
          <w:p w14:paraId="6566F679" w14:textId="2BFDEA3C" w:rsidR="25028294" w:rsidRDefault="004A3D18" w:rsidP="25028294">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31 October</w:t>
            </w:r>
            <w:r w:rsidR="25028294" w:rsidRPr="25028294">
              <w:rPr>
                <w:rFonts w:ascii="Arial" w:eastAsia="Arial" w:hAnsi="Arial" w:cs="Arial"/>
                <w:color w:val="000000" w:themeColor="text1"/>
                <w:sz w:val="22"/>
                <w:szCs w:val="22"/>
              </w:rPr>
              <w:t xml:space="preserve"> 202</w:t>
            </w:r>
            <w:r w:rsidR="004A1E5C">
              <w:rPr>
                <w:rFonts w:ascii="Arial" w:eastAsia="Arial" w:hAnsi="Arial" w:cs="Arial"/>
                <w:color w:val="000000" w:themeColor="text1"/>
                <w:sz w:val="22"/>
                <w:szCs w:val="22"/>
              </w:rPr>
              <w:t>8</w:t>
            </w:r>
          </w:p>
        </w:tc>
      </w:tr>
    </w:tbl>
    <w:p w14:paraId="4F706B25" w14:textId="77777777" w:rsidR="008A0892" w:rsidRPr="00F07331" w:rsidRDefault="008A0892" w:rsidP="001B5555">
      <w:pPr>
        <w:autoSpaceDE w:val="0"/>
        <w:autoSpaceDN w:val="0"/>
        <w:adjustRightInd w:val="0"/>
        <w:rPr>
          <w:rFonts w:ascii="Arial" w:eastAsiaTheme="minorHAnsi" w:hAnsi="Arial" w:cs="Arial"/>
          <w:color w:val="000000"/>
          <w:sz w:val="16"/>
          <w:szCs w:val="16"/>
          <w:lang w:eastAsia="en-US"/>
        </w:rPr>
      </w:pPr>
    </w:p>
    <w:p w14:paraId="05B4069E" w14:textId="11B19EC1" w:rsidR="008A0892" w:rsidRPr="00BD0F2E" w:rsidRDefault="005B703F" w:rsidP="00F07331">
      <w:pPr>
        <w:autoSpaceDE w:val="0"/>
        <w:autoSpaceDN w:val="0"/>
        <w:adjustRightInd w:val="0"/>
        <w:spacing w:line="276" w:lineRule="auto"/>
        <w:rPr>
          <w:rFonts w:ascii="Arial" w:eastAsia="Calibri" w:hAnsi="Arial" w:cs="Arial"/>
          <w:color w:val="000000"/>
        </w:rPr>
      </w:pPr>
      <w:r>
        <w:rPr>
          <w:rFonts w:ascii="Arial" w:hAnsi="Arial" w:cs="Arial"/>
        </w:rPr>
        <w:t>Colorectal Cancer (</w:t>
      </w:r>
      <w:r w:rsidR="008A0892" w:rsidRPr="008A0892">
        <w:rPr>
          <w:rFonts w:ascii="Arial" w:hAnsi="Arial" w:cs="Arial"/>
        </w:rPr>
        <w:t>CRC</w:t>
      </w:r>
      <w:r>
        <w:rPr>
          <w:rFonts w:ascii="Arial" w:hAnsi="Arial" w:cs="Arial"/>
        </w:rPr>
        <w:t>)</w:t>
      </w:r>
      <w:r w:rsidR="008A0892" w:rsidRPr="008A0892">
        <w:rPr>
          <w:rFonts w:ascii="Arial" w:hAnsi="Arial" w:cs="Arial"/>
        </w:rPr>
        <w:t xml:space="preserve"> is one of the most common cancers in the UK with more than 40,000 new cases diagnosed each year.</w:t>
      </w:r>
      <w:r w:rsidR="00BD0F2E">
        <w:rPr>
          <w:rFonts w:ascii="Arial" w:hAnsi="Arial" w:cs="Arial"/>
        </w:rPr>
        <w:t xml:space="preserve">  </w:t>
      </w:r>
      <w:r w:rsidR="00BD0F2E" w:rsidRPr="005E4C4B">
        <w:rPr>
          <w:rFonts w:ascii="Arial" w:eastAsia="Calibri" w:hAnsi="Arial" w:cs="Arial"/>
          <w:color w:val="000000"/>
        </w:rPr>
        <w:t>An estimated 35% of CRC is due to heritable factors.</w:t>
      </w:r>
      <w:r w:rsidR="00BD0F2E">
        <w:rPr>
          <w:rFonts w:ascii="Arial" w:eastAsia="Calibri" w:hAnsi="Arial" w:cs="Arial"/>
          <w:color w:val="000000"/>
        </w:rPr>
        <w:t xml:space="preserve">  </w:t>
      </w:r>
      <w:proofErr w:type="gramStart"/>
      <w:r w:rsidR="008A0892" w:rsidRPr="008A0892">
        <w:rPr>
          <w:rFonts w:ascii="Arial" w:hAnsi="Arial" w:cs="Arial"/>
        </w:rPr>
        <w:t>The vast majority of</w:t>
      </w:r>
      <w:proofErr w:type="gramEnd"/>
      <w:r w:rsidR="008A0892" w:rsidRPr="008A0892">
        <w:rPr>
          <w:rFonts w:ascii="Arial" w:hAnsi="Arial" w:cs="Arial"/>
        </w:rPr>
        <w:t xml:space="preserve"> CRCs arise from premalignant polyps.  As polyps can recur, some patients are recommended endoscopic follow-up post-polypectomy with surveillance colonoscopy to prevent future CRC.  </w:t>
      </w:r>
    </w:p>
    <w:p w14:paraId="3A99F6FA" w14:textId="77777777" w:rsidR="008A0892" w:rsidRPr="00F07331" w:rsidRDefault="008A0892" w:rsidP="00F07331">
      <w:pPr>
        <w:autoSpaceDE w:val="0"/>
        <w:autoSpaceDN w:val="0"/>
        <w:adjustRightInd w:val="0"/>
        <w:spacing w:line="276" w:lineRule="auto"/>
        <w:rPr>
          <w:rFonts w:ascii="Arial" w:hAnsi="Arial" w:cs="Arial"/>
          <w:sz w:val="16"/>
          <w:szCs w:val="16"/>
        </w:rPr>
      </w:pPr>
    </w:p>
    <w:p w14:paraId="7D4FA901" w14:textId="169D9A2B" w:rsidR="002E682A" w:rsidRDefault="008328F4" w:rsidP="00F07331">
      <w:pPr>
        <w:autoSpaceDE w:val="0"/>
        <w:autoSpaceDN w:val="0"/>
        <w:adjustRightInd w:val="0"/>
        <w:spacing w:line="276" w:lineRule="auto"/>
        <w:rPr>
          <w:rFonts w:ascii="Arial" w:hAnsi="Arial" w:cs="Arial"/>
        </w:rPr>
      </w:pPr>
      <w:r>
        <w:rPr>
          <w:rFonts w:ascii="Arial" w:hAnsi="Arial" w:cs="Arial"/>
        </w:rPr>
        <w:t>The</w:t>
      </w:r>
      <w:r w:rsidR="008A0892" w:rsidRPr="008A0892">
        <w:rPr>
          <w:rFonts w:ascii="Arial" w:hAnsi="Arial" w:cs="Arial"/>
        </w:rPr>
        <w:t xml:space="preserve"> greatest benefit in terms of CRC prevention and CRC mortality reduction is derived from the initial polypectomy, rather than from subsequent surveillance, and it is recommended that surveillance is restricted to patients with clearly defined, high-risk criteria.  Similarly, individuals who have had treatment for colorectal carcinoma </w:t>
      </w:r>
      <w:r w:rsidR="00BD0F2E">
        <w:rPr>
          <w:rFonts w:ascii="Arial" w:hAnsi="Arial" w:cs="Arial"/>
        </w:rPr>
        <w:t>or w</w:t>
      </w:r>
      <w:r w:rsidR="004340A4">
        <w:rPr>
          <w:rFonts w:ascii="Arial" w:hAnsi="Arial" w:cs="Arial"/>
        </w:rPr>
        <w:t>ho have</w:t>
      </w:r>
      <w:r w:rsidR="00BD0F2E">
        <w:rPr>
          <w:rFonts w:ascii="Arial" w:hAnsi="Arial" w:cs="Arial"/>
        </w:rPr>
        <w:t xml:space="preserve"> hereditary </w:t>
      </w:r>
      <w:r w:rsidR="006C7580">
        <w:rPr>
          <w:rFonts w:ascii="Arial" w:hAnsi="Arial" w:cs="Arial"/>
        </w:rPr>
        <w:t xml:space="preserve">risk </w:t>
      </w:r>
      <w:r w:rsidR="00BD0F2E">
        <w:rPr>
          <w:rFonts w:ascii="Arial" w:hAnsi="Arial" w:cs="Arial"/>
        </w:rPr>
        <w:t>factors can</w:t>
      </w:r>
      <w:r w:rsidR="008A0892" w:rsidRPr="008A0892">
        <w:rPr>
          <w:rFonts w:ascii="Arial" w:hAnsi="Arial" w:cs="Arial"/>
        </w:rPr>
        <w:t xml:space="preserve"> be stratified</w:t>
      </w:r>
      <w:r w:rsidR="00BD0F2E">
        <w:rPr>
          <w:rFonts w:ascii="Arial" w:hAnsi="Arial" w:cs="Arial"/>
        </w:rPr>
        <w:t xml:space="preserve"> for future surveillance requirements.</w:t>
      </w:r>
    </w:p>
    <w:p w14:paraId="79E331E3" w14:textId="77777777" w:rsidR="008A0892" w:rsidRPr="00F07331" w:rsidRDefault="008A0892" w:rsidP="008A0892">
      <w:pPr>
        <w:autoSpaceDE w:val="0"/>
        <w:autoSpaceDN w:val="0"/>
        <w:adjustRightInd w:val="0"/>
        <w:rPr>
          <w:rFonts w:ascii="Arial" w:eastAsiaTheme="minorHAnsi" w:hAnsi="Arial" w:cs="Arial"/>
          <w:color w:val="000000"/>
          <w:sz w:val="16"/>
          <w:szCs w:val="16"/>
          <w:lang w:eastAsia="en-US"/>
        </w:rPr>
      </w:pPr>
    </w:p>
    <w:p w14:paraId="400FDDBB" w14:textId="0FA9AE33" w:rsidR="0088004E" w:rsidRPr="00F07331" w:rsidRDefault="008A0892" w:rsidP="00F07331">
      <w:pPr>
        <w:autoSpaceDE w:val="0"/>
        <w:autoSpaceDN w:val="0"/>
        <w:adjustRightInd w:val="0"/>
        <w:spacing w:line="276" w:lineRule="auto"/>
        <w:rPr>
          <w:rFonts w:ascii="Arial" w:hAnsi="Arial" w:cs="Arial"/>
        </w:rPr>
      </w:pPr>
      <w:r w:rsidRPr="00F07331">
        <w:rPr>
          <w:rFonts w:ascii="Arial" w:hAnsi="Arial" w:cs="Arial"/>
        </w:rPr>
        <w:t>MSE ICB commissions surveillance</w:t>
      </w:r>
      <w:r w:rsidR="006234BD" w:rsidRPr="00F07331">
        <w:rPr>
          <w:rFonts w:ascii="Arial" w:hAnsi="Arial" w:cs="Arial"/>
        </w:rPr>
        <w:t xml:space="preserve"> colonoscopy</w:t>
      </w:r>
      <w:r w:rsidRPr="00F07331">
        <w:rPr>
          <w:rFonts w:ascii="Arial" w:hAnsi="Arial" w:cs="Arial"/>
        </w:rPr>
        <w:t xml:space="preserve"> </w:t>
      </w:r>
      <w:r w:rsidR="005B703F" w:rsidRPr="00F07331">
        <w:rPr>
          <w:rFonts w:ascii="Arial" w:hAnsi="Arial" w:cs="Arial"/>
        </w:rPr>
        <w:t xml:space="preserve">on a restricted basis </w:t>
      </w:r>
      <w:r w:rsidRPr="00F07331">
        <w:rPr>
          <w:rFonts w:ascii="Arial" w:hAnsi="Arial" w:cs="Arial"/>
        </w:rPr>
        <w:t>in-line with British Society of Gastroenterology</w:t>
      </w:r>
      <w:r w:rsidR="00A327AB" w:rsidRPr="00F07331">
        <w:rPr>
          <w:rFonts w:ascii="Arial" w:hAnsi="Arial" w:cs="Arial"/>
        </w:rPr>
        <w:t xml:space="preserve"> (BSG)</w:t>
      </w:r>
      <w:r w:rsidRPr="00F07331">
        <w:rPr>
          <w:rFonts w:ascii="Arial" w:hAnsi="Arial" w:cs="Arial"/>
        </w:rPr>
        <w:t xml:space="preserve"> Guidelines</w:t>
      </w:r>
      <w:r w:rsidR="008F5B87" w:rsidRPr="00F07331">
        <w:rPr>
          <w:rFonts w:ascii="Arial" w:hAnsi="Arial" w:cs="Arial"/>
        </w:rPr>
        <w:t xml:space="preserve"> for post-polypectomy, post-cancer-resection, and hereditary CRC surveillance.</w:t>
      </w:r>
    </w:p>
    <w:p w14:paraId="34C86594" w14:textId="77777777" w:rsidR="00BD0F2E" w:rsidRPr="00F07331" w:rsidRDefault="00BD0F2E" w:rsidP="00F07331">
      <w:pPr>
        <w:autoSpaceDE w:val="0"/>
        <w:autoSpaceDN w:val="0"/>
        <w:adjustRightInd w:val="0"/>
        <w:spacing w:line="276" w:lineRule="auto"/>
        <w:rPr>
          <w:rFonts w:ascii="Arial" w:eastAsiaTheme="minorHAnsi" w:hAnsi="Arial" w:cs="Arial"/>
          <w:color w:val="000000"/>
          <w:sz w:val="16"/>
          <w:szCs w:val="16"/>
          <w:lang w:eastAsia="en-US"/>
        </w:rPr>
      </w:pPr>
    </w:p>
    <w:p w14:paraId="2D0CA94D" w14:textId="5AFEA13A" w:rsidR="002E682A" w:rsidRDefault="00A81DC9" w:rsidP="00F07331">
      <w:pPr>
        <w:autoSpaceDE w:val="0"/>
        <w:autoSpaceDN w:val="0"/>
        <w:adjustRightInd w:val="0"/>
        <w:spacing w:line="276" w:lineRule="auto"/>
        <w:rPr>
          <w:rFonts w:ascii="Arial" w:eastAsiaTheme="minorHAnsi" w:hAnsi="Arial" w:cs="Arial"/>
          <w:color w:val="000000"/>
          <w:lang w:eastAsia="en-US"/>
        </w:rPr>
      </w:pPr>
      <w:r>
        <w:rPr>
          <w:rFonts w:ascii="Arial" w:eastAsiaTheme="minorHAnsi" w:hAnsi="Arial" w:cs="Arial"/>
          <w:color w:val="000000"/>
          <w:lang w:eastAsia="en-US"/>
        </w:rPr>
        <w:t>N</w:t>
      </w:r>
      <w:r w:rsidR="00B972BA">
        <w:rPr>
          <w:rFonts w:ascii="Arial" w:eastAsiaTheme="minorHAnsi" w:hAnsi="Arial" w:cs="Arial"/>
          <w:color w:val="000000"/>
          <w:lang w:eastAsia="en-US"/>
        </w:rPr>
        <w:t>ote</w:t>
      </w:r>
      <w:r>
        <w:rPr>
          <w:rFonts w:ascii="Arial" w:eastAsiaTheme="minorHAnsi" w:hAnsi="Arial" w:cs="Arial"/>
          <w:color w:val="000000"/>
          <w:lang w:eastAsia="en-US"/>
        </w:rPr>
        <w:t xml:space="preserve"> this policy does not cover the </w:t>
      </w:r>
      <w:r w:rsidR="008F390B">
        <w:rPr>
          <w:rFonts w:ascii="Arial" w:eastAsiaTheme="minorHAnsi" w:hAnsi="Arial" w:cs="Arial"/>
          <w:color w:val="000000"/>
          <w:lang w:eastAsia="en-US"/>
        </w:rPr>
        <w:t>role</w:t>
      </w:r>
      <w:r>
        <w:rPr>
          <w:rFonts w:ascii="Arial" w:eastAsiaTheme="minorHAnsi" w:hAnsi="Arial" w:cs="Arial"/>
          <w:color w:val="000000"/>
          <w:lang w:eastAsia="en-US"/>
        </w:rPr>
        <w:t xml:space="preserve"> of </w:t>
      </w:r>
      <w:r w:rsidR="0074163D" w:rsidRPr="0074163D">
        <w:rPr>
          <w:rFonts w:ascii="Arial" w:eastAsiaTheme="minorHAnsi" w:hAnsi="Arial" w:cs="Arial"/>
          <w:color w:val="000000"/>
          <w:lang w:eastAsia="en-US"/>
        </w:rPr>
        <w:t>Faecal immunochemical testing (FIT)</w:t>
      </w:r>
      <w:r w:rsidR="0074163D">
        <w:rPr>
          <w:rFonts w:ascii="Arial" w:eastAsiaTheme="minorHAnsi" w:hAnsi="Arial" w:cs="Arial"/>
          <w:color w:val="000000"/>
          <w:lang w:eastAsia="en-US"/>
        </w:rPr>
        <w:t xml:space="preserve"> in the diagnostic pathway for patients with signs or symptoms </w:t>
      </w:r>
      <w:r w:rsidR="00C72962">
        <w:rPr>
          <w:rFonts w:ascii="Arial" w:eastAsiaTheme="minorHAnsi" w:hAnsi="Arial" w:cs="Arial"/>
          <w:color w:val="000000"/>
          <w:lang w:eastAsia="en-US"/>
        </w:rPr>
        <w:t>of a suspected diagnosis of CRC</w:t>
      </w:r>
      <w:r w:rsidR="00B972BA">
        <w:rPr>
          <w:rFonts w:ascii="Arial" w:eastAsiaTheme="minorHAnsi" w:hAnsi="Arial" w:cs="Arial"/>
          <w:color w:val="000000"/>
          <w:lang w:eastAsia="en-US"/>
        </w:rPr>
        <w:t>.</w:t>
      </w:r>
    </w:p>
    <w:p w14:paraId="48F27B9C" w14:textId="77777777" w:rsidR="005B703F" w:rsidRDefault="005B703F" w:rsidP="005B703F">
      <w:pPr>
        <w:pStyle w:val="Heading1"/>
        <w:rPr>
          <w:rFonts w:ascii="Arial" w:eastAsiaTheme="minorHAnsi" w:hAnsi="Arial" w:cs="Arial"/>
          <w:lang w:eastAsia="en-US"/>
        </w:rPr>
      </w:pPr>
      <w:r w:rsidRPr="005B703F">
        <w:rPr>
          <w:rFonts w:ascii="Arial" w:eastAsiaTheme="minorHAnsi" w:hAnsi="Arial" w:cs="Arial"/>
          <w:lang w:eastAsia="en-US"/>
        </w:rPr>
        <w:t>Post-Polypectomy and Post-</w:t>
      </w:r>
      <w:r>
        <w:rPr>
          <w:rFonts w:ascii="Arial" w:eastAsiaTheme="minorHAnsi" w:hAnsi="Arial" w:cs="Arial"/>
          <w:lang w:eastAsia="en-US"/>
        </w:rPr>
        <w:t>C</w:t>
      </w:r>
      <w:r w:rsidRPr="005B703F">
        <w:rPr>
          <w:rFonts w:ascii="Arial" w:eastAsiaTheme="minorHAnsi" w:hAnsi="Arial" w:cs="Arial"/>
          <w:lang w:eastAsia="en-US"/>
        </w:rPr>
        <w:t>ancer-</w:t>
      </w:r>
      <w:r>
        <w:rPr>
          <w:rFonts w:ascii="Arial" w:eastAsiaTheme="minorHAnsi" w:hAnsi="Arial" w:cs="Arial"/>
          <w:lang w:eastAsia="en-US"/>
        </w:rPr>
        <w:t>R</w:t>
      </w:r>
      <w:r w:rsidRPr="005B703F">
        <w:rPr>
          <w:rFonts w:ascii="Arial" w:eastAsiaTheme="minorHAnsi" w:hAnsi="Arial" w:cs="Arial"/>
          <w:lang w:eastAsia="en-US"/>
        </w:rPr>
        <w:t>esection Surveillance</w:t>
      </w:r>
    </w:p>
    <w:p w14:paraId="1939550F" w14:textId="77777777" w:rsidR="005B703F" w:rsidRPr="00F07331" w:rsidRDefault="005B703F" w:rsidP="008A0892">
      <w:pPr>
        <w:autoSpaceDE w:val="0"/>
        <w:autoSpaceDN w:val="0"/>
        <w:adjustRightInd w:val="0"/>
        <w:rPr>
          <w:rFonts w:ascii="Arial" w:eastAsiaTheme="minorHAnsi" w:hAnsi="Arial" w:cs="Arial"/>
          <w:color w:val="000000"/>
          <w:sz w:val="16"/>
          <w:szCs w:val="16"/>
          <w:lang w:eastAsia="en-US"/>
        </w:rPr>
      </w:pPr>
    </w:p>
    <w:p w14:paraId="62FBEFCF" w14:textId="32439A59" w:rsidR="00793B27" w:rsidRDefault="00793B27" w:rsidP="008A0892">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 xml:space="preserve">Colonoscopy surveillance </w:t>
      </w:r>
      <w:r w:rsidR="009D13AA">
        <w:rPr>
          <w:rFonts w:ascii="Arial" w:eastAsiaTheme="minorHAnsi" w:hAnsi="Arial" w:cs="Arial"/>
          <w:color w:val="000000"/>
          <w:lang w:eastAsia="en-US"/>
        </w:rPr>
        <w:t xml:space="preserve">post-polypectomy or post-cancer resection </w:t>
      </w:r>
      <w:r>
        <w:rPr>
          <w:rFonts w:ascii="Arial" w:eastAsiaTheme="minorHAnsi" w:hAnsi="Arial" w:cs="Arial"/>
          <w:color w:val="000000"/>
          <w:lang w:eastAsia="en-US"/>
        </w:rPr>
        <w:t xml:space="preserve">should be offered in line with the </w:t>
      </w:r>
      <w:hyperlink r:id="rId11" w:history="1">
        <w:r w:rsidR="009D13AA">
          <w:rPr>
            <w:rStyle w:val="Hyperlink"/>
            <w:rFonts w:ascii="Arial" w:eastAsiaTheme="minorHAnsi" w:hAnsi="Arial" w:cs="Arial"/>
            <w:lang w:eastAsia="en-US"/>
          </w:rPr>
          <w:t>British Society for Gastroenterology guidelines</w:t>
        </w:r>
      </w:hyperlink>
      <w:r>
        <w:rPr>
          <w:rFonts w:ascii="Arial" w:eastAsiaTheme="minorHAnsi" w:hAnsi="Arial" w:cs="Arial"/>
          <w:color w:val="000000"/>
          <w:lang w:eastAsia="en-US"/>
        </w:rPr>
        <w:t xml:space="preserve">, as </w:t>
      </w:r>
      <w:r w:rsidR="00A327AB">
        <w:rPr>
          <w:rFonts w:ascii="Arial" w:eastAsiaTheme="minorHAnsi" w:hAnsi="Arial" w:cs="Arial"/>
          <w:color w:val="000000"/>
          <w:lang w:eastAsia="en-US"/>
        </w:rPr>
        <w:t>summarised</w:t>
      </w:r>
      <w:r>
        <w:rPr>
          <w:rFonts w:ascii="Arial" w:eastAsiaTheme="minorHAnsi" w:hAnsi="Arial" w:cs="Arial"/>
          <w:color w:val="000000"/>
          <w:lang w:eastAsia="en-US"/>
        </w:rPr>
        <w:t xml:space="preserve"> in Figure 1 below.</w:t>
      </w:r>
    </w:p>
    <w:p w14:paraId="7D8D1A33" w14:textId="77777777" w:rsidR="0018014C" w:rsidRPr="00F07331" w:rsidRDefault="0018014C" w:rsidP="008A0892">
      <w:pPr>
        <w:autoSpaceDE w:val="0"/>
        <w:autoSpaceDN w:val="0"/>
        <w:adjustRightInd w:val="0"/>
        <w:rPr>
          <w:rFonts w:ascii="Arial" w:eastAsiaTheme="minorHAnsi" w:hAnsi="Arial" w:cs="Arial"/>
          <w:color w:val="000000"/>
          <w:sz w:val="16"/>
          <w:szCs w:val="16"/>
          <w:lang w:eastAsia="en-US"/>
        </w:rPr>
      </w:pPr>
    </w:p>
    <w:p w14:paraId="24F3B89A" w14:textId="44895A24" w:rsidR="0018014C" w:rsidRPr="0018014C" w:rsidRDefault="0018014C" w:rsidP="008A0892">
      <w:pPr>
        <w:autoSpaceDE w:val="0"/>
        <w:autoSpaceDN w:val="0"/>
        <w:adjustRightInd w:val="0"/>
        <w:rPr>
          <w:rFonts w:ascii="Arial" w:eastAsiaTheme="minorHAnsi" w:hAnsi="Arial" w:cs="Arial"/>
          <w:color w:val="000000"/>
          <w:u w:val="single"/>
          <w:lang w:eastAsia="en-US"/>
        </w:rPr>
      </w:pPr>
      <w:r w:rsidRPr="0018014C">
        <w:rPr>
          <w:rFonts w:ascii="Arial" w:eastAsiaTheme="minorHAnsi" w:hAnsi="Arial" w:cs="Arial"/>
          <w:color w:val="000000"/>
          <w:u w:val="single"/>
          <w:lang w:eastAsia="en-US"/>
        </w:rPr>
        <w:t>Post-</w:t>
      </w:r>
      <w:r>
        <w:rPr>
          <w:rFonts w:ascii="Arial" w:eastAsiaTheme="minorHAnsi" w:hAnsi="Arial" w:cs="Arial"/>
          <w:color w:val="000000"/>
          <w:u w:val="single"/>
          <w:lang w:eastAsia="en-US"/>
        </w:rPr>
        <w:t>P</w:t>
      </w:r>
      <w:r w:rsidRPr="0018014C">
        <w:rPr>
          <w:rFonts w:ascii="Arial" w:eastAsiaTheme="minorHAnsi" w:hAnsi="Arial" w:cs="Arial"/>
          <w:color w:val="000000"/>
          <w:u w:val="single"/>
          <w:lang w:eastAsia="en-US"/>
        </w:rPr>
        <w:t>olypectomy</w:t>
      </w:r>
    </w:p>
    <w:p w14:paraId="390D50B4" w14:textId="77777777" w:rsidR="007867C2" w:rsidRPr="00172E55" w:rsidRDefault="007867C2" w:rsidP="008A0892">
      <w:pPr>
        <w:autoSpaceDE w:val="0"/>
        <w:autoSpaceDN w:val="0"/>
        <w:adjustRightInd w:val="0"/>
        <w:rPr>
          <w:rFonts w:ascii="Arial" w:eastAsiaTheme="minorHAnsi" w:hAnsi="Arial" w:cs="Arial"/>
          <w:color w:val="000000"/>
          <w:sz w:val="16"/>
          <w:szCs w:val="16"/>
          <w:lang w:eastAsia="en-US"/>
        </w:rPr>
      </w:pPr>
    </w:p>
    <w:p w14:paraId="0BA284A1" w14:textId="77777777" w:rsidR="007867C2" w:rsidRDefault="007867C2" w:rsidP="008A0892">
      <w:pPr>
        <w:autoSpaceDE w:val="0"/>
        <w:autoSpaceDN w:val="0"/>
        <w:adjustRightInd w:val="0"/>
        <w:rPr>
          <w:rFonts w:ascii="Arial" w:eastAsia="Calibri" w:hAnsi="Arial" w:cs="Arial"/>
          <w:color w:val="000000"/>
        </w:rPr>
      </w:pPr>
      <w:r>
        <w:rPr>
          <w:rFonts w:ascii="Arial" w:eastAsiaTheme="minorHAnsi" w:hAnsi="Arial" w:cs="Arial"/>
          <w:color w:val="000000"/>
          <w:lang w:eastAsia="en-US"/>
        </w:rPr>
        <w:t xml:space="preserve">Individuals at </w:t>
      </w:r>
      <w:r w:rsidR="00793B27" w:rsidRPr="00E31438">
        <w:rPr>
          <w:rFonts w:ascii="Arial" w:eastAsiaTheme="minorHAnsi" w:hAnsi="Arial" w:cs="Arial"/>
          <w:b/>
          <w:bCs/>
          <w:color w:val="000000"/>
          <w:lang w:eastAsia="en-US"/>
        </w:rPr>
        <w:t>high-risk</w:t>
      </w:r>
      <w:r>
        <w:rPr>
          <w:rFonts w:ascii="Arial" w:eastAsiaTheme="minorHAnsi" w:hAnsi="Arial" w:cs="Arial"/>
          <w:color w:val="000000"/>
          <w:lang w:eastAsia="en-US"/>
        </w:rPr>
        <w:t xml:space="preserve"> </w:t>
      </w:r>
      <w:r w:rsidR="00793B27" w:rsidRPr="00E31438">
        <w:rPr>
          <w:rFonts w:ascii="Arial" w:eastAsiaTheme="minorHAnsi" w:hAnsi="Arial" w:cs="Arial"/>
          <w:color w:val="000000"/>
          <w:lang w:eastAsia="en-US"/>
        </w:rPr>
        <w:t>post-polypectomy</w:t>
      </w:r>
      <w:r w:rsidR="00793B27">
        <w:rPr>
          <w:rFonts w:ascii="Arial" w:eastAsiaTheme="minorHAnsi" w:hAnsi="Arial" w:cs="Arial"/>
          <w:color w:val="000000"/>
          <w:lang w:eastAsia="en-US"/>
        </w:rPr>
        <w:t xml:space="preserve"> </w:t>
      </w:r>
      <w:r>
        <w:rPr>
          <w:rFonts w:ascii="Arial" w:eastAsiaTheme="minorHAnsi" w:hAnsi="Arial" w:cs="Arial"/>
          <w:color w:val="000000"/>
          <w:lang w:eastAsia="en-US"/>
        </w:rPr>
        <w:t>should be offered one-off surveillance colonoscopy at 3 years.</w:t>
      </w:r>
      <w:r w:rsidR="00793B27">
        <w:rPr>
          <w:rFonts w:ascii="Arial" w:eastAsiaTheme="minorHAnsi" w:hAnsi="Arial" w:cs="Arial"/>
          <w:color w:val="000000"/>
          <w:lang w:eastAsia="en-US"/>
        </w:rPr>
        <w:t xml:space="preserve">  </w:t>
      </w:r>
      <w:r w:rsidRPr="00A65EDF">
        <w:rPr>
          <w:rFonts w:ascii="Arial" w:eastAsia="Calibri" w:hAnsi="Arial" w:cs="Arial"/>
          <w:color w:val="000000"/>
        </w:rPr>
        <w:t xml:space="preserve">For individuals with </w:t>
      </w:r>
      <w:r w:rsidRPr="00793B27">
        <w:rPr>
          <w:rFonts w:ascii="Arial" w:eastAsia="Calibri" w:hAnsi="Arial" w:cs="Arial"/>
          <w:color w:val="000000"/>
        </w:rPr>
        <w:t>no high-risk</w:t>
      </w:r>
      <w:r w:rsidRPr="00A65EDF">
        <w:rPr>
          <w:rFonts w:ascii="Arial" w:eastAsia="Calibri" w:hAnsi="Arial" w:cs="Arial"/>
          <w:color w:val="000000"/>
        </w:rPr>
        <w:t xml:space="preserve"> findings</w:t>
      </w:r>
      <w:r>
        <w:rPr>
          <w:rFonts w:ascii="Arial" w:eastAsia="Calibri" w:hAnsi="Arial" w:cs="Arial"/>
          <w:color w:val="000000"/>
        </w:rPr>
        <w:t>, n</w:t>
      </w:r>
      <w:r w:rsidRPr="00A65EDF">
        <w:rPr>
          <w:rFonts w:ascii="Arial" w:eastAsia="Calibri" w:hAnsi="Arial" w:cs="Arial"/>
          <w:color w:val="000000"/>
        </w:rPr>
        <w:t xml:space="preserve">o </w:t>
      </w:r>
      <w:proofErr w:type="spellStart"/>
      <w:r w:rsidRPr="00A65EDF">
        <w:rPr>
          <w:rFonts w:ascii="Arial" w:eastAsia="Calibri" w:hAnsi="Arial" w:cs="Arial"/>
          <w:color w:val="000000"/>
        </w:rPr>
        <w:t>colonoscopic</w:t>
      </w:r>
      <w:proofErr w:type="spellEnd"/>
      <w:r w:rsidRPr="00A65EDF">
        <w:rPr>
          <w:rFonts w:ascii="Arial" w:eastAsia="Calibri" w:hAnsi="Arial" w:cs="Arial"/>
          <w:color w:val="000000"/>
        </w:rPr>
        <w:t xml:space="preserve"> surveillance should be undertaken</w:t>
      </w:r>
      <w:r>
        <w:rPr>
          <w:rFonts w:ascii="Arial" w:eastAsia="Calibri" w:hAnsi="Arial" w:cs="Arial"/>
          <w:color w:val="000000"/>
        </w:rPr>
        <w:t>, but i</w:t>
      </w:r>
      <w:r w:rsidRPr="00A65EDF">
        <w:rPr>
          <w:rFonts w:ascii="Arial" w:eastAsia="Calibri" w:hAnsi="Arial" w:cs="Arial"/>
          <w:color w:val="000000"/>
        </w:rPr>
        <w:t>ndividuals should be strongly encouraged to participate in their national bowel screening programme when invited</w:t>
      </w:r>
      <w:r w:rsidR="00A327AB">
        <w:rPr>
          <w:rFonts w:ascii="Arial" w:eastAsia="Calibri" w:hAnsi="Arial" w:cs="Arial"/>
          <w:color w:val="000000"/>
        </w:rPr>
        <w:t>.</w:t>
      </w:r>
    </w:p>
    <w:p w14:paraId="3127A3FC" w14:textId="77777777" w:rsidR="00B9557D" w:rsidRPr="00172E55" w:rsidRDefault="00B9557D" w:rsidP="00B9557D">
      <w:pPr>
        <w:rPr>
          <w:rFonts w:ascii="Arial" w:eastAsiaTheme="minorHAnsi" w:hAnsi="Arial" w:cs="Arial"/>
          <w:color w:val="000000"/>
          <w:sz w:val="16"/>
          <w:szCs w:val="16"/>
          <w:lang w:eastAsia="en-US"/>
        </w:rPr>
      </w:pPr>
    </w:p>
    <w:p w14:paraId="58CAD5A9" w14:textId="77777777" w:rsidR="00B9557D" w:rsidRDefault="00B9557D" w:rsidP="00B9557D">
      <w:pPr>
        <w:autoSpaceDE w:val="0"/>
        <w:autoSpaceDN w:val="0"/>
        <w:adjustRightInd w:val="0"/>
        <w:rPr>
          <w:rFonts w:ascii="Arial" w:eastAsia="Calibri" w:hAnsi="Arial" w:cs="Arial"/>
          <w:color w:val="000000"/>
        </w:rPr>
      </w:pPr>
      <w:r w:rsidRPr="00A65EDF">
        <w:rPr>
          <w:rFonts w:ascii="Arial" w:eastAsia="Calibri" w:hAnsi="Arial" w:cs="Arial"/>
          <w:color w:val="000000"/>
        </w:rPr>
        <w:t xml:space="preserve">Either of the following put individuals at </w:t>
      </w:r>
      <w:r w:rsidRPr="00A65EDF">
        <w:rPr>
          <w:rFonts w:ascii="Arial" w:eastAsia="Calibri" w:hAnsi="Arial" w:cs="Arial"/>
          <w:b/>
          <w:bCs/>
          <w:color w:val="000000"/>
        </w:rPr>
        <w:t>high-risk</w:t>
      </w:r>
      <w:r>
        <w:rPr>
          <w:rFonts w:ascii="Arial" w:eastAsia="Calibri" w:hAnsi="Arial" w:cs="Arial"/>
          <w:b/>
          <w:bCs/>
          <w:color w:val="000000"/>
        </w:rPr>
        <w:t>:</w:t>
      </w:r>
      <w:r w:rsidRPr="00A65EDF">
        <w:rPr>
          <w:rFonts w:ascii="Arial" w:eastAsia="Calibri" w:hAnsi="Arial" w:cs="Arial"/>
          <w:color w:val="000000"/>
        </w:rPr>
        <w:t xml:space="preserve"> </w:t>
      </w:r>
    </w:p>
    <w:p w14:paraId="7873896F" w14:textId="77777777" w:rsidR="00B9557D" w:rsidRPr="00172E55" w:rsidRDefault="00B9557D" w:rsidP="00B9557D">
      <w:pPr>
        <w:autoSpaceDE w:val="0"/>
        <w:autoSpaceDN w:val="0"/>
        <w:adjustRightInd w:val="0"/>
        <w:rPr>
          <w:rFonts w:ascii="Arial" w:eastAsia="Calibri" w:hAnsi="Arial" w:cs="Arial"/>
          <w:color w:val="000000"/>
          <w:sz w:val="16"/>
          <w:szCs w:val="16"/>
        </w:rPr>
      </w:pPr>
    </w:p>
    <w:p w14:paraId="35226678" w14:textId="589040D7" w:rsidR="008F390B" w:rsidRPr="008F390B" w:rsidRDefault="00B9557D" w:rsidP="00B9557D">
      <w:pPr>
        <w:pStyle w:val="ListParagraph"/>
        <w:numPr>
          <w:ilvl w:val="0"/>
          <w:numId w:val="23"/>
        </w:numPr>
        <w:autoSpaceDE w:val="0"/>
        <w:autoSpaceDN w:val="0"/>
        <w:adjustRightInd w:val="0"/>
        <w:ind w:left="426" w:hanging="426"/>
        <w:rPr>
          <w:rFonts w:ascii="Arial" w:eastAsiaTheme="minorHAnsi" w:hAnsi="Arial" w:cs="Arial"/>
          <w:color w:val="000000"/>
          <w:lang w:eastAsia="en-US"/>
        </w:rPr>
      </w:pPr>
      <w:r w:rsidRPr="00631029">
        <w:rPr>
          <w:rFonts w:ascii="Arial" w:eastAsia="Calibri" w:hAnsi="Arial" w:cs="Arial"/>
          <w:color w:val="000000"/>
        </w:rPr>
        <w:t>≥</w:t>
      </w:r>
      <w:r>
        <w:rPr>
          <w:rFonts w:ascii="Arial" w:eastAsia="Calibri" w:hAnsi="Arial" w:cs="Arial"/>
          <w:color w:val="000000"/>
        </w:rPr>
        <w:t xml:space="preserve"> </w:t>
      </w:r>
      <w:r w:rsidRPr="00631029">
        <w:rPr>
          <w:rFonts w:ascii="Arial" w:eastAsia="Calibri" w:hAnsi="Arial" w:cs="Arial"/>
          <w:color w:val="000000"/>
        </w:rPr>
        <w:t xml:space="preserve">2 premalignant polyps including ≥ </w:t>
      </w:r>
      <w:r>
        <w:rPr>
          <w:rFonts w:ascii="Arial" w:eastAsia="Calibri" w:hAnsi="Arial" w:cs="Arial"/>
          <w:color w:val="000000"/>
        </w:rPr>
        <w:t xml:space="preserve">1 </w:t>
      </w:r>
      <w:r w:rsidRPr="00631029">
        <w:rPr>
          <w:rFonts w:ascii="Arial" w:eastAsia="Calibri" w:hAnsi="Arial" w:cs="Arial"/>
          <w:color w:val="000000"/>
        </w:rPr>
        <w:t>advanced colorectal polyp</w:t>
      </w:r>
      <w:r w:rsidR="00F9616D">
        <w:rPr>
          <w:rStyle w:val="FootnoteReference"/>
          <w:rFonts w:ascii="Arial" w:eastAsia="Calibri" w:hAnsi="Arial" w:cs="Arial"/>
          <w:color w:val="000000"/>
        </w:rPr>
        <w:footnoteReference w:id="1"/>
      </w:r>
    </w:p>
    <w:p w14:paraId="036C6DC0" w14:textId="757C1AF0" w:rsidR="00B9557D" w:rsidRPr="008F390B" w:rsidRDefault="00B9557D" w:rsidP="008F390B">
      <w:pPr>
        <w:autoSpaceDE w:val="0"/>
        <w:autoSpaceDN w:val="0"/>
        <w:adjustRightInd w:val="0"/>
        <w:spacing w:before="120" w:after="120"/>
        <w:rPr>
          <w:rFonts w:ascii="Arial" w:eastAsiaTheme="minorHAnsi" w:hAnsi="Arial" w:cs="Arial"/>
          <w:color w:val="000000"/>
          <w:lang w:eastAsia="en-US"/>
        </w:rPr>
      </w:pPr>
      <w:r w:rsidRPr="008F390B">
        <w:rPr>
          <w:rFonts w:ascii="Arial" w:eastAsia="Calibri" w:hAnsi="Arial" w:cs="Arial"/>
          <w:b/>
          <w:bCs/>
          <w:color w:val="000000"/>
        </w:rPr>
        <w:t>OR</w:t>
      </w:r>
    </w:p>
    <w:p w14:paraId="05A783F0" w14:textId="1D46B669" w:rsidR="00B9557D" w:rsidRPr="00172E55" w:rsidRDefault="00B9557D" w:rsidP="008A0892">
      <w:pPr>
        <w:pStyle w:val="ListParagraph"/>
        <w:numPr>
          <w:ilvl w:val="0"/>
          <w:numId w:val="23"/>
        </w:numPr>
        <w:autoSpaceDE w:val="0"/>
        <w:autoSpaceDN w:val="0"/>
        <w:adjustRightInd w:val="0"/>
        <w:ind w:left="426" w:hanging="426"/>
        <w:rPr>
          <w:rFonts w:ascii="Arial" w:eastAsiaTheme="minorHAnsi" w:hAnsi="Arial" w:cs="Arial"/>
          <w:color w:val="000000"/>
          <w:lang w:eastAsia="en-US"/>
        </w:rPr>
      </w:pPr>
      <w:r w:rsidRPr="00631029">
        <w:rPr>
          <w:rFonts w:ascii="Arial" w:eastAsia="Calibri" w:hAnsi="Arial" w:cs="Arial"/>
          <w:color w:val="000000"/>
        </w:rPr>
        <w:t>≥</w:t>
      </w:r>
      <w:r>
        <w:rPr>
          <w:rFonts w:ascii="Arial" w:eastAsia="Calibri" w:hAnsi="Arial" w:cs="Arial"/>
          <w:color w:val="000000"/>
        </w:rPr>
        <w:t xml:space="preserve"> </w:t>
      </w:r>
      <w:r w:rsidRPr="00631029">
        <w:rPr>
          <w:rFonts w:ascii="Arial" w:eastAsia="Calibri" w:hAnsi="Arial" w:cs="Arial"/>
          <w:color w:val="000000"/>
        </w:rPr>
        <w:t>5 premalignant polyps</w:t>
      </w:r>
    </w:p>
    <w:p w14:paraId="481E15A5" w14:textId="77777777" w:rsidR="00172E55" w:rsidRPr="00517D21" w:rsidRDefault="00172E55" w:rsidP="002A5B2A">
      <w:pPr>
        <w:pStyle w:val="ListParagraph"/>
        <w:autoSpaceDE w:val="0"/>
        <w:autoSpaceDN w:val="0"/>
        <w:adjustRightInd w:val="0"/>
        <w:ind w:left="426"/>
        <w:rPr>
          <w:rFonts w:ascii="Arial" w:eastAsiaTheme="minorHAnsi" w:hAnsi="Arial" w:cs="Arial"/>
          <w:color w:val="000000"/>
          <w:lang w:eastAsia="en-US"/>
        </w:rPr>
      </w:pPr>
    </w:p>
    <w:p w14:paraId="3E9B5ADE" w14:textId="7F1E8187" w:rsidR="00BD0F2E" w:rsidRPr="0008283A" w:rsidRDefault="00A327AB" w:rsidP="005B703F">
      <w:pPr>
        <w:rPr>
          <w:rFonts w:ascii="Arial" w:eastAsiaTheme="minorHAnsi" w:hAnsi="Arial" w:cs="Arial"/>
          <w:i/>
          <w:iCs/>
          <w:lang w:eastAsia="en-US"/>
        </w:rPr>
      </w:pPr>
      <w:r w:rsidRPr="00B92B99">
        <w:rPr>
          <w:rFonts w:ascii="Arial" w:eastAsiaTheme="minorHAnsi" w:hAnsi="Arial" w:cs="Arial"/>
          <w:i/>
          <w:iCs/>
          <w:lang w:eastAsia="en-US"/>
        </w:rPr>
        <w:lastRenderedPageBreak/>
        <w:t>Figure 1: Post-Polypectomy/Cancer-Resection Surveillance Guidance (Ref: BSG)</w:t>
      </w:r>
    </w:p>
    <w:p w14:paraId="673D3D9B" w14:textId="16525EA8" w:rsidR="001B5555" w:rsidRPr="001B5555" w:rsidRDefault="00EA7A7A" w:rsidP="001B5555">
      <w:pPr>
        <w:autoSpaceDE w:val="0"/>
        <w:autoSpaceDN w:val="0"/>
        <w:adjustRightInd w:val="0"/>
        <w:rPr>
          <w:rFonts w:ascii="Arial" w:eastAsiaTheme="minorHAnsi" w:hAnsi="Arial" w:cs="Arial"/>
          <w:noProof/>
          <w:color w:val="000000"/>
          <w:lang w:eastAsia="en-US"/>
        </w:rPr>
      </w:pPr>
      <w:r w:rsidRPr="008A0892">
        <w:rPr>
          <w:rFonts w:ascii="Arial" w:eastAsiaTheme="minorHAnsi" w:hAnsi="Arial" w:cs="Arial"/>
          <w:noProof/>
          <w:color w:val="000000"/>
          <w:lang w:eastAsia="en-US"/>
        </w:rPr>
        <w:drawing>
          <wp:inline distT="0" distB="0" distL="0" distR="0" wp14:anchorId="6CAF5BD9" wp14:editId="1E0DEE7D">
            <wp:extent cx="6300470" cy="3250569"/>
            <wp:effectExtent l="0" t="0" r="5080" b="6985"/>
            <wp:docPr id="1084077033" name="Picture 1" descr="A diagram of a patient's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77033" name="Picture 1" descr="A diagram of a patient's process"/>
                    <pic:cNvPicPr/>
                  </pic:nvPicPr>
                  <pic:blipFill rotWithShape="1">
                    <a:blip r:embed="rId12"/>
                    <a:srcRect l="10568" t="14188" r="8398"/>
                    <a:stretch/>
                  </pic:blipFill>
                  <pic:spPr bwMode="auto">
                    <a:xfrm>
                      <a:off x="0" y="0"/>
                      <a:ext cx="6300470" cy="3250569"/>
                    </a:xfrm>
                    <a:prstGeom prst="rect">
                      <a:avLst/>
                    </a:prstGeom>
                    <a:ln>
                      <a:noFill/>
                    </a:ln>
                    <a:extLst>
                      <a:ext uri="{53640926-AAD7-44D8-BBD7-CCE9431645EC}">
                        <a14:shadowObscured xmlns:a14="http://schemas.microsoft.com/office/drawing/2010/main"/>
                      </a:ext>
                    </a:extLst>
                  </pic:spPr>
                </pic:pic>
              </a:graphicData>
            </a:graphic>
          </wp:inline>
        </w:drawing>
      </w:r>
    </w:p>
    <w:p w14:paraId="7E78BF09" w14:textId="77777777" w:rsidR="000E0394" w:rsidRPr="000E0394" w:rsidRDefault="000E0394" w:rsidP="000E0394">
      <w:pPr>
        <w:autoSpaceDE w:val="0"/>
        <w:autoSpaceDN w:val="0"/>
        <w:adjustRightInd w:val="0"/>
        <w:rPr>
          <w:rFonts w:ascii="Arial" w:eastAsiaTheme="minorHAnsi" w:hAnsi="Arial" w:cs="Arial"/>
          <w:color w:val="000000"/>
          <w:sz w:val="20"/>
          <w:szCs w:val="20"/>
          <w:lang w:eastAsia="en-US"/>
        </w:rPr>
      </w:pPr>
      <w:r w:rsidRPr="000E0394">
        <w:rPr>
          <w:rFonts w:ascii="Arial" w:eastAsiaTheme="minorHAnsi" w:hAnsi="Arial" w:cs="Arial"/>
          <w:color w:val="000000"/>
          <w:sz w:val="20"/>
          <w:szCs w:val="20"/>
          <w:lang w:eastAsia="en-US"/>
        </w:rPr>
        <w:t xml:space="preserve">*In general, no surveillance is recommended if life-expectancy &lt; 10 years or in individuals &gt;75 years.  </w:t>
      </w:r>
    </w:p>
    <w:p w14:paraId="7945B760" w14:textId="77777777" w:rsidR="000E0394" w:rsidRPr="000E0394" w:rsidRDefault="000E0394" w:rsidP="000E0394">
      <w:pPr>
        <w:autoSpaceDE w:val="0"/>
        <w:autoSpaceDN w:val="0"/>
        <w:adjustRightInd w:val="0"/>
        <w:rPr>
          <w:rFonts w:ascii="Arial" w:eastAsiaTheme="minorHAnsi" w:hAnsi="Arial" w:cs="Arial"/>
          <w:color w:val="000000"/>
          <w:sz w:val="20"/>
          <w:szCs w:val="20"/>
          <w:lang w:eastAsia="en-US"/>
        </w:rPr>
      </w:pPr>
    </w:p>
    <w:p w14:paraId="604ED4C4" w14:textId="0298C881" w:rsidR="000E0394" w:rsidRPr="000E0394" w:rsidRDefault="000E0394" w:rsidP="000E0394">
      <w:pPr>
        <w:autoSpaceDE w:val="0"/>
        <w:autoSpaceDN w:val="0"/>
        <w:adjustRightInd w:val="0"/>
        <w:rPr>
          <w:rFonts w:ascii="Arial" w:eastAsiaTheme="minorHAnsi" w:hAnsi="Arial" w:cs="Arial"/>
          <w:color w:val="000000"/>
          <w:sz w:val="20"/>
          <w:szCs w:val="20"/>
          <w:u w:val="single"/>
          <w:lang w:eastAsia="en-US"/>
        </w:rPr>
      </w:pPr>
      <w:r w:rsidRPr="000E0394">
        <w:rPr>
          <w:rFonts w:ascii="Arial" w:eastAsiaTheme="minorHAnsi" w:hAnsi="Arial" w:cs="Arial"/>
          <w:color w:val="000000"/>
          <w:sz w:val="20"/>
          <w:szCs w:val="20"/>
          <w:lang w:eastAsia="en-US"/>
        </w:rPr>
        <w:t>+</w:t>
      </w:r>
      <w:r w:rsidRPr="000E0394">
        <w:rPr>
          <w:rFonts w:ascii="Arial" w:eastAsiaTheme="minorHAnsi" w:hAnsi="Arial" w:cs="Arial"/>
          <w:color w:val="000000"/>
          <w:sz w:val="20"/>
          <w:szCs w:val="20"/>
          <w:vertAlign w:val="superscript"/>
          <w:lang w:eastAsia="en-US"/>
        </w:rPr>
        <w:t>+</w:t>
      </w:r>
      <w:r w:rsidRPr="000E0394">
        <w:rPr>
          <w:rFonts w:ascii="Arial" w:eastAsiaTheme="minorHAnsi" w:hAnsi="Arial" w:cs="Arial"/>
          <w:color w:val="000000"/>
          <w:sz w:val="20"/>
          <w:szCs w:val="20"/>
          <w:lang w:eastAsia="en-US"/>
        </w:rPr>
        <w:t>If patient is &gt;10 years younger than lower screening age and has polyps but no high-risk findings, colonoscopy should be considered at 5 or 10 years, individual to age and other risk factors</w:t>
      </w:r>
    </w:p>
    <w:p w14:paraId="67A9F715" w14:textId="77777777" w:rsidR="000E0394" w:rsidRDefault="000E0394" w:rsidP="00D0151D">
      <w:pPr>
        <w:autoSpaceDE w:val="0"/>
        <w:autoSpaceDN w:val="0"/>
        <w:adjustRightInd w:val="0"/>
        <w:rPr>
          <w:rFonts w:ascii="Arial" w:eastAsiaTheme="minorHAnsi" w:hAnsi="Arial" w:cs="Arial"/>
          <w:color w:val="000000"/>
          <w:u w:val="single"/>
          <w:lang w:eastAsia="en-US"/>
        </w:rPr>
      </w:pPr>
    </w:p>
    <w:p w14:paraId="2DB1B7ED" w14:textId="1BF38109" w:rsidR="00631029" w:rsidRPr="00517D21" w:rsidRDefault="00517D21" w:rsidP="00D0151D">
      <w:pPr>
        <w:autoSpaceDE w:val="0"/>
        <w:autoSpaceDN w:val="0"/>
        <w:adjustRightInd w:val="0"/>
        <w:rPr>
          <w:rFonts w:ascii="Arial" w:eastAsiaTheme="minorHAnsi" w:hAnsi="Arial" w:cs="Arial"/>
          <w:color w:val="000000"/>
          <w:u w:val="single"/>
          <w:lang w:eastAsia="en-US"/>
        </w:rPr>
      </w:pPr>
      <w:r w:rsidRPr="00517D21">
        <w:rPr>
          <w:rFonts w:ascii="Arial" w:eastAsiaTheme="minorHAnsi" w:hAnsi="Arial" w:cs="Arial"/>
          <w:color w:val="000000"/>
          <w:u w:val="single"/>
          <w:lang w:eastAsia="en-US"/>
        </w:rPr>
        <w:t>Post</w:t>
      </w:r>
      <w:r w:rsidR="006B2B4D">
        <w:rPr>
          <w:rFonts w:ascii="Arial" w:eastAsiaTheme="minorHAnsi" w:hAnsi="Arial" w:cs="Arial"/>
          <w:color w:val="000000"/>
          <w:u w:val="single"/>
          <w:lang w:eastAsia="en-US"/>
        </w:rPr>
        <w:t>-</w:t>
      </w:r>
      <w:r w:rsidRPr="00517D21">
        <w:rPr>
          <w:rFonts w:ascii="Arial" w:eastAsiaTheme="minorHAnsi" w:hAnsi="Arial" w:cs="Arial"/>
          <w:color w:val="000000"/>
          <w:u w:val="single"/>
          <w:lang w:eastAsia="en-US"/>
        </w:rPr>
        <w:t xml:space="preserve"> CRC Resection</w:t>
      </w:r>
    </w:p>
    <w:p w14:paraId="2A42C280" w14:textId="77777777" w:rsidR="00517D21" w:rsidRDefault="00517D21" w:rsidP="00B9557D">
      <w:pPr>
        <w:autoSpaceDE w:val="0"/>
        <w:autoSpaceDN w:val="0"/>
        <w:adjustRightInd w:val="0"/>
        <w:rPr>
          <w:rFonts w:ascii="Arial" w:eastAsia="Calibri" w:hAnsi="Arial" w:cs="Arial"/>
          <w:color w:val="000000"/>
        </w:rPr>
      </w:pPr>
    </w:p>
    <w:p w14:paraId="21856D60" w14:textId="3CD09DCE" w:rsidR="00B9557D" w:rsidRDefault="00B9557D" w:rsidP="00B9557D">
      <w:pPr>
        <w:autoSpaceDE w:val="0"/>
        <w:autoSpaceDN w:val="0"/>
        <w:adjustRightInd w:val="0"/>
        <w:rPr>
          <w:rFonts w:ascii="Arial" w:eastAsiaTheme="minorHAnsi" w:hAnsi="Arial" w:cs="Arial"/>
          <w:color w:val="000000"/>
          <w:lang w:eastAsia="en-US"/>
        </w:rPr>
      </w:pPr>
      <w:r w:rsidRPr="00E31438">
        <w:rPr>
          <w:rFonts w:ascii="Arial" w:eastAsia="Calibri" w:hAnsi="Arial" w:cs="Arial"/>
          <w:color w:val="000000"/>
        </w:rPr>
        <w:t>After a potentially curative CRC resection</w:t>
      </w:r>
      <w:r>
        <w:rPr>
          <w:rFonts w:ascii="Arial" w:eastAsia="Calibri" w:hAnsi="Arial" w:cs="Arial"/>
          <w:color w:val="000000"/>
        </w:rPr>
        <w:t>, patients should be o</w:t>
      </w:r>
      <w:r w:rsidRPr="001B5555">
        <w:rPr>
          <w:rFonts w:ascii="Arial" w:eastAsiaTheme="minorHAnsi" w:hAnsi="Arial" w:cs="Arial"/>
          <w:color w:val="000000"/>
          <w:lang w:eastAsia="en-US"/>
        </w:rPr>
        <w:t>ffer</w:t>
      </w:r>
      <w:r>
        <w:rPr>
          <w:rFonts w:ascii="Arial" w:eastAsiaTheme="minorHAnsi" w:hAnsi="Arial" w:cs="Arial"/>
          <w:color w:val="000000"/>
          <w:lang w:eastAsia="en-US"/>
        </w:rPr>
        <w:t>ed</w:t>
      </w:r>
      <w:r w:rsidRPr="001B5555">
        <w:rPr>
          <w:rFonts w:ascii="Arial" w:eastAsiaTheme="minorHAnsi" w:hAnsi="Arial" w:cs="Arial"/>
          <w:color w:val="000000"/>
          <w:lang w:eastAsia="en-US"/>
        </w:rPr>
        <w:t xml:space="preserve"> a clearance colonoscopy within a year after initial surgical resection</w:t>
      </w:r>
      <w:r>
        <w:rPr>
          <w:rFonts w:ascii="Arial" w:eastAsiaTheme="minorHAnsi" w:hAnsi="Arial" w:cs="Arial"/>
          <w:color w:val="000000"/>
          <w:lang w:eastAsia="en-US"/>
        </w:rPr>
        <w:t>, and another after a further 3 years.</w:t>
      </w:r>
      <w:r>
        <w:rPr>
          <w:rFonts w:ascii="Arial" w:eastAsia="Calibri" w:hAnsi="Arial" w:cs="Arial"/>
          <w:color w:val="000000"/>
        </w:rPr>
        <w:t xml:space="preserve">  </w:t>
      </w:r>
      <w:r w:rsidRPr="001B5555">
        <w:rPr>
          <w:rFonts w:ascii="Arial" w:eastAsiaTheme="minorHAnsi" w:hAnsi="Arial" w:cs="Arial"/>
          <w:color w:val="000000"/>
          <w:lang w:eastAsia="en-US"/>
        </w:rPr>
        <w:t>Further surveillance colonoscop</w:t>
      </w:r>
      <w:r>
        <w:rPr>
          <w:rFonts w:ascii="Arial" w:eastAsiaTheme="minorHAnsi" w:hAnsi="Arial" w:cs="Arial"/>
          <w:color w:val="000000"/>
          <w:lang w:eastAsia="en-US"/>
        </w:rPr>
        <w:t>ies</w:t>
      </w:r>
      <w:r w:rsidRPr="001B5555">
        <w:rPr>
          <w:rFonts w:ascii="Arial" w:eastAsiaTheme="minorHAnsi" w:hAnsi="Arial" w:cs="Arial"/>
          <w:color w:val="000000"/>
          <w:lang w:eastAsia="en-US"/>
        </w:rPr>
        <w:t xml:space="preserve"> </w:t>
      </w:r>
      <w:r>
        <w:rPr>
          <w:rFonts w:ascii="Arial" w:eastAsiaTheme="minorHAnsi" w:hAnsi="Arial" w:cs="Arial"/>
          <w:color w:val="000000"/>
          <w:lang w:eastAsia="en-US"/>
        </w:rPr>
        <w:t>should</w:t>
      </w:r>
      <w:r w:rsidRPr="001B5555">
        <w:rPr>
          <w:rFonts w:ascii="Arial" w:eastAsiaTheme="minorHAnsi" w:hAnsi="Arial" w:cs="Arial"/>
          <w:color w:val="000000"/>
          <w:lang w:eastAsia="en-US"/>
        </w:rPr>
        <w:t xml:space="preserve"> be determined in accordance with the post-polypectomy high-risk criteria</w:t>
      </w:r>
      <w:r w:rsidR="00664E1A">
        <w:rPr>
          <w:rFonts w:ascii="Arial" w:eastAsiaTheme="minorHAnsi" w:hAnsi="Arial" w:cs="Arial"/>
          <w:color w:val="000000"/>
          <w:lang w:eastAsia="en-US"/>
        </w:rPr>
        <w:t>.</w:t>
      </w:r>
    </w:p>
    <w:p w14:paraId="16C1BB44" w14:textId="77777777" w:rsidR="00B9557D" w:rsidRDefault="00B9557D" w:rsidP="00B9557D">
      <w:pPr>
        <w:autoSpaceDE w:val="0"/>
        <w:autoSpaceDN w:val="0"/>
        <w:adjustRightInd w:val="0"/>
        <w:rPr>
          <w:rFonts w:ascii="Arial" w:eastAsiaTheme="minorHAnsi" w:hAnsi="Arial" w:cs="Arial"/>
          <w:color w:val="000000"/>
          <w:lang w:eastAsia="en-US"/>
        </w:rPr>
      </w:pPr>
    </w:p>
    <w:p w14:paraId="6799CADB" w14:textId="6EA66C27" w:rsidR="008F79F8" w:rsidRDefault="008F79F8" w:rsidP="00B9557D">
      <w:pPr>
        <w:autoSpaceDE w:val="0"/>
        <w:autoSpaceDN w:val="0"/>
        <w:adjustRightInd w:val="0"/>
        <w:rPr>
          <w:rFonts w:ascii="Arial" w:eastAsia="Calibri" w:hAnsi="Arial" w:cs="Arial"/>
          <w:color w:val="000000"/>
          <w:u w:val="single"/>
        </w:rPr>
      </w:pPr>
      <w:r>
        <w:rPr>
          <w:rFonts w:ascii="Arial" w:eastAsia="Calibri" w:hAnsi="Arial" w:cs="Arial"/>
          <w:color w:val="000000"/>
          <w:u w:val="single"/>
        </w:rPr>
        <w:t>L</w:t>
      </w:r>
      <w:r w:rsidRPr="008F79F8">
        <w:rPr>
          <w:rFonts w:ascii="Arial" w:eastAsia="Calibri" w:hAnsi="Arial" w:cs="Arial"/>
          <w:color w:val="000000"/>
          <w:u w:val="single"/>
        </w:rPr>
        <w:t xml:space="preserve">arge </w:t>
      </w:r>
      <w:r w:rsidR="00F568BF">
        <w:rPr>
          <w:rFonts w:ascii="Arial" w:eastAsia="Calibri" w:hAnsi="Arial" w:cs="Arial"/>
          <w:color w:val="000000"/>
          <w:u w:val="single"/>
        </w:rPr>
        <w:t>N</w:t>
      </w:r>
      <w:r w:rsidRPr="008F79F8">
        <w:rPr>
          <w:rFonts w:ascii="Arial" w:eastAsia="Calibri" w:hAnsi="Arial" w:cs="Arial"/>
          <w:color w:val="000000"/>
          <w:u w:val="single"/>
        </w:rPr>
        <w:t>on</w:t>
      </w:r>
      <w:r w:rsidR="00F568BF">
        <w:rPr>
          <w:rFonts w:ascii="Arial" w:eastAsia="Calibri" w:hAnsi="Arial" w:cs="Arial"/>
          <w:color w:val="000000"/>
          <w:u w:val="single"/>
        </w:rPr>
        <w:t>-P</w:t>
      </w:r>
      <w:r w:rsidRPr="008F79F8">
        <w:rPr>
          <w:rFonts w:ascii="Arial" w:eastAsia="Calibri" w:hAnsi="Arial" w:cs="Arial"/>
          <w:color w:val="000000"/>
          <w:u w:val="single"/>
        </w:rPr>
        <w:t xml:space="preserve">edunculated </w:t>
      </w:r>
      <w:r w:rsidR="00C97B4D">
        <w:rPr>
          <w:rFonts w:ascii="Arial" w:eastAsia="Calibri" w:hAnsi="Arial" w:cs="Arial"/>
          <w:color w:val="000000"/>
          <w:u w:val="single"/>
        </w:rPr>
        <w:t>C</w:t>
      </w:r>
      <w:r w:rsidRPr="008F79F8">
        <w:rPr>
          <w:rFonts w:ascii="Arial" w:eastAsia="Calibri" w:hAnsi="Arial" w:cs="Arial"/>
          <w:color w:val="000000"/>
          <w:u w:val="single"/>
        </w:rPr>
        <w:t xml:space="preserve">olorectal </w:t>
      </w:r>
      <w:r w:rsidR="00C97B4D">
        <w:rPr>
          <w:rFonts w:ascii="Arial" w:eastAsia="Calibri" w:hAnsi="Arial" w:cs="Arial"/>
          <w:color w:val="000000"/>
          <w:u w:val="single"/>
        </w:rPr>
        <w:t>P</w:t>
      </w:r>
      <w:r w:rsidRPr="008F79F8">
        <w:rPr>
          <w:rFonts w:ascii="Arial" w:eastAsia="Calibri" w:hAnsi="Arial" w:cs="Arial"/>
          <w:color w:val="000000"/>
          <w:u w:val="single"/>
        </w:rPr>
        <w:t>olyps (LNPCPs)</w:t>
      </w:r>
    </w:p>
    <w:p w14:paraId="0E144194" w14:textId="77777777" w:rsidR="004413BA" w:rsidRPr="004413BA" w:rsidRDefault="004413BA" w:rsidP="00B9557D">
      <w:pPr>
        <w:autoSpaceDE w:val="0"/>
        <w:autoSpaceDN w:val="0"/>
        <w:adjustRightInd w:val="0"/>
        <w:rPr>
          <w:rFonts w:ascii="Arial" w:eastAsia="Calibri" w:hAnsi="Arial" w:cs="Arial"/>
          <w:color w:val="000000"/>
          <w:u w:val="single"/>
        </w:rPr>
      </w:pPr>
    </w:p>
    <w:p w14:paraId="0727F30F" w14:textId="0DF7693E" w:rsidR="00B9557D" w:rsidRDefault="005B4882" w:rsidP="00B9557D">
      <w:pPr>
        <w:autoSpaceDE w:val="0"/>
        <w:autoSpaceDN w:val="0"/>
        <w:adjustRightInd w:val="0"/>
        <w:rPr>
          <w:rFonts w:ascii="Arial" w:eastAsia="Calibri" w:hAnsi="Arial" w:cs="Arial"/>
          <w:color w:val="000000"/>
        </w:rPr>
      </w:pPr>
      <w:r>
        <w:rPr>
          <w:rFonts w:ascii="Arial" w:eastAsia="Calibri" w:hAnsi="Arial" w:cs="Arial"/>
          <w:color w:val="000000"/>
        </w:rPr>
        <w:t>Following</w:t>
      </w:r>
      <w:r w:rsidR="00E86DBB">
        <w:rPr>
          <w:rFonts w:ascii="Arial" w:eastAsia="Calibri" w:hAnsi="Arial" w:cs="Arial"/>
          <w:color w:val="000000"/>
        </w:rPr>
        <w:t xml:space="preserve"> pathologically</w:t>
      </w:r>
      <w:r>
        <w:rPr>
          <w:rFonts w:ascii="Arial" w:eastAsia="Calibri" w:hAnsi="Arial" w:cs="Arial"/>
          <w:color w:val="000000"/>
        </w:rPr>
        <w:t xml:space="preserve"> </w:t>
      </w:r>
      <w:proofErr w:type="spellStart"/>
      <w:r w:rsidRPr="008644B1">
        <w:rPr>
          <w:rFonts w:ascii="Arial" w:eastAsia="Calibri" w:hAnsi="Arial" w:cs="Arial"/>
          <w:i/>
          <w:iCs/>
          <w:color w:val="000000"/>
        </w:rPr>
        <w:t>e</w:t>
      </w:r>
      <w:r w:rsidRPr="00E86DBB">
        <w:rPr>
          <w:rFonts w:ascii="Arial" w:eastAsia="Calibri" w:hAnsi="Arial" w:cs="Arial"/>
          <w:color w:val="000000"/>
        </w:rPr>
        <w:t>n</w:t>
      </w:r>
      <w:proofErr w:type="spellEnd"/>
      <w:r w:rsidRPr="00E86DBB">
        <w:rPr>
          <w:rFonts w:ascii="Arial" w:eastAsia="Calibri" w:hAnsi="Arial" w:cs="Arial"/>
          <w:color w:val="000000"/>
        </w:rPr>
        <w:t xml:space="preserve"> bloc</w:t>
      </w:r>
      <w:r>
        <w:rPr>
          <w:rFonts w:ascii="Arial" w:eastAsia="Calibri" w:hAnsi="Arial" w:cs="Arial"/>
          <w:color w:val="000000"/>
        </w:rPr>
        <w:t xml:space="preserve"> </w:t>
      </w:r>
      <w:r w:rsidR="004413BA">
        <w:rPr>
          <w:rFonts w:ascii="Arial" w:eastAsia="Calibri" w:hAnsi="Arial" w:cs="Arial"/>
          <w:color w:val="000000"/>
        </w:rPr>
        <w:t>R0</w:t>
      </w:r>
      <w:r w:rsidR="004413BA">
        <w:rPr>
          <w:rStyle w:val="FootnoteReference"/>
          <w:rFonts w:ascii="Arial" w:eastAsia="Calibri" w:hAnsi="Arial" w:cs="Arial"/>
          <w:color w:val="000000"/>
        </w:rPr>
        <w:footnoteReference w:id="2"/>
      </w:r>
      <w:r w:rsidR="00E86DBB">
        <w:rPr>
          <w:rFonts w:ascii="Arial" w:eastAsia="Calibri" w:hAnsi="Arial" w:cs="Arial"/>
          <w:color w:val="000000"/>
        </w:rPr>
        <w:t xml:space="preserve"> </w:t>
      </w:r>
      <w:r w:rsidR="00201418" w:rsidRPr="00201418">
        <w:rPr>
          <w:rFonts w:ascii="Arial" w:eastAsia="Calibri" w:hAnsi="Arial" w:cs="Arial"/>
          <w:color w:val="000000"/>
        </w:rPr>
        <w:t>endoscopic mucosal resection (EMR) or endoscopic submucosal dissection (ESD)</w:t>
      </w:r>
      <w:r>
        <w:rPr>
          <w:rFonts w:ascii="Arial" w:eastAsia="Calibri" w:hAnsi="Arial" w:cs="Arial"/>
          <w:color w:val="000000"/>
        </w:rPr>
        <w:t xml:space="preserve"> of LNPCPs</w:t>
      </w:r>
      <w:r w:rsidR="00663C71">
        <w:rPr>
          <w:rFonts w:ascii="Arial" w:eastAsia="Calibri" w:hAnsi="Arial" w:cs="Arial"/>
          <w:color w:val="000000"/>
        </w:rPr>
        <w:t xml:space="preserve"> or early polyp cancers</w:t>
      </w:r>
      <w:r>
        <w:rPr>
          <w:rFonts w:ascii="Arial" w:eastAsia="Calibri" w:hAnsi="Arial" w:cs="Arial"/>
          <w:color w:val="000000"/>
        </w:rPr>
        <w:t>, patients</w:t>
      </w:r>
      <w:r w:rsidR="00B9557D">
        <w:rPr>
          <w:rFonts w:ascii="Arial" w:eastAsia="Calibri" w:hAnsi="Arial" w:cs="Arial"/>
          <w:color w:val="000000"/>
        </w:rPr>
        <w:t xml:space="preserve"> should be offered surveillance colonoscopy after 3 years</w:t>
      </w:r>
      <w:r w:rsidR="0008283A">
        <w:rPr>
          <w:rFonts w:ascii="Arial" w:eastAsia="Calibri" w:hAnsi="Arial" w:cs="Arial"/>
          <w:color w:val="000000"/>
        </w:rPr>
        <w:t>.</w:t>
      </w:r>
    </w:p>
    <w:p w14:paraId="6ED3C0D2" w14:textId="77777777" w:rsidR="0009233E" w:rsidRDefault="0009233E" w:rsidP="00B9557D">
      <w:pPr>
        <w:autoSpaceDE w:val="0"/>
        <w:autoSpaceDN w:val="0"/>
        <w:adjustRightInd w:val="0"/>
        <w:rPr>
          <w:rFonts w:ascii="Arial" w:eastAsia="Calibri" w:hAnsi="Arial" w:cs="Arial"/>
          <w:color w:val="000000"/>
        </w:rPr>
      </w:pPr>
    </w:p>
    <w:p w14:paraId="2D86469B" w14:textId="706909E8" w:rsidR="0009233E" w:rsidRDefault="00BA2201" w:rsidP="00B9557D">
      <w:pPr>
        <w:autoSpaceDE w:val="0"/>
        <w:autoSpaceDN w:val="0"/>
        <w:adjustRightInd w:val="0"/>
        <w:rPr>
          <w:rFonts w:ascii="Arial" w:eastAsia="Calibri" w:hAnsi="Arial" w:cs="Arial"/>
          <w:color w:val="000000"/>
        </w:rPr>
      </w:pPr>
      <w:r>
        <w:rPr>
          <w:rFonts w:ascii="Arial" w:eastAsia="Calibri" w:hAnsi="Arial" w:cs="Arial"/>
          <w:color w:val="000000"/>
        </w:rPr>
        <w:t xml:space="preserve">Following piecemeal </w:t>
      </w:r>
      <w:r w:rsidR="008915A9">
        <w:rPr>
          <w:rFonts w:ascii="Arial" w:eastAsia="Calibri" w:hAnsi="Arial" w:cs="Arial"/>
          <w:color w:val="000000"/>
        </w:rPr>
        <w:t>EMR or ESD</w:t>
      </w:r>
      <w:r w:rsidR="00DD3B3A">
        <w:rPr>
          <w:rFonts w:ascii="Arial" w:eastAsia="Calibri" w:hAnsi="Arial" w:cs="Arial"/>
          <w:color w:val="000000"/>
        </w:rPr>
        <w:t xml:space="preserve"> of LNPCPs</w:t>
      </w:r>
      <w:r w:rsidR="0015210D">
        <w:rPr>
          <w:rFonts w:ascii="Arial" w:eastAsia="Calibri" w:hAnsi="Arial" w:cs="Arial"/>
          <w:color w:val="000000"/>
        </w:rPr>
        <w:t xml:space="preserve"> (at least 20mm in size)</w:t>
      </w:r>
      <w:r>
        <w:rPr>
          <w:rFonts w:ascii="Arial" w:eastAsia="Calibri" w:hAnsi="Arial" w:cs="Arial"/>
          <w:color w:val="000000"/>
        </w:rPr>
        <w:t xml:space="preserve">, </w:t>
      </w:r>
      <w:r w:rsidR="007C0409">
        <w:rPr>
          <w:rFonts w:ascii="Arial" w:eastAsia="Calibri" w:hAnsi="Arial" w:cs="Arial"/>
          <w:color w:val="000000"/>
        </w:rPr>
        <w:t xml:space="preserve">site checks should be performed at 2-6 months and </w:t>
      </w:r>
      <w:r w:rsidR="008915A9">
        <w:rPr>
          <w:rFonts w:ascii="Arial" w:eastAsia="Calibri" w:hAnsi="Arial" w:cs="Arial"/>
          <w:color w:val="000000"/>
        </w:rPr>
        <w:t xml:space="preserve">again </w:t>
      </w:r>
      <w:r w:rsidR="007C0409">
        <w:rPr>
          <w:rFonts w:ascii="Arial" w:eastAsia="Calibri" w:hAnsi="Arial" w:cs="Arial"/>
          <w:color w:val="000000"/>
        </w:rPr>
        <w:t>at 18 months from the original resection.  Once no recurrence is confirmed, patients should undergo colonoscopy surveillance after 3 years.</w:t>
      </w:r>
    </w:p>
    <w:p w14:paraId="55888243" w14:textId="77777777" w:rsidR="0008283A" w:rsidRDefault="0008283A" w:rsidP="00B9557D">
      <w:pPr>
        <w:autoSpaceDE w:val="0"/>
        <w:autoSpaceDN w:val="0"/>
        <w:adjustRightInd w:val="0"/>
        <w:rPr>
          <w:rFonts w:ascii="Arial" w:eastAsia="Calibri" w:hAnsi="Arial" w:cs="Arial"/>
          <w:color w:val="000000"/>
        </w:rPr>
      </w:pPr>
    </w:p>
    <w:p w14:paraId="22C31B66" w14:textId="29AC5F0C" w:rsidR="0008283A" w:rsidRDefault="0008283A" w:rsidP="0008283A">
      <w:pPr>
        <w:autoSpaceDE w:val="0"/>
        <w:autoSpaceDN w:val="0"/>
        <w:adjustRightInd w:val="0"/>
        <w:rPr>
          <w:rFonts w:ascii="Arial" w:eastAsia="Calibri" w:hAnsi="Arial" w:cs="Arial"/>
          <w:color w:val="000000"/>
        </w:rPr>
      </w:pPr>
      <w:r>
        <w:rPr>
          <w:rFonts w:ascii="Arial" w:eastAsia="Calibri" w:hAnsi="Arial" w:cs="Arial"/>
          <w:color w:val="000000"/>
        </w:rPr>
        <w:t>Further surveillance colonoscopy should be determined in accordance with post-polypectomy high-risk criteria.</w:t>
      </w:r>
    </w:p>
    <w:p w14:paraId="446B35C6" w14:textId="77777777" w:rsidR="00B9557D" w:rsidRDefault="00B9557D" w:rsidP="00B9557D">
      <w:pPr>
        <w:autoSpaceDE w:val="0"/>
        <w:autoSpaceDN w:val="0"/>
        <w:adjustRightInd w:val="0"/>
        <w:rPr>
          <w:rFonts w:ascii="Arial" w:eastAsiaTheme="minorHAnsi" w:hAnsi="Arial" w:cs="Arial"/>
          <w:color w:val="000000"/>
          <w:lang w:eastAsia="en-US"/>
        </w:rPr>
      </w:pPr>
    </w:p>
    <w:p w14:paraId="2139ECCE" w14:textId="720F4379" w:rsidR="00B9557D" w:rsidRPr="00B9557D" w:rsidRDefault="00A5212D" w:rsidP="00B9557D">
      <w:pPr>
        <w:autoSpaceDE w:val="0"/>
        <w:autoSpaceDN w:val="0"/>
        <w:adjustRightInd w:val="0"/>
        <w:rPr>
          <w:rFonts w:ascii="Arial" w:eastAsiaTheme="minorHAnsi" w:hAnsi="Arial" w:cs="Arial"/>
          <w:color w:val="000000"/>
          <w:lang w:eastAsia="en-US"/>
        </w:rPr>
        <w:sectPr w:rsidR="00B9557D" w:rsidRPr="00B9557D" w:rsidSect="0008283A">
          <w:headerReference w:type="even" r:id="rId13"/>
          <w:headerReference w:type="default" r:id="rId14"/>
          <w:footerReference w:type="even" r:id="rId15"/>
          <w:footerReference w:type="default" r:id="rId16"/>
          <w:headerReference w:type="first" r:id="rId17"/>
          <w:footerReference w:type="first" r:id="rId18"/>
          <w:pgSz w:w="11906" w:h="16838"/>
          <w:pgMar w:top="462" w:right="992" w:bottom="709" w:left="992" w:header="709" w:footer="269" w:gutter="0"/>
          <w:cols w:space="708"/>
          <w:docGrid w:linePitch="360"/>
        </w:sectPr>
      </w:pPr>
      <w:r>
        <w:rPr>
          <w:rFonts w:ascii="Arial" w:eastAsiaTheme="minorHAnsi" w:hAnsi="Arial" w:cs="Arial"/>
          <w:color w:val="000000"/>
          <w:lang w:eastAsia="en-US"/>
        </w:rPr>
        <w:t>.</w:t>
      </w:r>
    </w:p>
    <w:p w14:paraId="170608A7" w14:textId="13270D71" w:rsidR="009D13AA" w:rsidRPr="009D13AA" w:rsidRDefault="009D13AA" w:rsidP="00B9557D">
      <w:pPr>
        <w:pStyle w:val="Heading1"/>
        <w:spacing w:before="0"/>
        <w:rPr>
          <w:rFonts w:ascii="Arial" w:eastAsiaTheme="minorHAnsi" w:hAnsi="Arial" w:cs="Arial"/>
          <w:lang w:eastAsia="en-US"/>
        </w:rPr>
      </w:pPr>
      <w:r w:rsidRPr="009D13AA">
        <w:rPr>
          <w:rFonts w:ascii="Arial" w:eastAsiaTheme="minorHAnsi" w:hAnsi="Arial" w:cs="Arial"/>
          <w:lang w:eastAsia="en-US"/>
        </w:rPr>
        <w:lastRenderedPageBreak/>
        <w:t>Surveillance Colonoscopy in the Management of Hereditary CRC</w:t>
      </w:r>
    </w:p>
    <w:p w14:paraId="37765B71" w14:textId="77777777" w:rsidR="009D13AA" w:rsidRDefault="009D13AA" w:rsidP="009D13AA">
      <w:pPr>
        <w:autoSpaceDE w:val="0"/>
        <w:autoSpaceDN w:val="0"/>
        <w:adjustRightInd w:val="0"/>
        <w:rPr>
          <w:rFonts w:ascii="Arial" w:eastAsiaTheme="minorHAnsi" w:hAnsi="Arial" w:cs="Arial"/>
          <w:color w:val="000000"/>
          <w:lang w:eastAsia="en-US"/>
        </w:rPr>
      </w:pPr>
    </w:p>
    <w:p w14:paraId="13295E8B" w14:textId="7F9BB68D" w:rsidR="009D13AA" w:rsidRDefault="009D13AA" w:rsidP="009D13AA">
      <w:pPr>
        <w:rPr>
          <w:rFonts w:eastAsiaTheme="minorHAnsi"/>
          <w:lang w:eastAsia="en-US"/>
        </w:rPr>
      </w:pPr>
      <w:r>
        <w:rPr>
          <w:rFonts w:ascii="Arial" w:eastAsiaTheme="minorHAnsi" w:hAnsi="Arial" w:cs="Arial"/>
          <w:color w:val="000000"/>
          <w:lang w:eastAsia="en-US"/>
        </w:rPr>
        <w:t xml:space="preserve">Colonoscopy surveillance </w:t>
      </w:r>
      <w:r w:rsidR="00173C29">
        <w:rPr>
          <w:rFonts w:ascii="Arial" w:eastAsiaTheme="minorHAnsi" w:hAnsi="Arial" w:cs="Arial"/>
          <w:color w:val="000000"/>
          <w:lang w:eastAsia="en-US"/>
        </w:rPr>
        <w:t>for patients with heritable risk factors</w:t>
      </w:r>
      <w:r>
        <w:rPr>
          <w:rFonts w:ascii="Arial" w:eastAsiaTheme="minorHAnsi" w:hAnsi="Arial" w:cs="Arial"/>
          <w:color w:val="000000"/>
          <w:lang w:eastAsia="en-US"/>
        </w:rPr>
        <w:t xml:space="preserve"> should be offered in line with the</w:t>
      </w:r>
      <w:hyperlink r:id="rId19" w:history="1">
        <w:r w:rsidRPr="009D13AA">
          <w:rPr>
            <w:rStyle w:val="Hyperlink"/>
            <w:rFonts w:ascii="Arial" w:eastAsiaTheme="minorHAnsi" w:hAnsi="Arial" w:cs="Arial"/>
            <w:lang w:eastAsia="en-US"/>
          </w:rPr>
          <w:t xml:space="preserve"> British Society for Gastroenterology guidelines</w:t>
        </w:r>
      </w:hyperlink>
      <w:r w:rsidR="00BD0F2E">
        <w:rPr>
          <w:rFonts w:ascii="Arial" w:eastAsiaTheme="minorHAnsi" w:hAnsi="Arial" w:cs="Arial"/>
          <w:color w:val="000000"/>
          <w:lang w:eastAsia="en-US"/>
        </w:rPr>
        <w:t xml:space="preserve"> as summarised in Figure 2 below.</w:t>
      </w:r>
    </w:p>
    <w:p w14:paraId="2B9DD4DA" w14:textId="77777777" w:rsidR="009D13AA" w:rsidRDefault="009D13AA" w:rsidP="009D13AA">
      <w:pPr>
        <w:rPr>
          <w:rFonts w:eastAsiaTheme="minorHAnsi"/>
          <w:lang w:eastAsia="en-US"/>
        </w:rPr>
      </w:pPr>
    </w:p>
    <w:p w14:paraId="281EE57C" w14:textId="0B82A383" w:rsidR="009D13AA" w:rsidRPr="00B92B99" w:rsidRDefault="00E31438" w:rsidP="009D13AA">
      <w:pPr>
        <w:rPr>
          <w:rFonts w:ascii="Arial" w:eastAsiaTheme="minorHAnsi" w:hAnsi="Arial" w:cs="Arial"/>
          <w:i/>
          <w:iCs/>
          <w:lang w:eastAsia="en-US"/>
        </w:rPr>
      </w:pPr>
      <w:r w:rsidRPr="00B92B99">
        <w:rPr>
          <w:rFonts w:ascii="Arial" w:eastAsiaTheme="minorHAnsi" w:hAnsi="Arial" w:cs="Arial"/>
          <w:i/>
          <w:iCs/>
          <w:lang w:eastAsia="en-US"/>
        </w:rPr>
        <w:t xml:space="preserve">Figure 2: </w:t>
      </w:r>
      <w:r w:rsidR="00184065" w:rsidRPr="00B92B99">
        <w:rPr>
          <w:rFonts w:ascii="Arial" w:eastAsiaTheme="minorHAnsi" w:hAnsi="Arial" w:cs="Arial"/>
          <w:i/>
          <w:iCs/>
          <w:lang w:eastAsia="en-US"/>
        </w:rPr>
        <w:t>Colonoscopy surveillance in the management of hereditary CRC (Ref BSG)</w:t>
      </w:r>
    </w:p>
    <w:p w14:paraId="2102B908" w14:textId="77777777" w:rsidR="00962250" w:rsidRPr="00E31438" w:rsidRDefault="00962250" w:rsidP="009D13AA">
      <w:pPr>
        <w:rPr>
          <w:rFonts w:ascii="Arial" w:eastAsiaTheme="minorHAnsi" w:hAnsi="Arial" w:cs="Arial"/>
          <w:lang w:eastAsia="en-US"/>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062"/>
        <w:gridCol w:w="1409"/>
        <w:gridCol w:w="4445"/>
      </w:tblGrid>
      <w:tr w:rsidR="00471338" w:rsidRPr="00BD0F2E" w14:paraId="41093B25" w14:textId="77777777" w:rsidTr="00676838">
        <w:trPr>
          <w:trHeight w:val="682"/>
          <w:tblHeader/>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D5DCE4" w:themeFill="text2" w:themeFillTint="33"/>
            <w:tcMar>
              <w:top w:w="180" w:type="dxa"/>
              <w:left w:w="45" w:type="dxa"/>
              <w:bottom w:w="180" w:type="dxa"/>
              <w:right w:w="45" w:type="dxa"/>
            </w:tcMar>
            <w:vAlign w:val="center"/>
            <w:hideMark/>
          </w:tcPr>
          <w:p w14:paraId="72633081" w14:textId="54AFE4F2" w:rsidR="00471338" w:rsidRPr="00BD0F2E" w:rsidRDefault="00471338" w:rsidP="00E31438">
            <w:pPr>
              <w:jc w:val="center"/>
              <w:rPr>
                <w:rFonts w:ascii="Arial" w:eastAsiaTheme="minorHAnsi" w:hAnsi="Arial" w:cs="Arial"/>
                <w:b/>
                <w:bCs/>
                <w:lang w:eastAsia="en-US"/>
              </w:rPr>
            </w:pPr>
            <w:r w:rsidRPr="00BD0F2E">
              <w:rPr>
                <w:rFonts w:ascii="Arial" w:eastAsiaTheme="minorHAnsi" w:hAnsi="Arial" w:cs="Arial"/>
                <w:b/>
                <w:bCs/>
                <w:lang w:eastAsia="en-US"/>
              </w:rPr>
              <w:t>Category</w:t>
            </w:r>
          </w:p>
        </w:tc>
        <w:tc>
          <w:tcPr>
            <w:tcW w:w="1409" w:type="dxa"/>
            <w:tcBorders>
              <w:top w:val="single" w:sz="2" w:space="0" w:color="E1E1E1"/>
              <w:left w:val="single" w:sz="2" w:space="0" w:color="E1E1E1"/>
              <w:bottom w:val="single" w:sz="6" w:space="0" w:color="E1E1E1"/>
              <w:right w:val="single" w:sz="2" w:space="0" w:color="E1E1E1"/>
            </w:tcBorders>
            <w:shd w:val="clear" w:color="auto" w:fill="D5DCE4" w:themeFill="text2" w:themeFillTint="33"/>
            <w:tcMar>
              <w:top w:w="180" w:type="dxa"/>
              <w:left w:w="45" w:type="dxa"/>
              <w:bottom w:w="180" w:type="dxa"/>
              <w:right w:w="45" w:type="dxa"/>
            </w:tcMar>
            <w:vAlign w:val="center"/>
            <w:hideMark/>
          </w:tcPr>
          <w:p w14:paraId="6248AFC9" w14:textId="77777777" w:rsidR="00471338" w:rsidRPr="00BD0F2E" w:rsidRDefault="00471338" w:rsidP="00E31438">
            <w:pPr>
              <w:jc w:val="center"/>
              <w:rPr>
                <w:rFonts w:ascii="Arial" w:eastAsiaTheme="minorHAnsi" w:hAnsi="Arial" w:cs="Arial"/>
                <w:b/>
                <w:bCs/>
                <w:lang w:eastAsia="en-US"/>
              </w:rPr>
            </w:pPr>
            <w:r w:rsidRPr="00BD0F2E">
              <w:rPr>
                <w:rFonts w:ascii="Arial" w:eastAsiaTheme="minorHAnsi" w:hAnsi="Arial" w:cs="Arial"/>
                <w:b/>
                <w:bCs/>
                <w:lang w:eastAsia="en-US"/>
              </w:rPr>
              <w:t>Age to commence (years)</w:t>
            </w:r>
          </w:p>
        </w:tc>
        <w:tc>
          <w:tcPr>
            <w:tcW w:w="4445" w:type="dxa"/>
            <w:tcBorders>
              <w:top w:val="single" w:sz="2" w:space="0" w:color="E1E1E1"/>
              <w:left w:val="single" w:sz="2" w:space="0" w:color="E1E1E1"/>
              <w:bottom w:val="single" w:sz="6" w:space="0" w:color="E1E1E1"/>
              <w:right w:val="single" w:sz="2" w:space="0" w:color="E1E1E1"/>
            </w:tcBorders>
            <w:shd w:val="clear" w:color="auto" w:fill="D5DCE4" w:themeFill="text2" w:themeFillTint="33"/>
            <w:tcMar>
              <w:top w:w="180" w:type="dxa"/>
              <w:left w:w="45" w:type="dxa"/>
              <w:bottom w:w="180" w:type="dxa"/>
              <w:right w:w="45" w:type="dxa"/>
            </w:tcMar>
            <w:vAlign w:val="center"/>
            <w:hideMark/>
          </w:tcPr>
          <w:p w14:paraId="23D593C2" w14:textId="77777777" w:rsidR="00D437A8" w:rsidRDefault="00575240" w:rsidP="00E31438">
            <w:pPr>
              <w:jc w:val="center"/>
              <w:rPr>
                <w:rFonts w:ascii="Arial" w:eastAsiaTheme="minorHAnsi" w:hAnsi="Arial" w:cs="Arial"/>
                <w:b/>
                <w:bCs/>
                <w:lang w:eastAsia="en-US"/>
              </w:rPr>
            </w:pPr>
            <w:r>
              <w:rPr>
                <w:rFonts w:ascii="Arial" w:eastAsiaTheme="minorHAnsi" w:hAnsi="Arial" w:cs="Arial"/>
                <w:b/>
                <w:bCs/>
                <w:lang w:eastAsia="en-US"/>
              </w:rPr>
              <w:t xml:space="preserve">Colonoscopy </w:t>
            </w:r>
            <w:r w:rsidR="00D03A37">
              <w:rPr>
                <w:rFonts w:ascii="Arial" w:eastAsiaTheme="minorHAnsi" w:hAnsi="Arial" w:cs="Arial"/>
                <w:b/>
                <w:bCs/>
                <w:lang w:eastAsia="en-US"/>
              </w:rPr>
              <w:t>Surveillance</w:t>
            </w:r>
          </w:p>
          <w:p w14:paraId="198C93A7" w14:textId="0E4C6544" w:rsidR="00471338" w:rsidRPr="00BD0F2E" w:rsidRDefault="00471338" w:rsidP="00E31438">
            <w:pPr>
              <w:jc w:val="center"/>
              <w:rPr>
                <w:rFonts w:ascii="Arial" w:eastAsiaTheme="minorHAnsi" w:hAnsi="Arial" w:cs="Arial"/>
                <w:b/>
                <w:bCs/>
                <w:lang w:eastAsia="en-US"/>
              </w:rPr>
            </w:pPr>
            <w:r w:rsidRPr="00BD0F2E">
              <w:rPr>
                <w:rFonts w:ascii="Arial" w:eastAsiaTheme="minorHAnsi" w:hAnsi="Arial" w:cs="Arial"/>
                <w:b/>
                <w:bCs/>
                <w:lang w:eastAsia="en-US"/>
              </w:rPr>
              <w:t>Interval</w:t>
            </w:r>
          </w:p>
        </w:tc>
      </w:tr>
      <w:tr w:rsidR="00116A18" w:rsidRPr="00BD0F2E" w14:paraId="795AD8DE"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0C28192F" w14:textId="7E53A3B0"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Family History of CRC</w:t>
            </w:r>
          </w:p>
        </w:tc>
      </w:tr>
      <w:tr w:rsidR="00711A50" w:rsidRPr="00BD0F2E" w14:paraId="66451699" w14:textId="77777777" w:rsidTr="00676838">
        <w:trPr>
          <w:trHeight w:val="591"/>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tcPr>
          <w:p w14:paraId="0CF1D181" w14:textId="08EC3649" w:rsidR="00711A50" w:rsidRPr="00BD0F2E" w:rsidRDefault="00711A50" w:rsidP="00E31438">
            <w:pPr>
              <w:rPr>
                <w:rFonts w:ascii="Arial" w:eastAsiaTheme="minorHAnsi" w:hAnsi="Arial" w:cs="Arial"/>
                <w:lang w:eastAsia="en-US"/>
              </w:rPr>
            </w:pPr>
            <w:r>
              <w:rPr>
                <w:rFonts w:ascii="Arial" w:eastAsiaTheme="minorHAnsi" w:hAnsi="Arial" w:cs="Arial"/>
                <w:lang w:eastAsia="en-US"/>
              </w:rPr>
              <w:t>Average Risk</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tcPr>
          <w:p w14:paraId="57368D85" w14:textId="55B6B5AD" w:rsidR="00711A50" w:rsidRDefault="00D23A09" w:rsidP="00E31438">
            <w:pPr>
              <w:jc w:val="center"/>
              <w:rPr>
                <w:rFonts w:ascii="Arial" w:eastAsiaTheme="minorHAnsi" w:hAnsi="Arial" w:cs="Arial"/>
                <w:lang w:eastAsia="en-US"/>
              </w:rPr>
            </w:pPr>
            <w:r>
              <w:rPr>
                <w:rFonts w:ascii="Arial" w:eastAsiaTheme="minorHAnsi" w:hAnsi="Arial" w:cs="Arial"/>
                <w:lang w:eastAsia="en-US"/>
              </w:rPr>
              <w:t>n/a</w:t>
            </w:r>
          </w:p>
        </w:tc>
        <w:tc>
          <w:tcPr>
            <w:tcW w:w="4445" w:type="dxa"/>
            <w:tcBorders>
              <w:top w:val="single" w:sz="2" w:space="0" w:color="E1E1E1"/>
              <w:left w:val="single" w:sz="2" w:space="0" w:color="E1E1E1"/>
              <w:bottom w:val="single" w:sz="6" w:space="0" w:color="E1E1E1"/>
              <w:right w:val="single" w:sz="2" w:space="0" w:color="E1E1E1"/>
            </w:tcBorders>
            <w:shd w:val="clear" w:color="auto" w:fill="FFFFFF"/>
            <w:vAlign w:val="center"/>
          </w:tcPr>
          <w:p w14:paraId="55818E83" w14:textId="59C7EC88" w:rsidR="00711A50" w:rsidRDefault="000748A9" w:rsidP="00E31438">
            <w:pPr>
              <w:jc w:val="center"/>
              <w:rPr>
                <w:rFonts w:ascii="Arial" w:eastAsiaTheme="minorHAnsi" w:hAnsi="Arial" w:cs="Arial"/>
                <w:lang w:eastAsia="en-US"/>
              </w:rPr>
            </w:pPr>
            <w:r>
              <w:rPr>
                <w:rFonts w:ascii="Arial" w:eastAsiaTheme="minorHAnsi" w:hAnsi="Arial" w:cs="Arial"/>
                <w:lang w:eastAsia="en-US"/>
              </w:rPr>
              <w:t xml:space="preserve">Routine surveillance not recommended </w:t>
            </w:r>
            <w:r w:rsidR="00711A50">
              <w:rPr>
                <w:rFonts w:ascii="Arial" w:eastAsiaTheme="minorHAnsi" w:hAnsi="Arial" w:cs="Arial"/>
                <w:lang w:eastAsia="en-US"/>
              </w:rPr>
              <w:t>National bowel screening when invited.</w:t>
            </w:r>
          </w:p>
        </w:tc>
      </w:tr>
      <w:tr w:rsidR="00471338" w:rsidRPr="00BD0F2E" w14:paraId="0C14B52D" w14:textId="77777777" w:rsidTr="00676838">
        <w:trPr>
          <w:trHeight w:val="510"/>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51E4BA38" w14:textId="77777777" w:rsidR="00E31438" w:rsidRDefault="00471338" w:rsidP="00E31438">
            <w:pPr>
              <w:rPr>
                <w:rFonts w:ascii="Arial" w:eastAsiaTheme="minorHAnsi" w:hAnsi="Arial" w:cs="Arial"/>
                <w:lang w:eastAsia="en-US"/>
              </w:rPr>
            </w:pPr>
            <w:r w:rsidRPr="00BD0F2E">
              <w:rPr>
                <w:rFonts w:ascii="Arial" w:eastAsiaTheme="minorHAnsi" w:hAnsi="Arial" w:cs="Arial"/>
                <w:lang w:eastAsia="en-US"/>
              </w:rPr>
              <w:t>Moderate risk</w:t>
            </w:r>
            <w:r w:rsidR="00E31438">
              <w:rPr>
                <w:rFonts w:ascii="Arial" w:eastAsiaTheme="minorHAnsi" w:hAnsi="Arial" w:cs="Arial"/>
                <w:lang w:eastAsia="en-US"/>
              </w:rPr>
              <w:t xml:space="preserve"> </w:t>
            </w:r>
          </w:p>
          <w:p w14:paraId="7B898494" w14:textId="6FB2288C" w:rsidR="00471338" w:rsidRPr="00BD0F2E" w:rsidRDefault="00E31438" w:rsidP="00E31438">
            <w:pPr>
              <w:rPr>
                <w:rFonts w:ascii="Arial" w:eastAsiaTheme="minorHAnsi" w:hAnsi="Arial" w:cs="Arial"/>
                <w:lang w:eastAsia="en-US"/>
              </w:rPr>
            </w:pPr>
            <w:r>
              <w:rPr>
                <w:rFonts w:ascii="Arial" w:eastAsiaTheme="minorHAnsi" w:hAnsi="Arial" w:cs="Arial"/>
                <w:lang w:eastAsia="en-US"/>
              </w:rPr>
              <w:t>(1x FDR</w:t>
            </w:r>
            <w:r w:rsidR="001A3BA2">
              <w:rPr>
                <w:rStyle w:val="FootnoteReference"/>
                <w:rFonts w:ascii="Arial" w:eastAsiaTheme="minorHAnsi" w:hAnsi="Arial" w:cs="Arial"/>
                <w:lang w:eastAsia="en-US"/>
              </w:rPr>
              <w:footnoteReference w:id="3"/>
            </w:r>
            <w:r>
              <w:rPr>
                <w:rFonts w:ascii="Arial" w:eastAsiaTheme="minorHAnsi" w:hAnsi="Arial" w:cs="Arial"/>
                <w:lang w:eastAsia="en-US"/>
              </w:rPr>
              <w:t>&lt;50 or 2 x FDRs any age)</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65B01108"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55</w:t>
            </w:r>
          </w:p>
        </w:tc>
        <w:tc>
          <w:tcPr>
            <w:tcW w:w="4445"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2E8A5612" w14:textId="351EF98F" w:rsidR="00471338" w:rsidRPr="00BD0F2E" w:rsidRDefault="00471338" w:rsidP="00E31438">
            <w:pPr>
              <w:jc w:val="center"/>
              <w:rPr>
                <w:rFonts w:ascii="Arial" w:eastAsiaTheme="minorHAnsi" w:hAnsi="Arial" w:cs="Arial"/>
                <w:lang w:eastAsia="en-US"/>
              </w:rPr>
            </w:pPr>
            <w:r>
              <w:rPr>
                <w:rFonts w:ascii="Arial" w:eastAsiaTheme="minorHAnsi" w:hAnsi="Arial" w:cs="Arial"/>
                <w:lang w:eastAsia="en-US"/>
              </w:rPr>
              <w:t>One-off and then as per p</w:t>
            </w:r>
            <w:r w:rsidRPr="00BD0F2E">
              <w:rPr>
                <w:rFonts w:ascii="Arial" w:eastAsiaTheme="minorHAnsi" w:hAnsi="Arial" w:cs="Arial"/>
                <w:lang w:eastAsia="en-US"/>
              </w:rPr>
              <w:t>ost-polypectomy guidelines</w:t>
            </w:r>
          </w:p>
        </w:tc>
      </w:tr>
      <w:tr w:rsidR="00471338" w:rsidRPr="00BD0F2E" w14:paraId="1EBE3002" w14:textId="77777777" w:rsidTr="00676838">
        <w:trPr>
          <w:trHeight w:val="510"/>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500ED42" w14:textId="77777777" w:rsidR="00173C29" w:rsidRDefault="00471338" w:rsidP="00E31438">
            <w:pPr>
              <w:rPr>
                <w:rFonts w:ascii="Arial" w:eastAsiaTheme="minorHAnsi" w:hAnsi="Arial" w:cs="Arial"/>
                <w:lang w:eastAsia="en-US"/>
              </w:rPr>
            </w:pPr>
            <w:r w:rsidRPr="00BD0F2E">
              <w:rPr>
                <w:rFonts w:ascii="Arial" w:eastAsiaTheme="minorHAnsi" w:hAnsi="Arial" w:cs="Arial"/>
                <w:lang w:eastAsia="en-US"/>
              </w:rPr>
              <w:t>High risk</w:t>
            </w:r>
            <w:r w:rsidR="00E31438">
              <w:rPr>
                <w:rFonts w:ascii="Arial" w:eastAsiaTheme="minorHAnsi" w:hAnsi="Arial" w:cs="Arial"/>
                <w:lang w:eastAsia="en-US"/>
              </w:rPr>
              <w:t xml:space="preserve"> </w:t>
            </w:r>
          </w:p>
          <w:p w14:paraId="05474E1E" w14:textId="13B72B33" w:rsidR="00471338" w:rsidRPr="00BD0F2E" w:rsidRDefault="00E31438" w:rsidP="00E31438">
            <w:pPr>
              <w:rPr>
                <w:rFonts w:ascii="Arial" w:eastAsiaTheme="minorHAnsi" w:hAnsi="Arial" w:cs="Arial"/>
                <w:lang w:eastAsia="en-US"/>
              </w:rPr>
            </w:pPr>
            <w:r>
              <w:rPr>
                <w:rFonts w:ascii="Arial" w:eastAsiaTheme="minorHAnsi" w:hAnsi="Arial" w:cs="Arial"/>
                <w:lang w:eastAsia="en-US"/>
              </w:rPr>
              <w:t>(3 x FDRs across &gt;1 generation)</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1B8C7977"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40</w:t>
            </w:r>
          </w:p>
        </w:tc>
        <w:tc>
          <w:tcPr>
            <w:tcW w:w="4445"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71C9648" w14:textId="2949C053"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5 yearly until age 75 years</w:t>
            </w:r>
            <w:r w:rsidR="00E31438">
              <w:rPr>
                <w:rFonts w:ascii="Arial" w:eastAsiaTheme="minorHAnsi" w:hAnsi="Arial" w:cs="Arial"/>
                <w:lang w:eastAsia="en-US"/>
              </w:rPr>
              <w:t>*</w:t>
            </w:r>
          </w:p>
        </w:tc>
      </w:tr>
      <w:tr w:rsidR="00116A18" w:rsidRPr="00BD0F2E" w14:paraId="50E8C5F7"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02249806" w14:textId="3772507F"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Lynch Syndrome</w:t>
            </w:r>
            <w:r w:rsidR="00941995" w:rsidRPr="004E6C41">
              <w:rPr>
                <w:rFonts w:ascii="Arial" w:eastAsiaTheme="minorHAnsi" w:hAnsi="Arial" w:cs="Arial"/>
                <w:b/>
                <w:bCs/>
                <w:lang w:eastAsia="en-US"/>
              </w:rPr>
              <w:t xml:space="preserve"> MMR</w:t>
            </w:r>
            <w:r w:rsidR="00471338" w:rsidRPr="004E6C41">
              <w:rPr>
                <w:rStyle w:val="FootnoteReference"/>
                <w:rFonts w:ascii="Arial" w:eastAsiaTheme="minorHAnsi" w:hAnsi="Arial" w:cs="Arial"/>
                <w:b/>
                <w:bCs/>
                <w:lang w:eastAsia="en-US"/>
              </w:rPr>
              <w:footnoteReference w:id="4"/>
            </w:r>
            <w:r w:rsidR="00941995" w:rsidRPr="004E6C41">
              <w:rPr>
                <w:rFonts w:ascii="Arial" w:eastAsiaTheme="minorHAnsi" w:hAnsi="Arial" w:cs="Arial"/>
                <w:b/>
                <w:bCs/>
                <w:lang w:eastAsia="en-US"/>
              </w:rPr>
              <w:t xml:space="preserve"> </w:t>
            </w:r>
            <w:r w:rsidR="004D14BA" w:rsidRPr="004E6C41">
              <w:rPr>
                <w:rFonts w:ascii="Arial" w:eastAsiaTheme="minorHAnsi" w:hAnsi="Arial" w:cs="Arial"/>
                <w:b/>
                <w:bCs/>
                <w:lang w:eastAsia="en-US"/>
              </w:rPr>
              <w:t>G</w:t>
            </w:r>
            <w:r w:rsidR="00941995" w:rsidRPr="004E6C41">
              <w:rPr>
                <w:rFonts w:ascii="Arial" w:eastAsiaTheme="minorHAnsi" w:hAnsi="Arial" w:cs="Arial"/>
                <w:b/>
                <w:bCs/>
                <w:lang w:eastAsia="en-US"/>
              </w:rPr>
              <w:t xml:space="preserve">ene </w:t>
            </w:r>
            <w:r w:rsidR="004D14BA" w:rsidRPr="004E6C41">
              <w:rPr>
                <w:rFonts w:ascii="Arial" w:eastAsiaTheme="minorHAnsi" w:hAnsi="Arial" w:cs="Arial"/>
                <w:b/>
                <w:bCs/>
                <w:lang w:eastAsia="en-US"/>
              </w:rPr>
              <w:t>P</w:t>
            </w:r>
            <w:r w:rsidR="00941995" w:rsidRPr="004E6C41">
              <w:rPr>
                <w:rFonts w:ascii="Arial" w:eastAsiaTheme="minorHAnsi" w:hAnsi="Arial" w:cs="Arial"/>
                <w:b/>
                <w:bCs/>
                <w:lang w:eastAsia="en-US"/>
              </w:rPr>
              <w:t xml:space="preserve">athogenic </w:t>
            </w:r>
            <w:r w:rsidR="004D14BA" w:rsidRPr="004E6C41">
              <w:rPr>
                <w:rFonts w:ascii="Arial" w:eastAsiaTheme="minorHAnsi" w:hAnsi="Arial" w:cs="Arial"/>
                <w:b/>
                <w:bCs/>
                <w:lang w:eastAsia="en-US"/>
              </w:rPr>
              <w:t>V</w:t>
            </w:r>
            <w:r w:rsidR="00941995" w:rsidRPr="004E6C41">
              <w:rPr>
                <w:rFonts w:ascii="Arial" w:eastAsiaTheme="minorHAnsi" w:hAnsi="Arial" w:cs="Arial"/>
                <w:b/>
                <w:bCs/>
                <w:lang w:eastAsia="en-US"/>
              </w:rPr>
              <w:t xml:space="preserve">ariant </w:t>
            </w:r>
            <w:r w:rsidR="004D14BA" w:rsidRPr="004E6C41">
              <w:rPr>
                <w:rFonts w:ascii="Arial" w:eastAsiaTheme="minorHAnsi" w:hAnsi="Arial" w:cs="Arial"/>
                <w:b/>
                <w:bCs/>
                <w:lang w:eastAsia="en-US"/>
              </w:rPr>
              <w:t>C</w:t>
            </w:r>
            <w:r w:rsidR="00941995" w:rsidRPr="004E6C41">
              <w:rPr>
                <w:rFonts w:ascii="Arial" w:eastAsiaTheme="minorHAnsi" w:hAnsi="Arial" w:cs="Arial"/>
                <w:b/>
                <w:bCs/>
                <w:lang w:eastAsia="en-US"/>
              </w:rPr>
              <w:t>arriers</w:t>
            </w:r>
          </w:p>
        </w:tc>
      </w:tr>
      <w:tr w:rsidR="00471338" w:rsidRPr="00BD0F2E" w14:paraId="6947EBDB" w14:textId="77777777" w:rsidTr="00676838">
        <w:trPr>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3B103B4B" w14:textId="7883BA99" w:rsidR="00471338" w:rsidRPr="00BD0F2E" w:rsidRDefault="00471338" w:rsidP="00E31438">
            <w:pPr>
              <w:rPr>
                <w:rFonts w:ascii="Arial" w:eastAsiaTheme="minorHAnsi" w:hAnsi="Arial" w:cs="Arial"/>
                <w:lang w:eastAsia="en-US"/>
              </w:rPr>
            </w:pPr>
            <w:r w:rsidRPr="00BD0F2E">
              <w:rPr>
                <w:rFonts w:ascii="Arial" w:eastAsiaTheme="minorHAnsi" w:hAnsi="Arial" w:cs="Arial"/>
                <w:i/>
                <w:iCs/>
                <w:lang w:eastAsia="en-US"/>
              </w:rPr>
              <w:t>MLH1</w:t>
            </w:r>
            <w:r w:rsidRPr="00BD0F2E">
              <w:rPr>
                <w:rFonts w:ascii="Arial" w:eastAsiaTheme="minorHAnsi" w:hAnsi="Arial" w:cs="Arial"/>
                <w:lang w:eastAsia="en-US"/>
              </w:rPr>
              <w:t> and </w:t>
            </w:r>
            <w:r w:rsidRPr="00BD0F2E">
              <w:rPr>
                <w:rFonts w:ascii="Arial" w:eastAsiaTheme="minorHAnsi" w:hAnsi="Arial" w:cs="Arial"/>
                <w:i/>
                <w:iCs/>
                <w:lang w:eastAsia="en-US"/>
              </w:rPr>
              <w:t>MSH2</w:t>
            </w:r>
            <w:r w:rsidRPr="00BD0F2E">
              <w:rPr>
                <w:rFonts w:ascii="Arial" w:eastAsiaTheme="minorHAnsi" w:hAnsi="Arial" w:cs="Arial"/>
                <w:lang w:eastAsia="en-US"/>
              </w:rPr>
              <w:t> gene carriers</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78BF7B5E"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25</w:t>
            </w:r>
          </w:p>
        </w:tc>
        <w:tc>
          <w:tcPr>
            <w:tcW w:w="4445"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64ECBE28"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2 yearly until age 75 years</w:t>
            </w:r>
          </w:p>
        </w:tc>
      </w:tr>
      <w:tr w:rsidR="00471338" w:rsidRPr="00BD0F2E" w14:paraId="1E770B54" w14:textId="77777777" w:rsidTr="00676838">
        <w:trPr>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18442FF5" w14:textId="610D9B25" w:rsidR="00471338" w:rsidRPr="00BD0F2E" w:rsidRDefault="00471338" w:rsidP="00E31438">
            <w:pPr>
              <w:rPr>
                <w:rFonts w:ascii="Arial" w:eastAsiaTheme="minorHAnsi" w:hAnsi="Arial" w:cs="Arial"/>
                <w:lang w:eastAsia="en-US"/>
              </w:rPr>
            </w:pPr>
            <w:r w:rsidRPr="00BD0F2E">
              <w:rPr>
                <w:rFonts w:ascii="Arial" w:eastAsiaTheme="minorHAnsi" w:hAnsi="Arial" w:cs="Arial"/>
                <w:i/>
                <w:iCs/>
                <w:lang w:eastAsia="en-US"/>
              </w:rPr>
              <w:t>MSH6</w:t>
            </w:r>
            <w:r w:rsidRPr="00BD0F2E">
              <w:rPr>
                <w:rFonts w:ascii="Arial" w:eastAsiaTheme="minorHAnsi" w:hAnsi="Arial" w:cs="Arial"/>
                <w:lang w:eastAsia="en-US"/>
              </w:rPr>
              <w:t> and </w:t>
            </w:r>
            <w:r w:rsidRPr="00BD0F2E">
              <w:rPr>
                <w:rFonts w:ascii="Arial" w:eastAsiaTheme="minorHAnsi" w:hAnsi="Arial" w:cs="Arial"/>
                <w:i/>
                <w:iCs/>
                <w:lang w:eastAsia="en-US"/>
              </w:rPr>
              <w:t>PMS2</w:t>
            </w:r>
            <w:r w:rsidRPr="00BD0F2E">
              <w:rPr>
                <w:rFonts w:ascii="Arial" w:eastAsiaTheme="minorHAnsi" w:hAnsi="Arial" w:cs="Arial"/>
                <w:lang w:eastAsia="en-US"/>
              </w:rPr>
              <w:t> gene carriers</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0AF081AE"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35</w:t>
            </w:r>
          </w:p>
        </w:tc>
        <w:tc>
          <w:tcPr>
            <w:tcW w:w="4445"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47ABA21D"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2 yearly until age 75 years</w:t>
            </w:r>
          </w:p>
        </w:tc>
      </w:tr>
      <w:tr w:rsidR="00116A18" w:rsidRPr="00BD0F2E" w14:paraId="74482141"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05CF143D" w14:textId="07F81C68"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 xml:space="preserve">Lynch-like </w:t>
            </w:r>
            <w:r w:rsidR="00471338" w:rsidRPr="004E6C41">
              <w:rPr>
                <w:rFonts w:ascii="Arial" w:eastAsiaTheme="minorHAnsi" w:hAnsi="Arial" w:cs="Arial"/>
                <w:b/>
                <w:bCs/>
                <w:lang w:eastAsia="en-US"/>
              </w:rPr>
              <w:t>S</w:t>
            </w:r>
            <w:r w:rsidRPr="004E6C41">
              <w:rPr>
                <w:rFonts w:ascii="Arial" w:eastAsiaTheme="minorHAnsi" w:hAnsi="Arial" w:cs="Arial"/>
                <w:b/>
                <w:bCs/>
                <w:lang w:eastAsia="en-US"/>
              </w:rPr>
              <w:t>yndrome</w:t>
            </w:r>
          </w:p>
        </w:tc>
      </w:tr>
      <w:tr w:rsidR="00471338" w:rsidRPr="00BD0F2E" w14:paraId="6A185EDE" w14:textId="77777777" w:rsidTr="00676838">
        <w:trPr>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24F24BD6" w14:textId="75D4B052" w:rsidR="00471338" w:rsidRPr="00BD0F2E" w:rsidRDefault="00471338" w:rsidP="00E31438">
            <w:pPr>
              <w:rPr>
                <w:rFonts w:ascii="Arial" w:eastAsiaTheme="minorHAnsi" w:hAnsi="Arial" w:cs="Arial"/>
                <w:lang w:eastAsia="en-US"/>
              </w:rPr>
            </w:pPr>
            <w:r w:rsidRPr="00BD0F2E">
              <w:rPr>
                <w:rFonts w:ascii="Arial" w:eastAsiaTheme="minorHAnsi" w:hAnsi="Arial" w:cs="Arial"/>
                <w:lang w:eastAsia="en-US"/>
              </w:rPr>
              <w:t>Individuals with deficient MMR tumours without hypermethylation/BRAF pathogenic variant and no pathogenic constitutional pathogenic variant in MMR genes, and no evidence of biallelic somatic MMR gene inactivation</w:t>
            </w:r>
            <w:r>
              <w:rPr>
                <w:rFonts w:ascii="Arial" w:eastAsiaTheme="minorHAnsi" w:hAnsi="Arial" w:cs="Arial"/>
                <w:lang w:eastAsia="en-US"/>
              </w:rPr>
              <w:t>.</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E540869"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25</w:t>
            </w:r>
          </w:p>
        </w:tc>
        <w:tc>
          <w:tcPr>
            <w:tcW w:w="4445"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8D3A2C5"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2 yearly until age 75 years</w:t>
            </w:r>
          </w:p>
        </w:tc>
      </w:tr>
      <w:tr w:rsidR="00116A18" w:rsidRPr="00BD0F2E" w14:paraId="585BBE98"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00625B78" w14:textId="45B5CCF6"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 xml:space="preserve">Serrated </w:t>
            </w:r>
            <w:r w:rsidR="00AE2D05">
              <w:rPr>
                <w:rFonts w:ascii="Arial" w:eastAsiaTheme="minorHAnsi" w:hAnsi="Arial" w:cs="Arial"/>
                <w:b/>
                <w:bCs/>
                <w:lang w:eastAsia="en-US"/>
              </w:rPr>
              <w:t>P</w:t>
            </w:r>
            <w:r w:rsidRPr="004E6C41">
              <w:rPr>
                <w:rFonts w:ascii="Arial" w:eastAsiaTheme="minorHAnsi" w:hAnsi="Arial" w:cs="Arial"/>
                <w:b/>
                <w:bCs/>
                <w:lang w:eastAsia="en-US"/>
              </w:rPr>
              <w:t xml:space="preserve">olyposis </w:t>
            </w:r>
            <w:r w:rsidR="00AE2D05">
              <w:rPr>
                <w:rFonts w:ascii="Arial" w:eastAsiaTheme="minorHAnsi" w:hAnsi="Arial" w:cs="Arial"/>
                <w:b/>
                <w:bCs/>
                <w:lang w:eastAsia="en-US"/>
              </w:rPr>
              <w:t>S</w:t>
            </w:r>
            <w:r w:rsidRPr="004E6C41">
              <w:rPr>
                <w:rFonts w:ascii="Arial" w:eastAsiaTheme="minorHAnsi" w:hAnsi="Arial" w:cs="Arial"/>
                <w:b/>
                <w:bCs/>
                <w:lang w:eastAsia="en-US"/>
              </w:rPr>
              <w:t>yndrome</w:t>
            </w:r>
            <w:r w:rsidR="00941995" w:rsidRPr="004E6C41">
              <w:rPr>
                <w:rFonts w:ascii="Arial" w:eastAsiaTheme="minorHAnsi" w:hAnsi="Arial" w:cs="Arial"/>
                <w:b/>
                <w:bCs/>
                <w:lang w:eastAsia="en-US"/>
              </w:rPr>
              <w:t xml:space="preserve"> (SPS)</w:t>
            </w:r>
          </w:p>
        </w:tc>
      </w:tr>
      <w:tr w:rsidR="00471338" w:rsidRPr="00BD0F2E" w14:paraId="16CAB38A" w14:textId="77777777" w:rsidTr="00676838">
        <w:trPr>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658AA9E7" w14:textId="3EE8CAB7" w:rsidR="00471338" w:rsidRPr="00BD0F2E" w:rsidRDefault="00471338" w:rsidP="00E31438">
            <w:pPr>
              <w:rPr>
                <w:rFonts w:ascii="Arial" w:eastAsiaTheme="minorHAnsi" w:hAnsi="Arial" w:cs="Arial"/>
                <w:lang w:eastAsia="en-US"/>
              </w:rPr>
            </w:pPr>
            <w:r w:rsidRPr="00BD0F2E">
              <w:rPr>
                <w:rFonts w:ascii="Arial" w:eastAsiaTheme="minorHAnsi" w:hAnsi="Arial" w:cs="Arial"/>
                <w:lang w:eastAsia="en-US"/>
              </w:rPr>
              <w:t>Affected individuals</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13A4F94F"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From age of diagnosis</w:t>
            </w:r>
          </w:p>
        </w:tc>
        <w:tc>
          <w:tcPr>
            <w:tcW w:w="4445"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3AFCFEE0"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1–2 yearly until age 75 years</w:t>
            </w:r>
          </w:p>
        </w:tc>
      </w:tr>
      <w:tr w:rsidR="00471338" w:rsidRPr="00BD0F2E" w14:paraId="62B14B67" w14:textId="77777777" w:rsidTr="00676838">
        <w:trPr>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2D285FF6" w14:textId="6690E6D5" w:rsidR="00471338" w:rsidRPr="00BD0F2E" w:rsidRDefault="00471338" w:rsidP="00E31438">
            <w:pPr>
              <w:rPr>
                <w:rFonts w:ascii="Arial" w:eastAsiaTheme="minorHAnsi" w:hAnsi="Arial" w:cs="Arial"/>
                <w:lang w:eastAsia="en-US"/>
              </w:rPr>
            </w:pPr>
            <w:r w:rsidRPr="00BD0F2E">
              <w:rPr>
                <w:rFonts w:ascii="Arial" w:eastAsiaTheme="minorHAnsi" w:hAnsi="Arial" w:cs="Arial"/>
                <w:lang w:eastAsia="en-US"/>
              </w:rPr>
              <w:lastRenderedPageBreak/>
              <w:t>FDRs of affected individuals</w:t>
            </w:r>
            <w:r>
              <w:rPr>
                <w:rFonts w:ascii="Arial" w:eastAsiaTheme="minorHAnsi" w:hAnsi="Arial" w:cs="Arial"/>
                <w:lang w:eastAsia="en-US"/>
              </w:rPr>
              <w:t xml:space="preserve"> with SPS</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00F6320B"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40 (or 10 years earlier than the index case)</w:t>
            </w:r>
          </w:p>
        </w:tc>
        <w:tc>
          <w:tcPr>
            <w:tcW w:w="4445"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FEA8305" w14:textId="4FFFD06F"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5 yearly until age 75 years</w:t>
            </w:r>
            <w:r>
              <w:rPr>
                <w:rFonts w:ascii="Arial" w:eastAsiaTheme="minorHAnsi" w:hAnsi="Arial" w:cs="Arial"/>
                <w:lang w:eastAsia="en-US"/>
              </w:rPr>
              <w:t xml:space="preserve"> (</w:t>
            </w:r>
            <w:r w:rsidRPr="005E4C4B">
              <w:rPr>
                <w:rFonts w:ascii="Arial" w:eastAsia="Calibri" w:hAnsi="Arial" w:cs="Arial"/>
                <w:color w:val="000000"/>
              </w:rPr>
              <w:t>unless polyp burden indicates an examination is required earlier</w:t>
            </w:r>
            <w:r>
              <w:rPr>
                <w:rFonts w:ascii="Arial" w:eastAsia="Calibri" w:hAnsi="Arial" w:cs="Arial"/>
                <w:color w:val="000000"/>
              </w:rPr>
              <w:t>)</w:t>
            </w:r>
          </w:p>
        </w:tc>
      </w:tr>
      <w:tr w:rsidR="00116A18" w:rsidRPr="00BD0F2E" w14:paraId="62CC0872"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47A367A5" w14:textId="5BEAB8D0"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 xml:space="preserve">Multiple </w:t>
            </w:r>
            <w:r w:rsidR="00471338" w:rsidRPr="004E6C41">
              <w:rPr>
                <w:rFonts w:ascii="Arial" w:eastAsiaTheme="minorHAnsi" w:hAnsi="Arial" w:cs="Arial"/>
                <w:b/>
                <w:bCs/>
                <w:lang w:eastAsia="en-US"/>
              </w:rPr>
              <w:t>C</w:t>
            </w:r>
            <w:r w:rsidRPr="004E6C41">
              <w:rPr>
                <w:rFonts w:ascii="Arial" w:eastAsiaTheme="minorHAnsi" w:hAnsi="Arial" w:cs="Arial"/>
                <w:b/>
                <w:bCs/>
                <w:lang w:eastAsia="en-US"/>
              </w:rPr>
              <w:t xml:space="preserve">olorectal </w:t>
            </w:r>
            <w:r w:rsidR="00471338" w:rsidRPr="004E6C41">
              <w:rPr>
                <w:rFonts w:ascii="Arial" w:eastAsiaTheme="minorHAnsi" w:hAnsi="Arial" w:cs="Arial"/>
                <w:b/>
                <w:bCs/>
                <w:lang w:eastAsia="en-US"/>
              </w:rPr>
              <w:t>A</w:t>
            </w:r>
            <w:r w:rsidRPr="004E6C41">
              <w:rPr>
                <w:rFonts w:ascii="Arial" w:eastAsiaTheme="minorHAnsi" w:hAnsi="Arial" w:cs="Arial"/>
                <w:b/>
                <w:bCs/>
                <w:lang w:eastAsia="en-US"/>
              </w:rPr>
              <w:t>denoma</w:t>
            </w:r>
            <w:r w:rsidR="001C6EDA">
              <w:rPr>
                <w:rFonts w:ascii="Arial" w:eastAsiaTheme="minorHAnsi" w:hAnsi="Arial" w:cs="Arial"/>
                <w:b/>
                <w:bCs/>
                <w:lang w:eastAsia="en-US"/>
              </w:rPr>
              <w:t>s</w:t>
            </w:r>
            <w:r w:rsidRPr="004E6C41">
              <w:rPr>
                <w:rFonts w:ascii="Arial" w:eastAsiaTheme="minorHAnsi" w:hAnsi="Arial" w:cs="Arial"/>
                <w:b/>
                <w:bCs/>
                <w:lang w:eastAsia="en-US"/>
              </w:rPr>
              <w:t xml:space="preserve"> (MCRA</w:t>
            </w:r>
            <w:r w:rsidR="001C6EDA">
              <w:rPr>
                <w:rFonts w:ascii="Arial" w:eastAsiaTheme="minorHAnsi" w:hAnsi="Arial" w:cs="Arial"/>
                <w:b/>
                <w:bCs/>
                <w:lang w:eastAsia="en-US"/>
              </w:rPr>
              <w:t>s</w:t>
            </w:r>
            <w:r w:rsidRPr="004E6C41">
              <w:rPr>
                <w:rFonts w:ascii="Arial" w:eastAsiaTheme="minorHAnsi" w:hAnsi="Arial" w:cs="Arial"/>
                <w:b/>
                <w:bCs/>
                <w:lang w:eastAsia="en-US"/>
              </w:rPr>
              <w:t>)</w:t>
            </w:r>
          </w:p>
        </w:tc>
      </w:tr>
      <w:tr w:rsidR="00471338" w:rsidRPr="00BD0F2E" w14:paraId="22D7F7AF" w14:textId="77777777" w:rsidTr="00676838">
        <w:trPr>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1BE5FA6F" w14:textId="79B9AFD0" w:rsidR="00471338" w:rsidRPr="00BD0F2E" w:rsidRDefault="004251C1" w:rsidP="00CA5DB7">
            <w:pPr>
              <w:rPr>
                <w:rFonts w:ascii="Arial" w:eastAsiaTheme="minorHAnsi" w:hAnsi="Arial" w:cs="Arial"/>
                <w:lang w:eastAsia="en-US"/>
              </w:rPr>
            </w:pPr>
            <w:r w:rsidRPr="004251C1">
              <w:rPr>
                <w:rFonts w:ascii="Arial" w:eastAsiaTheme="minorHAnsi" w:hAnsi="Arial" w:cs="Arial"/>
                <w:lang w:eastAsia="en-US"/>
              </w:rPr>
              <w:t>10 or more adenomas without constitutive pathogenic variants in </w:t>
            </w:r>
            <w:r w:rsidRPr="004251C1">
              <w:rPr>
                <w:rFonts w:ascii="Arial" w:eastAsiaTheme="minorHAnsi" w:hAnsi="Arial" w:cs="Arial"/>
                <w:i/>
                <w:iCs/>
                <w:lang w:eastAsia="en-US"/>
              </w:rPr>
              <w:t>APC</w:t>
            </w:r>
            <w:r w:rsidRPr="004251C1">
              <w:rPr>
                <w:rFonts w:ascii="Arial" w:eastAsiaTheme="minorHAnsi" w:hAnsi="Arial" w:cs="Arial"/>
                <w:lang w:eastAsia="en-US"/>
              </w:rPr>
              <w:t> or </w:t>
            </w:r>
            <w:r w:rsidRPr="004251C1">
              <w:rPr>
                <w:rFonts w:ascii="Arial" w:eastAsiaTheme="minorHAnsi" w:hAnsi="Arial" w:cs="Arial"/>
                <w:i/>
                <w:iCs/>
                <w:lang w:eastAsia="en-US"/>
              </w:rPr>
              <w:t>MUTYH</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60C535D0" w14:textId="77777777" w:rsidR="00471338" w:rsidRPr="00BD0F2E" w:rsidRDefault="00471338" w:rsidP="00CA5DB7">
            <w:pPr>
              <w:jc w:val="center"/>
              <w:rPr>
                <w:rFonts w:ascii="Arial" w:eastAsiaTheme="minorHAnsi" w:hAnsi="Arial" w:cs="Arial"/>
                <w:lang w:eastAsia="en-US"/>
              </w:rPr>
            </w:pPr>
            <w:r w:rsidRPr="00BD0F2E">
              <w:rPr>
                <w:rFonts w:ascii="Arial" w:eastAsiaTheme="minorHAnsi" w:hAnsi="Arial" w:cs="Arial"/>
                <w:lang w:eastAsia="en-US"/>
              </w:rPr>
              <w:t>From age of diagnosis</w:t>
            </w:r>
          </w:p>
        </w:tc>
        <w:tc>
          <w:tcPr>
            <w:tcW w:w="4445"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08AE53F8" w14:textId="77777777" w:rsidR="00471338" w:rsidRPr="00BD0F2E" w:rsidRDefault="00471338" w:rsidP="00CA5DB7">
            <w:pPr>
              <w:jc w:val="center"/>
              <w:rPr>
                <w:rFonts w:ascii="Arial" w:eastAsiaTheme="minorHAnsi" w:hAnsi="Arial" w:cs="Arial"/>
                <w:lang w:eastAsia="en-US"/>
              </w:rPr>
            </w:pPr>
            <w:r w:rsidRPr="00BD0F2E">
              <w:rPr>
                <w:rFonts w:ascii="Arial" w:eastAsiaTheme="minorHAnsi" w:hAnsi="Arial" w:cs="Arial"/>
                <w:lang w:eastAsia="en-US"/>
              </w:rPr>
              <w:t>1–2 yearly until age 75 years</w:t>
            </w:r>
          </w:p>
        </w:tc>
      </w:tr>
      <w:tr w:rsidR="00116A18" w:rsidRPr="00BD0F2E" w14:paraId="3BF59C12"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737A755E" w14:textId="49552897"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 xml:space="preserve">Familial </w:t>
            </w:r>
            <w:r w:rsidR="00471338" w:rsidRPr="004E6C41">
              <w:rPr>
                <w:rFonts w:ascii="Arial" w:eastAsiaTheme="minorHAnsi" w:hAnsi="Arial" w:cs="Arial"/>
                <w:b/>
                <w:bCs/>
                <w:lang w:eastAsia="en-US"/>
              </w:rPr>
              <w:t>A</w:t>
            </w:r>
            <w:r w:rsidRPr="004E6C41">
              <w:rPr>
                <w:rFonts w:ascii="Arial" w:eastAsiaTheme="minorHAnsi" w:hAnsi="Arial" w:cs="Arial"/>
                <w:b/>
                <w:bCs/>
                <w:lang w:eastAsia="en-US"/>
              </w:rPr>
              <w:t xml:space="preserve">denomatous </w:t>
            </w:r>
            <w:r w:rsidR="00471338" w:rsidRPr="004E6C41">
              <w:rPr>
                <w:rFonts w:ascii="Arial" w:eastAsiaTheme="minorHAnsi" w:hAnsi="Arial" w:cs="Arial"/>
                <w:b/>
                <w:bCs/>
                <w:lang w:eastAsia="en-US"/>
              </w:rPr>
              <w:t>P</w:t>
            </w:r>
            <w:r w:rsidRPr="004E6C41">
              <w:rPr>
                <w:rFonts w:ascii="Arial" w:eastAsiaTheme="minorHAnsi" w:hAnsi="Arial" w:cs="Arial"/>
                <w:b/>
                <w:bCs/>
                <w:lang w:eastAsia="en-US"/>
              </w:rPr>
              <w:t>olyposis (FAP)</w:t>
            </w:r>
          </w:p>
        </w:tc>
      </w:tr>
      <w:tr w:rsidR="00471338" w:rsidRPr="00BD0F2E" w14:paraId="1C8AFFF0" w14:textId="77777777" w:rsidTr="00676838">
        <w:trPr>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2D077F94" w14:textId="0DBBDAC2" w:rsidR="00471338" w:rsidRPr="00BD0F2E" w:rsidRDefault="00471338" w:rsidP="00E31438">
            <w:pPr>
              <w:rPr>
                <w:rFonts w:ascii="Arial" w:eastAsiaTheme="minorHAnsi" w:hAnsi="Arial" w:cs="Arial"/>
                <w:lang w:eastAsia="en-US"/>
              </w:rPr>
            </w:pPr>
            <w:r w:rsidRPr="00BD0F2E">
              <w:rPr>
                <w:rFonts w:ascii="Arial" w:eastAsiaTheme="minorHAnsi" w:hAnsi="Arial" w:cs="Arial"/>
                <w:i/>
                <w:iCs/>
                <w:lang w:eastAsia="en-US"/>
              </w:rPr>
              <w:t>APC</w:t>
            </w:r>
            <w:r w:rsidRPr="00BD0F2E">
              <w:rPr>
                <w:rFonts w:ascii="Arial" w:eastAsiaTheme="minorHAnsi" w:hAnsi="Arial" w:cs="Arial"/>
                <w:lang w:eastAsia="en-US"/>
              </w:rPr>
              <w:t> pathogenic variant carriers</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13B6146E"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12 to 14</w:t>
            </w:r>
          </w:p>
        </w:tc>
        <w:tc>
          <w:tcPr>
            <w:tcW w:w="4445"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4B3A7443"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1–3 yearly depending on phenotype</w:t>
            </w:r>
          </w:p>
        </w:tc>
      </w:tr>
      <w:tr w:rsidR="00471338" w:rsidRPr="00BD0F2E" w14:paraId="48753D64" w14:textId="77777777" w:rsidTr="00676838">
        <w:trPr>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339F149" w14:textId="204023B6" w:rsidR="00471338" w:rsidRPr="00BD0F2E" w:rsidRDefault="00471338" w:rsidP="00E31438">
            <w:pPr>
              <w:rPr>
                <w:rFonts w:ascii="Arial" w:eastAsiaTheme="minorHAnsi" w:hAnsi="Arial" w:cs="Arial"/>
                <w:lang w:eastAsia="en-US"/>
              </w:rPr>
            </w:pPr>
            <w:r w:rsidRPr="00BD0F2E">
              <w:rPr>
                <w:rFonts w:ascii="Arial" w:eastAsiaTheme="minorHAnsi" w:hAnsi="Arial" w:cs="Arial"/>
                <w:lang w:eastAsia="en-US"/>
              </w:rPr>
              <w:t>Individuals with an FDR with a clinical diagnosis of FAP (</w:t>
            </w:r>
            <w:r w:rsidR="00A45D4A" w:rsidRPr="00BD0F2E">
              <w:rPr>
                <w:rFonts w:ascii="Arial" w:eastAsiaTheme="minorHAnsi" w:hAnsi="Arial" w:cs="Arial"/>
                <w:lang w:eastAsia="en-US"/>
              </w:rPr>
              <w:t>i.e. “at</w:t>
            </w:r>
            <w:r w:rsidRPr="00BD0F2E">
              <w:rPr>
                <w:rFonts w:ascii="Arial" w:eastAsiaTheme="minorHAnsi" w:hAnsi="Arial" w:cs="Arial"/>
                <w:lang w:eastAsia="en-US"/>
              </w:rPr>
              <w:t>-risk”) and in whom a constitutional pathogenic variant has not been identified</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10EA7602"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12 to 14</w:t>
            </w:r>
          </w:p>
        </w:tc>
        <w:tc>
          <w:tcPr>
            <w:tcW w:w="4445"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0DBDE134" w14:textId="5B0F06BB"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 xml:space="preserve">5 yearly until </w:t>
            </w:r>
            <w:r w:rsidRPr="005E4C4B">
              <w:rPr>
                <w:rFonts w:ascii="Arial" w:eastAsia="Calibri" w:hAnsi="Arial" w:cs="Arial"/>
                <w:color w:val="000000"/>
              </w:rPr>
              <w:t xml:space="preserve">either a clinical diagnosis is </w:t>
            </w:r>
            <w:r w:rsidR="004679CA" w:rsidRPr="005E4C4B">
              <w:rPr>
                <w:rFonts w:ascii="Arial" w:eastAsia="Calibri" w:hAnsi="Arial" w:cs="Arial"/>
                <w:color w:val="000000"/>
              </w:rPr>
              <w:t>made,</w:t>
            </w:r>
            <w:r w:rsidRPr="005E4C4B">
              <w:rPr>
                <w:rFonts w:ascii="Arial" w:eastAsia="Calibri" w:hAnsi="Arial" w:cs="Arial"/>
                <w:color w:val="000000"/>
              </w:rPr>
              <w:t xml:space="preserve"> and </w:t>
            </w:r>
            <w:r w:rsidR="00EA6E1B">
              <w:rPr>
                <w:rFonts w:ascii="Arial" w:eastAsia="Calibri" w:hAnsi="Arial" w:cs="Arial"/>
                <w:color w:val="000000"/>
              </w:rPr>
              <w:t>management</w:t>
            </w:r>
            <w:r w:rsidRPr="005E4C4B">
              <w:rPr>
                <w:rFonts w:ascii="Arial" w:eastAsia="Calibri" w:hAnsi="Arial" w:cs="Arial"/>
                <w:color w:val="000000"/>
              </w:rPr>
              <w:t xml:space="preserve"> as FAP</w:t>
            </w:r>
            <w:r w:rsidR="00EA6E1B">
              <w:rPr>
                <w:rFonts w:ascii="Arial" w:eastAsia="Calibri" w:hAnsi="Arial" w:cs="Arial"/>
                <w:color w:val="000000"/>
              </w:rPr>
              <w:t>,</w:t>
            </w:r>
            <w:r w:rsidRPr="005E4C4B">
              <w:rPr>
                <w:rFonts w:ascii="Arial" w:eastAsia="Calibri" w:hAnsi="Arial" w:cs="Arial"/>
                <w:color w:val="000000"/>
              </w:rPr>
              <w:t xml:space="preserve"> </w:t>
            </w:r>
            <w:r w:rsidRPr="00E855C4">
              <w:rPr>
                <w:rFonts w:ascii="Arial" w:eastAsia="Calibri" w:hAnsi="Arial" w:cs="Arial"/>
                <w:color w:val="000000"/>
              </w:rPr>
              <w:t>or</w:t>
            </w:r>
            <w:r w:rsidRPr="005E4C4B">
              <w:rPr>
                <w:rFonts w:ascii="Arial" w:eastAsia="Calibri" w:hAnsi="Arial" w:cs="Arial"/>
                <w:color w:val="000000"/>
              </w:rPr>
              <w:t xml:space="preserve"> the national screening age is reached</w:t>
            </w:r>
          </w:p>
        </w:tc>
      </w:tr>
      <w:tr w:rsidR="00116A18" w:rsidRPr="00BD0F2E" w14:paraId="61C6E6C1"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2FFB966F" w14:textId="1C47332E"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i/>
                <w:iCs/>
                <w:lang w:eastAsia="en-US"/>
              </w:rPr>
              <w:t>MUTYH</w:t>
            </w:r>
            <w:r w:rsidRPr="004E6C41">
              <w:rPr>
                <w:rFonts w:ascii="Arial" w:eastAsiaTheme="minorHAnsi" w:hAnsi="Arial" w:cs="Arial"/>
                <w:b/>
                <w:bCs/>
                <w:lang w:eastAsia="en-US"/>
              </w:rPr>
              <w:t>-</w:t>
            </w:r>
            <w:r w:rsidR="00E31438" w:rsidRPr="004E6C41">
              <w:rPr>
                <w:rFonts w:ascii="Arial" w:eastAsiaTheme="minorHAnsi" w:hAnsi="Arial" w:cs="Arial"/>
                <w:b/>
                <w:bCs/>
                <w:lang w:eastAsia="en-US"/>
              </w:rPr>
              <w:t>A</w:t>
            </w:r>
            <w:r w:rsidRPr="004E6C41">
              <w:rPr>
                <w:rFonts w:ascii="Arial" w:eastAsiaTheme="minorHAnsi" w:hAnsi="Arial" w:cs="Arial"/>
                <w:b/>
                <w:bCs/>
                <w:lang w:eastAsia="en-US"/>
              </w:rPr>
              <w:t xml:space="preserve">ssociated </w:t>
            </w:r>
            <w:r w:rsidR="00471338" w:rsidRPr="004E6C41">
              <w:rPr>
                <w:rFonts w:ascii="Arial" w:eastAsiaTheme="minorHAnsi" w:hAnsi="Arial" w:cs="Arial"/>
                <w:b/>
                <w:bCs/>
                <w:lang w:eastAsia="en-US"/>
              </w:rPr>
              <w:t>P</w:t>
            </w:r>
            <w:r w:rsidRPr="004E6C41">
              <w:rPr>
                <w:rFonts w:ascii="Arial" w:eastAsiaTheme="minorHAnsi" w:hAnsi="Arial" w:cs="Arial"/>
                <w:b/>
                <w:bCs/>
                <w:lang w:eastAsia="en-US"/>
              </w:rPr>
              <w:t>olyposis (MAP)</w:t>
            </w:r>
          </w:p>
        </w:tc>
      </w:tr>
      <w:tr w:rsidR="00471338" w:rsidRPr="00BD0F2E" w14:paraId="413E3199" w14:textId="77777777" w:rsidTr="00676838">
        <w:trPr>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454B268" w14:textId="77F4495C" w:rsidR="00471338" w:rsidRPr="00BD0F2E" w:rsidRDefault="00471338" w:rsidP="00E31438">
            <w:pPr>
              <w:rPr>
                <w:rFonts w:ascii="Arial" w:eastAsiaTheme="minorHAnsi" w:hAnsi="Arial" w:cs="Arial"/>
                <w:lang w:eastAsia="en-US"/>
              </w:rPr>
            </w:pPr>
            <w:r w:rsidRPr="00BD0F2E">
              <w:rPr>
                <w:rFonts w:ascii="Arial" w:eastAsiaTheme="minorHAnsi" w:hAnsi="Arial" w:cs="Arial"/>
                <w:i/>
                <w:iCs/>
                <w:lang w:eastAsia="en-US"/>
              </w:rPr>
              <w:t>MUTYH</w:t>
            </w:r>
            <w:r w:rsidRPr="00BD0F2E">
              <w:rPr>
                <w:rFonts w:ascii="Arial" w:eastAsiaTheme="minorHAnsi" w:hAnsi="Arial" w:cs="Arial"/>
                <w:lang w:eastAsia="en-US"/>
              </w:rPr>
              <w:t> gene pathogenic variant carriers</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704D418E" w14:textId="527DE63E"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 xml:space="preserve">18 to 20 </w:t>
            </w:r>
          </w:p>
        </w:tc>
        <w:tc>
          <w:tcPr>
            <w:tcW w:w="4445"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hideMark/>
          </w:tcPr>
          <w:p w14:paraId="5ED8E10A" w14:textId="3959E18E"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Annual</w:t>
            </w:r>
            <w:r w:rsidR="00672079">
              <w:rPr>
                <w:rFonts w:ascii="Arial" w:eastAsiaTheme="minorHAnsi" w:hAnsi="Arial" w:cs="Arial"/>
                <w:lang w:eastAsia="en-US"/>
              </w:rPr>
              <w:t>ly</w:t>
            </w:r>
          </w:p>
        </w:tc>
      </w:tr>
      <w:tr w:rsidR="007C1E47" w:rsidRPr="00BD0F2E" w14:paraId="3AA37726" w14:textId="77777777" w:rsidTr="00676838">
        <w:trPr>
          <w:jc w:val="center"/>
        </w:trPr>
        <w:tc>
          <w:tcPr>
            <w:tcW w:w="4062"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tcPr>
          <w:p w14:paraId="60EF4AEE" w14:textId="5EA3DEA8" w:rsidR="007C1E47" w:rsidRPr="00BD0F2E" w:rsidRDefault="007C1E47" w:rsidP="00E31438">
            <w:pPr>
              <w:rPr>
                <w:rFonts w:ascii="Arial" w:eastAsiaTheme="minorHAnsi" w:hAnsi="Arial" w:cs="Arial"/>
                <w:lang w:eastAsia="en-US"/>
              </w:rPr>
            </w:pPr>
            <w:r>
              <w:rPr>
                <w:rFonts w:ascii="Arial" w:eastAsia="Calibri" w:hAnsi="Arial" w:cs="Arial"/>
                <w:color w:val="000000"/>
              </w:rPr>
              <w:t>M</w:t>
            </w:r>
            <w:r w:rsidRPr="005E4C4B">
              <w:rPr>
                <w:rFonts w:ascii="Arial" w:eastAsia="Calibri" w:hAnsi="Arial" w:cs="Arial"/>
                <w:color w:val="000000"/>
              </w:rPr>
              <w:t>onoallelic MUTYH pathogenic variant carriers</w:t>
            </w:r>
          </w:p>
        </w:tc>
        <w:tc>
          <w:tcPr>
            <w:tcW w:w="1409" w:type="dxa"/>
            <w:tcBorders>
              <w:top w:val="single" w:sz="2"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tcPr>
          <w:p w14:paraId="1CF8B91B" w14:textId="6409A259" w:rsidR="007C1E47" w:rsidRPr="00BD0F2E" w:rsidRDefault="007C1E47" w:rsidP="00E31438">
            <w:pPr>
              <w:jc w:val="center"/>
              <w:rPr>
                <w:rFonts w:ascii="Arial" w:eastAsiaTheme="minorHAnsi" w:hAnsi="Arial" w:cs="Arial"/>
                <w:lang w:eastAsia="en-US"/>
              </w:rPr>
            </w:pPr>
            <w:r>
              <w:rPr>
                <w:rFonts w:ascii="Arial" w:eastAsiaTheme="minorHAnsi" w:hAnsi="Arial" w:cs="Arial"/>
                <w:lang w:eastAsia="en-US"/>
              </w:rPr>
              <w:t>n/a</w:t>
            </w:r>
          </w:p>
        </w:tc>
        <w:tc>
          <w:tcPr>
            <w:tcW w:w="4445" w:type="dxa"/>
            <w:tcBorders>
              <w:top w:val="single" w:sz="2" w:space="0" w:color="E1E1E1"/>
              <w:left w:val="single" w:sz="2" w:space="0" w:color="E1E1E1"/>
              <w:bottom w:val="single" w:sz="2" w:space="0" w:color="E1E1E1"/>
              <w:right w:val="single" w:sz="2" w:space="0" w:color="E1E1E1"/>
            </w:tcBorders>
            <w:shd w:val="clear" w:color="auto" w:fill="FFFFFF"/>
            <w:vAlign w:val="center"/>
          </w:tcPr>
          <w:p w14:paraId="2BC4DEC8" w14:textId="13F11AF7" w:rsidR="007C1E47" w:rsidRPr="00BD0F2E" w:rsidRDefault="007C1E47" w:rsidP="00E31438">
            <w:pPr>
              <w:jc w:val="center"/>
              <w:rPr>
                <w:rFonts w:ascii="Arial" w:eastAsiaTheme="minorHAnsi" w:hAnsi="Arial" w:cs="Arial"/>
                <w:lang w:eastAsia="en-US"/>
              </w:rPr>
            </w:pPr>
            <w:r>
              <w:rPr>
                <w:rFonts w:ascii="Arial" w:eastAsiaTheme="minorHAnsi" w:hAnsi="Arial" w:cs="Arial"/>
                <w:lang w:eastAsia="en-US"/>
              </w:rPr>
              <w:t>Routine surveillance not recommended</w:t>
            </w:r>
          </w:p>
        </w:tc>
      </w:tr>
      <w:tr w:rsidR="00CA5DB7" w:rsidRPr="00BD0F2E" w14:paraId="4919486C" w14:textId="77777777" w:rsidTr="00676838">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17FC6772" w14:textId="33912E33" w:rsidR="00CA5DB7" w:rsidRPr="004E6C41" w:rsidRDefault="00250411" w:rsidP="00CA5DB7">
            <w:pPr>
              <w:jc w:val="center"/>
              <w:rPr>
                <w:rFonts w:ascii="Arial" w:eastAsiaTheme="minorHAnsi" w:hAnsi="Arial" w:cs="Arial"/>
                <w:b/>
                <w:bCs/>
                <w:lang w:eastAsia="en-US"/>
              </w:rPr>
            </w:pPr>
            <w:proofErr w:type="spellStart"/>
            <w:r w:rsidRPr="00250411">
              <w:rPr>
                <w:rFonts w:ascii="Arial" w:eastAsiaTheme="minorHAnsi" w:hAnsi="Arial" w:cs="Arial"/>
                <w:b/>
                <w:bCs/>
                <w:lang w:eastAsia="en-US"/>
              </w:rPr>
              <w:t>Peutz-Jeghers</w:t>
            </w:r>
            <w:proofErr w:type="spellEnd"/>
            <w:r w:rsidRPr="00250411">
              <w:rPr>
                <w:rFonts w:ascii="Arial" w:eastAsiaTheme="minorHAnsi" w:hAnsi="Arial" w:cs="Arial"/>
                <w:b/>
                <w:bCs/>
                <w:lang w:eastAsia="en-US"/>
              </w:rPr>
              <w:t xml:space="preserve"> </w:t>
            </w:r>
            <w:r>
              <w:rPr>
                <w:rFonts w:ascii="Arial" w:eastAsiaTheme="minorHAnsi" w:hAnsi="Arial" w:cs="Arial"/>
                <w:b/>
                <w:bCs/>
                <w:lang w:eastAsia="en-US"/>
              </w:rPr>
              <w:t>S</w:t>
            </w:r>
            <w:r w:rsidRPr="00250411">
              <w:rPr>
                <w:rFonts w:ascii="Arial" w:eastAsiaTheme="minorHAnsi" w:hAnsi="Arial" w:cs="Arial"/>
                <w:b/>
                <w:bCs/>
                <w:lang w:eastAsia="en-US"/>
              </w:rPr>
              <w:t>yndrome (PJS)</w:t>
            </w:r>
          </w:p>
        </w:tc>
      </w:tr>
      <w:tr w:rsidR="007C3ADA" w:rsidRPr="00BD0F2E" w14:paraId="05E7189E" w14:textId="77777777" w:rsidTr="00676838">
        <w:trPr>
          <w:jc w:val="center"/>
        </w:trPr>
        <w:tc>
          <w:tcPr>
            <w:tcW w:w="4062" w:type="dxa"/>
            <w:tcBorders>
              <w:top w:val="single" w:sz="6"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tcPr>
          <w:p w14:paraId="2E33C1C6" w14:textId="3219CB45" w:rsidR="007C3ADA" w:rsidRDefault="0052691B" w:rsidP="00E31438">
            <w:pPr>
              <w:rPr>
                <w:rFonts w:ascii="Arial" w:eastAsia="Calibri" w:hAnsi="Arial" w:cs="Arial"/>
                <w:color w:val="000000"/>
              </w:rPr>
            </w:pPr>
            <w:r w:rsidRPr="0052691B">
              <w:rPr>
                <w:rFonts w:ascii="Arial" w:eastAsia="Calibri" w:hAnsi="Arial" w:cs="Arial"/>
                <w:color w:val="000000"/>
              </w:rPr>
              <w:t>STK11 gene pathogenic variant carriers</w:t>
            </w:r>
          </w:p>
        </w:tc>
        <w:tc>
          <w:tcPr>
            <w:tcW w:w="1409" w:type="dxa"/>
            <w:tcBorders>
              <w:top w:val="single" w:sz="6" w:space="0" w:color="E1E1E1"/>
              <w:left w:val="single" w:sz="2" w:space="0" w:color="E1E1E1"/>
              <w:bottom w:val="single" w:sz="2" w:space="0" w:color="E1E1E1"/>
              <w:right w:val="single" w:sz="2" w:space="0" w:color="E1E1E1"/>
            </w:tcBorders>
            <w:shd w:val="clear" w:color="auto" w:fill="FFFFFF"/>
            <w:tcMar>
              <w:top w:w="180" w:type="dxa"/>
              <w:left w:w="45" w:type="dxa"/>
              <w:bottom w:w="180" w:type="dxa"/>
              <w:right w:w="45" w:type="dxa"/>
            </w:tcMar>
            <w:vAlign w:val="center"/>
          </w:tcPr>
          <w:p w14:paraId="129D8493" w14:textId="58CA4D4D" w:rsidR="007C3ADA" w:rsidRDefault="00570EB6" w:rsidP="00E31438">
            <w:pPr>
              <w:jc w:val="center"/>
              <w:rPr>
                <w:rFonts w:ascii="Arial" w:eastAsiaTheme="minorHAnsi" w:hAnsi="Arial" w:cs="Arial"/>
                <w:lang w:eastAsia="en-US"/>
              </w:rPr>
            </w:pPr>
            <w:r>
              <w:rPr>
                <w:rFonts w:ascii="Arial" w:eastAsiaTheme="minorHAnsi" w:hAnsi="Arial" w:cs="Arial"/>
                <w:lang w:eastAsia="en-US"/>
              </w:rPr>
              <w:t>8</w:t>
            </w:r>
          </w:p>
        </w:tc>
        <w:tc>
          <w:tcPr>
            <w:tcW w:w="4445" w:type="dxa"/>
            <w:tcBorders>
              <w:top w:val="single" w:sz="6" w:space="0" w:color="E1E1E1"/>
              <w:left w:val="single" w:sz="2" w:space="0" w:color="E1E1E1"/>
              <w:bottom w:val="single" w:sz="2" w:space="0" w:color="E1E1E1"/>
              <w:right w:val="single" w:sz="2" w:space="0" w:color="E1E1E1"/>
            </w:tcBorders>
            <w:shd w:val="clear" w:color="auto" w:fill="FFFFFF"/>
            <w:vAlign w:val="center"/>
          </w:tcPr>
          <w:p w14:paraId="3FF3C55B" w14:textId="4EEEE102" w:rsidR="007C3ADA" w:rsidRDefault="0081023A" w:rsidP="00CB6860">
            <w:pPr>
              <w:rPr>
                <w:rFonts w:ascii="Arial" w:eastAsiaTheme="minorHAnsi" w:hAnsi="Arial" w:cs="Arial"/>
                <w:lang w:eastAsia="en-US"/>
              </w:rPr>
            </w:pPr>
            <w:r>
              <w:rPr>
                <w:rFonts w:ascii="Arial" w:eastAsiaTheme="minorHAnsi" w:hAnsi="Arial" w:cs="Arial"/>
                <w:lang w:eastAsia="en-US"/>
              </w:rPr>
              <w:t>3 yearly.</w:t>
            </w:r>
            <w:r w:rsidR="00D71069">
              <w:rPr>
                <w:rFonts w:ascii="Arial" w:eastAsiaTheme="minorHAnsi" w:hAnsi="Arial" w:cs="Arial"/>
                <w:lang w:eastAsia="en-US"/>
              </w:rPr>
              <w:t xml:space="preserve"> </w:t>
            </w:r>
            <w:r>
              <w:rPr>
                <w:rFonts w:ascii="Arial" w:eastAsiaTheme="minorHAnsi" w:hAnsi="Arial" w:cs="Arial"/>
                <w:lang w:eastAsia="en-US"/>
              </w:rPr>
              <w:t xml:space="preserve"> </w:t>
            </w:r>
            <w:proofErr w:type="gramStart"/>
            <w:r>
              <w:rPr>
                <w:rFonts w:ascii="Arial" w:eastAsiaTheme="minorHAnsi" w:hAnsi="Arial" w:cs="Arial"/>
                <w:lang w:eastAsia="en-US"/>
              </w:rPr>
              <w:t xml:space="preserve">If </w:t>
            </w:r>
            <w:r w:rsidR="00CB6860" w:rsidRPr="00CB6860">
              <w:rPr>
                <w:rFonts w:ascii="Arial" w:eastAsiaTheme="minorHAnsi" w:hAnsi="Arial" w:cs="Arial"/>
                <w:lang w:eastAsia="en-US"/>
              </w:rPr>
              <w:t xml:space="preserve"> baseline</w:t>
            </w:r>
            <w:proofErr w:type="gramEnd"/>
            <w:r w:rsidR="00CB6860" w:rsidRPr="00CB6860">
              <w:rPr>
                <w:rFonts w:ascii="Arial" w:eastAsiaTheme="minorHAnsi" w:hAnsi="Arial" w:cs="Arial"/>
                <w:lang w:eastAsia="en-US"/>
              </w:rPr>
              <w:t xml:space="preserve"> colonoscopy is normal, defer until 18 years</w:t>
            </w:r>
            <w:r w:rsidR="00CB6860">
              <w:rPr>
                <w:rFonts w:ascii="Arial" w:eastAsiaTheme="minorHAnsi" w:hAnsi="Arial" w:cs="Arial"/>
                <w:lang w:eastAsia="en-US"/>
              </w:rPr>
              <w:t>.</w:t>
            </w:r>
          </w:p>
        </w:tc>
      </w:tr>
      <w:tr w:rsidR="00116A18" w:rsidRPr="00BD0F2E" w14:paraId="215B7921" w14:textId="77777777" w:rsidTr="003020A3">
        <w:trPr>
          <w:jc w:val="center"/>
        </w:trPr>
        <w:tc>
          <w:tcPr>
            <w:tcW w:w="9916" w:type="dxa"/>
            <w:gridSpan w:val="3"/>
            <w:tcBorders>
              <w:top w:val="single" w:sz="2" w:space="0" w:color="E1E1E1"/>
              <w:left w:val="single" w:sz="2" w:space="0" w:color="E1E1E1"/>
              <w:bottom w:val="single" w:sz="6" w:space="0" w:color="E1E1E1"/>
              <w:right w:val="single" w:sz="2" w:space="0" w:color="E1E1E1"/>
            </w:tcBorders>
            <w:shd w:val="clear" w:color="auto" w:fill="E7E6E6" w:themeFill="background2"/>
            <w:vAlign w:val="center"/>
          </w:tcPr>
          <w:p w14:paraId="69B00923" w14:textId="46CD6E4F" w:rsidR="00116A18" w:rsidRPr="004E6C41" w:rsidRDefault="00116A18" w:rsidP="00E31438">
            <w:pPr>
              <w:jc w:val="center"/>
              <w:rPr>
                <w:rFonts w:ascii="Arial" w:eastAsiaTheme="minorHAnsi" w:hAnsi="Arial" w:cs="Arial"/>
                <w:b/>
                <w:bCs/>
                <w:lang w:eastAsia="en-US"/>
              </w:rPr>
            </w:pPr>
            <w:r w:rsidRPr="004E6C41">
              <w:rPr>
                <w:rFonts w:ascii="Arial" w:eastAsiaTheme="minorHAnsi" w:hAnsi="Arial" w:cs="Arial"/>
                <w:b/>
                <w:bCs/>
                <w:lang w:eastAsia="en-US"/>
              </w:rPr>
              <w:t xml:space="preserve">Juvenile </w:t>
            </w:r>
            <w:r w:rsidR="00471338" w:rsidRPr="004E6C41">
              <w:rPr>
                <w:rFonts w:ascii="Arial" w:eastAsiaTheme="minorHAnsi" w:hAnsi="Arial" w:cs="Arial"/>
                <w:b/>
                <w:bCs/>
                <w:lang w:eastAsia="en-US"/>
              </w:rPr>
              <w:t>P</w:t>
            </w:r>
            <w:r w:rsidRPr="004E6C41">
              <w:rPr>
                <w:rFonts w:ascii="Arial" w:eastAsiaTheme="minorHAnsi" w:hAnsi="Arial" w:cs="Arial"/>
                <w:b/>
                <w:bCs/>
                <w:lang w:eastAsia="en-US"/>
              </w:rPr>
              <w:t xml:space="preserve">olyposis </w:t>
            </w:r>
            <w:r w:rsidR="00471338" w:rsidRPr="004E6C41">
              <w:rPr>
                <w:rFonts w:ascii="Arial" w:eastAsiaTheme="minorHAnsi" w:hAnsi="Arial" w:cs="Arial"/>
                <w:b/>
                <w:bCs/>
                <w:lang w:eastAsia="en-US"/>
              </w:rPr>
              <w:t>S</w:t>
            </w:r>
            <w:r w:rsidRPr="004E6C41">
              <w:rPr>
                <w:rFonts w:ascii="Arial" w:eastAsiaTheme="minorHAnsi" w:hAnsi="Arial" w:cs="Arial"/>
                <w:b/>
                <w:bCs/>
                <w:lang w:eastAsia="en-US"/>
              </w:rPr>
              <w:t>yndrome (JPS)</w:t>
            </w:r>
          </w:p>
        </w:tc>
      </w:tr>
      <w:tr w:rsidR="00471338" w:rsidRPr="00BD0F2E" w14:paraId="4DC08813" w14:textId="77777777" w:rsidTr="00676838">
        <w:trPr>
          <w:jc w:val="center"/>
        </w:trPr>
        <w:tc>
          <w:tcPr>
            <w:tcW w:w="4062"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55D11CC7" w14:textId="35562B02" w:rsidR="00471338" w:rsidRPr="00BD0F2E" w:rsidRDefault="002C75CA" w:rsidP="00E31438">
            <w:pPr>
              <w:rPr>
                <w:rFonts w:ascii="Arial" w:eastAsiaTheme="minorHAnsi" w:hAnsi="Arial" w:cs="Arial"/>
                <w:lang w:eastAsia="en-US"/>
              </w:rPr>
            </w:pPr>
            <w:r w:rsidRPr="002C75CA">
              <w:rPr>
                <w:rFonts w:ascii="Arial" w:eastAsiaTheme="minorHAnsi" w:hAnsi="Arial" w:cs="Arial"/>
                <w:lang w:eastAsia="en-US"/>
              </w:rPr>
              <w:t>SMAD4 and BMPR1A pathogenic variant carriers</w:t>
            </w:r>
          </w:p>
        </w:tc>
        <w:tc>
          <w:tcPr>
            <w:tcW w:w="1409"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5249E41F"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15</w:t>
            </w:r>
          </w:p>
        </w:tc>
        <w:tc>
          <w:tcPr>
            <w:tcW w:w="4445" w:type="dxa"/>
            <w:tcBorders>
              <w:top w:val="single" w:sz="2" w:space="0" w:color="E1E1E1"/>
              <w:left w:val="single" w:sz="2" w:space="0" w:color="E1E1E1"/>
              <w:bottom w:val="single" w:sz="6" w:space="0" w:color="E1E1E1"/>
              <w:right w:val="single" w:sz="2" w:space="0" w:color="E1E1E1"/>
            </w:tcBorders>
            <w:shd w:val="clear" w:color="auto" w:fill="FFFFFF"/>
            <w:tcMar>
              <w:top w:w="180" w:type="dxa"/>
              <w:left w:w="45" w:type="dxa"/>
              <w:bottom w:w="180" w:type="dxa"/>
              <w:right w:w="45" w:type="dxa"/>
            </w:tcMar>
            <w:vAlign w:val="center"/>
            <w:hideMark/>
          </w:tcPr>
          <w:p w14:paraId="77C14D54" w14:textId="77777777" w:rsidR="00471338" w:rsidRPr="00BD0F2E" w:rsidRDefault="00471338" w:rsidP="00E31438">
            <w:pPr>
              <w:jc w:val="center"/>
              <w:rPr>
                <w:rFonts w:ascii="Arial" w:eastAsiaTheme="minorHAnsi" w:hAnsi="Arial" w:cs="Arial"/>
                <w:lang w:eastAsia="en-US"/>
              </w:rPr>
            </w:pPr>
            <w:r w:rsidRPr="00BD0F2E">
              <w:rPr>
                <w:rFonts w:ascii="Arial" w:eastAsiaTheme="minorHAnsi" w:hAnsi="Arial" w:cs="Arial"/>
                <w:lang w:eastAsia="en-US"/>
              </w:rPr>
              <w:t>1–3 yearly depending on phenotype</w:t>
            </w:r>
          </w:p>
        </w:tc>
      </w:tr>
    </w:tbl>
    <w:p w14:paraId="27BB6551" w14:textId="0D63FA43" w:rsidR="00E31438" w:rsidRDefault="00BD0F2E" w:rsidP="006160CF">
      <w:pPr>
        <w:spacing w:before="120"/>
        <w:rPr>
          <w:rFonts w:ascii="Arial" w:eastAsiaTheme="minorHAnsi" w:hAnsi="Arial" w:cs="Arial"/>
          <w:sz w:val="20"/>
          <w:szCs w:val="20"/>
          <w:lang w:eastAsia="en-US"/>
        </w:rPr>
      </w:pPr>
      <w:r w:rsidRPr="00BD0F2E">
        <w:rPr>
          <w:rFonts w:ascii="Arial" w:eastAsiaTheme="minorHAnsi" w:hAnsi="Arial" w:cs="Arial"/>
          <w:sz w:val="20"/>
          <w:szCs w:val="20"/>
          <w:lang w:eastAsia="en-US"/>
        </w:rPr>
        <w:t>*Amsterdam criteria families where MMR testing is not possible may be offered surveillance as per Lynch syndrome families and/or additional constitutional testing.</w:t>
      </w:r>
    </w:p>
    <w:p w14:paraId="0B6FC64A" w14:textId="77777777" w:rsidR="00E31438" w:rsidRDefault="00E31438" w:rsidP="00D0151D">
      <w:pPr>
        <w:autoSpaceDE w:val="0"/>
        <w:autoSpaceDN w:val="0"/>
        <w:adjustRightInd w:val="0"/>
        <w:rPr>
          <w:rFonts w:ascii="Arial" w:eastAsiaTheme="minorHAnsi" w:hAnsi="Arial" w:cs="Arial"/>
          <w:color w:val="000000"/>
          <w:lang w:eastAsia="en-US"/>
        </w:rPr>
      </w:pPr>
    </w:p>
    <w:p w14:paraId="3E065C0A" w14:textId="77777777" w:rsidR="000007F7" w:rsidRDefault="000007F7" w:rsidP="00D0151D">
      <w:pPr>
        <w:autoSpaceDE w:val="0"/>
        <w:autoSpaceDN w:val="0"/>
        <w:adjustRightInd w:val="0"/>
        <w:rPr>
          <w:rFonts w:ascii="Arial" w:eastAsiaTheme="minorHAnsi" w:hAnsi="Arial" w:cs="Arial"/>
          <w:color w:val="000000"/>
          <w:lang w:eastAsia="en-US"/>
        </w:rPr>
      </w:pPr>
    </w:p>
    <w:p w14:paraId="324822F0" w14:textId="6002E019" w:rsidR="00D0151D" w:rsidRPr="00D62C22" w:rsidRDefault="00D0151D" w:rsidP="00D0151D">
      <w:pPr>
        <w:autoSpaceDE w:val="0"/>
        <w:autoSpaceDN w:val="0"/>
        <w:adjustRightInd w:val="0"/>
        <w:rPr>
          <w:rFonts w:ascii="Arial" w:eastAsiaTheme="minorHAnsi" w:hAnsi="Arial" w:cs="Arial"/>
          <w:color w:val="000000"/>
          <w:lang w:eastAsia="en-US"/>
        </w:rPr>
      </w:pPr>
      <w:r w:rsidRPr="00D62C22">
        <w:rPr>
          <w:rFonts w:ascii="Arial" w:eastAsiaTheme="minorHAnsi" w:hAnsi="Arial" w:cs="Arial"/>
          <w:color w:val="000000"/>
          <w:lang w:eastAsia="en-US"/>
        </w:rPr>
        <w:lastRenderedPageBreak/>
        <w:t xml:space="preserve">Patients not meeting the above criteria will not be funded unless there are </w:t>
      </w:r>
      <w:r w:rsidRPr="00D62C22">
        <w:rPr>
          <w:rFonts w:ascii="Arial" w:eastAsiaTheme="minorHAnsi" w:hAnsi="Arial" w:cs="Arial"/>
          <w:b/>
          <w:color w:val="000000"/>
          <w:lang w:eastAsia="en-US"/>
        </w:rPr>
        <w:t>clinically exceptional circumstances.</w:t>
      </w:r>
      <w:r w:rsidRPr="00D62C22">
        <w:rPr>
          <w:rFonts w:ascii="Arial" w:eastAsiaTheme="minorHAnsi" w:hAnsi="Arial" w:cs="Arial"/>
          <w:color w:val="000000"/>
          <w:lang w:eastAsia="en-US"/>
        </w:rPr>
        <w:t xml:space="preserve">  </w:t>
      </w:r>
    </w:p>
    <w:p w14:paraId="14712051" w14:textId="77777777" w:rsidR="00D0151D" w:rsidRPr="00D62C22" w:rsidRDefault="00D0151D" w:rsidP="00D0151D">
      <w:pPr>
        <w:autoSpaceDE w:val="0"/>
        <w:autoSpaceDN w:val="0"/>
        <w:adjustRightInd w:val="0"/>
        <w:rPr>
          <w:rFonts w:ascii="Arial" w:eastAsiaTheme="minorHAnsi" w:hAnsi="Arial" w:cs="Arial"/>
          <w:color w:val="000000"/>
          <w:sz w:val="16"/>
          <w:szCs w:val="16"/>
          <w:lang w:eastAsia="en-US"/>
        </w:rPr>
      </w:pPr>
    </w:p>
    <w:p w14:paraId="52F16FB5" w14:textId="77777777" w:rsidR="00D0151D" w:rsidRPr="00D62C22" w:rsidRDefault="00D0151D" w:rsidP="25028294">
      <w:pPr>
        <w:autoSpaceDE w:val="0"/>
        <w:autoSpaceDN w:val="0"/>
        <w:adjustRightInd w:val="0"/>
        <w:rPr>
          <w:rFonts w:ascii="Arial" w:eastAsiaTheme="minorEastAsia" w:hAnsi="Arial" w:cs="Arial"/>
          <w:color w:val="000000"/>
          <w:lang w:eastAsia="en-US"/>
        </w:rPr>
      </w:pPr>
      <w:r w:rsidRPr="00D62C22">
        <w:rPr>
          <w:rFonts w:ascii="Arial" w:eastAsiaTheme="minorEastAsia" w:hAnsi="Arial" w:cs="Arial"/>
          <w:color w:val="000000" w:themeColor="text1"/>
          <w:lang w:eastAsia="en-US"/>
        </w:rPr>
        <w:t xml:space="preserve">Individual funding requests should only be made where the patient demonstrates clinical exceptionality.  </w:t>
      </w:r>
    </w:p>
    <w:p w14:paraId="26A7F841" w14:textId="72DF459D" w:rsidR="25028294" w:rsidRPr="00D62C22" w:rsidRDefault="25028294" w:rsidP="25028294">
      <w:pPr>
        <w:rPr>
          <w:rFonts w:ascii="Arial" w:eastAsiaTheme="minorEastAsia" w:hAnsi="Arial" w:cs="Arial"/>
          <w:color w:val="000000" w:themeColor="text1"/>
          <w:sz w:val="16"/>
          <w:szCs w:val="16"/>
          <w:lang w:eastAsia="en-US"/>
        </w:rPr>
      </w:pPr>
    </w:p>
    <w:p w14:paraId="664B9470" w14:textId="7CCD06CA" w:rsidR="00DA1ADF" w:rsidRPr="00173C29" w:rsidRDefault="0B5DEAD2" w:rsidP="00173C29">
      <w:pPr>
        <w:pStyle w:val="NoSpacing"/>
        <w:ind w:left="-20" w:right="-20"/>
        <w:rPr>
          <w:rStyle w:val="Hyperlink"/>
          <w:rFonts w:ascii="Arial" w:eastAsia="Arial" w:hAnsi="Arial" w:cs="Arial"/>
          <w:color w:val="auto"/>
          <w:sz w:val="24"/>
          <w:szCs w:val="24"/>
          <w:u w:val="none"/>
        </w:rPr>
      </w:pPr>
      <w:r w:rsidRPr="00D62C22">
        <w:rPr>
          <w:rFonts w:ascii="Arial" w:eastAsia="Arial" w:hAnsi="Arial" w:cs="Arial"/>
          <w:color w:val="000000" w:themeColor="text1"/>
          <w:sz w:val="24"/>
          <w:szCs w:val="24"/>
        </w:rPr>
        <w:t>Further information on applying for funding in exceptional clinical circumstances can be found on the ICB’s website.</w:t>
      </w:r>
    </w:p>
    <w:sectPr w:rsidR="00DA1ADF" w:rsidRPr="00173C29" w:rsidSect="0009407D">
      <w:headerReference w:type="default" r:id="rId20"/>
      <w:footerReference w:type="default" r:id="rId21"/>
      <w:pgSz w:w="11906" w:h="16838"/>
      <w:pgMar w:top="171" w:right="992" w:bottom="709" w:left="992" w:header="709"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FA6F" w14:textId="77777777" w:rsidR="00C026DC" w:rsidRDefault="00C026DC">
      <w:r>
        <w:separator/>
      </w:r>
    </w:p>
  </w:endnote>
  <w:endnote w:type="continuationSeparator" w:id="0">
    <w:p w14:paraId="7CD67B51" w14:textId="77777777" w:rsidR="00C026DC" w:rsidRDefault="00C0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4DB6" w14:textId="77777777" w:rsidR="00F07331" w:rsidRDefault="00F07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BC90" w14:textId="1E11A5D4" w:rsidR="00B9557D" w:rsidRDefault="00B9557D" w:rsidP="5EFFED6B">
    <w:pPr>
      <w:pStyle w:val="Footer"/>
      <w:tabs>
        <w:tab w:val="center" w:pos="4513"/>
        <w:tab w:val="right" w:pos="9026"/>
      </w:tabs>
    </w:pPr>
  </w:p>
  <w:p w14:paraId="27CAB5E2" w14:textId="77777777" w:rsidR="00B9557D" w:rsidRDefault="00B9557D" w:rsidP="25028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B7E3" w14:textId="77777777" w:rsidR="00F07331" w:rsidRDefault="00F073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615D" w14:textId="31135BE6" w:rsidR="25028294" w:rsidRDefault="00F07331" w:rsidP="25028294">
    <w:pPr>
      <w:pStyle w:val="Footer"/>
    </w:pPr>
    <w:r>
      <w:t xml:space="preserve">SRP 118 Surveillance </w:t>
    </w:r>
    <w:proofErr w:type="gramStart"/>
    <w:r>
      <w:t>Colonoscopy  Review</w:t>
    </w:r>
    <w:proofErr w:type="gramEnd"/>
    <w:r>
      <w:t xml:space="preserve"> Oct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498B" w14:textId="77777777" w:rsidR="00C026DC" w:rsidRDefault="00C026DC">
      <w:r>
        <w:separator/>
      </w:r>
    </w:p>
  </w:footnote>
  <w:footnote w:type="continuationSeparator" w:id="0">
    <w:p w14:paraId="5E8EDFC7" w14:textId="77777777" w:rsidR="00C026DC" w:rsidRDefault="00C026DC">
      <w:r>
        <w:continuationSeparator/>
      </w:r>
    </w:p>
  </w:footnote>
  <w:footnote w:id="1">
    <w:p w14:paraId="31144BE0" w14:textId="1732B273" w:rsidR="00F9616D" w:rsidRPr="00F9616D" w:rsidRDefault="00F9616D">
      <w:pPr>
        <w:pStyle w:val="FootnoteText"/>
        <w:rPr>
          <w:rFonts w:ascii="Arial" w:hAnsi="Arial" w:cs="Arial"/>
        </w:rPr>
      </w:pPr>
      <w:r w:rsidRPr="00F9616D">
        <w:rPr>
          <w:rStyle w:val="FootnoteReference"/>
          <w:rFonts w:ascii="Arial" w:hAnsi="Arial" w:cs="Arial"/>
        </w:rPr>
        <w:footnoteRef/>
      </w:r>
      <w:r w:rsidRPr="00F9616D">
        <w:rPr>
          <w:rFonts w:ascii="Arial" w:hAnsi="Arial" w:cs="Arial"/>
        </w:rPr>
        <w:t xml:space="preserve"> defined as a serrated polyp of at least 10mm in size or containing any grade of dysplasia, or an adenoma of at least 10mm in size or containing high-grade dysplasia</w:t>
      </w:r>
    </w:p>
  </w:footnote>
  <w:footnote w:id="2">
    <w:p w14:paraId="77572797" w14:textId="2C23ABA5" w:rsidR="004413BA" w:rsidRDefault="004413BA">
      <w:pPr>
        <w:pStyle w:val="FootnoteText"/>
      </w:pPr>
      <w:r>
        <w:rPr>
          <w:rStyle w:val="FootnoteReference"/>
        </w:rPr>
        <w:footnoteRef/>
      </w:r>
      <w:r>
        <w:t xml:space="preserve"> R0 No cancer cells are seen microscopically at the resection margins</w:t>
      </w:r>
    </w:p>
  </w:footnote>
  <w:footnote w:id="3">
    <w:p w14:paraId="20CA7188" w14:textId="54BD549C" w:rsidR="001A3BA2" w:rsidRDefault="001A3BA2">
      <w:pPr>
        <w:pStyle w:val="FootnoteText"/>
      </w:pPr>
      <w:r>
        <w:rPr>
          <w:rStyle w:val="FootnoteReference"/>
        </w:rPr>
        <w:footnoteRef/>
      </w:r>
      <w:r>
        <w:t xml:space="preserve"> </w:t>
      </w:r>
      <w:r w:rsidRPr="00BD0F2E">
        <w:rPr>
          <w:rFonts w:ascii="Arial" w:eastAsiaTheme="minorHAnsi" w:hAnsi="Arial" w:cs="Arial"/>
          <w:lang w:eastAsia="en-US"/>
        </w:rPr>
        <w:t>FDR, first degree relative</w:t>
      </w:r>
    </w:p>
  </w:footnote>
  <w:footnote w:id="4">
    <w:p w14:paraId="731C2969" w14:textId="6F4BAE01" w:rsidR="00471338" w:rsidRPr="001A3BA2" w:rsidRDefault="00471338" w:rsidP="001A3BA2">
      <w:pPr>
        <w:rPr>
          <w:rFonts w:ascii="Arial" w:eastAsiaTheme="minorHAnsi" w:hAnsi="Arial" w:cs="Arial"/>
          <w:sz w:val="20"/>
          <w:szCs w:val="20"/>
          <w:lang w:eastAsia="en-US"/>
        </w:rPr>
      </w:pPr>
      <w:r w:rsidRPr="00E31438">
        <w:rPr>
          <w:rStyle w:val="FootnoteReference"/>
          <w:rFonts w:ascii="Arial" w:hAnsi="Arial" w:cs="Arial"/>
          <w:sz w:val="20"/>
          <w:szCs w:val="20"/>
        </w:rPr>
        <w:footnoteRef/>
      </w:r>
      <w:r w:rsidRPr="00E31438">
        <w:rPr>
          <w:rFonts w:ascii="Arial" w:eastAsiaTheme="minorHAnsi" w:hAnsi="Arial" w:cs="Arial"/>
          <w:sz w:val="20"/>
          <w:szCs w:val="20"/>
          <w:lang w:eastAsia="en-US"/>
        </w:rPr>
        <w:t xml:space="preserve"> </w:t>
      </w:r>
      <w:r w:rsidRPr="00BD0F2E">
        <w:rPr>
          <w:rFonts w:ascii="Arial" w:eastAsiaTheme="minorHAnsi" w:hAnsi="Arial" w:cs="Arial"/>
          <w:sz w:val="20"/>
          <w:szCs w:val="20"/>
          <w:lang w:eastAsia="en-US"/>
        </w:rPr>
        <w:t>MMR, mismatch repair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85D3" w14:textId="77777777" w:rsidR="00F07331" w:rsidRDefault="00F07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F173" w14:textId="3F14DE36" w:rsidR="00B9557D" w:rsidRDefault="00B9557D" w:rsidP="25028294">
    <w:pPr>
      <w:pStyle w:val="Header"/>
    </w:pPr>
    <w:r>
      <w:rPr>
        <w:noProof/>
      </w:rPr>
      <w:drawing>
        <wp:inline distT="0" distB="0" distL="0" distR="0" wp14:anchorId="57DAECBA" wp14:editId="6037DC67">
          <wp:extent cx="5379814" cy="1049064"/>
          <wp:effectExtent l="0" t="0" r="0" b="0"/>
          <wp:docPr id="434745101" name="Picture 43474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399917" cy="1052984"/>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9BE5" w14:textId="77777777" w:rsidR="00F07331" w:rsidRDefault="00F073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FAB6" w14:textId="27644058" w:rsidR="25028294" w:rsidRDefault="25028294" w:rsidP="25028294">
    <w:pPr>
      <w:pStyle w:val="Header"/>
    </w:pPr>
    <w:r>
      <w:rPr>
        <w:noProof/>
      </w:rPr>
      <w:drawing>
        <wp:inline distT="0" distB="0" distL="0" distR="0" wp14:anchorId="30D2AEB7" wp14:editId="4A9D7A9A">
          <wp:extent cx="5715000" cy="1114425"/>
          <wp:effectExtent l="0" t="0" r="0" b="0"/>
          <wp:docPr id="1983132618" name="Picture 198313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1114425"/>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A5A"/>
    <w:multiLevelType w:val="multilevel"/>
    <w:tmpl w:val="FC94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F7846"/>
    <w:multiLevelType w:val="multilevel"/>
    <w:tmpl w:val="F23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023B4"/>
    <w:multiLevelType w:val="multilevel"/>
    <w:tmpl w:val="F1C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A6860"/>
    <w:multiLevelType w:val="multilevel"/>
    <w:tmpl w:val="E8D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06CEB"/>
    <w:multiLevelType w:val="multilevel"/>
    <w:tmpl w:val="6FB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C6D71"/>
    <w:multiLevelType w:val="multilevel"/>
    <w:tmpl w:val="9A5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E4349"/>
    <w:multiLevelType w:val="multilevel"/>
    <w:tmpl w:val="F378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0A43"/>
    <w:multiLevelType w:val="multilevel"/>
    <w:tmpl w:val="F8D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75B5"/>
    <w:multiLevelType w:val="multilevel"/>
    <w:tmpl w:val="D54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36F07"/>
    <w:multiLevelType w:val="multilevel"/>
    <w:tmpl w:val="469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D22B2"/>
    <w:multiLevelType w:val="multilevel"/>
    <w:tmpl w:val="8D2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45A76"/>
    <w:multiLevelType w:val="multilevel"/>
    <w:tmpl w:val="2F8C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D6F92"/>
    <w:multiLevelType w:val="multilevel"/>
    <w:tmpl w:val="15E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259BA"/>
    <w:multiLevelType w:val="multilevel"/>
    <w:tmpl w:val="1980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526E8"/>
    <w:multiLevelType w:val="hybridMultilevel"/>
    <w:tmpl w:val="7D1E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795E"/>
    <w:multiLevelType w:val="multilevel"/>
    <w:tmpl w:val="CAF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56411"/>
    <w:multiLevelType w:val="hybridMultilevel"/>
    <w:tmpl w:val="6456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837CB"/>
    <w:multiLevelType w:val="multilevel"/>
    <w:tmpl w:val="2C9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33723"/>
    <w:multiLevelType w:val="multilevel"/>
    <w:tmpl w:val="F9D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01ECA"/>
    <w:multiLevelType w:val="multilevel"/>
    <w:tmpl w:val="F8D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B65CA"/>
    <w:multiLevelType w:val="multilevel"/>
    <w:tmpl w:val="6FB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D02E8"/>
    <w:multiLevelType w:val="multilevel"/>
    <w:tmpl w:val="709A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B629E"/>
    <w:multiLevelType w:val="multilevel"/>
    <w:tmpl w:val="4C0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97BD0"/>
    <w:multiLevelType w:val="multilevel"/>
    <w:tmpl w:val="6F2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12B64"/>
    <w:multiLevelType w:val="multilevel"/>
    <w:tmpl w:val="AB94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486555">
    <w:abstractNumId w:val="7"/>
  </w:num>
  <w:num w:numId="2" w16cid:durableId="1272981565">
    <w:abstractNumId w:val="19"/>
  </w:num>
  <w:num w:numId="3" w16cid:durableId="181474238">
    <w:abstractNumId w:val="15"/>
  </w:num>
  <w:num w:numId="4" w16cid:durableId="1334340494">
    <w:abstractNumId w:val="2"/>
  </w:num>
  <w:num w:numId="5" w16cid:durableId="843205997">
    <w:abstractNumId w:val="24"/>
  </w:num>
  <w:num w:numId="6" w16cid:durableId="391123619">
    <w:abstractNumId w:val="5"/>
  </w:num>
  <w:num w:numId="7" w16cid:durableId="645404245">
    <w:abstractNumId w:val="11"/>
  </w:num>
  <w:num w:numId="8" w16cid:durableId="357899728">
    <w:abstractNumId w:val="20"/>
  </w:num>
  <w:num w:numId="9" w16cid:durableId="652098697">
    <w:abstractNumId w:val="17"/>
  </w:num>
  <w:num w:numId="10" w16cid:durableId="753749043">
    <w:abstractNumId w:val="3"/>
  </w:num>
  <w:num w:numId="11" w16cid:durableId="268852359">
    <w:abstractNumId w:val="23"/>
  </w:num>
  <w:num w:numId="12" w16cid:durableId="1142891940">
    <w:abstractNumId w:val="13"/>
  </w:num>
  <w:num w:numId="13" w16cid:durableId="872570987">
    <w:abstractNumId w:val="4"/>
  </w:num>
  <w:num w:numId="14" w16cid:durableId="259798468">
    <w:abstractNumId w:val="9"/>
  </w:num>
  <w:num w:numId="15" w16cid:durableId="1988977695">
    <w:abstractNumId w:val="22"/>
  </w:num>
  <w:num w:numId="16" w16cid:durableId="900018849">
    <w:abstractNumId w:val="8"/>
  </w:num>
  <w:num w:numId="17" w16cid:durableId="2134933496">
    <w:abstractNumId w:val="0"/>
  </w:num>
  <w:num w:numId="18" w16cid:durableId="2075008030">
    <w:abstractNumId w:val="1"/>
  </w:num>
  <w:num w:numId="19" w16cid:durableId="1829780875">
    <w:abstractNumId w:val="18"/>
  </w:num>
  <w:num w:numId="20" w16cid:durableId="621545563">
    <w:abstractNumId w:val="10"/>
  </w:num>
  <w:num w:numId="21" w16cid:durableId="925458121">
    <w:abstractNumId w:val="12"/>
  </w:num>
  <w:num w:numId="22" w16cid:durableId="1458916772">
    <w:abstractNumId w:val="16"/>
  </w:num>
  <w:num w:numId="23" w16cid:durableId="219366169">
    <w:abstractNumId w:val="14"/>
  </w:num>
  <w:num w:numId="24" w16cid:durableId="881139453">
    <w:abstractNumId w:val="6"/>
  </w:num>
  <w:num w:numId="25" w16cid:durableId="1772894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1D"/>
    <w:rsid w:val="000007F7"/>
    <w:rsid w:val="0004155E"/>
    <w:rsid w:val="000415B0"/>
    <w:rsid w:val="00042EF6"/>
    <w:rsid w:val="00072450"/>
    <w:rsid w:val="000748A9"/>
    <w:rsid w:val="00077D8C"/>
    <w:rsid w:val="0008283A"/>
    <w:rsid w:val="0009233E"/>
    <w:rsid w:val="0009407D"/>
    <w:rsid w:val="000A2F88"/>
    <w:rsid w:val="000A3082"/>
    <w:rsid w:val="000B7FBF"/>
    <w:rsid w:val="000C6BE6"/>
    <w:rsid w:val="000D31A2"/>
    <w:rsid w:val="000E0394"/>
    <w:rsid w:val="000E0B9E"/>
    <w:rsid w:val="000E2D41"/>
    <w:rsid w:val="000F2213"/>
    <w:rsid w:val="000F6ED3"/>
    <w:rsid w:val="00116A18"/>
    <w:rsid w:val="001305A6"/>
    <w:rsid w:val="0015210D"/>
    <w:rsid w:val="00164ADC"/>
    <w:rsid w:val="00167A15"/>
    <w:rsid w:val="00167EA2"/>
    <w:rsid w:val="00170EFA"/>
    <w:rsid w:val="00172E55"/>
    <w:rsid w:val="00173C29"/>
    <w:rsid w:val="0018014C"/>
    <w:rsid w:val="00184065"/>
    <w:rsid w:val="00187E5A"/>
    <w:rsid w:val="001A3BA2"/>
    <w:rsid w:val="001A6A2E"/>
    <w:rsid w:val="001A7D77"/>
    <w:rsid w:val="001B5555"/>
    <w:rsid w:val="001C6EDA"/>
    <w:rsid w:val="001E3526"/>
    <w:rsid w:val="00201418"/>
    <w:rsid w:val="00205898"/>
    <w:rsid w:val="00225C54"/>
    <w:rsid w:val="00250411"/>
    <w:rsid w:val="00265963"/>
    <w:rsid w:val="002679CA"/>
    <w:rsid w:val="002A580A"/>
    <w:rsid w:val="002A5B2A"/>
    <w:rsid w:val="002C12AA"/>
    <w:rsid w:val="002C4852"/>
    <w:rsid w:val="002C75CA"/>
    <w:rsid w:val="002D79D7"/>
    <w:rsid w:val="002E682A"/>
    <w:rsid w:val="002E72B6"/>
    <w:rsid w:val="002F4139"/>
    <w:rsid w:val="002F5D35"/>
    <w:rsid w:val="002F5F4D"/>
    <w:rsid w:val="002F700A"/>
    <w:rsid w:val="003020A3"/>
    <w:rsid w:val="00307575"/>
    <w:rsid w:val="00327180"/>
    <w:rsid w:val="00345698"/>
    <w:rsid w:val="003512D6"/>
    <w:rsid w:val="0036662A"/>
    <w:rsid w:val="00371032"/>
    <w:rsid w:val="00382142"/>
    <w:rsid w:val="0038540A"/>
    <w:rsid w:val="003A1E06"/>
    <w:rsid w:val="003C62FD"/>
    <w:rsid w:val="003F7956"/>
    <w:rsid w:val="004251C1"/>
    <w:rsid w:val="00425405"/>
    <w:rsid w:val="004340A4"/>
    <w:rsid w:val="004413BA"/>
    <w:rsid w:val="00452EA3"/>
    <w:rsid w:val="00466B24"/>
    <w:rsid w:val="004679CA"/>
    <w:rsid w:val="00471338"/>
    <w:rsid w:val="00471755"/>
    <w:rsid w:val="004814A0"/>
    <w:rsid w:val="00482B8A"/>
    <w:rsid w:val="0048667B"/>
    <w:rsid w:val="004A1E5C"/>
    <w:rsid w:val="004A3D18"/>
    <w:rsid w:val="004B1998"/>
    <w:rsid w:val="004D14BA"/>
    <w:rsid w:val="004E6C41"/>
    <w:rsid w:val="004F0574"/>
    <w:rsid w:val="00517D21"/>
    <w:rsid w:val="0052691B"/>
    <w:rsid w:val="005338CD"/>
    <w:rsid w:val="00533DFD"/>
    <w:rsid w:val="005404BF"/>
    <w:rsid w:val="00550719"/>
    <w:rsid w:val="00550AD6"/>
    <w:rsid w:val="005567E2"/>
    <w:rsid w:val="00566526"/>
    <w:rsid w:val="00570EB6"/>
    <w:rsid w:val="00575240"/>
    <w:rsid w:val="005807AD"/>
    <w:rsid w:val="005A2518"/>
    <w:rsid w:val="005A7CCD"/>
    <w:rsid w:val="005B01F7"/>
    <w:rsid w:val="005B4882"/>
    <w:rsid w:val="005B6CA1"/>
    <w:rsid w:val="005B703F"/>
    <w:rsid w:val="006160CF"/>
    <w:rsid w:val="006234BD"/>
    <w:rsid w:val="00631029"/>
    <w:rsid w:val="00663C71"/>
    <w:rsid w:val="00664E1A"/>
    <w:rsid w:val="00672079"/>
    <w:rsid w:val="00676838"/>
    <w:rsid w:val="006839EE"/>
    <w:rsid w:val="006A756D"/>
    <w:rsid w:val="006B2B4D"/>
    <w:rsid w:val="006C126E"/>
    <w:rsid w:val="006C7580"/>
    <w:rsid w:val="006D37D0"/>
    <w:rsid w:val="006F12B2"/>
    <w:rsid w:val="00711A50"/>
    <w:rsid w:val="00721BB5"/>
    <w:rsid w:val="0072384F"/>
    <w:rsid w:val="0074163D"/>
    <w:rsid w:val="00774093"/>
    <w:rsid w:val="007753DB"/>
    <w:rsid w:val="00785F4F"/>
    <w:rsid w:val="007867C2"/>
    <w:rsid w:val="00793B27"/>
    <w:rsid w:val="007A452D"/>
    <w:rsid w:val="007A6F5C"/>
    <w:rsid w:val="007B5B55"/>
    <w:rsid w:val="007C0409"/>
    <w:rsid w:val="007C1E47"/>
    <w:rsid w:val="007C3ADA"/>
    <w:rsid w:val="007C61ED"/>
    <w:rsid w:val="007D7C9F"/>
    <w:rsid w:val="007E01C9"/>
    <w:rsid w:val="007E1C84"/>
    <w:rsid w:val="007E4D88"/>
    <w:rsid w:val="00806299"/>
    <w:rsid w:val="0081023A"/>
    <w:rsid w:val="00811CD7"/>
    <w:rsid w:val="0082674E"/>
    <w:rsid w:val="008277E0"/>
    <w:rsid w:val="008322CC"/>
    <w:rsid w:val="008328F4"/>
    <w:rsid w:val="0086050B"/>
    <w:rsid w:val="0086224C"/>
    <w:rsid w:val="0086333C"/>
    <w:rsid w:val="008644B1"/>
    <w:rsid w:val="008723AE"/>
    <w:rsid w:val="0088004E"/>
    <w:rsid w:val="008915A9"/>
    <w:rsid w:val="008A0892"/>
    <w:rsid w:val="008A6BB5"/>
    <w:rsid w:val="008A7E7B"/>
    <w:rsid w:val="008B125E"/>
    <w:rsid w:val="008C0560"/>
    <w:rsid w:val="008C65D3"/>
    <w:rsid w:val="008F390B"/>
    <w:rsid w:val="008F5B87"/>
    <w:rsid w:val="008F79F8"/>
    <w:rsid w:val="00905661"/>
    <w:rsid w:val="00923515"/>
    <w:rsid w:val="00941995"/>
    <w:rsid w:val="00942DAA"/>
    <w:rsid w:val="009442E3"/>
    <w:rsid w:val="00951CC1"/>
    <w:rsid w:val="00962250"/>
    <w:rsid w:val="00963849"/>
    <w:rsid w:val="00966D9F"/>
    <w:rsid w:val="009A07C8"/>
    <w:rsid w:val="009A3BC1"/>
    <w:rsid w:val="009B2EA7"/>
    <w:rsid w:val="009C303B"/>
    <w:rsid w:val="009D13AA"/>
    <w:rsid w:val="009D274F"/>
    <w:rsid w:val="009E1690"/>
    <w:rsid w:val="00A23CCF"/>
    <w:rsid w:val="00A25F8E"/>
    <w:rsid w:val="00A327AB"/>
    <w:rsid w:val="00A356B2"/>
    <w:rsid w:val="00A45D4A"/>
    <w:rsid w:val="00A47A05"/>
    <w:rsid w:val="00A5212D"/>
    <w:rsid w:val="00A65B57"/>
    <w:rsid w:val="00A81DC9"/>
    <w:rsid w:val="00A8397D"/>
    <w:rsid w:val="00A962FD"/>
    <w:rsid w:val="00AA0E8A"/>
    <w:rsid w:val="00AA5D2B"/>
    <w:rsid w:val="00AA65BB"/>
    <w:rsid w:val="00AE2D05"/>
    <w:rsid w:val="00AE2E52"/>
    <w:rsid w:val="00AE5C28"/>
    <w:rsid w:val="00AF651F"/>
    <w:rsid w:val="00B00A80"/>
    <w:rsid w:val="00B02BA7"/>
    <w:rsid w:val="00B17E1E"/>
    <w:rsid w:val="00B62667"/>
    <w:rsid w:val="00B6382D"/>
    <w:rsid w:val="00B760E3"/>
    <w:rsid w:val="00B926A4"/>
    <w:rsid w:val="00B92B99"/>
    <w:rsid w:val="00B9469F"/>
    <w:rsid w:val="00B9557D"/>
    <w:rsid w:val="00B972BA"/>
    <w:rsid w:val="00BA2201"/>
    <w:rsid w:val="00BB67F1"/>
    <w:rsid w:val="00BD0F2E"/>
    <w:rsid w:val="00BF070B"/>
    <w:rsid w:val="00BF7B91"/>
    <w:rsid w:val="00C026DC"/>
    <w:rsid w:val="00C33FFD"/>
    <w:rsid w:val="00C650A2"/>
    <w:rsid w:val="00C72962"/>
    <w:rsid w:val="00C876B5"/>
    <w:rsid w:val="00C97B4D"/>
    <w:rsid w:val="00CA0594"/>
    <w:rsid w:val="00CA5DB7"/>
    <w:rsid w:val="00CB6860"/>
    <w:rsid w:val="00CD1C72"/>
    <w:rsid w:val="00CE66F7"/>
    <w:rsid w:val="00D0151D"/>
    <w:rsid w:val="00D03A37"/>
    <w:rsid w:val="00D112A1"/>
    <w:rsid w:val="00D125DF"/>
    <w:rsid w:val="00D20A9E"/>
    <w:rsid w:val="00D225C1"/>
    <w:rsid w:val="00D23A09"/>
    <w:rsid w:val="00D40ECF"/>
    <w:rsid w:val="00D436FD"/>
    <w:rsid w:val="00D437A8"/>
    <w:rsid w:val="00D43EB4"/>
    <w:rsid w:val="00D602C7"/>
    <w:rsid w:val="00D62C22"/>
    <w:rsid w:val="00D71069"/>
    <w:rsid w:val="00D8065F"/>
    <w:rsid w:val="00D84E78"/>
    <w:rsid w:val="00DA1ADF"/>
    <w:rsid w:val="00DA5728"/>
    <w:rsid w:val="00DD2894"/>
    <w:rsid w:val="00DD3B3A"/>
    <w:rsid w:val="00E05E95"/>
    <w:rsid w:val="00E31438"/>
    <w:rsid w:val="00E356BA"/>
    <w:rsid w:val="00E422CC"/>
    <w:rsid w:val="00E65073"/>
    <w:rsid w:val="00E65DB1"/>
    <w:rsid w:val="00E855C4"/>
    <w:rsid w:val="00E86DBB"/>
    <w:rsid w:val="00EA6E1B"/>
    <w:rsid w:val="00EA7A7A"/>
    <w:rsid w:val="00EB6232"/>
    <w:rsid w:val="00EC11B4"/>
    <w:rsid w:val="00EC24D5"/>
    <w:rsid w:val="00EC2D8D"/>
    <w:rsid w:val="00EC383E"/>
    <w:rsid w:val="00ED039D"/>
    <w:rsid w:val="00EE086F"/>
    <w:rsid w:val="00F07331"/>
    <w:rsid w:val="00F316A5"/>
    <w:rsid w:val="00F33F56"/>
    <w:rsid w:val="00F361F8"/>
    <w:rsid w:val="00F568BF"/>
    <w:rsid w:val="00F604A0"/>
    <w:rsid w:val="00F65E7E"/>
    <w:rsid w:val="00F9233D"/>
    <w:rsid w:val="00F9616D"/>
    <w:rsid w:val="00FC0288"/>
    <w:rsid w:val="00FC68A5"/>
    <w:rsid w:val="00FC6955"/>
    <w:rsid w:val="00FD3A00"/>
    <w:rsid w:val="00FF3771"/>
    <w:rsid w:val="00FF6678"/>
    <w:rsid w:val="02DF1F84"/>
    <w:rsid w:val="0B5DEAD2"/>
    <w:rsid w:val="1B9EC930"/>
    <w:rsid w:val="249F81D4"/>
    <w:rsid w:val="25028294"/>
    <w:rsid w:val="28082F48"/>
    <w:rsid w:val="2BE6E32F"/>
    <w:rsid w:val="349325EB"/>
    <w:rsid w:val="35A60241"/>
    <w:rsid w:val="38C3D0F3"/>
    <w:rsid w:val="3FE63D66"/>
    <w:rsid w:val="5EFFED6B"/>
    <w:rsid w:val="68502407"/>
    <w:rsid w:val="6C37BFBD"/>
    <w:rsid w:val="6F3C9A1F"/>
    <w:rsid w:val="71BB2BD4"/>
    <w:rsid w:val="72031453"/>
    <w:rsid w:val="77123DB6"/>
    <w:rsid w:val="78A5C1C4"/>
    <w:rsid w:val="7A7B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B6AC"/>
  <w15:chartTrackingRefBased/>
  <w15:docId w15:val="{4BA45F62-5723-4E01-895E-64290342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51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70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D225C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151D"/>
    <w:pPr>
      <w:spacing w:before="100" w:beforeAutospacing="1" w:after="100" w:afterAutospacing="1"/>
    </w:pPr>
  </w:style>
  <w:style w:type="character" w:styleId="Hyperlink">
    <w:name w:val="Hyperlink"/>
    <w:basedOn w:val="DefaultParagraphFont"/>
    <w:uiPriority w:val="99"/>
    <w:unhideWhenUsed/>
    <w:rsid w:val="00167A15"/>
    <w:rPr>
      <w:color w:val="0563C1" w:themeColor="hyperlink"/>
      <w:u w:val="single"/>
    </w:rPr>
  </w:style>
  <w:style w:type="character" w:styleId="UnresolvedMention">
    <w:name w:val="Unresolved Mention"/>
    <w:basedOn w:val="DefaultParagraphFont"/>
    <w:uiPriority w:val="99"/>
    <w:semiHidden/>
    <w:unhideWhenUsed/>
    <w:rsid w:val="00167A15"/>
    <w:rPr>
      <w:color w:val="605E5C"/>
      <w:shd w:val="clear" w:color="auto" w:fill="E1DFDD"/>
    </w:rPr>
  </w:style>
  <w:style w:type="table" w:styleId="TableGrid">
    <w:name w:val="Table Grid"/>
    <w:basedOn w:val="TableNormal"/>
    <w:uiPriority w:val="59"/>
    <w:rsid w:val="00DA1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uiPriority w:val="1"/>
    <w:rsid w:val="25028294"/>
    <w:rPr>
      <w:rFonts w:asciiTheme="minorHAnsi" w:eastAsiaTheme="minorEastAsia" w:hAnsiTheme="minorHAnsi" w:cstheme="minorBidi"/>
      <w:sz w:val="22"/>
      <w:szCs w:val="22"/>
    </w:r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D40ECF"/>
    <w:rPr>
      <w:color w:val="954F72" w:themeColor="followedHyperlink"/>
      <w:u w:val="single"/>
    </w:rPr>
  </w:style>
  <w:style w:type="character" w:styleId="CommentReference">
    <w:name w:val="annotation reference"/>
    <w:basedOn w:val="DefaultParagraphFont"/>
    <w:uiPriority w:val="99"/>
    <w:semiHidden/>
    <w:unhideWhenUsed/>
    <w:rsid w:val="00D84E78"/>
    <w:rPr>
      <w:sz w:val="16"/>
      <w:szCs w:val="16"/>
    </w:rPr>
  </w:style>
  <w:style w:type="paragraph" w:styleId="CommentText">
    <w:name w:val="annotation text"/>
    <w:basedOn w:val="Normal"/>
    <w:link w:val="CommentTextChar"/>
    <w:uiPriority w:val="99"/>
    <w:unhideWhenUsed/>
    <w:rsid w:val="00D84E78"/>
    <w:rPr>
      <w:sz w:val="20"/>
      <w:szCs w:val="20"/>
    </w:rPr>
  </w:style>
  <w:style w:type="character" w:customStyle="1" w:styleId="CommentTextChar">
    <w:name w:val="Comment Text Char"/>
    <w:basedOn w:val="DefaultParagraphFont"/>
    <w:link w:val="CommentText"/>
    <w:uiPriority w:val="99"/>
    <w:rsid w:val="00D84E7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84E78"/>
    <w:rPr>
      <w:b/>
      <w:bCs/>
    </w:rPr>
  </w:style>
  <w:style w:type="character" w:customStyle="1" w:styleId="CommentSubjectChar">
    <w:name w:val="Comment Subject Char"/>
    <w:basedOn w:val="CommentTextChar"/>
    <w:link w:val="CommentSubject"/>
    <w:uiPriority w:val="99"/>
    <w:semiHidden/>
    <w:rsid w:val="00D84E7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951CC1"/>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B62667"/>
    <w:pPr>
      <w:ind w:left="720"/>
      <w:contextualSpacing/>
    </w:pPr>
  </w:style>
  <w:style w:type="paragraph" w:styleId="FootnoteText">
    <w:name w:val="footnote text"/>
    <w:basedOn w:val="Normal"/>
    <w:link w:val="FootnoteTextChar"/>
    <w:uiPriority w:val="99"/>
    <w:semiHidden/>
    <w:unhideWhenUsed/>
    <w:rsid w:val="00B62667"/>
    <w:rPr>
      <w:sz w:val="20"/>
      <w:szCs w:val="20"/>
    </w:rPr>
  </w:style>
  <w:style w:type="character" w:customStyle="1" w:styleId="FootnoteTextChar">
    <w:name w:val="Footnote Text Char"/>
    <w:basedOn w:val="DefaultParagraphFont"/>
    <w:link w:val="FootnoteText"/>
    <w:uiPriority w:val="99"/>
    <w:semiHidden/>
    <w:rsid w:val="00B6266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62667"/>
    <w:rPr>
      <w:vertAlign w:val="superscript"/>
    </w:rPr>
  </w:style>
  <w:style w:type="character" w:customStyle="1" w:styleId="Heading2Char">
    <w:name w:val="Heading 2 Char"/>
    <w:basedOn w:val="DefaultParagraphFont"/>
    <w:link w:val="Heading2"/>
    <w:uiPriority w:val="9"/>
    <w:rsid w:val="005B703F"/>
    <w:rPr>
      <w:rFonts w:asciiTheme="majorHAnsi" w:eastAsiaTheme="majorEastAsia" w:hAnsiTheme="majorHAnsi" w:cstheme="majorBidi"/>
      <w:color w:val="2F5496" w:themeColor="accent1" w:themeShade="BF"/>
      <w:sz w:val="26"/>
      <w:szCs w:val="26"/>
      <w:lang w:eastAsia="en-GB"/>
    </w:rPr>
  </w:style>
  <w:style w:type="character" w:customStyle="1" w:styleId="Heading5Char">
    <w:name w:val="Heading 5 Char"/>
    <w:basedOn w:val="DefaultParagraphFont"/>
    <w:link w:val="Heading5"/>
    <w:uiPriority w:val="9"/>
    <w:semiHidden/>
    <w:rsid w:val="00D225C1"/>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7366">
      <w:bodyDiv w:val="1"/>
      <w:marLeft w:val="0"/>
      <w:marRight w:val="0"/>
      <w:marTop w:val="0"/>
      <w:marBottom w:val="0"/>
      <w:divBdr>
        <w:top w:val="none" w:sz="0" w:space="0" w:color="auto"/>
        <w:left w:val="none" w:sz="0" w:space="0" w:color="auto"/>
        <w:bottom w:val="none" w:sz="0" w:space="0" w:color="auto"/>
        <w:right w:val="none" w:sz="0" w:space="0" w:color="auto"/>
      </w:divBdr>
    </w:div>
    <w:div w:id="132135928">
      <w:bodyDiv w:val="1"/>
      <w:marLeft w:val="0"/>
      <w:marRight w:val="0"/>
      <w:marTop w:val="0"/>
      <w:marBottom w:val="0"/>
      <w:divBdr>
        <w:top w:val="none" w:sz="0" w:space="0" w:color="auto"/>
        <w:left w:val="none" w:sz="0" w:space="0" w:color="auto"/>
        <w:bottom w:val="none" w:sz="0" w:space="0" w:color="auto"/>
        <w:right w:val="none" w:sz="0" w:space="0" w:color="auto"/>
      </w:divBdr>
    </w:div>
    <w:div w:id="157230587">
      <w:bodyDiv w:val="1"/>
      <w:marLeft w:val="0"/>
      <w:marRight w:val="0"/>
      <w:marTop w:val="0"/>
      <w:marBottom w:val="0"/>
      <w:divBdr>
        <w:top w:val="none" w:sz="0" w:space="0" w:color="auto"/>
        <w:left w:val="none" w:sz="0" w:space="0" w:color="auto"/>
        <w:bottom w:val="none" w:sz="0" w:space="0" w:color="auto"/>
        <w:right w:val="none" w:sz="0" w:space="0" w:color="auto"/>
      </w:divBdr>
    </w:div>
    <w:div w:id="222302667">
      <w:bodyDiv w:val="1"/>
      <w:marLeft w:val="0"/>
      <w:marRight w:val="0"/>
      <w:marTop w:val="0"/>
      <w:marBottom w:val="0"/>
      <w:divBdr>
        <w:top w:val="none" w:sz="0" w:space="0" w:color="auto"/>
        <w:left w:val="none" w:sz="0" w:space="0" w:color="auto"/>
        <w:bottom w:val="none" w:sz="0" w:space="0" w:color="auto"/>
        <w:right w:val="none" w:sz="0" w:space="0" w:color="auto"/>
      </w:divBdr>
    </w:div>
    <w:div w:id="430857023">
      <w:bodyDiv w:val="1"/>
      <w:marLeft w:val="0"/>
      <w:marRight w:val="0"/>
      <w:marTop w:val="0"/>
      <w:marBottom w:val="0"/>
      <w:divBdr>
        <w:top w:val="none" w:sz="0" w:space="0" w:color="auto"/>
        <w:left w:val="none" w:sz="0" w:space="0" w:color="auto"/>
        <w:bottom w:val="none" w:sz="0" w:space="0" w:color="auto"/>
        <w:right w:val="none" w:sz="0" w:space="0" w:color="auto"/>
      </w:divBdr>
    </w:div>
    <w:div w:id="502429442">
      <w:bodyDiv w:val="1"/>
      <w:marLeft w:val="0"/>
      <w:marRight w:val="0"/>
      <w:marTop w:val="0"/>
      <w:marBottom w:val="0"/>
      <w:divBdr>
        <w:top w:val="none" w:sz="0" w:space="0" w:color="auto"/>
        <w:left w:val="none" w:sz="0" w:space="0" w:color="auto"/>
        <w:bottom w:val="none" w:sz="0" w:space="0" w:color="auto"/>
        <w:right w:val="none" w:sz="0" w:space="0" w:color="auto"/>
      </w:divBdr>
    </w:div>
    <w:div w:id="536821534">
      <w:bodyDiv w:val="1"/>
      <w:marLeft w:val="0"/>
      <w:marRight w:val="0"/>
      <w:marTop w:val="0"/>
      <w:marBottom w:val="0"/>
      <w:divBdr>
        <w:top w:val="none" w:sz="0" w:space="0" w:color="auto"/>
        <w:left w:val="none" w:sz="0" w:space="0" w:color="auto"/>
        <w:bottom w:val="none" w:sz="0" w:space="0" w:color="auto"/>
        <w:right w:val="none" w:sz="0" w:space="0" w:color="auto"/>
      </w:divBdr>
    </w:div>
    <w:div w:id="721363304">
      <w:bodyDiv w:val="1"/>
      <w:marLeft w:val="0"/>
      <w:marRight w:val="0"/>
      <w:marTop w:val="0"/>
      <w:marBottom w:val="0"/>
      <w:divBdr>
        <w:top w:val="none" w:sz="0" w:space="0" w:color="auto"/>
        <w:left w:val="none" w:sz="0" w:space="0" w:color="auto"/>
        <w:bottom w:val="none" w:sz="0" w:space="0" w:color="auto"/>
        <w:right w:val="none" w:sz="0" w:space="0" w:color="auto"/>
      </w:divBdr>
    </w:div>
    <w:div w:id="879440292">
      <w:bodyDiv w:val="1"/>
      <w:marLeft w:val="0"/>
      <w:marRight w:val="0"/>
      <w:marTop w:val="0"/>
      <w:marBottom w:val="0"/>
      <w:divBdr>
        <w:top w:val="none" w:sz="0" w:space="0" w:color="auto"/>
        <w:left w:val="none" w:sz="0" w:space="0" w:color="auto"/>
        <w:bottom w:val="none" w:sz="0" w:space="0" w:color="auto"/>
        <w:right w:val="none" w:sz="0" w:space="0" w:color="auto"/>
      </w:divBdr>
      <w:divsChild>
        <w:div w:id="289669632">
          <w:marLeft w:val="0"/>
          <w:marRight w:val="0"/>
          <w:marTop w:val="0"/>
          <w:marBottom w:val="0"/>
          <w:divBdr>
            <w:top w:val="none" w:sz="0" w:space="0" w:color="auto"/>
            <w:left w:val="none" w:sz="0" w:space="0" w:color="auto"/>
            <w:bottom w:val="none" w:sz="0" w:space="0" w:color="auto"/>
            <w:right w:val="none" w:sz="0" w:space="0" w:color="auto"/>
          </w:divBdr>
        </w:div>
      </w:divsChild>
    </w:div>
    <w:div w:id="972712743">
      <w:bodyDiv w:val="1"/>
      <w:marLeft w:val="0"/>
      <w:marRight w:val="0"/>
      <w:marTop w:val="0"/>
      <w:marBottom w:val="0"/>
      <w:divBdr>
        <w:top w:val="none" w:sz="0" w:space="0" w:color="auto"/>
        <w:left w:val="none" w:sz="0" w:space="0" w:color="auto"/>
        <w:bottom w:val="none" w:sz="0" w:space="0" w:color="auto"/>
        <w:right w:val="none" w:sz="0" w:space="0" w:color="auto"/>
      </w:divBdr>
    </w:div>
    <w:div w:id="1044981910">
      <w:bodyDiv w:val="1"/>
      <w:marLeft w:val="0"/>
      <w:marRight w:val="0"/>
      <w:marTop w:val="0"/>
      <w:marBottom w:val="0"/>
      <w:divBdr>
        <w:top w:val="none" w:sz="0" w:space="0" w:color="auto"/>
        <w:left w:val="none" w:sz="0" w:space="0" w:color="auto"/>
        <w:bottom w:val="none" w:sz="0" w:space="0" w:color="auto"/>
        <w:right w:val="none" w:sz="0" w:space="0" w:color="auto"/>
      </w:divBdr>
    </w:div>
    <w:div w:id="1063259145">
      <w:bodyDiv w:val="1"/>
      <w:marLeft w:val="0"/>
      <w:marRight w:val="0"/>
      <w:marTop w:val="0"/>
      <w:marBottom w:val="0"/>
      <w:divBdr>
        <w:top w:val="none" w:sz="0" w:space="0" w:color="auto"/>
        <w:left w:val="none" w:sz="0" w:space="0" w:color="auto"/>
        <w:bottom w:val="none" w:sz="0" w:space="0" w:color="auto"/>
        <w:right w:val="none" w:sz="0" w:space="0" w:color="auto"/>
      </w:divBdr>
    </w:div>
    <w:div w:id="122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1163698">
          <w:marLeft w:val="0"/>
          <w:marRight w:val="0"/>
          <w:marTop w:val="0"/>
          <w:marBottom w:val="0"/>
          <w:divBdr>
            <w:top w:val="none" w:sz="0" w:space="0" w:color="auto"/>
            <w:left w:val="none" w:sz="0" w:space="0" w:color="auto"/>
            <w:bottom w:val="none" w:sz="0" w:space="0" w:color="auto"/>
            <w:right w:val="none" w:sz="0" w:space="0" w:color="auto"/>
          </w:divBdr>
        </w:div>
      </w:divsChild>
    </w:div>
    <w:div w:id="1650671127">
      <w:bodyDiv w:val="1"/>
      <w:marLeft w:val="0"/>
      <w:marRight w:val="0"/>
      <w:marTop w:val="0"/>
      <w:marBottom w:val="0"/>
      <w:divBdr>
        <w:top w:val="none" w:sz="0" w:space="0" w:color="auto"/>
        <w:left w:val="none" w:sz="0" w:space="0" w:color="auto"/>
        <w:bottom w:val="none" w:sz="0" w:space="0" w:color="auto"/>
        <w:right w:val="none" w:sz="0" w:space="0" w:color="auto"/>
      </w:divBdr>
    </w:div>
    <w:div w:id="1840533387">
      <w:bodyDiv w:val="1"/>
      <w:marLeft w:val="0"/>
      <w:marRight w:val="0"/>
      <w:marTop w:val="0"/>
      <w:marBottom w:val="0"/>
      <w:divBdr>
        <w:top w:val="none" w:sz="0" w:space="0" w:color="auto"/>
        <w:left w:val="none" w:sz="0" w:space="0" w:color="auto"/>
        <w:bottom w:val="none" w:sz="0" w:space="0" w:color="auto"/>
        <w:right w:val="none" w:sz="0" w:space="0" w:color="auto"/>
      </w:divBdr>
    </w:div>
    <w:div w:id="18990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sg.org.uk/getattachment/2b9fc138-4e82-4f4f-9a7a-4fab1433547f/201-full_-(1).pdf?lang=en-U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sg.org.uk/BSG/media/BSG-Media/Guidelines-for-the-management-of-hereditary-colorectal-cancer-full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F0DA6C0F3BD4CA9077A53137BE103" ma:contentTypeVersion="14" ma:contentTypeDescription="Create a new document." ma:contentTypeScope="" ma:versionID="65e1df11913d546d8336b163767ff1e1">
  <xsd:schema xmlns:xsd="http://www.w3.org/2001/XMLSchema" xmlns:xs="http://www.w3.org/2001/XMLSchema" xmlns:p="http://schemas.microsoft.com/office/2006/metadata/properties" xmlns:ns1="http://schemas.microsoft.com/sharepoint/v3" xmlns:ns2="b4d29783-592e-45e1-a5e7-a4cc332c4538" xmlns:ns3="e3fc3ca9-e203-43ea-a695-56a88757746a" targetNamespace="http://schemas.microsoft.com/office/2006/metadata/properties" ma:root="true" ma:fieldsID="c10db857e876965f9f1585b38f16fccb" ns1:_="" ns2:_="" ns3:_="">
    <xsd:import namespace="http://schemas.microsoft.com/sharepoint/v3"/>
    <xsd:import namespace="b4d29783-592e-45e1-a5e7-a4cc332c4538"/>
    <xsd:import namespace="e3fc3ca9-e203-43ea-a695-56a887577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29783-592e-45e1-a5e7-a4cc332c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c3ca9-e203-43ea-a695-56a887577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d29783-592e-45e1-a5e7-a4cc332c453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5C39F0-E818-442A-8C6D-2699E005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d29783-592e-45e1-a5e7-a4cc332c4538"/>
    <ds:schemaRef ds:uri="e3fc3ca9-e203-43ea-a695-56a887577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0E3CC-D2C9-49B3-98FA-F58C35610965}">
  <ds:schemaRefs>
    <ds:schemaRef ds:uri="http://schemas.openxmlformats.org/officeDocument/2006/bibliography"/>
  </ds:schemaRefs>
</ds:datastoreItem>
</file>

<file path=customXml/itemProps3.xml><?xml version="1.0" encoding="utf-8"?>
<ds:datastoreItem xmlns:ds="http://schemas.openxmlformats.org/officeDocument/2006/customXml" ds:itemID="{104843D2-FD97-416C-885B-37ADD0BC168F}">
  <ds:schemaRefs>
    <ds:schemaRef ds:uri="http://schemas.microsoft.com/sharepoint/v3/contenttype/forms"/>
  </ds:schemaRefs>
</ds:datastoreItem>
</file>

<file path=customXml/itemProps4.xml><?xml version="1.0" encoding="utf-8"?>
<ds:datastoreItem xmlns:ds="http://schemas.openxmlformats.org/officeDocument/2006/customXml" ds:itemID="{AA7965CD-196A-4359-B163-EDF8077204CD}">
  <ds:schemaRefs>
    <ds:schemaRef ds:uri="http://schemas.microsoft.com/office/2006/metadata/properties"/>
    <ds:schemaRef ds:uri="http://schemas.microsoft.com/office/infopath/2007/PartnerControls"/>
    <ds:schemaRef ds:uri="b4d29783-592e-45e1-a5e7-a4cc332c4538"/>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Paula (NHS MID AND SOUTH ESSEX ICB - 06Q)</dc:creator>
  <cp:keywords/>
  <dc:description/>
  <cp:lastModifiedBy>WILKINSON, Paula (NHS MID AND SOUTH ESSEX ICB - 06Q)</cp:lastModifiedBy>
  <cp:revision>10</cp:revision>
  <dcterms:created xsi:type="dcterms:W3CDTF">2025-10-30T09:37:00Z</dcterms:created>
  <dcterms:modified xsi:type="dcterms:W3CDTF">2025-10-30T19:14:00Z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0x010100AADF0DA6C0F3BD4CA9077A53137BE103</vt:lpwstr>
  </property>
  <property fmtid="{D5CDD505-2E9C-101B-9397-08002B2CF9AE}" pid="3" name="MediaServiceImageTags">
    <vt:lpwstr/>
  </property>
</Properties>
</file>