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3BC3" w14:textId="6192FD1C"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53975625"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6FD0AD05"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338A8204"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63AAAE30"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25E9665E"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0608F274"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7B62EA41" w14:textId="606D56A5" w:rsidR="12D4BC2D" w:rsidRDefault="12D4BC2D" w:rsidP="12D4BC2D">
      <w:pPr>
        <w:spacing w:before="480" w:after="240"/>
        <w:ind w:left="0"/>
        <w:rPr>
          <w:rFonts w:asciiTheme="majorHAnsi" w:eastAsiaTheme="majorEastAsia" w:hAnsiTheme="majorHAnsi" w:cstheme="majorBidi"/>
          <w:b/>
          <w:bCs/>
          <w:color w:val="005EB8" w:themeColor="accent2"/>
          <w:sz w:val="56"/>
          <w:szCs w:val="56"/>
        </w:rPr>
      </w:pPr>
    </w:p>
    <w:p w14:paraId="20B47292" w14:textId="7F9AE921" w:rsidR="00C323F0" w:rsidRDefault="00FA6FD2" w:rsidP="00EA1E54">
      <w:pPr>
        <w:spacing w:before="480" w:after="0"/>
        <w:ind w:left="0"/>
        <w:rPr>
          <w:rFonts w:asciiTheme="majorHAnsi" w:eastAsiaTheme="majorEastAsia" w:hAnsiTheme="majorHAnsi" w:cstheme="majorBidi"/>
          <w:b/>
          <w:bCs/>
          <w:color w:val="005EB8" w:themeColor="accent2"/>
          <w:sz w:val="56"/>
          <w:szCs w:val="56"/>
        </w:rPr>
      </w:pPr>
      <w:r w:rsidRPr="12D4BC2D">
        <w:rPr>
          <w:rFonts w:asciiTheme="majorHAnsi" w:eastAsiaTheme="majorEastAsia" w:hAnsiTheme="majorHAnsi" w:cstheme="majorBidi"/>
          <w:b/>
          <w:bCs/>
          <w:color w:val="005EB8" w:themeColor="accent2"/>
          <w:spacing w:val="-10"/>
          <w:kern w:val="28"/>
          <w:sz w:val="56"/>
          <w:szCs w:val="56"/>
        </w:rPr>
        <w:t xml:space="preserve">Commissioning </w:t>
      </w:r>
      <w:r w:rsidR="00F40D75" w:rsidRPr="12D4BC2D">
        <w:rPr>
          <w:rFonts w:asciiTheme="majorHAnsi" w:eastAsiaTheme="majorEastAsia" w:hAnsiTheme="majorHAnsi" w:cstheme="majorBidi"/>
          <w:b/>
          <w:bCs/>
          <w:color w:val="005EB8" w:themeColor="accent2"/>
          <w:spacing w:val="-10"/>
          <w:kern w:val="28"/>
          <w:sz w:val="56"/>
          <w:szCs w:val="56"/>
        </w:rPr>
        <w:t>Policy</w:t>
      </w:r>
      <w:r w:rsidRPr="12D4BC2D">
        <w:rPr>
          <w:rFonts w:asciiTheme="majorHAnsi" w:eastAsiaTheme="majorEastAsia" w:hAnsiTheme="majorHAnsi" w:cstheme="majorBidi"/>
          <w:b/>
          <w:bCs/>
          <w:color w:val="005EB8" w:themeColor="accent2"/>
          <w:spacing w:val="-10"/>
          <w:kern w:val="28"/>
          <w:sz w:val="56"/>
          <w:szCs w:val="56"/>
        </w:rPr>
        <w:t xml:space="preserve"> </w:t>
      </w:r>
    </w:p>
    <w:p w14:paraId="253AE66D" w14:textId="589AB112" w:rsidR="00C323F0" w:rsidRDefault="00FA6FD2" w:rsidP="00EA1E54">
      <w:pPr>
        <w:spacing w:before="0" w:after="240"/>
        <w:ind w:left="0"/>
        <w:rPr>
          <w:rFonts w:asciiTheme="majorHAnsi" w:eastAsiaTheme="majorEastAsia" w:hAnsiTheme="majorHAnsi" w:cstheme="majorBidi"/>
          <w:b/>
          <w:bCs/>
          <w:color w:val="005EB8" w:themeColor="accent2"/>
          <w:spacing w:val="-10"/>
          <w:kern w:val="28"/>
          <w:sz w:val="56"/>
          <w:szCs w:val="56"/>
        </w:rPr>
        <w:sectPr w:rsidR="00C323F0" w:rsidSect="00904F3A">
          <w:headerReference w:type="default" r:id="rId11"/>
          <w:footerReference w:type="default" r:id="rId12"/>
          <w:pgSz w:w="11906" w:h="16838"/>
          <w:pgMar w:top="1560" w:right="1274" w:bottom="1797" w:left="1440" w:header="993" w:footer="709" w:gutter="0"/>
          <w:cols w:space="708"/>
          <w:docGrid w:linePitch="360"/>
        </w:sectPr>
      </w:pPr>
      <w:r w:rsidRPr="12D4BC2D">
        <w:rPr>
          <w:rFonts w:asciiTheme="majorHAnsi" w:eastAsiaTheme="majorEastAsia" w:hAnsiTheme="majorHAnsi" w:cstheme="majorBidi"/>
          <w:b/>
          <w:bCs/>
          <w:color w:val="005EB8" w:themeColor="accent2"/>
          <w:spacing w:val="-10"/>
          <w:kern w:val="28"/>
          <w:sz w:val="56"/>
          <w:szCs w:val="56"/>
        </w:rPr>
        <w:t>(Service Restriction)</w:t>
      </w:r>
      <w:r w:rsidR="00F40D75" w:rsidRPr="12D4BC2D">
        <w:rPr>
          <w:rFonts w:asciiTheme="majorHAnsi" w:eastAsiaTheme="majorEastAsia" w:hAnsiTheme="majorHAnsi" w:cstheme="majorBidi"/>
          <w:b/>
          <w:bCs/>
          <w:color w:val="005EB8" w:themeColor="accent2"/>
          <w:spacing w:val="-10"/>
          <w:kern w:val="28"/>
          <w:sz w:val="56"/>
          <w:szCs w:val="56"/>
        </w:rPr>
        <w:t xml:space="preserve"> </w:t>
      </w:r>
    </w:p>
    <w:p w14:paraId="5FA6A4A2" w14:textId="77777777" w:rsidR="00F40D75" w:rsidRPr="00F40D75" w:rsidRDefault="00F40D75" w:rsidP="00C323F0">
      <w:pPr>
        <w:spacing w:before="240" w:after="240"/>
        <w:ind w:left="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lastRenderedPageBreak/>
        <w:t>Document Control:</w:t>
      </w:r>
    </w:p>
    <w:tbl>
      <w:tblPr>
        <w:tblStyle w:val="TableGrid1"/>
        <w:tblW w:w="9072" w:type="dxa"/>
        <w:tblInd w:w="-5" w:type="dxa"/>
        <w:tblLook w:val="04A0" w:firstRow="1" w:lastRow="0" w:firstColumn="1" w:lastColumn="0" w:noHBand="0" w:noVBand="1"/>
      </w:tblPr>
      <w:tblGrid>
        <w:gridCol w:w="4395"/>
        <w:gridCol w:w="4677"/>
      </w:tblGrid>
      <w:tr w:rsidR="00F40D75" w:rsidRPr="00F40D75" w14:paraId="1812BBAD" w14:textId="77777777" w:rsidTr="00DB1144">
        <w:tc>
          <w:tcPr>
            <w:tcW w:w="4395" w:type="dxa"/>
            <w:shd w:val="clear" w:color="auto" w:fill="003087" w:themeFill="accent1"/>
          </w:tcPr>
          <w:p w14:paraId="1706CE2B" w14:textId="77777777" w:rsidR="00F40D75" w:rsidRPr="00F40D75" w:rsidRDefault="00F40D75" w:rsidP="00F40D75">
            <w:pPr>
              <w:spacing w:before="0" w:after="0"/>
              <w:ind w:left="0"/>
              <w:rPr>
                <w:color w:val="FFFFFF" w:themeColor="background1"/>
              </w:rPr>
            </w:pPr>
            <w:r w:rsidRPr="00F40D75">
              <w:rPr>
                <w:color w:val="FFFFFF" w:themeColor="background1"/>
              </w:rPr>
              <w:t>Policy Name</w:t>
            </w:r>
          </w:p>
        </w:tc>
        <w:tc>
          <w:tcPr>
            <w:tcW w:w="4677" w:type="dxa"/>
          </w:tcPr>
          <w:p w14:paraId="7B201000" w14:textId="24B8815C" w:rsidR="00F40D75" w:rsidRPr="00F40D75" w:rsidRDefault="00FA6FD2" w:rsidP="00F40D75">
            <w:pPr>
              <w:spacing w:before="0" w:after="0"/>
              <w:ind w:left="0"/>
            </w:pPr>
            <w:r>
              <w:t xml:space="preserve">Commissioning </w:t>
            </w:r>
            <w:r w:rsidR="00DB12C2">
              <w:t>Policy</w:t>
            </w:r>
            <w:r>
              <w:t xml:space="preserve"> (Service Restriction)</w:t>
            </w:r>
          </w:p>
        </w:tc>
      </w:tr>
      <w:tr w:rsidR="00F40D75" w:rsidRPr="00F40D75" w14:paraId="72A87EF2" w14:textId="77777777" w:rsidTr="00DB1144">
        <w:tc>
          <w:tcPr>
            <w:tcW w:w="4395" w:type="dxa"/>
            <w:shd w:val="clear" w:color="auto" w:fill="003087" w:themeFill="accent1"/>
          </w:tcPr>
          <w:p w14:paraId="21B69013" w14:textId="77777777" w:rsidR="00F40D75" w:rsidRPr="00F40D75" w:rsidRDefault="00F40D75" w:rsidP="00F40D75">
            <w:pPr>
              <w:spacing w:before="0" w:after="0"/>
              <w:ind w:left="0"/>
              <w:rPr>
                <w:color w:val="FFFFFF" w:themeColor="background1"/>
              </w:rPr>
            </w:pPr>
            <w:r w:rsidRPr="00F40D75">
              <w:rPr>
                <w:color w:val="FFFFFF" w:themeColor="background1"/>
              </w:rPr>
              <w:t>Policy Number</w:t>
            </w:r>
          </w:p>
        </w:tc>
        <w:tc>
          <w:tcPr>
            <w:tcW w:w="4677" w:type="dxa"/>
          </w:tcPr>
          <w:p w14:paraId="73C1F387" w14:textId="6D527F99" w:rsidR="00F40D75" w:rsidRPr="00F40D75" w:rsidRDefault="003E504C" w:rsidP="00F40D75">
            <w:pPr>
              <w:spacing w:before="0" w:after="0"/>
              <w:ind w:left="0"/>
            </w:pPr>
            <w:r>
              <w:t>085</w:t>
            </w:r>
          </w:p>
        </w:tc>
      </w:tr>
      <w:tr w:rsidR="00F40D75" w:rsidRPr="00F40D75" w14:paraId="64517FAB" w14:textId="77777777" w:rsidTr="00DB1144">
        <w:tc>
          <w:tcPr>
            <w:tcW w:w="4395" w:type="dxa"/>
            <w:shd w:val="clear" w:color="auto" w:fill="003087" w:themeFill="accent1"/>
          </w:tcPr>
          <w:p w14:paraId="451B0253" w14:textId="77777777" w:rsidR="00F40D75" w:rsidRPr="00F40D75" w:rsidRDefault="00F40D75" w:rsidP="00F40D75">
            <w:pPr>
              <w:spacing w:before="0" w:after="0"/>
              <w:ind w:left="0"/>
              <w:rPr>
                <w:color w:val="FFFFFF" w:themeColor="background1"/>
              </w:rPr>
            </w:pPr>
            <w:r w:rsidRPr="00F40D75">
              <w:rPr>
                <w:color w:val="FFFFFF" w:themeColor="background1"/>
              </w:rPr>
              <w:t>Version</w:t>
            </w:r>
          </w:p>
        </w:tc>
        <w:tc>
          <w:tcPr>
            <w:tcW w:w="4677" w:type="dxa"/>
          </w:tcPr>
          <w:p w14:paraId="38350019" w14:textId="7CD010E9" w:rsidR="00F40D75" w:rsidRPr="00F40D75" w:rsidRDefault="00DB12C2" w:rsidP="00F40D75">
            <w:pPr>
              <w:spacing w:before="0" w:after="0"/>
              <w:ind w:left="0"/>
            </w:pPr>
            <w:r>
              <w:t>1.</w:t>
            </w:r>
            <w:r w:rsidR="00941DB9">
              <w:t>0</w:t>
            </w:r>
          </w:p>
        </w:tc>
      </w:tr>
      <w:tr w:rsidR="00F40D75" w:rsidRPr="00F40D75" w14:paraId="4E4C03E0" w14:textId="77777777" w:rsidTr="00DB1144">
        <w:tc>
          <w:tcPr>
            <w:tcW w:w="4395" w:type="dxa"/>
            <w:shd w:val="clear" w:color="auto" w:fill="003087" w:themeFill="accent1"/>
          </w:tcPr>
          <w:p w14:paraId="259BB2FE" w14:textId="77777777" w:rsidR="00F40D75" w:rsidRPr="00F40D75" w:rsidRDefault="00F40D75" w:rsidP="00F40D75">
            <w:pPr>
              <w:spacing w:before="0" w:after="0"/>
              <w:ind w:left="0"/>
              <w:rPr>
                <w:color w:val="FFFFFF" w:themeColor="background1"/>
              </w:rPr>
            </w:pPr>
            <w:r w:rsidRPr="00F40D75">
              <w:rPr>
                <w:color w:val="FFFFFF" w:themeColor="background1"/>
              </w:rPr>
              <w:t>Status</w:t>
            </w:r>
          </w:p>
        </w:tc>
        <w:tc>
          <w:tcPr>
            <w:tcW w:w="4677" w:type="dxa"/>
          </w:tcPr>
          <w:p w14:paraId="612E7504" w14:textId="3AD2F1EF" w:rsidR="00F40D75" w:rsidRPr="00F40D75" w:rsidRDefault="00DB12C2" w:rsidP="00F40D75">
            <w:pPr>
              <w:spacing w:before="0" w:after="0"/>
              <w:ind w:left="0"/>
            </w:pPr>
            <w:r>
              <w:t>Draft</w:t>
            </w:r>
          </w:p>
        </w:tc>
      </w:tr>
      <w:tr w:rsidR="00F40D75" w:rsidRPr="00F40D75" w14:paraId="4055C33E" w14:textId="77777777" w:rsidTr="00DB1144">
        <w:tc>
          <w:tcPr>
            <w:tcW w:w="4395" w:type="dxa"/>
            <w:shd w:val="clear" w:color="auto" w:fill="003087" w:themeFill="accent1"/>
          </w:tcPr>
          <w:p w14:paraId="553D9804" w14:textId="77777777" w:rsidR="00F40D75" w:rsidRPr="00F40D75" w:rsidRDefault="00F40D75" w:rsidP="00F40D75">
            <w:pPr>
              <w:spacing w:before="0" w:after="0"/>
              <w:ind w:left="0"/>
              <w:rPr>
                <w:color w:val="FFFFFF" w:themeColor="background1"/>
              </w:rPr>
            </w:pPr>
            <w:r w:rsidRPr="00F40D75">
              <w:rPr>
                <w:color w:val="FFFFFF" w:themeColor="background1"/>
              </w:rPr>
              <w:t>Author / Lead</w:t>
            </w:r>
          </w:p>
        </w:tc>
        <w:tc>
          <w:tcPr>
            <w:tcW w:w="4677" w:type="dxa"/>
          </w:tcPr>
          <w:p w14:paraId="66CF2E56" w14:textId="77777777" w:rsidR="002A4EB3" w:rsidRDefault="00782A11" w:rsidP="00F40D75">
            <w:pPr>
              <w:spacing w:before="0" w:after="0"/>
              <w:ind w:left="0"/>
            </w:pPr>
            <w:r w:rsidRPr="00782A11">
              <w:t>Associate Director of Corporate Services</w:t>
            </w:r>
            <w:r>
              <w:t>.</w:t>
            </w:r>
            <w:r w:rsidRPr="00782A11">
              <w:t xml:space="preserve"> Director of Pharmacy and Medicines Optimisation</w:t>
            </w:r>
            <w:r w:rsidR="002A4EB3">
              <w:t>.</w:t>
            </w:r>
          </w:p>
          <w:p w14:paraId="237410DE" w14:textId="77777777" w:rsidR="002A4EB3" w:rsidRDefault="00782A11" w:rsidP="00F40D75">
            <w:pPr>
              <w:spacing w:before="0" w:after="0"/>
              <w:ind w:left="0"/>
            </w:pPr>
            <w:r w:rsidRPr="00782A11">
              <w:t>Public Health Consultant</w:t>
            </w:r>
            <w:r w:rsidR="002A4EB3">
              <w:t>.</w:t>
            </w:r>
          </w:p>
          <w:p w14:paraId="36FDC405" w14:textId="36B7CA39" w:rsidR="00F40D75" w:rsidRPr="00F40D75" w:rsidRDefault="00782A11" w:rsidP="00F40D75">
            <w:pPr>
              <w:spacing w:before="0" w:after="0"/>
              <w:ind w:left="0"/>
            </w:pPr>
            <w:r w:rsidRPr="00782A11">
              <w:t>Deputy Medical Director</w:t>
            </w:r>
            <w:r w:rsidR="002A4EB3">
              <w:t>.</w:t>
            </w:r>
          </w:p>
        </w:tc>
      </w:tr>
      <w:tr w:rsidR="00F40D75" w:rsidRPr="00F40D75" w14:paraId="378DF3B3" w14:textId="77777777" w:rsidTr="00DB1144">
        <w:tc>
          <w:tcPr>
            <w:tcW w:w="4395" w:type="dxa"/>
            <w:shd w:val="clear" w:color="auto" w:fill="003087" w:themeFill="accent1"/>
          </w:tcPr>
          <w:p w14:paraId="352FE9AE" w14:textId="77777777" w:rsidR="00F40D75" w:rsidRPr="00F40D75" w:rsidRDefault="00F40D75" w:rsidP="00F40D75">
            <w:pPr>
              <w:spacing w:before="0" w:after="0"/>
              <w:ind w:left="0"/>
              <w:rPr>
                <w:color w:val="FFFFFF" w:themeColor="background1"/>
              </w:rPr>
            </w:pPr>
            <w:r w:rsidRPr="00F40D75">
              <w:rPr>
                <w:color w:val="FFFFFF" w:themeColor="background1"/>
              </w:rPr>
              <w:t>Responsible Executive Director</w:t>
            </w:r>
          </w:p>
        </w:tc>
        <w:tc>
          <w:tcPr>
            <w:tcW w:w="4677" w:type="dxa"/>
          </w:tcPr>
          <w:p w14:paraId="0A248EFB" w14:textId="1C150754" w:rsidR="00F40D75" w:rsidRPr="00F40D75" w:rsidRDefault="000F1E25" w:rsidP="00F40D75">
            <w:pPr>
              <w:spacing w:before="0" w:after="0"/>
              <w:ind w:left="0"/>
            </w:pPr>
            <w:r>
              <w:t>ICB Medical Director</w:t>
            </w:r>
            <w:r w:rsidR="00C34E38">
              <w:t xml:space="preserve"> </w:t>
            </w:r>
          </w:p>
        </w:tc>
      </w:tr>
      <w:tr w:rsidR="00F40D75" w:rsidRPr="00F40D75" w14:paraId="0F504830" w14:textId="77777777" w:rsidTr="00DB1144">
        <w:tc>
          <w:tcPr>
            <w:tcW w:w="4395" w:type="dxa"/>
            <w:shd w:val="clear" w:color="auto" w:fill="003087" w:themeFill="accent1"/>
          </w:tcPr>
          <w:p w14:paraId="5BCADC90" w14:textId="77777777" w:rsidR="00F40D75" w:rsidRPr="00F40D75" w:rsidRDefault="00F40D75" w:rsidP="00F40D75">
            <w:pPr>
              <w:spacing w:before="0" w:after="0"/>
              <w:ind w:left="0"/>
              <w:rPr>
                <w:color w:val="FFFFFF" w:themeColor="background1"/>
              </w:rPr>
            </w:pPr>
            <w:r w:rsidRPr="00F40D75">
              <w:rPr>
                <w:color w:val="FFFFFF" w:themeColor="background1"/>
              </w:rPr>
              <w:t>Responsible Committee</w:t>
            </w:r>
          </w:p>
        </w:tc>
        <w:tc>
          <w:tcPr>
            <w:tcW w:w="4677" w:type="dxa"/>
          </w:tcPr>
          <w:p w14:paraId="5236C951" w14:textId="77B1C9F0" w:rsidR="00364465" w:rsidRDefault="00364465" w:rsidP="00F40D75">
            <w:pPr>
              <w:spacing w:before="0" w:after="0"/>
              <w:ind w:left="0"/>
              <w:rPr>
                <w:color w:val="auto"/>
              </w:rPr>
            </w:pPr>
            <w:r>
              <w:rPr>
                <w:color w:val="auto"/>
              </w:rPr>
              <w:t xml:space="preserve">Audit Committee </w:t>
            </w:r>
          </w:p>
          <w:p w14:paraId="107C658B" w14:textId="685A9E8B" w:rsidR="00F40D75" w:rsidRPr="00F40D75" w:rsidRDefault="00F40D75" w:rsidP="00F40D75">
            <w:pPr>
              <w:spacing w:before="0" w:after="0"/>
              <w:ind w:left="0"/>
              <w:rPr>
                <w:color w:val="auto"/>
              </w:rPr>
            </w:pPr>
          </w:p>
        </w:tc>
      </w:tr>
      <w:tr w:rsidR="00F40D75" w:rsidRPr="00F40D75" w14:paraId="0DFF79A1" w14:textId="77777777" w:rsidTr="00DB1144">
        <w:tc>
          <w:tcPr>
            <w:tcW w:w="4395" w:type="dxa"/>
            <w:shd w:val="clear" w:color="auto" w:fill="003087" w:themeFill="accent1"/>
          </w:tcPr>
          <w:p w14:paraId="15EDFFE1" w14:textId="77777777" w:rsidR="00F40D75" w:rsidRPr="00F40D75" w:rsidRDefault="00F40D75" w:rsidP="00F40D75">
            <w:pPr>
              <w:spacing w:before="0" w:after="0"/>
              <w:ind w:left="0"/>
              <w:rPr>
                <w:color w:val="FFFFFF" w:themeColor="background1"/>
              </w:rPr>
            </w:pPr>
            <w:r w:rsidRPr="00F40D75">
              <w:rPr>
                <w:color w:val="FFFFFF" w:themeColor="background1"/>
              </w:rPr>
              <w:t>Date Ratified by Responsible Committee</w:t>
            </w:r>
          </w:p>
        </w:tc>
        <w:tc>
          <w:tcPr>
            <w:tcW w:w="4677" w:type="dxa"/>
          </w:tcPr>
          <w:p w14:paraId="5CCAF158" w14:textId="6B72FA64" w:rsidR="00F40D75" w:rsidRPr="00364465" w:rsidRDefault="00364465" w:rsidP="00F40D75">
            <w:pPr>
              <w:spacing w:before="0" w:after="0"/>
              <w:ind w:left="0"/>
              <w:rPr>
                <w:color w:val="auto"/>
              </w:rPr>
            </w:pPr>
            <w:r w:rsidRPr="00364465">
              <w:rPr>
                <w:color w:val="auto"/>
              </w:rPr>
              <w:t>16 January 2024</w:t>
            </w:r>
          </w:p>
          <w:p w14:paraId="667E152E" w14:textId="77811BAD" w:rsidR="00364465" w:rsidRPr="00F40D75" w:rsidRDefault="00364465" w:rsidP="00F40D75">
            <w:pPr>
              <w:spacing w:before="0" w:after="0"/>
              <w:ind w:left="0"/>
              <w:rPr>
                <w:color w:val="auto"/>
                <w:highlight w:val="yellow"/>
              </w:rPr>
            </w:pPr>
          </w:p>
        </w:tc>
      </w:tr>
      <w:tr w:rsidR="00F40D75" w:rsidRPr="00F40D75" w14:paraId="77C447EA" w14:textId="77777777" w:rsidTr="00DB1144">
        <w:tc>
          <w:tcPr>
            <w:tcW w:w="4395" w:type="dxa"/>
            <w:shd w:val="clear" w:color="auto" w:fill="003087" w:themeFill="accent1"/>
          </w:tcPr>
          <w:p w14:paraId="1CE9C8E4" w14:textId="52B485D4" w:rsidR="00F40D75" w:rsidRPr="00F40D75" w:rsidRDefault="00F40D75" w:rsidP="00F40D75">
            <w:pPr>
              <w:spacing w:before="0" w:after="0"/>
              <w:ind w:left="0"/>
              <w:rPr>
                <w:color w:val="FFFFFF" w:themeColor="background1"/>
              </w:rPr>
            </w:pPr>
            <w:r w:rsidRPr="00F40D75">
              <w:rPr>
                <w:color w:val="FFFFFF" w:themeColor="background1"/>
              </w:rPr>
              <w:t>Date Approved by Board</w:t>
            </w:r>
            <w:r w:rsidR="00A56FC0">
              <w:rPr>
                <w:color w:val="FFFFFF" w:themeColor="background1"/>
              </w:rPr>
              <w:t xml:space="preserve"> (</w:t>
            </w:r>
            <w:r w:rsidRPr="00F40D75">
              <w:rPr>
                <w:color w:val="FFFFFF" w:themeColor="background1"/>
              </w:rPr>
              <w:t>Effective Date</w:t>
            </w:r>
            <w:r w:rsidR="00A56FC0">
              <w:rPr>
                <w:color w:val="FFFFFF" w:themeColor="background1"/>
              </w:rPr>
              <w:t>)</w:t>
            </w:r>
          </w:p>
        </w:tc>
        <w:tc>
          <w:tcPr>
            <w:tcW w:w="4677" w:type="dxa"/>
          </w:tcPr>
          <w:p w14:paraId="4FCC9D88" w14:textId="59D3063D" w:rsidR="00F40D75" w:rsidRPr="00F40D75" w:rsidRDefault="00A56FC0" w:rsidP="00F40D75">
            <w:pPr>
              <w:spacing w:before="0" w:after="0"/>
              <w:ind w:left="0"/>
              <w:rPr>
                <w:color w:val="auto"/>
                <w:highlight w:val="yellow"/>
              </w:rPr>
            </w:pPr>
            <w:r w:rsidRPr="00A56FC0">
              <w:rPr>
                <w:color w:val="auto"/>
              </w:rPr>
              <w:t>18 January 2024</w:t>
            </w:r>
          </w:p>
        </w:tc>
      </w:tr>
      <w:tr w:rsidR="00F40D75" w:rsidRPr="00F40D75" w14:paraId="57DF02A3" w14:textId="77777777" w:rsidTr="00DB1144">
        <w:tc>
          <w:tcPr>
            <w:tcW w:w="4395" w:type="dxa"/>
            <w:shd w:val="clear" w:color="auto" w:fill="003087" w:themeFill="accent1"/>
          </w:tcPr>
          <w:p w14:paraId="4007D039" w14:textId="77777777" w:rsidR="00F40D75" w:rsidRPr="00F40D75" w:rsidRDefault="00F40D75" w:rsidP="00F40D75">
            <w:pPr>
              <w:spacing w:before="0" w:after="0"/>
              <w:ind w:left="0"/>
              <w:rPr>
                <w:color w:val="FFFFFF" w:themeColor="background1"/>
              </w:rPr>
            </w:pPr>
            <w:r w:rsidRPr="00F40D75">
              <w:rPr>
                <w:color w:val="FFFFFF" w:themeColor="background1"/>
              </w:rPr>
              <w:t>Next Review Date</w:t>
            </w:r>
          </w:p>
        </w:tc>
        <w:tc>
          <w:tcPr>
            <w:tcW w:w="4677" w:type="dxa"/>
          </w:tcPr>
          <w:p w14:paraId="06CBEA0F" w14:textId="6846D6CB" w:rsidR="00F40D75" w:rsidRPr="00F40D75" w:rsidRDefault="00DB12C2" w:rsidP="00F40D75">
            <w:pPr>
              <w:spacing w:before="0" w:after="0"/>
              <w:ind w:left="0"/>
              <w:rPr>
                <w:color w:val="auto"/>
              </w:rPr>
            </w:pPr>
            <w:r>
              <w:rPr>
                <w:color w:val="auto"/>
              </w:rPr>
              <w:t>January 2026</w:t>
            </w:r>
          </w:p>
        </w:tc>
      </w:tr>
      <w:tr w:rsidR="00F40D75" w:rsidRPr="00F40D75" w14:paraId="13C58157" w14:textId="77777777" w:rsidTr="00DB1144">
        <w:tc>
          <w:tcPr>
            <w:tcW w:w="4395" w:type="dxa"/>
            <w:shd w:val="clear" w:color="auto" w:fill="003087" w:themeFill="accent1"/>
          </w:tcPr>
          <w:p w14:paraId="2175021B" w14:textId="77777777" w:rsidR="00F40D75" w:rsidRPr="00F40D75" w:rsidRDefault="00F40D75" w:rsidP="00F40D75">
            <w:pPr>
              <w:spacing w:before="0" w:after="0"/>
              <w:ind w:left="0"/>
              <w:rPr>
                <w:color w:val="FFFFFF" w:themeColor="background1"/>
              </w:rPr>
            </w:pPr>
            <w:r w:rsidRPr="00F40D75">
              <w:rPr>
                <w:color w:val="FFFFFF" w:themeColor="background1"/>
              </w:rPr>
              <w:t>Target Audience</w:t>
            </w:r>
          </w:p>
        </w:tc>
        <w:tc>
          <w:tcPr>
            <w:tcW w:w="4677" w:type="dxa"/>
          </w:tcPr>
          <w:p w14:paraId="7D8D1C0C" w14:textId="77777777" w:rsidR="00F40D75" w:rsidRDefault="00DB12C2" w:rsidP="00F40D75">
            <w:pPr>
              <w:spacing w:before="0" w:after="0"/>
              <w:ind w:left="0"/>
              <w:rPr>
                <w:color w:val="auto"/>
              </w:rPr>
            </w:pPr>
            <w:r>
              <w:rPr>
                <w:color w:val="auto"/>
              </w:rPr>
              <w:t>All Staff</w:t>
            </w:r>
          </w:p>
          <w:p w14:paraId="20DE85F3" w14:textId="22047A78" w:rsidR="009F4C8F" w:rsidRPr="00F40D75" w:rsidRDefault="009F4C8F" w:rsidP="00F40D75">
            <w:pPr>
              <w:spacing w:before="0" w:after="0"/>
              <w:ind w:left="0"/>
              <w:rPr>
                <w:color w:val="auto"/>
              </w:rPr>
            </w:pPr>
            <w:r>
              <w:rPr>
                <w:color w:val="auto"/>
              </w:rPr>
              <w:t>Provider Organisations</w:t>
            </w:r>
          </w:p>
        </w:tc>
      </w:tr>
      <w:tr w:rsidR="00F40D75" w:rsidRPr="00F40D75" w14:paraId="7E8FDFA7" w14:textId="77777777" w:rsidTr="00DB1144">
        <w:tc>
          <w:tcPr>
            <w:tcW w:w="4395" w:type="dxa"/>
            <w:shd w:val="clear" w:color="auto" w:fill="003087" w:themeFill="accent1"/>
          </w:tcPr>
          <w:p w14:paraId="1AFF93B7" w14:textId="77777777" w:rsidR="00F40D75" w:rsidRPr="00F40D75" w:rsidRDefault="00F40D75" w:rsidP="00F40D75">
            <w:pPr>
              <w:spacing w:before="0" w:after="0"/>
              <w:ind w:left="0"/>
              <w:rPr>
                <w:color w:val="FFFFFF" w:themeColor="background1"/>
              </w:rPr>
            </w:pPr>
            <w:r w:rsidRPr="00F40D75">
              <w:rPr>
                <w:color w:val="FFFFFF" w:themeColor="background1"/>
              </w:rPr>
              <w:t xml:space="preserve">Stakeholders engaged in development of Policy (internal and external) </w:t>
            </w:r>
          </w:p>
        </w:tc>
        <w:tc>
          <w:tcPr>
            <w:tcW w:w="4677" w:type="dxa"/>
          </w:tcPr>
          <w:p w14:paraId="59D2944B" w14:textId="7C79EC1D" w:rsidR="00F40D75" w:rsidRPr="00F40D75" w:rsidRDefault="00182A68" w:rsidP="00F40D75">
            <w:pPr>
              <w:spacing w:before="0" w:after="0"/>
              <w:ind w:left="0"/>
              <w:contextualSpacing/>
              <w:rPr>
                <w:rFonts w:cs="Times New Roman (Body CS)"/>
              </w:rPr>
            </w:pPr>
            <w:r>
              <w:rPr>
                <w:rFonts w:cs="Times New Roman (Body CS)"/>
              </w:rPr>
              <w:t>Clinical and Multi-professional Congress</w:t>
            </w:r>
          </w:p>
        </w:tc>
      </w:tr>
      <w:tr w:rsidR="00F40D75" w:rsidRPr="00F40D75" w14:paraId="222E3E64" w14:textId="77777777" w:rsidTr="00DB1144">
        <w:tc>
          <w:tcPr>
            <w:tcW w:w="4395" w:type="dxa"/>
            <w:shd w:val="clear" w:color="auto" w:fill="003087" w:themeFill="accent1"/>
          </w:tcPr>
          <w:p w14:paraId="708404C6" w14:textId="77777777" w:rsidR="00F40D75" w:rsidRPr="00F40D75" w:rsidRDefault="00F40D75" w:rsidP="00F40D75">
            <w:pPr>
              <w:spacing w:before="0" w:after="0"/>
              <w:ind w:left="0"/>
              <w:rPr>
                <w:color w:val="FFFFFF" w:themeColor="background1"/>
              </w:rPr>
            </w:pPr>
            <w:r w:rsidRPr="00F40D75">
              <w:rPr>
                <w:color w:val="FFFFFF" w:themeColor="background1"/>
              </w:rPr>
              <w:t xml:space="preserve">Impact Assessments Undertaken </w:t>
            </w:r>
          </w:p>
          <w:p w14:paraId="13B80A8E" w14:textId="77777777" w:rsidR="00F40D75" w:rsidRPr="00F40D75" w:rsidRDefault="00F40D75" w:rsidP="00F40D75">
            <w:pPr>
              <w:spacing w:before="0" w:after="0"/>
              <w:ind w:left="0"/>
              <w:rPr>
                <w:i/>
                <w:iCs/>
                <w:color w:val="FFFFFF" w:themeColor="background1"/>
              </w:rPr>
            </w:pPr>
            <w:r w:rsidRPr="00F40D75">
              <w:rPr>
                <w:i/>
                <w:iCs/>
                <w:color w:val="FFFFFF" w:themeColor="background1"/>
              </w:rPr>
              <w:t>(</w:t>
            </w:r>
            <w:r w:rsidR="00786D48">
              <w:rPr>
                <w:i/>
                <w:iCs/>
                <w:color w:val="FFFFFF" w:themeColor="background1"/>
              </w:rPr>
              <w:t>State</w:t>
            </w:r>
            <w:r w:rsidRPr="00F40D75">
              <w:rPr>
                <w:i/>
                <w:iCs/>
                <w:color w:val="FFFFFF" w:themeColor="background1"/>
              </w:rPr>
              <w:t xml:space="preserve"> if no</w:t>
            </w:r>
            <w:r w:rsidR="00786D48">
              <w:rPr>
                <w:i/>
                <w:iCs/>
                <w:color w:val="FFFFFF" w:themeColor="background1"/>
              </w:rPr>
              <w:t xml:space="preserve">t </w:t>
            </w:r>
            <w:r w:rsidRPr="00F40D75">
              <w:rPr>
                <w:i/>
                <w:iCs/>
                <w:color w:val="FFFFFF" w:themeColor="background1"/>
              </w:rPr>
              <w:t>applicable)</w:t>
            </w:r>
          </w:p>
        </w:tc>
        <w:tc>
          <w:tcPr>
            <w:tcW w:w="4677" w:type="dxa"/>
          </w:tcPr>
          <w:p w14:paraId="1679AF59" w14:textId="77777777" w:rsidR="00F40D75" w:rsidRPr="00F40D75" w:rsidRDefault="00F40D75" w:rsidP="00162C05">
            <w:pPr>
              <w:numPr>
                <w:ilvl w:val="0"/>
                <w:numId w:val="20"/>
              </w:numPr>
              <w:spacing w:before="0" w:after="0"/>
              <w:ind w:left="345" w:hanging="284"/>
              <w:contextualSpacing/>
              <w:rPr>
                <w:rFonts w:cstheme="minorHAnsi"/>
                <w:b/>
                <w:bCs/>
              </w:rPr>
            </w:pPr>
            <w:r w:rsidRPr="00F40D75">
              <w:rPr>
                <w:rFonts w:cs="Times New Roman (Body CS)"/>
              </w:rPr>
              <w:t>Equality and Health Inequalities Impact Assessment</w:t>
            </w:r>
          </w:p>
          <w:p w14:paraId="5E529BC2" w14:textId="1B3E8408" w:rsidR="00F40D75" w:rsidRPr="00786D48" w:rsidRDefault="00F40D75" w:rsidP="00182A68">
            <w:pPr>
              <w:spacing w:before="0" w:after="0"/>
              <w:ind w:left="318"/>
              <w:contextualSpacing/>
              <w:rPr>
                <w:rFonts w:cs="Times New Roman (Body CS)"/>
              </w:rPr>
            </w:pPr>
            <w:r w:rsidRPr="00F40D75">
              <w:rPr>
                <w:rFonts w:cs="Times New Roman (Body CS)"/>
              </w:rPr>
              <w:t xml:space="preserve"> </w:t>
            </w:r>
          </w:p>
        </w:tc>
      </w:tr>
    </w:tbl>
    <w:p w14:paraId="631C3ECB" w14:textId="77777777" w:rsidR="00F40D75" w:rsidRPr="00F40D75" w:rsidRDefault="00F40D75" w:rsidP="00F40D75">
      <w:pPr>
        <w:spacing w:before="0" w:after="0"/>
        <w:ind w:left="0"/>
      </w:pPr>
    </w:p>
    <w:p w14:paraId="4DA1E1FD" w14:textId="77777777" w:rsidR="00F40D75" w:rsidRPr="00F40D75" w:rsidRDefault="00F40D75" w:rsidP="00F40D75">
      <w:pPr>
        <w:keepNext/>
        <w:keepLines/>
        <w:spacing w:before="240"/>
        <w:ind w:left="0"/>
        <w:outlineLvl w:val="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t>Version History</w:t>
      </w:r>
    </w:p>
    <w:tbl>
      <w:tblPr>
        <w:tblStyle w:val="TableGrid1"/>
        <w:tblW w:w="0" w:type="auto"/>
        <w:tblLook w:val="04A0" w:firstRow="1" w:lastRow="0" w:firstColumn="1" w:lastColumn="0" w:noHBand="0" w:noVBand="1"/>
      </w:tblPr>
      <w:tblGrid>
        <w:gridCol w:w="1097"/>
        <w:gridCol w:w="1073"/>
        <w:gridCol w:w="3029"/>
        <w:gridCol w:w="3865"/>
      </w:tblGrid>
      <w:tr w:rsidR="00F40D75" w:rsidRPr="00F40D75" w14:paraId="130BBC0D" w14:textId="77777777" w:rsidTr="7E04C272">
        <w:trPr>
          <w:trHeight w:val="489"/>
        </w:trPr>
        <w:tc>
          <w:tcPr>
            <w:tcW w:w="1097" w:type="dxa"/>
            <w:shd w:val="clear" w:color="auto" w:fill="003087" w:themeFill="accent1"/>
            <w:vAlign w:val="center"/>
          </w:tcPr>
          <w:p w14:paraId="5667847F"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Version</w:t>
            </w:r>
          </w:p>
        </w:tc>
        <w:tc>
          <w:tcPr>
            <w:tcW w:w="1025" w:type="dxa"/>
            <w:shd w:val="clear" w:color="auto" w:fill="003087" w:themeFill="accent1"/>
            <w:vAlign w:val="center"/>
          </w:tcPr>
          <w:p w14:paraId="5C52D0F4"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Date</w:t>
            </w:r>
          </w:p>
        </w:tc>
        <w:tc>
          <w:tcPr>
            <w:tcW w:w="3029" w:type="dxa"/>
            <w:shd w:val="clear" w:color="auto" w:fill="003087" w:themeFill="accent1"/>
            <w:vAlign w:val="center"/>
          </w:tcPr>
          <w:p w14:paraId="70271228"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Author (Name and Title)</w:t>
            </w:r>
          </w:p>
        </w:tc>
        <w:tc>
          <w:tcPr>
            <w:tcW w:w="3865" w:type="dxa"/>
            <w:shd w:val="clear" w:color="auto" w:fill="003087" w:themeFill="accent1"/>
            <w:vAlign w:val="center"/>
          </w:tcPr>
          <w:p w14:paraId="25F0697E"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Summary of amendments made</w:t>
            </w:r>
          </w:p>
        </w:tc>
      </w:tr>
      <w:tr w:rsidR="00F40D75" w:rsidRPr="00F40D75" w14:paraId="3D14A802" w14:textId="77777777" w:rsidTr="7E04C272">
        <w:trPr>
          <w:trHeight w:val="424"/>
        </w:trPr>
        <w:tc>
          <w:tcPr>
            <w:tcW w:w="1097" w:type="dxa"/>
            <w:vAlign w:val="center"/>
          </w:tcPr>
          <w:p w14:paraId="4439F7D1" w14:textId="1670E0E6" w:rsidR="00F40D75" w:rsidRPr="00F40D75" w:rsidRDefault="00864CF8"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0</w:t>
            </w:r>
            <w:r w:rsidR="00DB12C2">
              <w:rPr>
                <w:rFonts w:eastAsiaTheme="minorEastAsia"/>
                <w:color w:val="auto"/>
                <w:sz w:val="22"/>
                <w:szCs w:val="22"/>
                <w:lang w:val="en-US" w:eastAsia="zh-CN"/>
              </w:rPr>
              <w:t>.1</w:t>
            </w:r>
          </w:p>
        </w:tc>
        <w:tc>
          <w:tcPr>
            <w:tcW w:w="1025" w:type="dxa"/>
            <w:vAlign w:val="center"/>
          </w:tcPr>
          <w:p w14:paraId="7EE4F67F" w14:textId="023F35D6" w:rsidR="00F40D75" w:rsidRPr="00F40D75" w:rsidRDefault="00DB12C2"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02/01/24</w:t>
            </w:r>
          </w:p>
        </w:tc>
        <w:tc>
          <w:tcPr>
            <w:tcW w:w="3029" w:type="dxa"/>
            <w:vAlign w:val="center"/>
          </w:tcPr>
          <w:p w14:paraId="30D163B8" w14:textId="5013261E" w:rsidR="00F40D75" w:rsidRPr="00F40D75" w:rsidRDefault="00DB12C2"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Nicola Adams, Associate Director of Corporate Services</w:t>
            </w:r>
          </w:p>
        </w:tc>
        <w:tc>
          <w:tcPr>
            <w:tcW w:w="3865" w:type="dxa"/>
            <w:vAlign w:val="center"/>
          </w:tcPr>
          <w:p w14:paraId="6BEB4DCD" w14:textId="43D584FA" w:rsidR="00F40D75" w:rsidRPr="00F40D75" w:rsidRDefault="00182A68"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 xml:space="preserve">Draft policy </w:t>
            </w:r>
          </w:p>
        </w:tc>
      </w:tr>
      <w:tr w:rsidR="00F40D75" w:rsidRPr="00F40D75" w14:paraId="5E5255EA" w14:textId="77777777" w:rsidTr="7E04C272">
        <w:trPr>
          <w:trHeight w:val="402"/>
        </w:trPr>
        <w:tc>
          <w:tcPr>
            <w:tcW w:w="1097" w:type="dxa"/>
            <w:vAlign w:val="center"/>
          </w:tcPr>
          <w:p w14:paraId="5C7E3C5A" w14:textId="130ABB9F" w:rsidR="00F40D75" w:rsidRPr="00F40D75" w:rsidRDefault="00864CF8"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0</w:t>
            </w:r>
            <w:r w:rsidR="00640BFB">
              <w:rPr>
                <w:rFonts w:eastAsiaTheme="minorEastAsia"/>
                <w:color w:val="auto"/>
                <w:sz w:val="22"/>
                <w:szCs w:val="22"/>
                <w:lang w:val="en-US" w:eastAsia="zh-CN"/>
              </w:rPr>
              <w:t>.2</w:t>
            </w:r>
          </w:p>
        </w:tc>
        <w:tc>
          <w:tcPr>
            <w:tcW w:w="1025" w:type="dxa"/>
            <w:vAlign w:val="center"/>
          </w:tcPr>
          <w:p w14:paraId="71DE2A8D" w14:textId="720D9379" w:rsidR="00F40D75" w:rsidRPr="00F40D75" w:rsidRDefault="2477B49F" w:rsidP="7E04C272">
            <w:pPr>
              <w:spacing w:before="0" w:after="0"/>
              <w:ind w:left="0"/>
              <w:rPr>
                <w:rFonts w:eastAsiaTheme="minorEastAsia"/>
                <w:color w:val="auto"/>
                <w:sz w:val="22"/>
                <w:szCs w:val="22"/>
                <w:lang w:val="en-US" w:eastAsia="zh-CN"/>
              </w:rPr>
            </w:pPr>
            <w:r w:rsidRPr="7E04C272">
              <w:rPr>
                <w:rFonts w:eastAsiaTheme="minorEastAsia"/>
                <w:color w:val="auto"/>
                <w:sz w:val="22"/>
                <w:szCs w:val="22"/>
                <w:lang w:val="en-US" w:eastAsia="zh-CN"/>
              </w:rPr>
              <w:t>4/1/24</w:t>
            </w:r>
          </w:p>
        </w:tc>
        <w:tc>
          <w:tcPr>
            <w:tcW w:w="3029" w:type="dxa"/>
            <w:vAlign w:val="center"/>
          </w:tcPr>
          <w:p w14:paraId="7313459A" w14:textId="70D0B837" w:rsidR="00F40D75" w:rsidRPr="00F40D75" w:rsidRDefault="2477B49F" w:rsidP="7E04C272">
            <w:pPr>
              <w:spacing w:before="0" w:after="0"/>
              <w:ind w:left="0"/>
              <w:rPr>
                <w:rFonts w:eastAsiaTheme="minorEastAsia"/>
                <w:color w:val="auto"/>
                <w:sz w:val="22"/>
                <w:szCs w:val="22"/>
                <w:lang w:val="en-US" w:eastAsia="zh-CN"/>
              </w:rPr>
            </w:pPr>
            <w:r w:rsidRPr="7E04C272">
              <w:rPr>
                <w:rFonts w:eastAsiaTheme="minorEastAsia"/>
                <w:color w:val="auto"/>
                <w:sz w:val="22"/>
                <w:szCs w:val="22"/>
                <w:lang w:val="en-US" w:eastAsia="zh-CN"/>
              </w:rPr>
              <w:t>Paula Wilkinson and James Hickling</w:t>
            </w:r>
            <w:r w:rsidR="00640BFB">
              <w:rPr>
                <w:rFonts w:eastAsiaTheme="minorEastAsia"/>
                <w:color w:val="auto"/>
                <w:sz w:val="22"/>
                <w:szCs w:val="22"/>
                <w:lang w:val="en-US" w:eastAsia="zh-CN"/>
              </w:rPr>
              <w:t xml:space="preserve"> and Emma Timpson</w:t>
            </w:r>
          </w:p>
        </w:tc>
        <w:tc>
          <w:tcPr>
            <w:tcW w:w="3865" w:type="dxa"/>
            <w:vAlign w:val="center"/>
          </w:tcPr>
          <w:p w14:paraId="456211D1" w14:textId="02E24B9F" w:rsidR="00F40D75" w:rsidRPr="00F40D75" w:rsidRDefault="00182A68" w:rsidP="00F40D75">
            <w:pPr>
              <w:spacing w:before="0" w:after="0"/>
              <w:ind w:left="0"/>
              <w:rPr>
                <w:rFonts w:eastAsiaTheme="minorEastAsia"/>
                <w:color w:val="auto"/>
                <w:sz w:val="22"/>
                <w:szCs w:val="22"/>
                <w:lang w:val="en-US" w:eastAsia="zh-CN"/>
              </w:rPr>
            </w:pPr>
            <w:r w:rsidRPr="7E04C272">
              <w:rPr>
                <w:rFonts w:eastAsiaTheme="minorEastAsia"/>
                <w:color w:val="auto"/>
                <w:sz w:val="22"/>
                <w:szCs w:val="22"/>
                <w:lang w:val="en-US" w:eastAsia="zh-CN"/>
              </w:rPr>
              <w:t xml:space="preserve">Updates </w:t>
            </w:r>
            <w:r>
              <w:rPr>
                <w:rFonts w:eastAsiaTheme="minorEastAsia"/>
                <w:color w:val="auto"/>
                <w:sz w:val="22"/>
                <w:szCs w:val="22"/>
                <w:lang w:val="en-US" w:eastAsia="zh-CN"/>
              </w:rPr>
              <w:t>to draft policy.</w:t>
            </w:r>
          </w:p>
        </w:tc>
      </w:tr>
      <w:tr w:rsidR="00F40D75" w:rsidRPr="00F40D75" w14:paraId="02D22404" w14:textId="77777777" w:rsidTr="7E04C272">
        <w:trPr>
          <w:trHeight w:val="423"/>
        </w:trPr>
        <w:tc>
          <w:tcPr>
            <w:tcW w:w="1097" w:type="dxa"/>
            <w:vAlign w:val="center"/>
          </w:tcPr>
          <w:p w14:paraId="17B6EDCB" w14:textId="5C49FD3F" w:rsidR="00F40D75" w:rsidRPr="00F40D75" w:rsidRDefault="00864CF8"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1.0</w:t>
            </w:r>
          </w:p>
        </w:tc>
        <w:tc>
          <w:tcPr>
            <w:tcW w:w="1025" w:type="dxa"/>
            <w:vAlign w:val="center"/>
          </w:tcPr>
          <w:p w14:paraId="5FCD3AEB" w14:textId="53506A71" w:rsidR="00F40D75" w:rsidRPr="00F40D75" w:rsidRDefault="00864CF8"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18/01/24</w:t>
            </w:r>
          </w:p>
        </w:tc>
        <w:tc>
          <w:tcPr>
            <w:tcW w:w="3029" w:type="dxa"/>
            <w:vAlign w:val="center"/>
          </w:tcPr>
          <w:p w14:paraId="5F5A2FB9" w14:textId="5951B038" w:rsidR="00F40D75" w:rsidRPr="00F40D75" w:rsidRDefault="00864CF8"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 xml:space="preserve">S O’Connor, Head of Governance &amp; Risk </w:t>
            </w:r>
          </w:p>
        </w:tc>
        <w:tc>
          <w:tcPr>
            <w:tcW w:w="3865" w:type="dxa"/>
            <w:vAlign w:val="center"/>
          </w:tcPr>
          <w:p w14:paraId="21E5AAB2" w14:textId="6CD7BC8C" w:rsidR="00F40D75" w:rsidRPr="00F40D75" w:rsidRDefault="00941DB9"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 xml:space="preserve">Final version following ICB Board approval. </w:t>
            </w:r>
          </w:p>
        </w:tc>
      </w:tr>
      <w:tr w:rsidR="00F40D75" w:rsidRPr="00F40D75" w14:paraId="73DD856D" w14:textId="77777777" w:rsidTr="7E04C272">
        <w:trPr>
          <w:trHeight w:val="423"/>
        </w:trPr>
        <w:tc>
          <w:tcPr>
            <w:tcW w:w="1097" w:type="dxa"/>
            <w:vAlign w:val="center"/>
          </w:tcPr>
          <w:p w14:paraId="52BC6D84"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21C24669"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3513F260"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59462A9C"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57B7D86D" w14:textId="77777777" w:rsidTr="7E04C272">
        <w:trPr>
          <w:trHeight w:val="423"/>
        </w:trPr>
        <w:tc>
          <w:tcPr>
            <w:tcW w:w="1097" w:type="dxa"/>
            <w:vAlign w:val="center"/>
          </w:tcPr>
          <w:p w14:paraId="14548FE0"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0B203FCC"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6F3C2A28"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722A3172"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52B6155F" w14:textId="77777777" w:rsidTr="7E04C272">
        <w:trPr>
          <w:trHeight w:val="423"/>
        </w:trPr>
        <w:tc>
          <w:tcPr>
            <w:tcW w:w="1097" w:type="dxa"/>
            <w:vAlign w:val="center"/>
          </w:tcPr>
          <w:p w14:paraId="42F6AABC"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0C00BFAC"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13C5E701"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2A3BC9B6"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338FD247" w14:textId="77777777" w:rsidTr="7E04C272">
        <w:trPr>
          <w:trHeight w:val="423"/>
        </w:trPr>
        <w:tc>
          <w:tcPr>
            <w:tcW w:w="1097" w:type="dxa"/>
            <w:vAlign w:val="center"/>
          </w:tcPr>
          <w:p w14:paraId="2E5EB794"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02B568FC"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04893237"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1E5810F9" w14:textId="77777777" w:rsidR="00F40D75" w:rsidRPr="00F40D75" w:rsidRDefault="00F40D75" w:rsidP="00F40D75">
            <w:pPr>
              <w:spacing w:before="0" w:after="0"/>
              <w:ind w:left="0"/>
              <w:rPr>
                <w:rFonts w:eastAsiaTheme="minorEastAsia"/>
                <w:color w:val="auto"/>
                <w:sz w:val="22"/>
                <w:szCs w:val="22"/>
                <w:lang w:val="en-US" w:eastAsia="zh-CN"/>
              </w:rPr>
            </w:pPr>
          </w:p>
        </w:tc>
      </w:tr>
    </w:tbl>
    <w:p w14:paraId="2F82B05E" w14:textId="77777777" w:rsidR="00F40D75" w:rsidRPr="00F40D75" w:rsidRDefault="00F40D75" w:rsidP="00F40D75">
      <w:pPr>
        <w:ind w:left="0"/>
        <w:rPr>
          <w:color w:val="002365" w:themeColor="accent1" w:themeShade="BF"/>
          <w:sz w:val="32"/>
          <w:szCs w:val="32"/>
        </w:rPr>
      </w:pPr>
      <w:r w:rsidRPr="00F40D75">
        <w:br w:type="page"/>
      </w:r>
    </w:p>
    <w:p w14:paraId="43B4DBAE" w14:textId="77777777" w:rsidR="00F40D75" w:rsidRPr="00F40D75" w:rsidRDefault="00F40D75" w:rsidP="00F40D75">
      <w:pPr>
        <w:keepNext/>
        <w:keepLines/>
        <w:spacing w:before="240"/>
        <w:ind w:left="0"/>
        <w:outlineLvl w:val="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lastRenderedPageBreak/>
        <w:t>Contents</w:t>
      </w:r>
    </w:p>
    <w:p w14:paraId="3E49CFAB" w14:textId="710C0756" w:rsidR="00817AA6" w:rsidRDefault="00F40D75">
      <w:pPr>
        <w:pStyle w:val="TOC1"/>
        <w:rPr>
          <w:rFonts w:eastAsiaTheme="minorEastAsia"/>
          <w:b w:val="0"/>
          <w:noProof/>
          <w:color w:val="auto"/>
          <w:sz w:val="22"/>
          <w:szCs w:val="22"/>
          <w:lang w:eastAsia="en-GB"/>
        </w:rPr>
      </w:pPr>
      <w:r w:rsidRPr="00F40D75">
        <w:rPr>
          <w:rFonts w:ascii="AppleSystemUIFont" w:hAnsi="AppleSystemUIFont" w:cs="AppleSystemUIFont"/>
          <w:b w:val="0"/>
          <w:color w:val="2B579A"/>
          <w:sz w:val="26"/>
          <w:szCs w:val="26"/>
          <w:shd w:val="clear" w:color="auto" w:fill="E6E6E6"/>
        </w:rPr>
        <w:fldChar w:fldCharType="begin"/>
      </w:r>
      <w:r w:rsidRPr="00F40D75">
        <w:rPr>
          <w:rFonts w:ascii="AppleSystemUIFont" w:hAnsi="AppleSystemUIFont" w:cs="AppleSystemUIFont"/>
          <w:sz w:val="26"/>
          <w:szCs w:val="26"/>
        </w:rPr>
        <w:instrText xml:space="preserve"> TOC \h \z \t "Heading 2,1,Heading 3,2" </w:instrText>
      </w:r>
      <w:r w:rsidRPr="00F40D75">
        <w:rPr>
          <w:rFonts w:ascii="AppleSystemUIFont" w:hAnsi="AppleSystemUIFont" w:cs="AppleSystemUIFont"/>
          <w:b w:val="0"/>
          <w:color w:val="2B579A"/>
          <w:sz w:val="26"/>
          <w:szCs w:val="26"/>
          <w:shd w:val="clear" w:color="auto" w:fill="E6E6E6"/>
        </w:rPr>
        <w:fldChar w:fldCharType="separate"/>
      </w:r>
      <w:hyperlink w:anchor="_Toc155687874" w:history="1">
        <w:r w:rsidR="00817AA6" w:rsidRPr="005E4009">
          <w:rPr>
            <w:rStyle w:val="Hyperlink"/>
            <w:noProof/>
          </w:rPr>
          <w:t>1.</w:t>
        </w:r>
        <w:r w:rsidR="00817AA6">
          <w:rPr>
            <w:rFonts w:eastAsiaTheme="minorEastAsia"/>
            <w:b w:val="0"/>
            <w:noProof/>
            <w:color w:val="auto"/>
            <w:sz w:val="22"/>
            <w:szCs w:val="22"/>
            <w:lang w:eastAsia="en-GB"/>
          </w:rPr>
          <w:tab/>
        </w:r>
        <w:r w:rsidR="00817AA6" w:rsidRPr="005E4009">
          <w:rPr>
            <w:rStyle w:val="Hyperlink"/>
            <w:noProof/>
          </w:rPr>
          <w:t>Introduction</w:t>
        </w:r>
        <w:r w:rsidR="00817AA6">
          <w:rPr>
            <w:noProof/>
            <w:webHidden/>
          </w:rPr>
          <w:tab/>
        </w:r>
        <w:r w:rsidR="00817AA6">
          <w:rPr>
            <w:noProof/>
            <w:webHidden/>
          </w:rPr>
          <w:fldChar w:fldCharType="begin"/>
        </w:r>
        <w:r w:rsidR="00817AA6">
          <w:rPr>
            <w:noProof/>
            <w:webHidden/>
          </w:rPr>
          <w:instrText xml:space="preserve"> PAGEREF _Toc155687874 \h </w:instrText>
        </w:r>
        <w:r w:rsidR="00817AA6">
          <w:rPr>
            <w:noProof/>
            <w:webHidden/>
          </w:rPr>
        </w:r>
        <w:r w:rsidR="00817AA6">
          <w:rPr>
            <w:noProof/>
            <w:webHidden/>
          </w:rPr>
          <w:fldChar w:fldCharType="separate"/>
        </w:r>
        <w:r w:rsidR="00817AA6">
          <w:rPr>
            <w:noProof/>
            <w:webHidden/>
          </w:rPr>
          <w:t>5</w:t>
        </w:r>
        <w:r w:rsidR="00817AA6">
          <w:rPr>
            <w:noProof/>
            <w:webHidden/>
          </w:rPr>
          <w:fldChar w:fldCharType="end"/>
        </w:r>
      </w:hyperlink>
    </w:p>
    <w:p w14:paraId="30B09C54" w14:textId="29E42C36" w:rsidR="00817AA6" w:rsidRDefault="00817AA6">
      <w:pPr>
        <w:pStyle w:val="TOC1"/>
        <w:rPr>
          <w:rFonts w:eastAsiaTheme="minorEastAsia"/>
          <w:b w:val="0"/>
          <w:noProof/>
          <w:color w:val="auto"/>
          <w:sz w:val="22"/>
          <w:szCs w:val="22"/>
          <w:lang w:eastAsia="en-GB"/>
        </w:rPr>
      </w:pPr>
      <w:hyperlink w:anchor="_Toc155687875" w:history="1">
        <w:r w:rsidRPr="005E4009">
          <w:rPr>
            <w:rStyle w:val="Hyperlink"/>
            <w:noProof/>
          </w:rPr>
          <w:t>2.</w:t>
        </w:r>
        <w:r>
          <w:rPr>
            <w:rFonts w:eastAsiaTheme="minorEastAsia"/>
            <w:b w:val="0"/>
            <w:noProof/>
            <w:color w:val="auto"/>
            <w:sz w:val="22"/>
            <w:szCs w:val="22"/>
            <w:lang w:eastAsia="en-GB"/>
          </w:rPr>
          <w:tab/>
        </w:r>
        <w:r w:rsidRPr="005E4009">
          <w:rPr>
            <w:rStyle w:val="Hyperlink"/>
            <w:noProof/>
          </w:rPr>
          <w:t>Purpose / Policy Statement</w:t>
        </w:r>
        <w:r>
          <w:rPr>
            <w:noProof/>
            <w:webHidden/>
          </w:rPr>
          <w:tab/>
        </w:r>
        <w:r>
          <w:rPr>
            <w:noProof/>
            <w:webHidden/>
          </w:rPr>
          <w:fldChar w:fldCharType="begin"/>
        </w:r>
        <w:r>
          <w:rPr>
            <w:noProof/>
            <w:webHidden/>
          </w:rPr>
          <w:instrText xml:space="preserve"> PAGEREF _Toc155687875 \h </w:instrText>
        </w:r>
        <w:r>
          <w:rPr>
            <w:noProof/>
            <w:webHidden/>
          </w:rPr>
        </w:r>
        <w:r>
          <w:rPr>
            <w:noProof/>
            <w:webHidden/>
          </w:rPr>
          <w:fldChar w:fldCharType="separate"/>
        </w:r>
        <w:r>
          <w:rPr>
            <w:noProof/>
            <w:webHidden/>
          </w:rPr>
          <w:t>5</w:t>
        </w:r>
        <w:r>
          <w:rPr>
            <w:noProof/>
            <w:webHidden/>
          </w:rPr>
          <w:fldChar w:fldCharType="end"/>
        </w:r>
      </w:hyperlink>
    </w:p>
    <w:p w14:paraId="026A07C1" w14:textId="7C60C656" w:rsidR="00817AA6" w:rsidRDefault="00817AA6">
      <w:pPr>
        <w:pStyle w:val="TOC1"/>
        <w:rPr>
          <w:rFonts w:eastAsiaTheme="minorEastAsia"/>
          <w:b w:val="0"/>
          <w:noProof/>
          <w:color w:val="auto"/>
          <w:sz w:val="22"/>
          <w:szCs w:val="22"/>
          <w:lang w:eastAsia="en-GB"/>
        </w:rPr>
      </w:pPr>
      <w:hyperlink w:anchor="_Toc155687876" w:history="1">
        <w:r w:rsidRPr="005E4009">
          <w:rPr>
            <w:rStyle w:val="Hyperlink"/>
            <w:noProof/>
          </w:rPr>
          <w:t>3.</w:t>
        </w:r>
        <w:r>
          <w:rPr>
            <w:rFonts w:eastAsiaTheme="minorEastAsia"/>
            <w:b w:val="0"/>
            <w:noProof/>
            <w:color w:val="auto"/>
            <w:sz w:val="22"/>
            <w:szCs w:val="22"/>
            <w:lang w:eastAsia="en-GB"/>
          </w:rPr>
          <w:tab/>
        </w:r>
        <w:r w:rsidRPr="005E4009">
          <w:rPr>
            <w:rStyle w:val="Hyperlink"/>
            <w:noProof/>
          </w:rPr>
          <w:t>Scope</w:t>
        </w:r>
        <w:r>
          <w:rPr>
            <w:noProof/>
            <w:webHidden/>
          </w:rPr>
          <w:tab/>
        </w:r>
        <w:r>
          <w:rPr>
            <w:noProof/>
            <w:webHidden/>
          </w:rPr>
          <w:fldChar w:fldCharType="begin"/>
        </w:r>
        <w:r>
          <w:rPr>
            <w:noProof/>
            <w:webHidden/>
          </w:rPr>
          <w:instrText xml:space="preserve"> PAGEREF _Toc155687876 \h </w:instrText>
        </w:r>
        <w:r>
          <w:rPr>
            <w:noProof/>
            <w:webHidden/>
          </w:rPr>
        </w:r>
        <w:r>
          <w:rPr>
            <w:noProof/>
            <w:webHidden/>
          </w:rPr>
          <w:fldChar w:fldCharType="separate"/>
        </w:r>
        <w:r>
          <w:rPr>
            <w:noProof/>
            <w:webHidden/>
          </w:rPr>
          <w:t>5</w:t>
        </w:r>
        <w:r>
          <w:rPr>
            <w:noProof/>
            <w:webHidden/>
          </w:rPr>
          <w:fldChar w:fldCharType="end"/>
        </w:r>
      </w:hyperlink>
    </w:p>
    <w:p w14:paraId="38B8244C" w14:textId="72528241" w:rsidR="00817AA6" w:rsidRDefault="00817AA6">
      <w:pPr>
        <w:pStyle w:val="TOC1"/>
        <w:rPr>
          <w:rFonts w:eastAsiaTheme="minorEastAsia"/>
          <w:b w:val="0"/>
          <w:noProof/>
          <w:color w:val="auto"/>
          <w:sz w:val="22"/>
          <w:szCs w:val="22"/>
          <w:lang w:eastAsia="en-GB"/>
        </w:rPr>
      </w:pPr>
      <w:hyperlink w:anchor="_Toc155687877" w:history="1">
        <w:r w:rsidRPr="005E4009">
          <w:rPr>
            <w:rStyle w:val="Hyperlink"/>
            <w:noProof/>
          </w:rPr>
          <w:t>4.</w:t>
        </w:r>
        <w:r>
          <w:rPr>
            <w:rFonts w:eastAsiaTheme="minorEastAsia"/>
            <w:b w:val="0"/>
            <w:noProof/>
            <w:color w:val="auto"/>
            <w:sz w:val="22"/>
            <w:szCs w:val="22"/>
            <w:lang w:eastAsia="en-GB"/>
          </w:rPr>
          <w:tab/>
        </w:r>
        <w:r w:rsidRPr="005E4009">
          <w:rPr>
            <w:rStyle w:val="Hyperlink"/>
            <w:noProof/>
          </w:rPr>
          <w:t>Definitions</w:t>
        </w:r>
        <w:r>
          <w:rPr>
            <w:noProof/>
            <w:webHidden/>
          </w:rPr>
          <w:tab/>
        </w:r>
        <w:r>
          <w:rPr>
            <w:noProof/>
            <w:webHidden/>
          </w:rPr>
          <w:fldChar w:fldCharType="begin"/>
        </w:r>
        <w:r>
          <w:rPr>
            <w:noProof/>
            <w:webHidden/>
          </w:rPr>
          <w:instrText xml:space="preserve"> PAGEREF _Toc155687877 \h </w:instrText>
        </w:r>
        <w:r>
          <w:rPr>
            <w:noProof/>
            <w:webHidden/>
          </w:rPr>
        </w:r>
        <w:r>
          <w:rPr>
            <w:noProof/>
            <w:webHidden/>
          </w:rPr>
          <w:fldChar w:fldCharType="separate"/>
        </w:r>
        <w:r>
          <w:rPr>
            <w:noProof/>
            <w:webHidden/>
          </w:rPr>
          <w:t>6</w:t>
        </w:r>
        <w:r>
          <w:rPr>
            <w:noProof/>
            <w:webHidden/>
          </w:rPr>
          <w:fldChar w:fldCharType="end"/>
        </w:r>
      </w:hyperlink>
    </w:p>
    <w:p w14:paraId="0B553F66" w14:textId="455F04CC" w:rsidR="00817AA6" w:rsidRDefault="00817AA6">
      <w:pPr>
        <w:pStyle w:val="TOC1"/>
        <w:rPr>
          <w:rFonts w:eastAsiaTheme="minorEastAsia"/>
          <w:b w:val="0"/>
          <w:noProof/>
          <w:color w:val="auto"/>
          <w:sz w:val="22"/>
          <w:szCs w:val="22"/>
          <w:lang w:eastAsia="en-GB"/>
        </w:rPr>
      </w:pPr>
      <w:hyperlink w:anchor="_Toc155687878" w:history="1">
        <w:r w:rsidRPr="005E4009">
          <w:rPr>
            <w:rStyle w:val="Hyperlink"/>
            <w:noProof/>
          </w:rPr>
          <w:t>5.</w:t>
        </w:r>
        <w:r>
          <w:rPr>
            <w:rFonts w:eastAsiaTheme="minorEastAsia"/>
            <w:b w:val="0"/>
            <w:noProof/>
            <w:color w:val="auto"/>
            <w:sz w:val="22"/>
            <w:szCs w:val="22"/>
            <w:lang w:eastAsia="en-GB"/>
          </w:rPr>
          <w:tab/>
        </w:r>
        <w:r w:rsidRPr="005E4009">
          <w:rPr>
            <w:rStyle w:val="Hyperlink"/>
            <w:noProof/>
          </w:rPr>
          <w:t>Roles and Responsibilities</w:t>
        </w:r>
        <w:r>
          <w:rPr>
            <w:noProof/>
            <w:webHidden/>
          </w:rPr>
          <w:tab/>
        </w:r>
        <w:r>
          <w:rPr>
            <w:noProof/>
            <w:webHidden/>
          </w:rPr>
          <w:fldChar w:fldCharType="begin"/>
        </w:r>
        <w:r>
          <w:rPr>
            <w:noProof/>
            <w:webHidden/>
          </w:rPr>
          <w:instrText xml:space="preserve"> PAGEREF _Toc155687878 \h </w:instrText>
        </w:r>
        <w:r>
          <w:rPr>
            <w:noProof/>
            <w:webHidden/>
          </w:rPr>
        </w:r>
        <w:r>
          <w:rPr>
            <w:noProof/>
            <w:webHidden/>
          </w:rPr>
          <w:fldChar w:fldCharType="separate"/>
        </w:r>
        <w:r>
          <w:rPr>
            <w:noProof/>
            <w:webHidden/>
          </w:rPr>
          <w:t>6</w:t>
        </w:r>
        <w:r>
          <w:rPr>
            <w:noProof/>
            <w:webHidden/>
          </w:rPr>
          <w:fldChar w:fldCharType="end"/>
        </w:r>
      </w:hyperlink>
    </w:p>
    <w:p w14:paraId="606DD09E" w14:textId="4D97A479" w:rsidR="00817AA6" w:rsidRDefault="00817AA6">
      <w:pPr>
        <w:pStyle w:val="TOC2"/>
        <w:tabs>
          <w:tab w:val="right" w:leader="underscore" w:pos="9016"/>
        </w:tabs>
        <w:rPr>
          <w:rFonts w:eastAsiaTheme="minorEastAsia"/>
          <w:noProof/>
          <w:color w:val="auto"/>
          <w:sz w:val="22"/>
          <w:szCs w:val="22"/>
          <w:lang w:eastAsia="en-GB"/>
        </w:rPr>
      </w:pPr>
      <w:hyperlink w:anchor="_Toc155687879" w:history="1">
        <w:r w:rsidRPr="005E4009">
          <w:rPr>
            <w:rStyle w:val="Hyperlink"/>
            <w:noProof/>
          </w:rPr>
          <w:t>5.1.</w:t>
        </w:r>
        <w:r>
          <w:rPr>
            <w:rFonts w:eastAsiaTheme="minorEastAsia"/>
            <w:noProof/>
            <w:color w:val="auto"/>
            <w:sz w:val="22"/>
            <w:szCs w:val="22"/>
            <w:lang w:eastAsia="en-GB"/>
          </w:rPr>
          <w:tab/>
        </w:r>
        <w:r w:rsidRPr="005E4009">
          <w:rPr>
            <w:rStyle w:val="Hyperlink"/>
            <w:noProof/>
          </w:rPr>
          <w:t>Integrated Care Board (“the Board”)</w:t>
        </w:r>
        <w:r>
          <w:rPr>
            <w:noProof/>
            <w:webHidden/>
          </w:rPr>
          <w:tab/>
        </w:r>
        <w:r>
          <w:rPr>
            <w:noProof/>
            <w:webHidden/>
          </w:rPr>
          <w:fldChar w:fldCharType="begin"/>
        </w:r>
        <w:r>
          <w:rPr>
            <w:noProof/>
            <w:webHidden/>
          </w:rPr>
          <w:instrText xml:space="preserve"> PAGEREF _Toc155687879 \h </w:instrText>
        </w:r>
        <w:r>
          <w:rPr>
            <w:noProof/>
            <w:webHidden/>
          </w:rPr>
        </w:r>
        <w:r>
          <w:rPr>
            <w:noProof/>
            <w:webHidden/>
          </w:rPr>
          <w:fldChar w:fldCharType="separate"/>
        </w:r>
        <w:r>
          <w:rPr>
            <w:noProof/>
            <w:webHidden/>
          </w:rPr>
          <w:t>6</w:t>
        </w:r>
        <w:r>
          <w:rPr>
            <w:noProof/>
            <w:webHidden/>
          </w:rPr>
          <w:fldChar w:fldCharType="end"/>
        </w:r>
      </w:hyperlink>
    </w:p>
    <w:p w14:paraId="6FE92FD0" w14:textId="62D1C90F" w:rsidR="00817AA6" w:rsidRDefault="00817AA6">
      <w:pPr>
        <w:pStyle w:val="TOC2"/>
        <w:tabs>
          <w:tab w:val="right" w:leader="underscore" w:pos="9016"/>
        </w:tabs>
        <w:rPr>
          <w:rFonts w:eastAsiaTheme="minorEastAsia"/>
          <w:noProof/>
          <w:color w:val="auto"/>
          <w:sz w:val="22"/>
          <w:szCs w:val="22"/>
          <w:lang w:eastAsia="en-GB"/>
        </w:rPr>
      </w:pPr>
      <w:hyperlink w:anchor="_Toc155687880" w:history="1">
        <w:r w:rsidRPr="005E4009">
          <w:rPr>
            <w:rStyle w:val="Hyperlink"/>
            <w:noProof/>
          </w:rPr>
          <w:t>5.2.</w:t>
        </w:r>
        <w:r>
          <w:rPr>
            <w:rFonts w:eastAsiaTheme="minorEastAsia"/>
            <w:noProof/>
            <w:color w:val="auto"/>
            <w:sz w:val="22"/>
            <w:szCs w:val="22"/>
            <w:lang w:eastAsia="en-GB"/>
          </w:rPr>
          <w:tab/>
        </w:r>
        <w:r w:rsidRPr="005E4009">
          <w:rPr>
            <w:rStyle w:val="Hyperlink"/>
            <w:noProof/>
          </w:rPr>
          <w:t>Audit Committee</w:t>
        </w:r>
        <w:r>
          <w:rPr>
            <w:noProof/>
            <w:webHidden/>
          </w:rPr>
          <w:tab/>
        </w:r>
        <w:r>
          <w:rPr>
            <w:noProof/>
            <w:webHidden/>
          </w:rPr>
          <w:fldChar w:fldCharType="begin"/>
        </w:r>
        <w:r>
          <w:rPr>
            <w:noProof/>
            <w:webHidden/>
          </w:rPr>
          <w:instrText xml:space="preserve"> PAGEREF _Toc155687880 \h </w:instrText>
        </w:r>
        <w:r>
          <w:rPr>
            <w:noProof/>
            <w:webHidden/>
          </w:rPr>
        </w:r>
        <w:r>
          <w:rPr>
            <w:noProof/>
            <w:webHidden/>
          </w:rPr>
          <w:fldChar w:fldCharType="separate"/>
        </w:r>
        <w:r>
          <w:rPr>
            <w:noProof/>
            <w:webHidden/>
          </w:rPr>
          <w:t>7</w:t>
        </w:r>
        <w:r>
          <w:rPr>
            <w:noProof/>
            <w:webHidden/>
          </w:rPr>
          <w:fldChar w:fldCharType="end"/>
        </w:r>
      </w:hyperlink>
    </w:p>
    <w:p w14:paraId="5FDC2669" w14:textId="33443F06" w:rsidR="00817AA6" w:rsidRDefault="00817AA6">
      <w:pPr>
        <w:pStyle w:val="TOC2"/>
        <w:tabs>
          <w:tab w:val="right" w:leader="underscore" w:pos="9016"/>
        </w:tabs>
        <w:rPr>
          <w:rFonts w:eastAsiaTheme="minorEastAsia"/>
          <w:noProof/>
          <w:color w:val="auto"/>
          <w:sz w:val="22"/>
          <w:szCs w:val="22"/>
          <w:lang w:eastAsia="en-GB"/>
        </w:rPr>
      </w:pPr>
      <w:hyperlink w:anchor="_Toc155687881" w:history="1">
        <w:r w:rsidRPr="005E4009">
          <w:rPr>
            <w:rStyle w:val="Hyperlink"/>
            <w:noProof/>
          </w:rPr>
          <w:t>5.3.</w:t>
        </w:r>
        <w:r>
          <w:rPr>
            <w:rFonts w:eastAsiaTheme="minorEastAsia"/>
            <w:noProof/>
            <w:color w:val="auto"/>
            <w:sz w:val="22"/>
            <w:szCs w:val="22"/>
            <w:lang w:eastAsia="en-GB"/>
          </w:rPr>
          <w:tab/>
        </w:r>
        <w:r w:rsidRPr="005E4009">
          <w:rPr>
            <w:rStyle w:val="Hyperlink"/>
            <w:noProof/>
          </w:rPr>
          <w:t>Clinical and Multi-professional Congress (“the Congress”)</w:t>
        </w:r>
        <w:r>
          <w:rPr>
            <w:noProof/>
            <w:webHidden/>
          </w:rPr>
          <w:tab/>
        </w:r>
        <w:r>
          <w:rPr>
            <w:noProof/>
            <w:webHidden/>
          </w:rPr>
          <w:fldChar w:fldCharType="begin"/>
        </w:r>
        <w:r>
          <w:rPr>
            <w:noProof/>
            <w:webHidden/>
          </w:rPr>
          <w:instrText xml:space="preserve"> PAGEREF _Toc155687881 \h </w:instrText>
        </w:r>
        <w:r>
          <w:rPr>
            <w:noProof/>
            <w:webHidden/>
          </w:rPr>
        </w:r>
        <w:r>
          <w:rPr>
            <w:noProof/>
            <w:webHidden/>
          </w:rPr>
          <w:fldChar w:fldCharType="separate"/>
        </w:r>
        <w:r>
          <w:rPr>
            <w:noProof/>
            <w:webHidden/>
          </w:rPr>
          <w:t>7</w:t>
        </w:r>
        <w:r>
          <w:rPr>
            <w:noProof/>
            <w:webHidden/>
          </w:rPr>
          <w:fldChar w:fldCharType="end"/>
        </w:r>
      </w:hyperlink>
    </w:p>
    <w:p w14:paraId="1BBA810F" w14:textId="329667E7" w:rsidR="00817AA6" w:rsidRDefault="00817AA6">
      <w:pPr>
        <w:pStyle w:val="TOC2"/>
        <w:tabs>
          <w:tab w:val="right" w:leader="underscore" w:pos="9016"/>
        </w:tabs>
        <w:rPr>
          <w:rFonts w:eastAsiaTheme="minorEastAsia"/>
          <w:noProof/>
          <w:color w:val="auto"/>
          <w:sz w:val="22"/>
          <w:szCs w:val="22"/>
          <w:lang w:eastAsia="en-GB"/>
        </w:rPr>
      </w:pPr>
      <w:hyperlink w:anchor="_Toc155687882" w:history="1">
        <w:r w:rsidRPr="005E4009">
          <w:rPr>
            <w:rStyle w:val="Hyperlink"/>
            <w:noProof/>
          </w:rPr>
          <w:t>5.4.</w:t>
        </w:r>
        <w:r>
          <w:rPr>
            <w:rFonts w:eastAsiaTheme="minorEastAsia"/>
            <w:noProof/>
            <w:color w:val="auto"/>
            <w:sz w:val="22"/>
            <w:szCs w:val="22"/>
            <w:lang w:eastAsia="en-GB"/>
          </w:rPr>
          <w:tab/>
        </w:r>
        <w:r w:rsidRPr="005E4009">
          <w:rPr>
            <w:rStyle w:val="Hyperlink"/>
            <w:noProof/>
          </w:rPr>
          <w:t>Sponsoring Clinical Committee / Stewardship Groups</w:t>
        </w:r>
        <w:r>
          <w:rPr>
            <w:noProof/>
            <w:webHidden/>
          </w:rPr>
          <w:tab/>
        </w:r>
        <w:r>
          <w:rPr>
            <w:noProof/>
            <w:webHidden/>
          </w:rPr>
          <w:fldChar w:fldCharType="begin"/>
        </w:r>
        <w:r>
          <w:rPr>
            <w:noProof/>
            <w:webHidden/>
          </w:rPr>
          <w:instrText xml:space="preserve"> PAGEREF _Toc155687882 \h </w:instrText>
        </w:r>
        <w:r>
          <w:rPr>
            <w:noProof/>
            <w:webHidden/>
          </w:rPr>
        </w:r>
        <w:r>
          <w:rPr>
            <w:noProof/>
            <w:webHidden/>
          </w:rPr>
          <w:fldChar w:fldCharType="separate"/>
        </w:r>
        <w:r>
          <w:rPr>
            <w:noProof/>
            <w:webHidden/>
          </w:rPr>
          <w:t>7</w:t>
        </w:r>
        <w:r>
          <w:rPr>
            <w:noProof/>
            <w:webHidden/>
          </w:rPr>
          <w:fldChar w:fldCharType="end"/>
        </w:r>
      </w:hyperlink>
    </w:p>
    <w:p w14:paraId="5CF5DA0A" w14:textId="65421BB0" w:rsidR="00817AA6" w:rsidRDefault="00817AA6">
      <w:pPr>
        <w:pStyle w:val="TOC2"/>
        <w:tabs>
          <w:tab w:val="right" w:leader="underscore" w:pos="9016"/>
        </w:tabs>
        <w:rPr>
          <w:rFonts w:eastAsiaTheme="minorEastAsia"/>
          <w:noProof/>
          <w:color w:val="auto"/>
          <w:sz w:val="22"/>
          <w:szCs w:val="22"/>
          <w:lang w:eastAsia="en-GB"/>
        </w:rPr>
      </w:pPr>
      <w:hyperlink w:anchor="_Toc155687883" w:history="1">
        <w:r w:rsidRPr="005E4009">
          <w:rPr>
            <w:rStyle w:val="Hyperlink"/>
            <w:noProof/>
          </w:rPr>
          <w:t>5.5.</w:t>
        </w:r>
        <w:r>
          <w:rPr>
            <w:rFonts w:eastAsiaTheme="minorEastAsia"/>
            <w:noProof/>
            <w:color w:val="auto"/>
            <w:sz w:val="22"/>
            <w:szCs w:val="22"/>
            <w:lang w:eastAsia="en-GB"/>
          </w:rPr>
          <w:tab/>
        </w:r>
        <w:r w:rsidRPr="005E4009">
          <w:rPr>
            <w:rStyle w:val="Hyperlink"/>
            <w:noProof/>
          </w:rPr>
          <w:t>Equality and Diversity Impact Assessment Panel</w:t>
        </w:r>
        <w:r>
          <w:rPr>
            <w:noProof/>
            <w:webHidden/>
          </w:rPr>
          <w:tab/>
        </w:r>
        <w:r>
          <w:rPr>
            <w:noProof/>
            <w:webHidden/>
          </w:rPr>
          <w:fldChar w:fldCharType="begin"/>
        </w:r>
        <w:r>
          <w:rPr>
            <w:noProof/>
            <w:webHidden/>
          </w:rPr>
          <w:instrText xml:space="preserve"> PAGEREF _Toc155687883 \h </w:instrText>
        </w:r>
        <w:r>
          <w:rPr>
            <w:noProof/>
            <w:webHidden/>
          </w:rPr>
        </w:r>
        <w:r>
          <w:rPr>
            <w:noProof/>
            <w:webHidden/>
          </w:rPr>
          <w:fldChar w:fldCharType="separate"/>
        </w:r>
        <w:r>
          <w:rPr>
            <w:noProof/>
            <w:webHidden/>
          </w:rPr>
          <w:t>7</w:t>
        </w:r>
        <w:r>
          <w:rPr>
            <w:noProof/>
            <w:webHidden/>
          </w:rPr>
          <w:fldChar w:fldCharType="end"/>
        </w:r>
      </w:hyperlink>
    </w:p>
    <w:p w14:paraId="5EBA974F" w14:textId="0D234397" w:rsidR="00817AA6" w:rsidRDefault="00817AA6">
      <w:pPr>
        <w:pStyle w:val="TOC2"/>
        <w:tabs>
          <w:tab w:val="right" w:leader="underscore" w:pos="9016"/>
        </w:tabs>
        <w:rPr>
          <w:rFonts w:eastAsiaTheme="minorEastAsia"/>
          <w:noProof/>
          <w:color w:val="auto"/>
          <w:sz w:val="22"/>
          <w:szCs w:val="22"/>
          <w:lang w:eastAsia="en-GB"/>
        </w:rPr>
      </w:pPr>
      <w:hyperlink w:anchor="_Toc155687884" w:history="1">
        <w:r w:rsidRPr="005E4009">
          <w:rPr>
            <w:rStyle w:val="Hyperlink"/>
            <w:noProof/>
          </w:rPr>
          <w:t>5.7.</w:t>
        </w:r>
        <w:r>
          <w:rPr>
            <w:rFonts w:eastAsiaTheme="minorEastAsia"/>
            <w:noProof/>
            <w:color w:val="auto"/>
            <w:sz w:val="22"/>
            <w:szCs w:val="22"/>
            <w:lang w:eastAsia="en-GB"/>
          </w:rPr>
          <w:tab/>
        </w:r>
        <w:r w:rsidRPr="005E4009">
          <w:rPr>
            <w:rStyle w:val="Hyperlink"/>
            <w:noProof/>
          </w:rPr>
          <w:t>ICB Executive Team</w:t>
        </w:r>
        <w:r>
          <w:rPr>
            <w:noProof/>
            <w:webHidden/>
          </w:rPr>
          <w:tab/>
        </w:r>
        <w:r>
          <w:rPr>
            <w:noProof/>
            <w:webHidden/>
          </w:rPr>
          <w:fldChar w:fldCharType="begin"/>
        </w:r>
        <w:r>
          <w:rPr>
            <w:noProof/>
            <w:webHidden/>
          </w:rPr>
          <w:instrText xml:space="preserve"> PAGEREF _Toc155687884 \h </w:instrText>
        </w:r>
        <w:r>
          <w:rPr>
            <w:noProof/>
            <w:webHidden/>
          </w:rPr>
        </w:r>
        <w:r>
          <w:rPr>
            <w:noProof/>
            <w:webHidden/>
          </w:rPr>
          <w:fldChar w:fldCharType="separate"/>
        </w:r>
        <w:r>
          <w:rPr>
            <w:noProof/>
            <w:webHidden/>
          </w:rPr>
          <w:t>7</w:t>
        </w:r>
        <w:r>
          <w:rPr>
            <w:noProof/>
            <w:webHidden/>
          </w:rPr>
          <w:fldChar w:fldCharType="end"/>
        </w:r>
      </w:hyperlink>
    </w:p>
    <w:p w14:paraId="374B9E32" w14:textId="3F24E3D7" w:rsidR="00817AA6" w:rsidRDefault="00817AA6">
      <w:pPr>
        <w:pStyle w:val="TOC2"/>
        <w:tabs>
          <w:tab w:val="right" w:leader="underscore" w:pos="9016"/>
        </w:tabs>
        <w:rPr>
          <w:rFonts w:eastAsiaTheme="minorEastAsia"/>
          <w:noProof/>
          <w:color w:val="auto"/>
          <w:sz w:val="22"/>
          <w:szCs w:val="22"/>
          <w:lang w:eastAsia="en-GB"/>
        </w:rPr>
      </w:pPr>
      <w:hyperlink w:anchor="_Toc155687885" w:history="1">
        <w:r w:rsidRPr="005E4009">
          <w:rPr>
            <w:rStyle w:val="Hyperlink"/>
            <w:noProof/>
          </w:rPr>
          <w:t>5.8.</w:t>
        </w:r>
        <w:r>
          <w:rPr>
            <w:rFonts w:eastAsiaTheme="minorEastAsia"/>
            <w:noProof/>
            <w:color w:val="auto"/>
            <w:sz w:val="22"/>
            <w:szCs w:val="22"/>
            <w:lang w:eastAsia="en-GB"/>
          </w:rPr>
          <w:tab/>
        </w:r>
        <w:r w:rsidRPr="005E4009">
          <w:rPr>
            <w:rStyle w:val="Hyperlink"/>
            <w:noProof/>
          </w:rPr>
          <w:t>Chief Executive</w:t>
        </w:r>
        <w:r>
          <w:rPr>
            <w:noProof/>
            <w:webHidden/>
          </w:rPr>
          <w:tab/>
        </w:r>
        <w:r>
          <w:rPr>
            <w:noProof/>
            <w:webHidden/>
          </w:rPr>
          <w:fldChar w:fldCharType="begin"/>
        </w:r>
        <w:r>
          <w:rPr>
            <w:noProof/>
            <w:webHidden/>
          </w:rPr>
          <w:instrText xml:space="preserve"> PAGEREF _Toc155687885 \h </w:instrText>
        </w:r>
        <w:r>
          <w:rPr>
            <w:noProof/>
            <w:webHidden/>
          </w:rPr>
        </w:r>
        <w:r>
          <w:rPr>
            <w:noProof/>
            <w:webHidden/>
          </w:rPr>
          <w:fldChar w:fldCharType="separate"/>
        </w:r>
        <w:r>
          <w:rPr>
            <w:noProof/>
            <w:webHidden/>
          </w:rPr>
          <w:t>8</w:t>
        </w:r>
        <w:r>
          <w:rPr>
            <w:noProof/>
            <w:webHidden/>
          </w:rPr>
          <w:fldChar w:fldCharType="end"/>
        </w:r>
      </w:hyperlink>
    </w:p>
    <w:p w14:paraId="6B00BE9A" w14:textId="691D60EE" w:rsidR="00817AA6" w:rsidRDefault="00817AA6">
      <w:pPr>
        <w:pStyle w:val="TOC2"/>
        <w:tabs>
          <w:tab w:val="right" w:leader="underscore" w:pos="9016"/>
        </w:tabs>
        <w:rPr>
          <w:rFonts w:eastAsiaTheme="minorEastAsia"/>
          <w:noProof/>
          <w:color w:val="auto"/>
          <w:sz w:val="22"/>
          <w:szCs w:val="22"/>
          <w:lang w:eastAsia="en-GB"/>
        </w:rPr>
      </w:pPr>
      <w:hyperlink w:anchor="_Toc155687886" w:history="1">
        <w:r w:rsidRPr="005E4009">
          <w:rPr>
            <w:rStyle w:val="Hyperlink"/>
            <w:noProof/>
          </w:rPr>
          <w:t>5.9.</w:t>
        </w:r>
        <w:r>
          <w:rPr>
            <w:rFonts w:eastAsiaTheme="minorEastAsia"/>
            <w:noProof/>
            <w:color w:val="auto"/>
            <w:sz w:val="22"/>
            <w:szCs w:val="22"/>
            <w:lang w:eastAsia="en-GB"/>
          </w:rPr>
          <w:tab/>
        </w:r>
        <w:r w:rsidRPr="005E4009">
          <w:rPr>
            <w:rStyle w:val="Hyperlink"/>
            <w:noProof/>
          </w:rPr>
          <w:t>Executive Medical Director</w:t>
        </w:r>
        <w:r>
          <w:rPr>
            <w:noProof/>
            <w:webHidden/>
          </w:rPr>
          <w:tab/>
        </w:r>
        <w:r>
          <w:rPr>
            <w:noProof/>
            <w:webHidden/>
          </w:rPr>
          <w:fldChar w:fldCharType="begin"/>
        </w:r>
        <w:r>
          <w:rPr>
            <w:noProof/>
            <w:webHidden/>
          </w:rPr>
          <w:instrText xml:space="preserve"> PAGEREF _Toc155687886 \h </w:instrText>
        </w:r>
        <w:r>
          <w:rPr>
            <w:noProof/>
            <w:webHidden/>
          </w:rPr>
        </w:r>
        <w:r>
          <w:rPr>
            <w:noProof/>
            <w:webHidden/>
          </w:rPr>
          <w:fldChar w:fldCharType="separate"/>
        </w:r>
        <w:r>
          <w:rPr>
            <w:noProof/>
            <w:webHidden/>
          </w:rPr>
          <w:t>8</w:t>
        </w:r>
        <w:r>
          <w:rPr>
            <w:noProof/>
            <w:webHidden/>
          </w:rPr>
          <w:fldChar w:fldCharType="end"/>
        </w:r>
      </w:hyperlink>
    </w:p>
    <w:p w14:paraId="169CFD01" w14:textId="12233D88" w:rsidR="00817AA6" w:rsidRDefault="00817AA6">
      <w:pPr>
        <w:pStyle w:val="TOC2"/>
        <w:tabs>
          <w:tab w:val="right" w:leader="underscore" w:pos="9016"/>
        </w:tabs>
        <w:rPr>
          <w:rFonts w:eastAsiaTheme="minorEastAsia"/>
          <w:noProof/>
          <w:color w:val="auto"/>
          <w:sz w:val="22"/>
          <w:szCs w:val="22"/>
          <w:lang w:eastAsia="en-GB"/>
        </w:rPr>
      </w:pPr>
      <w:hyperlink w:anchor="_Toc155687887" w:history="1">
        <w:r w:rsidRPr="005E4009">
          <w:rPr>
            <w:rStyle w:val="Hyperlink"/>
            <w:noProof/>
          </w:rPr>
          <w:t>5.10.</w:t>
        </w:r>
        <w:r>
          <w:rPr>
            <w:rFonts w:eastAsiaTheme="minorEastAsia"/>
            <w:noProof/>
            <w:color w:val="auto"/>
            <w:sz w:val="22"/>
            <w:szCs w:val="22"/>
            <w:lang w:eastAsia="en-GB"/>
          </w:rPr>
          <w:tab/>
        </w:r>
        <w:r w:rsidRPr="005E4009">
          <w:rPr>
            <w:rStyle w:val="Hyperlink"/>
            <w:noProof/>
          </w:rPr>
          <w:t>Public Health</w:t>
        </w:r>
        <w:r>
          <w:rPr>
            <w:noProof/>
            <w:webHidden/>
          </w:rPr>
          <w:tab/>
        </w:r>
        <w:r>
          <w:rPr>
            <w:noProof/>
            <w:webHidden/>
          </w:rPr>
          <w:fldChar w:fldCharType="begin"/>
        </w:r>
        <w:r>
          <w:rPr>
            <w:noProof/>
            <w:webHidden/>
          </w:rPr>
          <w:instrText xml:space="preserve"> PAGEREF _Toc155687887 \h </w:instrText>
        </w:r>
        <w:r>
          <w:rPr>
            <w:noProof/>
            <w:webHidden/>
          </w:rPr>
        </w:r>
        <w:r>
          <w:rPr>
            <w:noProof/>
            <w:webHidden/>
          </w:rPr>
          <w:fldChar w:fldCharType="separate"/>
        </w:r>
        <w:r>
          <w:rPr>
            <w:noProof/>
            <w:webHidden/>
          </w:rPr>
          <w:t>8</w:t>
        </w:r>
        <w:r>
          <w:rPr>
            <w:noProof/>
            <w:webHidden/>
          </w:rPr>
          <w:fldChar w:fldCharType="end"/>
        </w:r>
      </w:hyperlink>
    </w:p>
    <w:p w14:paraId="1FA2C7F0" w14:textId="7D79C44B" w:rsidR="00817AA6" w:rsidRDefault="00817AA6">
      <w:pPr>
        <w:pStyle w:val="TOC2"/>
        <w:tabs>
          <w:tab w:val="right" w:leader="underscore" w:pos="9016"/>
        </w:tabs>
        <w:rPr>
          <w:rFonts w:eastAsiaTheme="minorEastAsia"/>
          <w:noProof/>
          <w:color w:val="auto"/>
          <w:sz w:val="22"/>
          <w:szCs w:val="22"/>
          <w:lang w:eastAsia="en-GB"/>
        </w:rPr>
      </w:pPr>
      <w:hyperlink w:anchor="_Toc155687888" w:history="1">
        <w:r w:rsidRPr="005E4009">
          <w:rPr>
            <w:rStyle w:val="Hyperlink"/>
            <w:noProof/>
          </w:rPr>
          <w:t>5.11.</w:t>
        </w:r>
        <w:r>
          <w:rPr>
            <w:rFonts w:eastAsiaTheme="minorEastAsia"/>
            <w:noProof/>
            <w:color w:val="auto"/>
            <w:sz w:val="22"/>
            <w:szCs w:val="22"/>
            <w:lang w:eastAsia="en-GB"/>
          </w:rPr>
          <w:tab/>
        </w:r>
        <w:r w:rsidRPr="005E4009">
          <w:rPr>
            <w:rStyle w:val="Hyperlink"/>
            <w:noProof/>
          </w:rPr>
          <w:t>Director of Pharmacy and Medicines Optimisation</w:t>
        </w:r>
        <w:r>
          <w:rPr>
            <w:noProof/>
            <w:webHidden/>
          </w:rPr>
          <w:tab/>
        </w:r>
        <w:r>
          <w:rPr>
            <w:noProof/>
            <w:webHidden/>
          </w:rPr>
          <w:fldChar w:fldCharType="begin"/>
        </w:r>
        <w:r>
          <w:rPr>
            <w:noProof/>
            <w:webHidden/>
          </w:rPr>
          <w:instrText xml:space="preserve"> PAGEREF _Toc155687888 \h </w:instrText>
        </w:r>
        <w:r>
          <w:rPr>
            <w:noProof/>
            <w:webHidden/>
          </w:rPr>
        </w:r>
        <w:r>
          <w:rPr>
            <w:noProof/>
            <w:webHidden/>
          </w:rPr>
          <w:fldChar w:fldCharType="separate"/>
        </w:r>
        <w:r>
          <w:rPr>
            <w:noProof/>
            <w:webHidden/>
          </w:rPr>
          <w:t>8</w:t>
        </w:r>
        <w:r>
          <w:rPr>
            <w:noProof/>
            <w:webHidden/>
          </w:rPr>
          <w:fldChar w:fldCharType="end"/>
        </w:r>
      </w:hyperlink>
    </w:p>
    <w:p w14:paraId="42DCFAFC" w14:textId="3D7B2C25" w:rsidR="00817AA6" w:rsidRDefault="00817AA6">
      <w:pPr>
        <w:pStyle w:val="TOC2"/>
        <w:tabs>
          <w:tab w:val="right" w:leader="underscore" w:pos="9016"/>
        </w:tabs>
        <w:rPr>
          <w:rFonts w:eastAsiaTheme="minorEastAsia"/>
          <w:noProof/>
          <w:color w:val="auto"/>
          <w:sz w:val="22"/>
          <w:szCs w:val="22"/>
          <w:lang w:eastAsia="en-GB"/>
        </w:rPr>
      </w:pPr>
      <w:hyperlink w:anchor="_Toc155687889" w:history="1">
        <w:r w:rsidRPr="005E4009">
          <w:rPr>
            <w:rStyle w:val="Hyperlink"/>
            <w:noProof/>
          </w:rPr>
          <w:t>5.12.</w:t>
        </w:r>
        <w:r>
          <w:rPr>
            <w:rFonts w:eastAsiaTheme="minorEastAsia"/>
            <w:noProof/>
            <w:color w:val="auto"/>
            <w:sz w:val="22"/>
            <w:szCs w:val="22"/>
            <w:lang w:eastAsia="en-GB"/>
          </w:rPr>
          <w:tab/>
        </w:r>
        <w:r w:rsidRPr="005E4009">
          <w:rPr>
            <w:rStyle w:val="Hyperlink"/>
            <w:noProof/>
          </w:rPr>
          <w:t>Policy Authors</w:t>
        </w:r>
        <w:r>
          <w:rPr>
            <w:noProof/>
            <w:webHidden/>
          </w:rPr>
          <w:tab/>
        </w:r>
        <w:r>
          <w:rPr>
            <w:noProof/>
            <w:webHidden/>
          </w:rPr>
          <w:fldChar w:fldCharType="begin"/>
        </w:r>
        <w:r>
          <w:rPr>
            <w:noProof/>
            <w:webHidden/>
          </w:rPr>
          <w:instrText xml:space="preserve"> PAGEREF _Toc155687889 \h </w:instrText>
        </w:r>
        <w:r>
          <w:rPr>
            <w:noProof/>
            <w:webHidden/>
          </w:rPr>
        </w:r>
        <w:r>
          <w:rPr>
            <w:noProof/>
            <w:webHidden/>
          </w:rPr>
          <w:fldChar w:fldCharType="separate"/>
        </w:r>
        <w:r>
          <w:rPr>
            <w:noProof/>
            <w:webHidden/>
          </w:rPr>
          <w:t>8</w:t>
        </w:r>
        <w:r>
          <w:rPr>
            <w:noProof/>
            <w:webHidden/>
          </w:rPr>
          <w:fldChar w:fldCharType="end"/>
        </w:r>
      </w:hyperlink>
    </w:p>
    <w:p w14:paraId="32956340" w14:textId="4348F38D" w:rsidR="00817AA6" w:rsidRDefault="00817AA6">
      <w:pPr>
        <w:pStyle w:val="TOC2"/>
        <w:tabs>
          <w:tab w:val="right" w:leader="underscore" w:pos="9016"/>
        </w:tabs>
        <w:rPr>
          <w:rFonts w:eastAsiaTheme="minorEastAsia"/>
          <w:noProof/>
          <w:color w:val="auto"/>
          <w:sz w:val="22"/>
          <w:szCs w:val="22"/>
          <w:lang w:eastAsia="en-GB"/>
        </w:rPr>
      </w:pPr>
      <w:hyperlink w:anchor="_Toc155687890" w:history="1">
        <w:r w:rsidRPr="005E4009">
          <w:rPr>
            <w:rStyle w:val="Hyperlink"/>
            <w:noProof/>
          </w:rPr>
          <w:t>5.13.</w:t>
        </w:r>
        <w:r>
          <w:rPr>
            <w:rFonts w:eastAsiaTheme="minorEastAsia"/>
            <w:noProof/>
            <w:color w:val="auto"/>
            <w:sz w:val="22"/>
            <w:szCs w:val="22"/>
            <w:lang w:eastAsia="en-GB"/>
          </w:rPr>
          <w:tab/>
        </w:r>
        <w:r w:rsidRPr="005E4009">
          <w:rPr>
            <w:rStyle w:val="Hyperlink"/>
            <w:noProof/>
          </w:rPr>
          <w:t>Line Managers</w:t>
        </w:r>
        <w:r>
          <w:rPr>
            <w:noProof/>
            <w:webHidden/>
          </w:rPr>
          <w:tab/>
        </w:r>
        <w:r>
          <w:rPr>
            <w:noProof/>
            <w:webHidden/>
          </w:rPr>
          <w:fldChar w:fldCharType="begin"/>
        </w:r>
        <w:r>
          <w:rPr>
            <w:noProof/>
            <w:webHidden/>
          </w:rPr>
          <w:instrText xml:space="preserve"> PAGEREF _Toc155687890 \h </w:instrText>
        </w:r>
        <w:r>
          <w:rPr>
            <w:noProof/>
            <w:webHidden/>
          </w:rPr>
        </w:r>
        <w:r>
          <w:rPr>
            <w:noProof/>
            <w:webHidden/>
          </w:rPr>
          <w:fldChar w:fldCharType="separate"/>
        </w:r>
        <w:r>
          <w:rPr>
            <w:noProof/>
            <w:webHidden/>
          </w:rPr>
          <w:t>8</w:t>
        </w:r>
        <w:r>
          <w:rPr>
            <w:noProof/>
            <w:webHidden/>
          </w:rPr>
          <w:fldChar w:fldCharType="end"/>
        </w:r>
      </w:hyperlink>
    </w:p>
    <w:p w14:paraId="280D4F97" w14:textId="739BC82D" w:rsidR="00817AA6" w:rsidRDefault="00817AA6">
      <w:pPr>
        <w:pStyle w:val="TOC2"/>
        <w:tabs>
          <w:tab w:val="right" w:leader="underscore" w:pos="9016"/>
        </w:tabs>
        <w:rPr>
          <w:rFonts w:eastAsiaTheme="minorEastAsia"/>
          <w:noProof/>
          <w:color w:val="auto"/>
          <w:sz w:val="22"/>
          <w:szCs w:val="22"/>
          <w:lang w:eastAsia="en-GB"/>
        </w:rPr>
      </w:pPr>
      <w:hyperlink w:anchor="_Toc155687891" w:history="1">
        <w:r w:rsidRPr="005E4009">
          <w:rPr>
            <w:rStyle w:val="Hyperlink"/>
            <w:noProof/>
          </w:rPr>
          <w:t>5.14.</w:t>
        </w:r>
        <w:r>
          <w:rPr>
            <w:rFonts w:eastAsiaTheme="minorEastAsia"/>
            <w:noProof/>
            <w:color w:val="auto"/>
            <w:sz w:val="22"/>
            <w:szCs w:val="22"/>
            <w:lang w:eastAsia="en-GB"/>
          </w:rPr>
          <w:tab/>
        </w:r>
        <w:r w:rsidRPr="005E4009">
          <w:rPr>
            <w:rStyle w:val="Hyperlink"/>
            <w:noProof/>
          </w:rPr>
          <w:t>All Staff</w:t>
        </w:r>
        <w:r>
          <w:rPr>
            <w:noProof/>
            <w:webHidden/>
          </w:rPr>
          <w:tab/>
        </w:r>
        <w:r>
          <w:rPr>
            <w:noProof/>
            <w:webHidden/>
          </w:rPr>
          <w:fldChar w:fldCharType="begin"/>
        </w:r>
        <w:r>
          <w:rPr>
            <w:noProof/>
            <w:webHidden/>
          </w:rPr>
          <w:instrText xml:space="preserve"> PAGEREF _Toc155687891 \h </w:instrText>
        </w:r>
        <w:r>
          <w:rPr>
            <w:noProof/>
            <w:webHidden/>
          </w:rPr>
        </w:r>
        <w:r>
          <w:rPr>
            <w:noProof/>
            <w:webHidden/>
          </w:rPr>
          <w:fldChar w:fldCharType="separate"/>
        </w:r>
        <w:r>
          <w:rPr>
            <w:noProof/>
            <w:webHidden/>
          </w:rPr>
          <w:t>9</w:t>
        </w:r>
        <w:r>
          <w:rPr>
            <w:noProof/>
            <w:webHidden/>
          </w:rPr>
          <w:fldChar w:fldCharType="end"/>
        </w:r>
      </w:hyperlink>
    </w:p>
    <w:p w14:paraId="21B31652" w14:textId="11A4C92A" w:rsidR="00817AA6" w:rsidRDefault="00817AA6">
      <w:pPr>
        <w:pStyle w:val="TOC1"/>
        <w:rPr>
          <w:rFonts w:eastAsiaTheme="minorEastAsia"/>
          <w:b w:val="0"/>
          <w:noProof/>
          <w:color w:val="auto"/>
          <w:sz w:val="22"/>
          <w:szCs w:val="22"/>
          <w:lang w:eastAsia="en-GB"/>
        </w:rPr>
      </w:pPr>
      <w:hyperlink w:anchor="_Toc155687892" w:history="1">
        <w:r w:rsidRPr="005E4009">
          <w:rPr>
            <w:rStyle w:val="Hyperlink"/>
            <w:noProof/>
          </w:rPr>
          <w:t>6.</w:t>
        </w:r>
        <w:r>
          <w:rPr>
            <w:rFonts w:eastAsiaTheme="minorEastAsia"/>
            <w:b w:val="0"/>
            <w:noProof/>
            <w:color w:val="auto"/>
            <w:sz w:val="22"/>
            <w:szCs w:val="22"/>
            <w:lang w:eastAsia="en-GB"/>
          </w:rPr>
          <w:tab/>
        </w:r>
        <w:r w:rsidRPr="005E4009">
          <w:rPr>
            <w:rStyle w:val="Hyperlink"/>
            <w:noProof/>
          </w:rPr>
          <w:t>Policy Detail</w:t>
        </w:r>
        <w:r>
          <w:rPr>
            <w:noProof/>
            <w:webHidden/>
          </w:rPr>
          <w:tab/>
        </w:r>
        <w:r>
          <w:rPr>
            <w:noProof/>
            <w:webHidden/>
          </w:rPr>
          <w:fldChar w:fldCharType="begin"/>
        </w:r>
        <w:r>
          <w:rPr>
            <w:noProof/>
            <w:webHidden/>
          </w:rPr>
          <w:instrText xml:space="preserve"> PAGEREF _Toc155687892 \h </w:instrText>
        </w:r>
        <w:r>
          <w:rPr>
            <w:noProof/>
            <w:webHidden/>
          </w:rPr>
        </w:r>
        <w:r>
          <w:rPr>
            <w:noProof/>
            <w:webHidden/>
          </w:rPr>
          <w:fldChar w:fldCharType="separate"/>
        </w:r>
        <w:r>
          <w:rPr>
            <w:noProof/>
            <w:webHidden/>
          </w:rPr>
          <w:t>9</w:t>
        </w:r>
        <w:r>
          <w:rPr>
            <w:noProof/>
            <w:webHidden/>
          </w:rPr>
          <w:fldChar w:fldCharType="end"/>
        </w:r>
      </w:hyperlink>
    </w:p>
    <w:p w14:paraId="6E6BFFAF" w14:textId="3DEB9221" w:rsidR="00817AA6" w:rsidRDefault="00817AA6">
      <w:pPr>
        <w:pStyle w:val="TOC2"/>
        <w:tabs>
          <w:tab w:val="right" w:leader="underscore" w:pos="9016"/>
        </w:tabs>
        <w:rPr>
          <w:rFonts w:eastAsiaTheme="minorEastAsia"/>
          <w:noProof/>
          <w:color w:val="auto"/>
          <w:sz w:val="22"/>
          <w:szCs w:val="22"/>
          <w:lang w:eastAsia="en-GB"/>
        </w:rPr>
      </w:pPr>
      <w:hyperlink w:anchor="_Toc155687893" w:history="1">
        <w:r w:rsidRPr="005E4009">
          <w:rPr>
            <w:rStyle w:val="Hyperlink"/>
            <w:noProof/>
          </w:rPr>
          <w:t>6.1.</w:t>
        </w:r>
        <w:r>
          <w:rPr>
            <w:rFonts w:eastAsiaTheme="minorEastAsia"/>
            <w:noProof/>
            <w:color w:val="auto"/>
            <w:sz w:val="22"/>
            <w:szCs w:val="22"/>
            <w:lang w:eastAsia="en-GB"/>
          </w:rPr>
          <w:tab/>
        </w:r>
        <w:r w:rsidRPr="005E4009">
          <w:rPr>
            <w:rStyle w:val="Hyperlink"/>
            <w:noProof/>
          </w:rPr>
          <w:t>Governing Commissioning / Service Restriction Decisions</w:t>
        </w:r>
        <w:r>
          <w:rPr>
            <w:noProof/>
            <w:webHidden/>
          </w:rPr>
          <w:tab/>
        </w:r>
        <w:r>
          <w:rPr>
            <w:noProof/>
            <w:webHidden/>
          </w:rPr>
          <w:fldChar w:fldCharType="begin"/>
        </w:r>
        <w:r>
          <w:rPr>
            <w:noProof/>
            <w:webHidden/>
          </w:rPr>
          <w:instrText xml:space="preserve"> PAGEREF _Toc155687893 \h </w:instrText>
        </w:r>
        <w:r>
          <w:rPr>
            <w:noProof/>
            <w:webHidden/>
          </w:rPr>
        </w:r>
        <w:r>
          <w:rPr>
            <w:noProof/>
            <w:webHidden/>
          </w:rPr>
          <w:fldChar w:fldCharType="separate"/>
        </w:r>
        <w:r>
          <w:rPr>
            <w:noProof/>
            <w:webHidden/>
          </w:rPr>
          <w:t>9</w:t>
        </w:r>
        <w:r>
          <w:rPr>
            <w:noProof/>
            <w:webHidden/>
          </w:rPr>
          <w:fldChar w:fldCharType="end"/>
        </w:r>
      </w:hyperlink>
    </w:p>
    <w:p w14:paraId="403CC9BF" w14:textId="2A730371" w:rsidR="00817AA6" w:rsidRDefault="00817AA6">
      <w:pPr>
        <w:pStyle w:val="TOC2"/>
        <w:tabs>
          <w:tab w:val="right" w:leader="underscore" w:pos="9016"/>
        </w:tabs>
        <w:rPr>
          <w:rFonts w:eastAsiaTheme="minorEastAsia"/>
          <w:noProof/>
          <w:color w:val="auto"/>
          <w:sz w:val="22"/>
          <w:szCs w:val="22"/>
          <w:lang w:eastAsia="en-GB"/>
        </w:rPr>
      </w:pPr>
      <w:hyperlink w:anchor="_Toc155687894" w:history="1">
        <w:r w:rsidRPr="005E4009">
          <w:rPr>
            <w:rStyle w:val="Hyperlink"/>
            <w:noProof/>
          </w:rPr>
          <w:t>6.2.</w:t>
        </w:r>
        <w:r>
          <w:rPr>
            <w:rFonts w:eastAsiaTheme="minorEastAsia"/>
            <w:noProof/>
            <w:color w:val="auto"/>
            <w:sz w:val="22"/>
            <w:szCs w:val="22"/>
            <w:lang w:eastAsia="en-GB"/>
          </w:rPr>
          <w:tab/>
        </w:r>
        <w:r w:rsidRPr="005E4009">
          <w:rPr>
            <w:rStyle w:val="Hyperlink"/>
            <w:noProof/>
          </w:rPr>
          <w:t>Commissioning Policy Review Cycle</w:t>
        </w:r>
        <w:r>
          <w:rPr>
            <w:noProof/>
            <w:webHidden/>
          </w:rPr>
          <w:tab/>
        </w:r>
        <w:r>
          <w:rPr>
            <w:noProof/>
            <w:webHidden/>
          </w:rPr>
          <w:fldChar w:fldCharType="begin"/>
        </w:r>
        <w:r>
          <w:rPr>
            <w:noProof/>
            <w:webHidden/>
          </w:rPr>
          <w:instrText xml:space="preserve"> PAGEREF _Toc155687894 \h </w:instrText>
        </w:r>
        <w:r>
          <w:rPr>
            <w:noProof/>
            <w:webHidden/>
          </w:rPr>
        </w:r>
        <w:r>
          <w:rPr>
            <w:noProof/>
            <w:webHidden/>
          </w:rPr>
          <w:fldChar w:fldCharType="separate"/>
        </w:r>
        <w:r>
          <w:rPr>
            <w:noProof/>
            <w:webHidden/>
          </w:rPr>
          <w:t>10</w:t>
        </w:r>
        <w:r>
          <w:rPr>
            <w:noProof/>
            <w:webHidden/>
          </w:rPr>
          <w:fldChar w:fldCharType="end"/>
        </w:r>
      </w:hyperlink>
    </w:p>
    <w:p w14:paraId="771470E3" w14:textId="7A69115F" w:rsidR="00817AA6" w:rsidRDefault="00817AA6">
      <w:pPr>
        <w:pStyle w:val="TOC2"/>
        <w:tabs>
          <w:tab w:val="right" w:leader="underscore" w:pos="9016"/>
        </w:tabs>
        <w:rPr>
          <w:rFonts w:eastAsiaTheme="minorEastAsia"/>
          <w:noProof/>
          <w:color w:val="auto"/>
          <w:sz w:val="22"/>
          <w:szCs w:val="22"/>
          <w:lang w:eastAsia="en-GB"/>
        </w:rPr>
      </w:pPr>
      <w:hyperlink w:anchor="_Toc155687895" w:history="1">
        <w:r w:rsidRPr="005E4009">
          <w:rPr>
            <w:rStyle w:val="Hyperlink"/>
            <w:noProof/>
          </w:rPr>
          <w:t>6.3.</w:t>
        </w:r>
        <w:r>
          <w:rPr>
            <w:rFonts w:eastAsiaTheme="minorEastAsia"/>
            <w:noProof/>
            <w:color w:val="auto"/>
            <w:sz w:val="22"/>
            <w:szCs w:val="22"/>
            <w:lang w:eastAsia="en-GB"/>
          </w:rPr>
          <w:tab/>
        </w:r>
        <w:r w:rsidRPr="005E4009">
          <w:rPr>
            <w:rStyle w:val="Hyperlink"/>
            <w:noProof/>
          </w:rPr>
          <w:t>Commissioning Policy</w:t>
        </w:r>
        <w:r>
          <w:rPr>
            <w:noProof/>
            <w:webHidden/>
          </w:rPr>
          <w:tab/>
        </w:r>
        <w:r>
          <w:rPr>
            <w:noProof/>
            <w:webHidden/>
          </w:rPr>
          <w:fldChar w:fldCharType="begin"/>
        </w:r>
        <w:r>
          <w:rPr>
            <w:noProof/>
            <w:webHidden/>
          </w:rPr>
          <w:instrText xml:space="preserve"> PAGEREF _Toc155687895 \h </w:instrText>
        </w:r>
        <w:r>
          <w:rPr>
            <w:noProof/>
            <w:webHidden/>
          </w:rPr>
        </w:r>
        <w:r>
          <w:rPr>
            <w:noProof/>
            <w:webHidden/>
          </w:rPr>
          <w:fldChar w:fldCharType="separate"/>
        </w:r>
        <w:r>
          <w:rPr>
            <w:noProof/>
            <w:webHidden/>
          </w:rPr>
          <w:t>11</w:t>
        </w:r>
        <w:r>
          <w:rPr>
            <w:noProof/>
            <w:webHidden/>
          </w:rPr>
          <w:fldChar w:fldCharType="end"/>
        </w:r>
      </w:hyperlink>
    </w:p>
    <w:p w14:paraId="663B9FC3" w14:textId="607DAC04" w:rsidR="00817AA6" w:rsidRDefault="00817AA6">
      <w:pPr>
        <w:pStyle w:val="TOC2"/>
        <w:tabs>
          <w:tab w:val="right" w:leader="underscore" w:pos="9016"/>
        </w:tabs>
        <w:rPr>
          <w:rFonts w:eastAsiaTheme="minorEastAsia"/>
          <w:noProof/>
          <w:color w:val="auto"/>
          <w:sz w:val="22"/>
          <w:szCs w:val="22"/>
          <w:lang w:eastAsia="en-GB"/>
        </w:rPr>
      </w:pPr>
      <w:hyperlink w:anchor="_Toc155687896" w:history="1">
        <w:r w:rsidRPr="005E4009">
          <w:rPr>
            <w:rStyle w:val="Hyperlink"/>
            <w:noProof/>
          </w:rPr>
          <w:t>6.4.</w:t>
        </w:r>
        <w:r>
          <w:rPr>
            <w:rFonts w:eastAsiaTheme="minorEastAsia"/>
            <w:noProof/>
            <w:color w:val="auto"/>
            <w:sz w:val="22"/>
            <w:szCs w:val="22"/>
            <w:lang w:eastAsia="en-GB"/>
          </w:rPr>
          <w:tab/>
        </w:r>
        <w:r w:rsidRPr="005E4009">
          <w:rPr>
            <w:rStyle w:val="Hyperlink"/>
            <w:noProof/>
          </w:rPr>
          <w:t>Group Prior Approvals</w:t>
        </w:r>
        <w:r>
          <w:rPr>
            <w:noProof/>
            <w:webHidden/>
          </w:rPr>
          <w:tab/>
        </w:r>
        <w:r>
          <w:rPr>
            <w:noProof/>
            <w:webHidden/>
          </w:rPr>
          <w:fldChar w:fldCharType="begin"/>
        </w:r>
        <w:r>
          <w:rPr>
            <w:noProof/>
            <w:webHidden/>
          </w:rPr>
          <w:instrText xml:space="preserve"> PAGEREF _Toc155687896 \h </w:instrText>
        </w:r>
        <w:r>
          <w:rPr>
            <w:noProof/>
            <w:webHidden/>
          </w:rPr>
        </w:r>
        <w:r>
          <w:rPr>
            <w:noProof/>
            <w:webHidden/>
          </w:rPr>
          <w:fldChar w:fldCharType="separate"/>
        </w:r>
        <w:r>
          <w:rPr>
            <w:noProof/>
            <w:webHidden/>
          </w:rPr>
          <w:t>11</w:t>
        </w:r>
        <w:r>
          <w:rPr>
            <w:noProof/>
            <w:webHidden/>
          </w:rPr>
          <w:fldChar w:fldCharType="end"/>
        </w:r>
      </w:hyperlink>
    </w:p>
    <w:p w14:paraId="186CD9E1" w14:textId="75BEF9FA" w:rsidR="00817AA6" w:rsidRDefault="00817AA6">
      <w:pPr>
        <w:pStyle w:val="TOC2"/>
        <w:tabs>
          <w:tab w:val="right" w:leader="underscore" w:pos="9016"/>
        </w:tabs>
        <w:rPr>
          <w:rFonts w:eastAsiaTheme="minorEastAsia"/>
          <w:noProof/>
          <w:color w:val="auto"/>
          <w:sz w:val="22"/>
          <w:szCs w:val="22"/>
          <w:lang w:eastAsia="en-GB"/>
        </w:rPr>
      </w:pPr>
      <w:hyperlink w:anchor="_Toc155687897" w:history="1">
        <w:r w:rsidRPr="005E4009">
          <w:rPr>
            <w:rStyle w:val="Hyperlink"/>
            <w:noProof/>
          </w:rPr>
          <w:t>6.5.</w:t>
        </w:r>
        <w:r>
          <w:rPr>
            <w:rFonts w:eastAsiaTheme="minorEastAsia"/>
            <w:noProof/>
            <w:color w:val="auto"/>
            <w:sz w:val="22"/>
            <w:szCs w:val="22"/>
            <w:lang w:eastAsia="en-GB"/>
          </w:rPr>
          <w:tab/>
        </w:r>
        <w:r w:rsidRPr="005E4009">
          <w:rPr>
            <w:rStyle w:val="Hyperlink"/>
            <w:noProof/>
          </w:rPr>
          <w:t>Individual Prior Approvals</w:t>
        </w:r>
        <w:r>
          <w:rPr>
            <w:noProof/>
            <w:webHidden/>
          </w:rPr>
          <w:tab/>
        </w:r>
        <w:r>
          <w:rPr>
            <w:noProof/>
            <w:webHidden/>
          </w:rPr>
          <w:fldChar w:fldCharType="begin"/>
        </w:r>
        <w:r>
          <w:rPr>
            <w:noProof/>
            <w:webHidden/>
          </w:rPr>
          <w:instrText xml:space="preserve"> PAGEREF _Toc155687897 \h </w:instrText>
        </w:r>
        <w:r>
          <w:rPr>
            <w:noProof/>
            <w:webHidden/>
          </w:rPr>
        </w:r>
        <w:r>
          <w:rPr>
            <w:noProof/>
            <w:webHidden/>
          </w:rPr>
          <w:fldChar w:fldCharType="separate"/>
        </w:r>
        <w:r>
          <w:rPr>
            <w:noProof/>
            <w:webHidden/>
          </w:rPr>
          <w:t>12</w:t>
        </w:r>
        <w:r>
          <w:rPr>
            <w:noProof/>
            <w:webHidden/>
          </w:rPr>
          <w:fldChar w:fldCharType="end"/>
        </w:r>
      </w:hyperlink>
    </w:p>
    <w:p w14:paraId="22EF3EA5" w14:textId="04B3CB5F" w:rsidR="00817AA6" w:rsidRDefault="00817AA6">
      <w:pPr>
        <w:pStyle w:val="TOC2"/>
        <w:tabs>
          <w:tab w:val="right" w:leader="underscore" w:pos="9016"/>
        </w:tabs>
        <w:rPr>
          <w:rFonts w:eastAsiaTheme="minorEastAsia"/>
          <w:noProof/>
          <w:color w:val="auto"/>
          <w:sz w:val="22"/>
          <w:szCs w:val="22"/>
          <w:lang w:eastAsia="en-GB"/>
        </w:rPr>
      </w:pPr>
      <w:hyperlink w:anchor="_Toc155687898" w:history="1">
        <w:r w:rsidRPr="005E4009">
          <w:rPr>
            <w:rStyle w:val="Hyperlink"/>
            <w:noProof/>
          </w:rPr>
          <w:t>6.6.</w:t>
        </w:r>
        <w:r>
          <w:rPr>
            <w:rFonts w:eastAsiaTheme="minorEastAsia"/>
            <w:noProof/>
            <w:color w:val="auto"/>
            <w:sz w:val="22"/>
            <w:szCs w:val="22"/>
            <w:lang w:eastAsia="en-GB"/>
          </w:rPr>
          <w:tab/>
        </w:r>
        <w:r w:rsidRPr="005E4009">
          <w:rPr>
            <w:rStyle w:val="Hyperlink"/>
            <w:noProof/>
          </w:rPr>
          <w:t>Not Funded</w:t>
        </w:r>
        <w:r>
          <w:rPr>
            <w:noProof/>
            <w:webHidden/>
          </w:rPr>
          <w:tab/>
        </w:r>
        <w:r>
          <w:rPr>
            <w:noProof/>
            <w:webHidden/>
          </w:rPr>
          <w:fldChar w:fldCharType="begin"/>
        </w:r>
        <w:r>
          <w:rPr>
            <w:noProof/>
            <w:webHidden/>
          </w:rPr>
          <w:instrText xml:space="preserve"> PAGEREF _Toc155687898 \h </w:instrText>
        </w:r>
        <w:r>
          <w:rPr>
            <w:noProof/>
            <w:webHidden/>
          </w:rPr>
        </w:r>
        <w:r>
          <w:rPr>
            <w:noProof/>
            <w:webHidden/>
          </w:rPr>
          <w:fldChar w:fldCharType="separate"/>
        </w:r>
        <w:r>
          <w:rPr>
            <w:noProof/>
            <w:webHidden/>
          </w:rPr>
          <w:t>13</w:t>
        </w:r>
        <w:r>
          <w:rPr>
            <w:noProof/>
            <w:webHidden/>
          </w:rPr>
          <w:fldChar w:fldCharType="end"/>
        </w:r>
      </w:hyperlink>
    </w:p>
    <w:p w14:paraId="4F42F25E" w14:textId="70DF6DBC" w:rsidR="00817AA6" w:rsidRDefault="00817AA6">
      <w:pPr>
        <w:pStyle w:val="TOC2"/>
        <w:tabs>
          <w:tab w:val="right" w:leader="underscore" w:pos="9016"/>
        </w:tabs>
        <w:rPr>
          <w:rFonts w:eastAsiaTheme="minorEastAsia"/>
          <w:noProof/>
          <w:color w:val="auto"/>
          <w:sz w:val="22"/>
          <w:szCs w:val="22"/>
          <w:lang w:eastAsia="en-GB"/>
        </w:rPr>
      </w:pPr>
      <w:hyperlink w:anchor="_Toc155687899" w:history="1">
        <w:r w:rsidRPr="005E4009">
          <w:rPr>
            <w:rStyle w:val="Hyperlink"/>
            <w:noProof/>
          </w:rPr>
          <w:t>6.7.</w:t>
        </w:r>
        <w:r>
          <w:rPr>
            <w:rFonts w:eastAsiaTheme="minorEastAsia"/>
            <w:noProof/>
            <w:color w:val="auto"/>
            <w:sz w:val="22"/>
            <w:szCs w:val="22"/>
            <w:lang w:eastAsia="en-GB"/>
          </w:rPr>
          <w:tab/>
        </w:r>
        <w:r w:rsidRPr="005E4009">
          <w:rPr>
            <w:rStyle w:val="Hyperlink"/>
            <w:noProof/>
          </w:rPr>
          <w:t>Legacy Patients</w:t>
        </w:r>
        <w:r>
          <w:rPr>
            <w:noProof/>
            <w:webHidden/>
          </w:rPr>
          <w:tab/>
        </w:r>
        <w:r>
          <w:rPr>
            <w:noProof/>
            <w:webHidden/>
          </w:rPr>
          <w:fldChar w:fldCharType="begin"/>
        </w:r>
        <w:r>
          <w:rPr>
            <w:noProof/>
            <w:webHidden/>
          </w:rPr>
          <w:instrText xml:space="preserve"> PAGEREF _Toc155687899 \h </w:instrText>
        </w:r>
        <w:r>
          <w:rPr>
            <w:noProof/>
            <w:webHidden/>
          </w:rPr>
        </w:r>
        <w:r>
          <w:rPr>
            <w:noProof/>
            <w:webHidden/>
          </w:rPr>
          <w:fldChar w:fldCharType="separate"/>
        </w:r>
        <w:r>
          <w:rPr>
            <w:noProof/>
            <w:webHidden/>
          </w:rPr>
          <w:t>13</w:t>
        </w:r>
        <w:r>
          <w:rPr>
            <w:noProof/>
            <w:webHidden/>
          </w:rPr>
          <w:fldChar w:fldCharType="end"/>
        </w:r>
      </w:hyperlink>
    </w:p>
    <w:p w14:paraId="5658E35A" w14:textId="57B9AA8B" w:rsidR="00817AA6" w:rsidRDefault="00817AA6">
      <w:pPr>
        <w:pStyle w:val="TOC2"/>
        <w:tabs>
          <w:tab w:val="right" w:leader="underscore" w:pos="9016"/>
        </w:tabs>
        <w:rPr>
          <w:rFonts w:eastAsiaTheme="minorEastAsia"/>
          <w:noProof/>
          <w:color w:val="auto"/>
          <w:sz w:val="22"/>
          <w:szCs w:val="22"/>
          <w:lang w:eastAsia="en-GB"/>
        </w:rPr>
      </w:pPr>
      <w:hyperlink w:anchor="_Toc155687900" w:history="1">
        <w:r w:rsidRPr="005E4009">
          <w:rPr>
            <w:rStyle w:val="Hyperlink"/>
            <w:noProof/>
          </w:rPr>
          <w:t>6.8.</w:t>
        </w:r>
        <w:r>
          <w:rPr>
            <w:rFonts w:eastAsiaTheme="minorEastAsia"/>
            <w:noProof/>
            <w:color w:val="auto"/>
            <w:sz w:val="22"/>
            <w:szCs w:val="22"/>
            <w:lang w:eastAsia="en-GB"/>
          </w:rPr>
          <w:tab/>
        </w:r>
        <w:r w:rsidRPr="005E4009">
          <w:rPr>
            <w:rStyle w:val="Hyperlink"/>
            <w:noProof/>
          </w:rPr>
          <w:t>Individual Funding Requests (IFR)</w:t>
        </w:r>
        <w:r>
          <w:rPr>
            <w:noProof/>
            <w:webHidden/>
          </w:rPr>
          <w:tab/>
        </w:r>
        <w:r>
          <w:rPr>
            <w:noProof/>
            <w:webHidden/>
          </w:rPr>
          <w:fldChar w:fldCharType="begin"/>
        </w:r>
        <w:r>
          <w:rPr>
            <w:noProof/>
            <w:webHidden/>
          </w:rPr>
          <w:instrText xml:space="preserve"> PAGEREF _Toc155687900 \h </w:instrText>
        </w:r>
        <w:r>
          <w:rPr>
            <w:noProof/>
            <w:webHidden/>
          </w:rPr>
        </w:r>
        <w:r>
          <w:rPr>
            <w:noProof/>
            <w:webHidden/>
          </w:rPr>
          <w:fldChar w:fldCharType="separate"/>
        </w:r>
        <w:r>
          <w:rPr>
            <w:noProof/>
            <w:webHidden/>
          </w:rPr>
          <w:t>13</w:t>
        </w:r>
        <w:r>
          <w:rPr>
            <w:noProof/>
            <w:webHidden/>
          </w:rPr>
          <w:fldChar w:fldCharType="end"/>
        </w:r>
      </w:hyperlink>
    </w:p>
    <w:p w14:paraId="2B16E06B" w14:textId="2C18B2B8" w:rsidR="00817AA6" w:rsidRDefault="00817AA6">
      <w:pPr>
        <w:pStyle w:val="TOC2"/>
        <w:tabs>
          <w:tab w:val="right" w:leader="underscore" w:pos="9016"/>
        </w:tabs>
        <w:rPr>
          <w:rFonts w:eastAsiaTheme="minorEastAsia"/>
          <w:noProof/>
          <w:color w:val="auto"/>
          <w:sz w:val="22"/>
          <w:szCs w:val="22"/>
          <w:lang w:eastAsia="en-GB"/>
        </w:rPr>
      </w:pPr>
      <w:hyperlink w:anchor="_Toc155687901" w:history="1">
        <w:r w:rsidRPr="005E4009">
          <w:rPr>
            <w:rStyle w:val="Hyperlink"/>
            <w:noProof/>
          </w:rPr>
          <w:t>6.9.</w:t>
        </w:r>
        <w:r>
          <w:rPr>
            <w:rFonts w:eastAsiaTheme="minorEastAsia"/>
            <w:noProof/>
            <w:color w:val="auto"/>
            <w:sz w:val="22"/>
            <w:szCs w:val="22"/>
            <w:lang w:eastAsia="en-GB"/>
          </w:rPr>
          <w:tab/>
        </w:r>
        <w:r w:rsidRPr="005E4009">
          <w:rPr>
            <w:rStyle w:val="Hyperlink"/>
            <w:noProof/>
          </w:rPr>
          <w:t>Equality and Diversity</w:t>
        </w:r>
        <w:r>
          <w:rPr>
            <w:noProof/>
            <w:webHidden/>
          </w:rPr>
          <w:tab/>
        </w:r>
        <w:r>
          <w:rPr>
            <w:noProof/>
            <w:webHidden/>
          </w:rPr>
          <w:fldChar w:fldCharType="begin"/>
        </w:r>
        <w:r>
          <w:rPr>
            <w:noProof/>
            <w:webHidden/>
          </w:rPr>
          <w:instrText xml:space="preserve"> PAGEREF _Toc155687901 \h </w:instrText>
        </w:r>
        <w:r>
          <w:rPr>
            <w:noProof/>
            <w:webHidden/>
          </w:rPr>
        </w:r>
        <w:r>
          <w:rPr>
            <w:noProof/>
            <w:webHidden/>
          </w:rPr>
          <w:fldChar w:fldCharType="separate"/>
        </w:r>
        <w:r>
          <w:rPr>
            <w:noProof/>
            <w:webHidden/>
          </w:rPr>
          <w:t>14</w:t>
        </w:r>
        <w:r>
          <w:rPr>
            <w:noProof/>
            <w:webHidden/>
          </w:rPr>
          <w:fldChar w:fldCharType="end"/>
        </w:r>
      </w:hyperlink>
    </w:p>
    <w:p w14:paraId="27AC31DA" w14:textId="312E27C8" w:rsidR="00817AA6" w:rsidRDefault="00817AA6">
      <w:pPr>
        <w:pStyle w:val="TOC2"/>
        <w:tabs>
          <w:tab w:val="right" w:leader="underscore" w:pos="9016"/>
        </w:tabs>
        <w:rPr>
          <w:rFonts w:eastAsiaTheme="minorEastAsia"/>
          <w:noProof/>
          <w:color w:val="auto"/>
          <w:sz w:val="22"/>
          <w:szCs w:val="22"/>
          <w:lang w:eastAsia="en-GB"/>
        </w:rPr>
      </w:pPr>
      <w:hyperlink w:anchor="_Toc155687902" w:history="1">
        <w:r w:rsidRPr="005E4009">
          <w:rPr>
            <w:rStyle w:val="Hyperlink"/>
            <w:noProof/>
          </w:rPr>
          <w:t>6.10.</w:t>
        </w:r>
        <w:r>
          <w:rPr>
            <w:rFonts w:eastAsiaTheme="minorEastAsia"/>
            <w:noProof/>
            <w:color w:val="auto"/>
            <w:sz w:val="22"/>
            <w:szCs w:val="22"/>
            <w:lang w:eastAsia="en-GB"/>
          </w:rPr>
          <w:tab/>
        </w:r>
        <w:r w:rsidRPr="005E4009">
          <w:rPr>
            <w:rStyle w:val="Hyperlink"/>
            <w:noProof/>
          </w:rPr>
          <w:t>Children and Families Act 2014</w:t>
        </w:r>
        <w:r>
          <w:rPr>
            <w:noProof/>
            <w:webHidden/>
          </w:rPr>
          <w:tab/>
        </w:r>
        <w:r>
          <w:rPr>
            <w:noProof/>
            <w:webHidden/>
          </w:rPr>
          <w:fldChar w:fldCharType="begin"/>
        </w:r>
        <w:r>
          <w:rPr>
            <w:noProof/>
            <w:webHidden/>
          </w:rPr>
          <w:instrText xml:space="preserve"> PAGEREF _Toc155687902 \h </w:instrText>
        </w:r>
        <w:r>
          <w:rPr>
            <w:noProof/>
            <w:webHidden/>
          </w:rPr>
        </w:r>
        <w:r>
          <w:rPr>
            <w:noProof/>
            <w:webHidden/>
          </w:rPr>
          <w:fldChar w:fldCharType="separate"/>
        </w:r>
        <w:r>
          <w:rPr>
            <w:noProof/>
            <w:webHidden/>
          </w:rPr>
          <w:t>14</w:t>
        </w:r>
        <w:r>
          <w:rPr>
            <w:noProof/>
            <w:webHidden/>
          </w:rPr>
          <w:fldChar w:fldCharType="end"/>
        </w:r>
      </w:hyperlink>
    </w:p>
    <w:p w14:paraId="14014EE4" w14:textId="71218E1E" w:rsidR="00817AA6" w:rsidRDefault="00817AA6">
      <w:pPr>
        <w:pStyle w:val="TOC1"/>
        <w:rPr>
          <w:rFonts w:eastAsiaTheme="minorEastAsia"/>
          <w:b w:val="0"/>
          <w:noProof/>
          <w:color w:val="auto"/>
          <w:sz w:val="22"/>
          <w:szCs w:val="22"/>
          <w:lang w:eastAsia="en-GB"/>
        </w:rPr>
      </w:pPr>
      <w:hyperlink w:anchor="_Toc155687903" w:history="1">
        <w:r w:rsidRPr="005E4009">
          <w:rPr>
            <w:rStyle w:val="Hyperlink"/>
            <w:noProof/>
          </w:rPr>
          <w:t>7.</w:t>
        </w:r>
        <w:r>
          <w:rPr>
            <w:rFonts w:eastAsiaTheme="minorEastAsia"/>
            <w:b w:val="0"/>
            <w:noProof/>
            <w:color w:val="auto"/>
            <w:sz w:val="22"/>
            <w:szCs w:val="22"/>
            <w:lang w:eastAsia="en-GB"/>
          </w:rPr>
          <w:tab/>
        </w:r>
        <w:r w:rsidRPr="005E4009">
          <w:rPr>
            <w:rStyle w:val="Hyperlink"/>
            <w:noProof/>
          </w:rPr>
          <w:t>Monitoring Compliance</w:t>
        </w:r>
        <w:r>
          <w:rPr>
            <w:noProof/>
            <w:webHidden/>
          </w:rPr>
          <w:tab/>
        </w:r>
        <w:r>
          <w:rPr>
            <w:noProof/>
            <w:webHidden/>
          </w:rPr>
          <w:fldChar w:fldCharType="begin"/>
        </w:r>
        <w:r>
          <w:rPr>
            <w:noProof/>
            <w:webHidden/>
          </w:rPr>
          <w:instrText xml:space="preserve"> PAGEREF _Toc155687903 \h </w:instrText>
        </w:r>
        <w:r>
          <w:rPr>
            <w:noProof/>
            <w:webHidden/>
          </w:rPr>
        </w:r>
        <w:r>
          <w:rPr>
            <w:noProof/>
            <w:webHidden/>
          </w:rPr>
          <w:fldChar w:fldCharType="separate"/>
        </w:r>
        <w:r>
          <w:rPr>
            <w:noProof/>
            <w:webHidden/>
          </w:rPr>
          <w:t>14</w:t>
        </w:r>
        <w:r>
          <w:rPr>
            <w:noProof/>
            <w:webHidden/>
          </w:rPr>
          <w:fldChar w:fldCharType="end"/>
        </w:r>
      </w:hyperlink>
    </w:p>
    <w:p w14:paraId="113C3A60" w14:textId="6287FEA1" w:rsidR="00817AA6" w:rsidRDefault="00817AA6">
      <w:pPr>
        <w:pStyle w:val="TOC1"/>
        <w:rPr>
          <w:rFonts w:eastAsiaTheme="minorEastAsia"/>
          <w:b w:val="0"/>
          <w:noProof/>
          <w:color w:val="auto"/>
          <w:sz w:val="22"/>
          <w:szCs w:val="22"/>
          <w:lang w:eastAsia="en-GB"/>
        </w:rPr>
      </w:pPr>
      <w:hyperlink w:anchor="_Toc155687904" w:history="1">
        <w:r w:rsidRPr="005E4009">
          <w:rPr>
            <w:rStyle w:val="Hyperlink"/>
            <w:noProof/>
          </w:rPr>
          <w:t>8.</w:t>
        </w:r>
        <w:r>
          <w:rPr>
            <w:rFonts w:eastAsiaTheme="minorEastAsia"/>
            <w:b w:val="0"/>
            <w:noProof/>
            <w:color w:val="auto"/>
            <w:sz w:val="22"/>
            <w:szCs w:val="22"/>
            <w:lang w:eastAsia="en-GB"/>
          </w:rPr>
          <w:tab/>
        </w:r>
        <w:r w:rsidRPr="005E4009">
          <w:rPr>
            <w:rStyle w:val="Hyperlink"/>
            <w:noProof/>
          </w:rPr>
          <w:t>Staff Training</w:t>
        </w:r>
        <w:r>
          <w:rPr>
            <w:noProof/>
            <w:webHidden/>
          </w:rPr>
          <w:tab/>
        </w:r>
        <w:r>
          <w:rPr>
            <w:noProof/>
            <w:webHidden/>
          </w:rPr>
          <w:fldChar w:fldCharType="begin"/>
        </w:r>
        <w:r>
          <w:rPr>
            <w:noProof/>
            <w:webHidden/>
          </w:rPr>
          <w:instrText xml:space="preserve"> PAGEREF _Toc155687904 \h </w:instrText>
        </w:r>
        <w:r>
          <w:rPr>
            <w:noProof/>
            <w:webHidden/>
          </w:rPr>
        </w:r>
        <w:r>
          <w:rPr>
            <w:noProof/>
            <w:webHidden/>
          </w:rPr>
          <w:fldChar w:fldCharType="separate"/>
        </w:r>
        <w:r>
          <w:rPr>
            <w:noProof/>
            <w:webHidden/>
          </w:rPr>
          <w:t>14</w:t>
        </w:r>
        <w:r>
          <w:rPr>
            <w:noProof/>
            <w:webHidden/>
          </w:rPr>
          <w:fldChar w:fldCharType="end"/>
        </w:r>
      </w:hyperlink>
    </w:p>
    <w:p w14:paraId="4E983B88" w14:textId="449976DD" w:rsidR="00817AA6" w:rsidRDefault="00817AA6">
      <w:pPr>
        <w:pStyle w:val="TOC1"/>
        <w:rPr>
          <w:rFonts w:eastAsiaTheme="minorEastAsia"/>
          <w:b w:val="0"/>
          <w:noProof/>
          <w:color w:val="auto"/>
          <w:sz w:val="22"/>
          <w:szCs w:val="22"/>
          <w:lang w:eastAsia="en-GB"/>
        </w:rPr>
      </w:pPr>
      <w:hyperlink w:anchor="_Toc155687905" w:history="1">
        <w:r w:rsidRPr="005E4009">
          <w:rPr>
            <w:rStyle w:val="Hyperlink"/>
            <w:noProof/>
          </w:rPr>
          <w:t>9.</w:t>
        </w:r>
        <w:r>
          <w:rPr>
            <w:rFonts w:eastAsiaTheme="minorEastAsia"/>
            <w:b w:val="0"/>
            <w:noProof/>
            <w:color w:val="auto"/>
            <w:sz w:val="22"/>
            <w:szCs w:val="22"/>
            <w:lang w:eastAsia="en-GB"/>
          </w:rPr>
          <w:tab/>
        </w:r>
        <w:r w:rsidRPr="005E4009">
          <w:rPr>
            <w:rStyle w:val="Hyperlink"/>
            <w:noProof/>
          </w:rPr>
          <w:t>Arrangements for Review</w:t>
        </w:r>
        <w:r>
          <w:rPr>
            <w:noProof/>
            <w:webHidden/>
          </w:rPr>
          <w:tab/>
        </w:r>
        <w:r>
          <w:rPr>
            <w:noProof/>
            <w:webHidden/>
          </w:rPr>
          <w:fldChar w:fldCharType="begin"/>
        </w:r>
        <w:r>
          <w:rPr>
            <w:noProof/>
            <w:webHidden/>
          </w:rPr>
          <w:instrText xml:space="preserve"> PAGEREF _Toc155687905 \h </w:instrText>
        </w:r>
        <w:r>
          <w:rPr>
            <w:noProof/>
            <w:webHidden/>
          </w:rPr>
        </w:r>
        <w:r>
          <w:rPr>
            <w:noProof/>
            <w:webHidden/>
          </w:rPr>
          <w:fldChar w:fldCharType="separate"/>
        </w:r>
        <w:r>
          <w:rPr>
            <w:noProof/>
            <w:webHidden/>
          </w:rPr>
          <w:t>15</w:t>
        </w:r>
        <w:r>
          <w:rPr>
            <w:noProof/>
            <w:webHidden/>
          </w:rPr>
          <w:fldChar w:fldCharType="end"/>
        </w:r>
      </w:hyperlink>
    </w:p>
    <w:p w14:paraId="4130B543" w14:textId="7D7F5B1B" w:rsidR="00817AA6" w:rsidRDefault="00817AA6">
      <w:pPr>
        <w:pStyle w:val="TOC1"/>
        <w:rPr>
          <w:rFonts w:eastAsiaTheme="minorEastAsia"/>
          <w:b w:val="0"/>
          <w:noProof/>
          <w:color w:val="auto"/>
          <w:sz w:val="22"/>
          <w:szCs w:val="22"/>
          <w:lang w:eastAsia="en-GB"/>
        </w:rPr>
      </w:pPr>
      <w:hyperlink w:anchor="_Toc155687906" w:history="1">
        <w:r w:rsidRPr="005E4009">
          <w:rPr>
            <w:rStyle w:val="Hyperlink"/>
            <w:noProof/>
          </w:rPr>
          <w:t>10.</w:t>
        </w:r>
        <w:r>
          <w:rPr>
            <w:rFonts w:eastAsiaTheme="minorEastAsia"/>
            <w:b w:val="0"/>
            <w:noProof/>
            <w:color w:val="auto"/>
            <w:sz w:val="22"/>
            <w:szCs w:val="22"/>
            <w:lang w:eastAsia="en-GB"/>
          </w:rPr>
          <w:tab/>
        </w:r>
        <w:r w:rsidRPr="005E4009">
          <w:rPr>
            <w:rStyle w:val="Hyperlink"/>
            <w:noProof/>
          </w:rPr>
          <w:t>Associated Policies, Guidance and Documents</w:t>
        </w:r>
        <w:r>
          <w:rPr>
            <w:noProof/>
            <w:webHidden/>
          </w:rPr>
          <w:tab/>
        </w:r>
        <w:r>
          <w:rPr>
            <w:noProof/>
            <w:webHidden/>
          </w:rPr>
          <w:fldChar w:fldCharType="begin"/>
        </w:r>
        <w:r>
          <w:rPr>
            <w:noProof/>
            <w:webHidden/>
          </w:rPr>
          <w:instrText xml:space="preserve"> PAGEREF _Toc155687906 \h </w:instrText>
        </w:r>
        <w:r>
          <w:rPr>
            <w:noProof/>
            <w:webHidden/>
          </w:rPr>
        </w:r>
        <w:r>
          <w:rPr>
            <w:noProof/>
            <w:webHidden/>
          </w:rPr>
          <w:fldChar w:fldCharType="separate"/>
        </w:r>
        <w:r>
          <w:rPr>
            <w:noProof/>
            <w:webHidden/>
          </w:rPr>
          <w:t>15</w:t>
        </w:r>
        <w:r>
          <w:rPr>
            <w:noProof/>
            <w:webHidden/>
          </w:rPr>
          <w:fldChar w:fldCharType="end"/>
        </w:r>
      </w:hyperlink>
    </w:p>
    <w:p w14:paraId="04A6918D" w14:textId="12A6B3B1" w:rsidR="00817AA6" w:rsidRDefault="00817AA6">
      <w:pPr>
        <w:pStyle w:val="TOC1"/>
        <w:rPr>
          <w:rFonts w:eastAsiaTheme="minorEastAsia"/>
          <w:b w:val="0"/>
          <w:noProof/>
          <w:color w:val="auto"/>
          <w:sz w:val="22"/>
          <w:szCs w:val="22"/>
          <w:lang w:eastAsia="en-GB"/>
        </w:rPr>
      </w:pPr>
      <w:hyperlink w:anchor="_Toc155687907" w:history="1">
        <w:r w:rsidRPr="005E4009">
          <w:rPr>
            <w:rStyle w:val="Hyperlink"/>
            <w:noProof/>
          </w:rPr>
          <w:t>11.</w:t>
        </w:r>
        <w:r>
          <w:rPr>
            <w:rFonts w:eastAsiaTheme="minorEastAsia"/>
            <w:b w:val="0"/>
            <w:noProof/>
            <w:color w:val="auto"/>
            <w:sz w:val="22"/>
            <w:szCs w:val="22"/>
            <w:lang w:eastAsia="en-GB"/>
          </w:rPr>
          <w:tab/>
        </w:r>
        <w:r w:rsidRPr="005E4009">
          <w:rPr>
            <w:rStyle w:val="Hyperlink"/>
            <w:noProof/>
          </w:rPr>
          <w:t>References</w:t>
        </w:r>
        <w:r>
          <w:rPr>
            <w:noProof/>
            <w:webHidden/>
          </w:rPr>
          <w:tab/>
        </w:r>
        <w:r>
          <w:rPr>
            <w:noProof/>
            <w:webHidden/>
          </w:rPr>
          <w:fldChar w:fldCharType="begin"/>
        </w:r>
        <w:r>
          <w:rPr>
            <w:noProof/>
            <w:webHidden/>
          </w:rPr>
          <w:instrText xml:space="preserve"> PAGEREF _Toc155687907 \h </w:instrText>
        </w:r>
        <w:r>
          <w:rPr>
            <w:noProof/>
            <w:webHidden/>
          </w:rPr>
        </w:r>
        <w:r>
          <w:rPr>
            <w:noProof/>
            <w:webHidden/>
          </w:rPr>
          <w:fldChar w:fldCharType="separate"/>
        </w:r>
        <w:r>
          <w:rPr>
            <w:noProof/>
            <w:webHidden/>
          </w:rPr>
          <w:t>15</w:t>
        </w:r>
        <w:r>
          <w:rPr>
            <w:noProof/>
            <w:webHidden/>
          </w:rPr>
          <w:fldChar w:fldCharType="end"/>
        </w:r>
      </w:hyperlink>
    </w:p>
    <w:p w14:paraId="052A8945" w14:textId="23AC6202" w:rsidR="00817AA6" w:rsidRDefault="00817AA6">
      <w:pPr>
        <w:pStyle w:val="TOC1"/>
        <w:rPr>
          <w:rFonts w:eastAsiaTheme="minorEastAsia"/>
          <w:b w:val="0"/>
          <w:noProof/>
          <w:color w:val="auto"/>
          <w:sz w:val="22"/>
          <w:szCs w:val="22"/>
          <w:lang w:eastAsia="en-GB"/>
        </w:rPr>
      </w:pPr>
      <w:hyperlink w:anchor="_Toc155687908" w:history="1">
        <w:r w:rsidRPr="005E4009">
          <w:rPr>
            <w:rStyle w:val="Hyperlink"/>
            <w:noProof/>
          </w:rPr>
          <w:t>12.</w:t>
        </w:r>
        <w:r>
          <w:rPr>
            <w:rFonts w:eastAsiaTheme="minorEastAsia"/>
            <w:b w:val="0"/>
            <w:noProof/>
            <w:color w:val="auto"/>
            <w:sz w:val="22"/>
            <w:szCs w:val="22"/>
            <w:lang w:eastAsia="en-GB"/>
          </w:rPr>
          <w:tab/>
        </w:r>
        <w:r w:rsidRPr="005E4009">
          <w:rPr>
            <w:rStyle w:val="Hyperlink"/>
            <w:noProof/>
          </w:rPr>
          <w:t>Equality Impact Assessment</w:t>
        </w:r>
        <w:r>
          <w:rPr>
            <w:noProof/>
            <w:webHidden/>
          </w:rPr>
          <w:tab/>
        </w:r>
        <w:r>
          <w:rPr>
            <w:noProof/>
            <w:webHidden/>
          </w:rPr>
          <w:fldChar w:fldCharType="begin"/>
        </w:r>
        <w:r>
          <w:rPr>
            <w:noProof/>
            <w:webHidden/>
          </w:rPr>
          <w:instrText xml:space="preserve"> PAGEREF _Toc155687908 \h </w:instrText>
        </w:r>
        <w:r>
          <w:rPr>
            <w:noProof/>
            <w:webHidden/>
          </w:rPr>
        </w:r>
        <w:r>
          <w:rPr>
            <w:noProof/>
            <w:webHidden/>
          </w:rPr>
          <w:fldChar w:fldCharType="separate"/>
        </w:r>
        <w:r>
          <w:rPr>
            <w:noProof/>
            <w:webHidden/>
          </w:rPr>
          <w:t>15</w:t>
        </w:r>
        <w:r>
          <w:rPr>
            <w:noProof/>
            <w:webHidden/>
          </w:rPr>
          <w:fldChar w:fldCharType="end"/>
        </w:r>
      </w:hyperlink>
    </w:p>
    <w:p w14:paraId="4BE0D4A3" w14:textId="1AB59C0C" w:rsidR="00817AA6" w:rsidRDefault="00817AA6">
      <w:pPr>
        <w:pStyle w:val="TOC1"/>
        <w:rPr>
          <w:rFonts w:eastAsiaTheme="minorEastAsia"/>
          <w:b w:val="0"/>
          <w:noProof/>
          <w:color w:val="auto"/>
          <w:sz w:val="22"/>
          <w:szCs w:val="22"/>
          <w:lang w:eastAsia="en-GB"/>
        </w:rPr>
      </w:pPr>
      <w:hyperlink w:anchor="_Toc155687909" w:history="1">
        <w:r w:rsidRPr="005E4009">
          <w:rPr>
            <w:rStyle w:val="Hyperlink"/>
            <w:noProof/>
          </w:rPr>
          <w:t>Appendix A - Equality Impact Assessment</w:t>
        </w:r>
        <w:r>
          <w:rPr>
            <w:noProof/>
            <w:webHidden/>
          </w:rPr>
          <w:tab/>
        </w:r>
        <w:r>
          <w:rPr>
            <w:noProof/>
            <w:webHidden/>
          </w:rPr>
          <w:fldChar w:fldCharType="begin"/>
        </w:r>
        <w:r>
          <w:rPr>
            <w:noProof/>
            <w:webHidden/>
          </w:rPr>
          <w:instrText xml:space="preserve"> PAGEREF _Toc155687909 \h </w:instrText>
        </w:r>
        <w:r>
          <w:rPr>
            <w:noProof/>
            <w:webHidden/>
          </w:rPr>
        </w:r>
        <w:r>
          <w:rPr>
            <w:noProof/>
            <w:webHidden/>
          </w:rPr>
          <w:fldChar w:fldCharType="separate"/>
        </w:r>
        <w:r>
          <w:rPr>
            <w:noProof/>
            <w:webHidden/>
          </w:rPr>
          <w:t>16</w:t>
        </w:r>
        <w:r>
          <w:rPr>
            <w:noProof/>
            <w:webHidden/>
          </w:rPr>
          <w:fldChar w:fldCharType="end"/>
        </w:r>
      </w:hyperlink>
    </w:p>
    <w:p w14:paraId="0B4A5061" w14:textId="018A7A81" w:rsidR="00817AA6" w:rsidRDefault="00817AA6">
      <w:pPr>
        <w:pStyle w:val="TOC1"/>
        <w:rPr>
          <w:rFonts w:eastAsiaTheme="minorEastAsia"/>
          <w:b w:val="0"/>
          <w:noProof/>
          <w:color w:val="auto"/>
          <w:sz w:val="22"/>
          <w:szCs w:val="22"/>
          <w:lang w:eastAsia="en-GB"/>
        </w:rPr>
      </w:pPr>
      <w:hyperlink w:anchor="_Toc155687910" w:history="1">
        <w:r w:rsidRPr="005E4009">
          <w:rPr>
            <w:rStyle w:val="Hyperlink"/>
            <w:noProof/>
          </w:rPr>
          <w:t>Appendix B – Schedule of Commissioning Policies (Restricted Services)</w:t>
        </w:r>
        <w:r>
          <w:rPr>
            <w:noProof/>
            <w:webHidden/>
          </w:rPr>
          <w:tab/>
        </w:r>
        <w:r>
          <w:rPr>
            <w:noProof/>
            <w:webHidden/>
          </w:rPr>
          <w:fldChar w:fldCharType="begin"/>
        </w:r>
        <w:r>
          <w:rPr>
            <w:noProof/>
            <w:webHidden/>
          </w:rPr>
          <w:instrText xml:space="preserve"> PAGEREF _Toc155687910 \h </w:instrText>
        </w:r>
        <w:r>
          <w:rPr>
            <w:noProof/>
            <w:webHidden/>
          </w:rPr>
        </w:r>
        <w:r>
          <w:rPr>
            <w:noProof/>
            <w:webHidden/>
          </w:rPr>
          <w:fldChar w:fldCharType="separate"/>
        </w:r>
        <w:r>
          <w:rPr>
            <w:noProof/>
            <w:webHidden/>
          </w:rPr>
          <w:t>18</w:t>
        </w:r>
        <w:r>
          <w:rPr>
            <w:noProof/>
            <w:webHidden/>
          </w:rPr>
          <w:fldChar w:fldCharType="end"/>
        </w:r>
      </w:hyperlink>
    </w:p>
    <w:p w14:paraId="0BE66220" w14:textId="3CFA4093" w:rsidR="00F40D75" w:rsidRPr="00F40D75" w:rsidRDefault="00F40D75" w:rsidP="00F40D75">
      <w:pPr>
        <w:spacing w:before="0" w:after="0"/>
        <w:ind w:left="0"/>
        <w:rPr>
          <w:rFonts w:ascii="AppleSystemUIFont" w:hAnsi="AppleSystemUIFont" w:cs="AppleSystemUIFont"/>
          <w:sz w:val="26"/>
          <w:szCs w:val="26"/>
        </w:rPr>
      </w:pPr>
      <w:r w:rsidRPr="00F40D75">
        <w:rPr>
          <w:rFonts w:ascii="AppleSystemUIFont" w:hAnsi="AppleSystemUIFont" w:cs="AppleSystemUIFont"/>
          <w:b/>
          <w:color w:val="2B579A"/>
          <w:sz w:val="26"/>
          <w:szCs w:val="26"/>
          <w:shd w:val="clear" w:color="auto" w:fill="E6E6E6"/>
        </w:rPr>
        <w:fldChar w:fldCharType="end"/>
      </w:r>
      <w:r w:rsidRPr="00F40D75">
        <w:rPr>
          <w:rFonts w:ascii="AppleSystemUIFont" w:hAnsi="AppleSystemUIFont" w:cs="AppleSystemUIFont"/>
          <w:sz w:val="26"/>
          <w:szCs w:val="26"/>
        </w:rPr>
        <w:br w:type="page"/>
      </w:r>
    </w:p>
    <w:p w14:paraId="204F2BE9" w14:textId="77777777" w:rsidR="00F40D75" w:rsidRPr="00F40D75" w:rsidRDefault="00F40D75" w:rsidP="00162C05">
      <w:pPr>
        <w:pStyle w:val="Heading2"/>
        <w:numPr>
          <w:ilvl w:val="0"/>
          <w:numId w:val="22"/>
        </w:numPr>
      </w:pPr>
      <w:bookmarkStart w:id="0" w:name="_Toc108099461"/>
      <w:bookmarkStart w:id="1" w:name="_Toc155687874"/>
      <w:r w:rsidRPr="00F40D75">
        <w:lastRenderedPageBreak/>
        <w:t>Introduction</w:t>
      </w:r>
      <w:bookmarkEnd w:id="0"/>
      <w:bookmarkEnd w:id="1"/>
    </w:p>
    <w:p w14:paraId="2CA3E78D" w14:textId="77777777" w:rsidR="00DC187A" w:rsidRPr="003B5193" w:rsidRDefault="00DC187A" w:rsidP="00162C05">
      <w:pPr>
        <w:pStyle w:val="Style1"/>
        <w:numPr>
          <w:ilvl w:val="1"/>
          <w:numId w:val="26"/>
        </w:numPr>
        <w:ind w:left="1134"/>
      </w:pPr>
      <w:r w:rsidRPr="003B5193">
        <w:t xml:space="preserve">The </w:t>
      </w:r>
      <w:r>
        <w:t xml:space="preserve">Mid and South Essex </w:t>
      </w:r>
      <w:r w:rsidRPr="003B5193">
        <w:t xml:space="preserve">Integrated Care Board (ICB), as part of the Integrated Care System (ICS) receives a fixed budget from NHS England to enable it to fulfil </w:t>
      </w:r>
      <w:r>
        <w:t>its statutory functions, duties and the health aspect of the Integrated Care Strategy set by the Integrated Care Partnership (ICP)</w:t>
      </w:r>
      <w:r w:rsidRPr="003B5193">
        <w:t xml:space="preserve">. </w:t>
      </w:r>
      <w:r>
        <w:t>The ICB</w:t>
      </w:r>
      <w:r w:rsidRPr="003B5193">
        <w:t xml:space="preserve"> has a statutory responsibility to maintain financial balance and, as part of discharging this obligation, must decide how and where finite local resources are allocated. </w:t>
      </w:r>
    </w:p>
    <w:p w14:paraId="26F6C492" w14:textId="41CF5E9F" w:rsidR="00DC187A" w:rsidRPr="00BB45C4" w:rsidRDefault="00DC187A" w:rsidP="00162C05">
      <w:pPr>
        <w:pStyle w:val="Style1"/>
        <w:numPr>
          <w:ilvl w:val="1"/>
          <w:numId w:val="26"/>
        </w:numPr>
        <w:ind w:left="1134"/>
      </w:pPr>
      <w:r w:rsidRPr="00BB45C4">
        <w:t>The need for health care is always greater than the resources available to a society to meet demand. Therefore, it is evident that it will not be possible for the ICB to commission all the health care that is needed or wanted by the population it serves and, as a result, it will need to prioritise its commissioning intentions based on the needs of the local population</w:t>
      </w:r>
      <w:r w:rsidR="00A968EF">
        <w:t xml:space="preserve"> and clinical evidence that supports the effectiveness of treatment</w:t>
      </w:r>
      <w:r w:rsidRPr="00BB45C4">
        <w:t xml:space="preserve">. </w:t>
      </w:r>
    </w:p>
    <w:p w14:paraId="63DFDF4B" w14:textId="77777777" w:rsidR="00DC187A" w:rsidRPr="003B5193" w:rsidRDefault="00DC187A" w:rsidP="00162C05">
      <w:pPr>
        <w:pStyle w:val="Style1"/>
        <w:numPr>
          <w:ilvl w:val="1"/>
          <w:numId w:val="26"/>
        </w:numPr>
        <w:ind w:left="1134"/>
      </w:pPr>
      <w:r w:rsidRPr="003B5193">
        <w:t>In carrying out these functions, the ICB will act with a view to securing health services that are provided in a way which promotes the NHS Constitution among patients, staff</w:t>
      </w:r>
      <w:r>
        <w:t>,</w:t>
      </w:r>
      <w:r w:rsidRPr="003B5193">
        <w:t xml:space="preserve"> and members of the public. Patients have a right to expect that the ICB will assess and prioritise the health requirements of the local community and commission the services to meet those needs as considered necessary. </w:t>
      </w:r>
    </w:p>
    <w:p w14:paraId="6DDB8C59" w14:textId="78D0EACC" w:rsidR="00C76692" w:rsidRPr="00046638" w:rsidRDefault="51032FF1" w:rsidP="00E426AF">
      <w:pPr>
        <w:pStyle w:val="Style1"/>
        <w:rPr>
          <w:color w:val="231F20" w:themeColor="text2"/>
        </w:rPr>
      </w:pPr>
      <w:r>
        <w:t>The ICB</w:t>
      </w:r>
      <w:r w:rsidR="6604E8BA">
        <w:t xml:space="preserve"> has established </w:t>
      </w:r>
      <w:r w:rsidR="2C02063D">
        <w:t xml:space="preserve">a ‘decision making policy’ that </w:t>
      </w:r>
      <w:r w:rsidR="6604E8BA">
        <w:t>govern</w:t>
      </w:r>
      <w:r w:rsidR="2C02063D">
        <w:t>s</w:t>
      </w:r>
      <w:r w:rsidR="6604E8BA">
        <w:t xml:space="preserve"> how it makes commissioning decisions</w:t>
      </w:r>
      <w:r w:rsidR="44DAE83D">
        <w:t>,</w:t>
      </w:r>
      <w:r w:rsidR="6604E8BA">
        <w:t xml:space="preserve"> and </w:t>
      </w:r>
      <w:r w:rsidR="44DAE83D" w:rsidRPr="00046638">
        <w:t>this commission</w:t>
      </w:r>
      <w:r w:rsidR="61D213E2" w:rsidRPr="00046638">
        <w:t>ing</w:t>
      </w:r>
      <w:r w:rsidR="44DAE83D" w:rsidRPr="00046638">
        <w:t xml:space="preserve"> policy to define </w:t>
      </w:r>
      <w:r w:rsidR="6604E8BA" w:rsidRPr="00046638">
        <w:t>the basis upon which it restricts the services it deliver</w:t>
      </w:r>
      <w:r w:rsidR="652694AA" w:rsidRPr="00046638">
        <w:rPr>
          <w:color w:val="231F20" w:themeColor="text2"/>
        </w:rPr>
        <w:t>s.</w:t>
      </w:r>
      <w:r w:rsidR="4F503B08" w:rsidRPr="00046638">
        <w:rPr>
          <w:color w:val="231F20" w:themeColor="text2"/>
        </w:rPr>
        <w:t xml:space="preserve"> However, it must not be assumed that because </w:t>
      </w:r>
      <w:r w:rsidR="6630FD42" w:rsidRPr="00046638">
        <w:rPr>
          <w:color w:val="231F20" w:themeColor="text2"/>
        </w:rPr>
        <w:t xml:space="preserve">a </w:t>
      </w:r>
      <w:r w:rsidR="4F503B08" w:rsidRPr="00046638">
        <w:rPr>
          <w:color w:val="231F20" w:themeColor="text2"/>
        </w:rPr>
        <w:t xml:space="preserve">treatment is not included in </w:t>
      </w:r>
      <w:r w:rsidR="3C9A9408" w:rsidRPr="00046638">
        <w:rPr>
          <w:color w:val="231F20" w:themeColor="text2"/>
        </w:rPr>
        <w:t>this policy</w:t>
      </w:r>
      <w:r w:rsidR="4F503B08" w:rsidRPr="00046638">
        <w:rPr>
          <w:color w:val="231F20" w:themeColor="text2"/>
        </w:rPr>
        <w:t xml:space="preserve"> that by default it will be funded.</w:t>
      </w:r>
    </w:p>
    <w:p w14:paraId="74E746D7" w14:textId="77777777" w:rsidR="00F40D75" w:rsidRPr="00F40D75" w:rsidRDefault="00F40D75" w:rsidP="00F40D75">
      <w:pPr>
        <w:pStyle w:val="Heading2"/>
      </w:pPr>
      <w:bookmarkStart w:id="2" w:name="_Toc108099462"/>
      <w:bookmarkStart w:id="3" w:name="_Toc155687875"/>
      <w:r w:rsidRPr="00F40D75">
        <w:t>Purpose / Policy Statement</w:t>
      </w:r>
      <w:bookmarkEnd w:id="2"/>
      <w:bookmarkEnd w:id="3"/>
    </w:p>
    <w:p w14:paraId="02F7C377" w14:textId="7C080D53" w:rsidR="00F40D75" w:rsidRDefault="3EF79988" w:rsidP="00CB64D7">
      <w:pPr>
        <w:pStyle w:val="Style1"/>
      </w:pPr>
      <w:r>
        <w:t>The purpose of this policy is to ensure that the Mid and South Essex Integrated Care Board (ICB)</w:t>
      </w:r>
      <w:r w:rsidR="4CD4C63A">
        <w:t xml:space="preserve"> fund</w:t>
      </w:r>
      <w:r w:rsidR="00E0706F">
        <w:t>s</w:t>
      </w:r>
      <w:r w:rsidR="4CD4C63A">
        <w:t xml:space="preserve"> treatment only for clinically effective interventions delivered to the right patients</w:t>
      </w:r>
      <w:r w:rsidR="4A59813A">
        <w:t>.</w:t>
      </w:r>
      <w:r w:rsidR="4CD4C63A">
        <w:t xml:space="preserve"> It sets out the treatments deemed to be of insufficient priority to justify funding from the available budget.</w:t>
      </w:r>
    </w:p>
    <w:p w14:paraId="492BBE5D" w14:textId="4E6C1C68" w:rsidR="00CB64D7" w:rsidRPr="00CB64D7" w:rsidRDefault="00B643B2" w:rsidP="00CB64D7">
      <w:pPr>
        <w:pStyle w:val="Style1"/>
      </w:pPr>
      <w:r>
        <w:t xml:space="preserve">The policy also sets out the governance of how the ICB </w:t>
      </w:r>
      <w:r w:rsidR="00AE6F8E">
        <w:t>revisits decisions to restrict services.</w:t>
      </w:r>
    </w:p>
    <w:p w14:paraId="76126C97" w14:textId="77777777" w:rsidR="00F40D75" w:rsidRPr="00F40D75" w:rsidRDefault="00F40D75" w:rsidP="00F40D75">
      <w:pPr>
        <w:pStyle w:val="Heading2"/>
      </w:pPr>
      <w:bookmarkStart w:id="4" w:name="_Toc108099463"/>
      <w:bookmarkStart w:id="5" w:name="_Toc155687876"/>
      <w:r w:rsidRPr="00F40D75">
        <w:t>Scope</w:t>
      </w:r>
      <w:bookmarkEnd w:id="4"/>
      <w:bookmarkEnd w:id="5"/>
    </w:p>
    <w:p w14:paraId="31D19947" w14:textId="77777777" w:rsidR="00AE6F8E" w:rsidRDefault="00AE6F8E" w:rsidP="00F40D75">
      <w:pPr>
        <w:pStyle w:val="Style1"/>
      </w:pPr>
      <w:r>
        <w:t>T</w:t>
      </w:r>
      <w:r w:rsidR="00F40D75" w:rsidRPr="00F40D75">
        <w:t>his policy applies to all ICB Board members and staff (including temporary/bank/agency/work experience staff, students and volunteers).</w:t>
      </w:r>
      <w:r>
        <w:t xml:space="preserve">  </w:t>
      </w:r>
    </w:p>
    <w:p w14:paraId="3BDCDE2F" w14:textId="321A30DF" w:rsidR="00F40D75" w:rsidRPr="00F40D75" w:rsidRDefault="00AE6F8E" w:rsidP="00904F3A">
      <w:pPr>
        <w:pStyle w:val="Style1"/>
        <w:outlineLvl w:val="9"/>
      </w:pPr>
      <w:r>
        <w:t xml:space="preserve">The policy also applies to all Providers of services that the </w:t>
      </w:r>
      <w:r w:rsidR="00904F3A">
        <w:t xml:space="preserve">ICB </w:t>
      </w:r>
      <w:r>
        <w:t>commissions.</w:t>
      </w:r>
    </w:p>
    <w:p w14:paraId="23448F43" w14:textId="77777777" w:rsidR="00F40D75" w:rsidRPr="00F40D75" w:rsidRDefault="00F40D75" w:rsidP="00F40D75">
      <w:pPr>
        <w:pStyle w:val="Heading2"/>
      </w:pPr>
      <w:bookmarkStart w:id="6" w:name="_Toc108099464"/>
      <w:bookmarkStart w:id="7" w:name="_Toc155687877"/>
      <w:r w:rsidRPr="00F40D75">
        <w:lastRenderedPageBreak/>
        <w:t>Definitions</w:t>
      </w:r>
      <w:bookmarkEnd w:id="6"/>
      <w:bookmarkEnd w:id="7"/>
    </w:p>
    <w:p w14:paraId="50A7BC14" w14:textId="5DE25B88" w:rsidR="02C6FFDA" w:rsidRPr="000B5CEA" w:rsidRDefault="026D59A6" w:rsidP="000B5CEA">
      <w:pPr>
        <w:pStyle w:val="ListParagraph"/>
        <w:numPr>
          <w:ilvl w:val="0"/>
          <w:numId w:val="28"/>
        </w:numPr>
        <w:spacing w:before="120" w:after="120"/>
        <w:ind w:left="1434" w:hanging="357"/>
        <w:contextualSpacing w:val="0"/>
        <w:rPr>
          <w:rFonts w:ascii="Arial" w:eastAsia="Arial" w:hAnsi="Arial" w:cs="Arial"/>
        </w:rPr>
      </w:pPr>
      <w:r w:rsidRPr="000B5CEA">
        <w:rPr>
          <w:b/>
          <w:bCs/>
        </w:rPr>
        <w:t>Group Prior Approvals</w:t>
      </w:r>
      <w:r w:rsidRPr="000B5CEA">
        <w:t xml:space="preserve"> </w:t>
      </w:r>
      <w:r w:rsidR="25CE2AB2" w:rsidRPr="000B5CEA">
        <w:t>–</w:t>
      </w:r>
      <w:r w:rsidRPr="000B5CEA">
        <w:t xml:space="preserve"> </w:t>
      </w:r>
      <w:r w:rsidR="25CE2AB2" w:rsidRPr="000B5CEA">
        <w:t xml:space="preserve">a set of criteria defining whether </w:t>
      </w:r>
      <w:r w:rsidR="2E44EFEA" w:rsidRPr="000B5CEA">
        <w:t>patient groups are eligible to access given treatments under specific circumstances</w:t>
      </w:r>
      <w:r w:rsidR="16D03F06" w:rsidRPr="000B5CEA">
        <w:t xml:space="preserve"> </w:t>
      </w:r>
      <w:r w:rsidR="0978CF71" w:rsidRPr="000B5CEA">
        <w:rPr>
          <w:rFonts w:ascii="Arial" w:eastAsia="Arial" w:hAnsi="Arial" w:cs="Arial"/>
        </w:rPr>
        <w:t>but for which individual prior approval is not required</w:t>
      </w:r>
      <w:r w:rsidR="7B99A024" w:rsidRPr="000B5CEA">
        <w:rPr>
          <w:rFonts w:ascii="Arial" w:eastAsia="Arial" w:hAnsi="Arial" w:cs="Arial"/>
        </w:rPr>
        <w:t xml:space="preserve">.  </w:t>
      </w:r>
    </w:p>
    <w:p w14:paraId="010B90C4" w14:textId="77777777" w:rsidR="000B5CEA" w:rsidRPr="000B5CEA" w:rsidRDefault="026D59A6" w:rsidP="000B5CEA">
      <w:pPr>
        <w:pStyle w:val="ListParagraph"/>
        <w:numPr>
          <w:ilvl w:val="0"/>
          <w:numId w:val="28"/>
        </w:numPr>
        <w:spacing w:before="120" w:after="120"/>
        <w:ind w:left="1434" w:hanging="357"/>
        <w:contextualSpacing w:val="0"/>
        <w:rPr>
          <w:rFonts w:ascii="Arial" w:eastAsia="Arial" w:hAnsi="Arial" w:cs="Arial"/>
          <w:color w:val="231F20" w:themeColor="text2"/>
        </w:rPr>
      </w:pPr>
      <w:r w:rsidRPr="000B5CEA">
        <w:rPr>
          <w:b/>
          <w:bCs/>
        </w:rPr>
        <w:t>Individual Prior Approvals</w:t>
      </w:r>
      <w:r w:rsidRPr="000B5CEA">
        <w:t xml:space="preserve"> </w:t>
      </w:r>
      <w:r w:rsidR="16D03F06" w:rsidRPr="000B5CEA">
        <w:t>–</w:t>
      </w:r>
      <w:r w:rsidRPr="000B5CEA">
        <w:t xml:space="preserve"> </w:t>
      </w:r>
      <w:r w:rsidR="16D03F06" w:rsidRPr="000B5CEA">
        <w:t>a set of criteria defining whether individual patients are eligible to access given treatments under specific circumstances that need prior approval by the ICB</w:t>
      </w:r>
      <w:r w:rsidR="0F56EFE1" w:rsidRPr="000B5CEA">
        <w:t xml:space="preserve"> </w:t>
      </w:r>
      <w:r w:rsidR="0F56EFE1" w:rsidRPr="000B5CEA">
        <w:rPr>
          <w:rFonts w:ascii="Arial" w:eastAsia="Arial" w:hAnsi="Arial" w:cs="Arial"/>
        </w:rPr>
        <w:t>on a patient by patient and, in some circumstances, treatment by treatment basis.</w:t>
      </w:r>
    </w:p>
    <w:p w14:paraId="5A9E6ED5" w14:textId="4B8FCF5E" w:rsidR="000B5CEA" w:rsidRPr="000B5CEA" w:rsidRDefault="28691DB6" w:rsidP="000B5CEA">
      <w:pPr>
        <w:pStyle w:val="ListParagraph"/>
        <w:numPr>
          <w:ilvl w:val="0"/>
          <w:numId w:val="28"/>
        </w:numPr>
        <w:spacing w:before="120" w:after="120"/>
        <w:ind w:left="1434" w:hanging="357"/>
        <w:contextualSpacing w:val="0"/>
        <w:rPr>
          <w:rFonts w:ascii="Arial" w:eastAsia="Arial" w:hAnsi="Arial" w:cs="Arial"/>
          <w:color w:val="231F20" w:themeColor="text2"/>
        </w:rPr>
      </w:pPr>
      <w:r w:rsidRPr="000B5CEA">
        <w:rPr>
          <w:b/>
          <w:bCs/>
        </w:rPr>
        <w:t>Legacy Patients</w:t>
      </w:r>
      <w:r w:rsidRPr="000B5CEA">
        <w:t xml:space="preserve"> –</w:t>
      </w:r>
      <w:r w:rsidR="28A8C268" w:rsidRPr="000B5CEA">
        <w:rPr>
          <w:rFonts w:ascii="Arial" w:eastAsia="Arial" w:hAnsi="Arial" w:cs="Arial"/>
        </w:rPr>
        <w:t xml:space="preserve">patients who have received a </w:t>
      </w:r>
      <w:r w:rsidR="19BF486B" w:rsidRPr="000B5CEA">
        <w:rPr>
          <w:rFonts w:ascii="Arial" w:eastAsia="Arial" w:hAnsi="Arial" w:cs="Arial"/>
        </w:rPr>
        <w:t xml:space="preserve">treatment </w:t>
      </w:r>
      <w:r w:rsidR="511CBC89" w:rsidRPr="000B5CEA">
        <w:rPr>
          <w:rFonts w:ascii="Arial" w:eastAsia="Arial" w:hAnsi="Arial" w:cs="Arial"/>
        </w:rPr>
        <w:t xml:space="preserve">funded </w:t>
      </w:r>
      <w:r w:rsidR="28A8C268" w:rsidRPr="000B5CEA">
        <w:rPr>
          <w:rFonts w:ascii="Arial" w:eastAsia="Arial" w:hAnsi="Arial" w:cs="Arial"/>
        </w:rPr>
        <w:t xml:space="preserve">under a previous policy which is no longer funded or the criteria for funding has changed. Where for clinical reasons a previously funded </w:t>
      </w:r>
      <w:r w:rsidR="6D1803E2" w:rsidRPr="000B5CEA">
        <w:rPr>
          <w:rFonts w:ascii="Arial" w:eastAsia="Arial" w:hAnsi="Arial" w:cs="Arial"/>
        </w:rPr>
        <w:t>treatment</w:t>
      </w:r>
      <w:r w:rsidR="28A8C268" w:rsidRPr="000B5CEA">
        <w:rPr>
          <w:rFonts w:ascii="Arial" w:eastAsia="Arial" w:hAnsi="Arial" w:cs="Arial"/>
        </w:rPr>
        <w:t xml:space="preserve"> needs repeating / revision / replacement the current policy applies.</w:t>
      </w:r>
    </w:p>
    <w:p w14:paraId="480D4144" w14:textId="74038513" w:rsidR="000B5CEA" w:rsidRPr="000B5CEA" w:rsidRDefault="28691DB6" w:rsidP="000B5CEA">
      <w:pPr>
        <w:pStyle w:val="ListParagraph"/>
        <w:numPr>
          <w:ilvl w:val="0"/>
          <w:numId w:val="28"/>
        </w:numPr>
        <w:spacing w:before="120" w:after="120"/>
        <w:ind w:left="1434" w:hanging="357"/>
        <w:contextualSpacing w:val="0"/>
        <w:rPr>
          <w:rFonts w:ascii="Arial" w:eastAsia="Arial" w:hAnsi="Arial" w:cs="Arial"/>
          <w:color w:val="231F20" w:themeColor="text2"/>
        </w:rPr>
      </w:pPr>
      <w:r w:rsidRPr="000B5CEA">
        <w:rPr>
          <w:b/>
          <w:bCs/>
        </w:rPr>
        <w:t>Individual Funding Requests</w:t>
      </w:r>
      <w:r w:rsidRPr="000B5CEA">
        <w:t xml:space="preserve"> –</w:t>
      </w:r>
      <w:r w:rsidR="5CED0760" w:rsidRPr="000B5CEA">
        <w:t>may include requests for funding for</w:t>
      </w:r>
      <w:r w:rsidR="141A4C33" w:rsidRPr="000B5CEA">
        <w:rPr>
          <w:rFonts w:ascii="Arial" w:eastAsia="Arial" w:hAnsi="Arial" w:cs="Arial"/>
        </w:rPr>
        <w:t xml:space="preserve"> patients with conditions for which the ICB does not have an agreed commissioning policy, including patients with rare conditions, and patients whose proposed treatment is outside agreed commissioning </w:t>
      </w:r>
      <w:r w:rsidR="00BE2B9A" w:rsidRPr="000B5CEA">
        <w:rPr>
          <w:rFonts w:ascii="Arial" w:eastAsia="Arial" w:hAnsi="Arial" w:cs="Arial"/>
        </w:rPr>
        <w:t>policies or</w:t>
      </w:r>
      <w:r w:rsidR="141A4C33" w:rsidRPr="000B5CEA">
        <w:rPr>
          <w:rFonts w:ascii="Arial" w:eastAsia="Arial" w:hAnsi="Arial" w:cs="Arial"/>
        </w:rPr>
        <w:t xml:space="preserve"> service agreements. </w:t>
      </w:r>
      <w:r w:rsidR="4A0D8EBF" w:rsidRPr="000B5CEA">
        <w:rPr>
          <w:rFonts w:ascii="Arial" w:eastAsia="Arial" w:hAnsi="Arial" w:cs="Arial"/>
        </w:rPr>
        <w:t>Such requests must demonstrate exceptional clinical circumstances to be successful.</w:t>
      </w:r>
    </w:p>
    <w:p w14:paraId="48205D65" w14:textId="77777777" w:rsidR="000B5CEA" w:rsidRPr="000B5CEA" w:rsidRDefault="483E21BB" w:rsidP="000B5CEA">
      <w:pPr>
        <w:pStyle w:val="ListParagraph"/>
        <w:numPr>
          <w:ilvl w:val="0"/>
          <w:numId w:val="28"/>
        </w:numPr>
        <w:spacing w:before="120" w:after="120"/>
        <w:ind w:left="1434" w:hanging="357"/>
        <w:contextualSpacing w:val="0"/>
        <w:rPr>
          <w:rFonts w:ascii="Arial" w:eastAsia="Arial" w:hAnsi="Arial" w:cs="Arial"/>
          <w:color w:val="231F20" w:themeColor="text2"/>
        </w:rPr>
      </w:pPr>
      <w:r w:rsidRPr="000B5CEA">
        <w:rPr>
          <w:rFonts w:ascii="Arial" w:eastAsia="Arial" w:hAnsi="Arial" w:cs="Arial"/>
          <w:b/>
          <w:bCs/>
        </w:rPr>
        <w:t>Not Funded</w:t>
      </w:r>
      <w:r w:rsidRPr="000B5CEA">
        <w:rPr>
          <w:rFonts w:ascii="Arial" w:eastAsia="Arial" w:hAnsi="Arial" w:cs="Arial"/>
        </w:rPr>
        <w:t xml:space="preserve"> – </w:t>
      </w:r>
      <w:r w:rsidR="22020458" w:rsidRPr="000B5CEA">
        <w:rPr>
          <w:rFonts w:ascii="Arial" w:eastAsia="Arial" w:hAnsi="Arial" w:cs="Arial"/>
        </w:rPr>
        <w:t>t</w:t>
      </w:r>
      <w:r w:rsidRPr="000B5CEA">
        <w:rPr>
          <w:rFonts w:ascii="Arial" w:eastAsia="Arial" w:hAnsi="Arial" w:cs="Arial"/>
        </w:rPr>
        <w:t xml:space="preserve">reatments </w:t>
      </w:r>
      <w:r w:rsidR="67016FA7" w:rsidRPr="000B5CEA">
        <w:rPr>
          <w:rFonts w:ascii="Arial" w:eastAsia="Arial" w:hAnsi="Arial" w:cs="Arial"/>
        </w:rPr>
        <w:t xml:space="preserve">which </w:t>
      </w:r>
      <w:r w:rsidRPr="000B5CEA">
        <w:rPr>
          <w:rFonts w:ascii="Arial" w:eastAsia="Arial" w:hAnsi="Arial" w:cs="Arial"/>
        </w:rPr>
        <w:t xml:space="preserve">have been assessed as Low Clinical Priority by the ICB and </w:t>
      </w:r>
      <w:r w:rsidR="5D7ABAE4" w:rsidRPr="000B5CEA">
        <w:rPr>
          <w:rFonts w:ascii="Arial" w:eastAsia="Arial" w:hAnsi="Arial" w:cs="Arial"/>
        </w:rPr>
        <w:t xml:space="preserve">therefore </w:t>
      </w:r>
      <w:r w:rsidRPr="000B5CEA">
        <w:rPr>
          <w:rFonts w:ascii="Arial" w:eastAsia="Arial" w:hAnsi="Arial" w:cs="Arial"/>
        </w:rPr>
        <w:t xml:space="preserve">not funded unless there are </w:t>
      </w:r>
      <w:r w:rsidRPr="000B5CEA">
        <w:rPr>
          <w:rFonts w:ascii="Arial" w:eastAsia="Arial" w:hAnsi="Arial" w:cs="Arial"/>
          <w:b/>
          <w:bCs/>
        </w:rPr>
        <w:t>exceptional clinical circumstances</w:t>
      </w:r>
      <w:r w:rsidR="7E28484B" w:rsidRPr="000B5CEA">
        <w:rPr>
          <w:rFonts w:ascii="Arial" w:eastAsia="Arial" w:hAnsi="Arial" w:cs="Arial"/>
          <w:b/>
          <w:bCs/>
        </w:rPr>
        <w:t xml:space="preserve"> (exceptionality)</w:t>
      </w:r>
      <w:r w:rsidRPr="000B5CEA">
        <w:rPr>
          <w:rFonts w:ascii="Arial" w:eastAsia="Arial" w:hAnsi="Arial" w:cs="Arial"/>
          <w:b/>
          <w:bCs/>
        </w:rPr>
        <w:t>.</w:t>
      </w:r>
      <w:r w:rsidRPr="000B5CEA">
        <w:rPr>
          <w:rFonts w:ascii="Arial" w:eastAsia="Arial" w:hAnsi="Arial" w:cs="Arial"/>
        </w:rPr>
        <w:t xml:space="preserve"> </w:t>
      </w:r>
    </w:p>
    <w:p w14:paraId="39FF3FCE" w14:textId="277ED78F" w:rsidR="00EC416B" w:rsidRPr="000B5CEA" w:rsidRDefault="3BBB47D7" w:rsidP="000B5CEA">
      <w:pPr>
        <w:pStyle w:val="ListParagraph"/>
        <w:numPr>
          <w:ilvl w:val="0"/>
          <w:numId w:val="28"/>
        </w:numPr>
        <w:spacing w:before="120" w:after="120"/>
        <w:ind w:left="1434" w:hanging="357"/>
        <w:contextualSpacing w:val="0"/>
        <w:rPr>
          <w:rFonts w:ascii="Arial" w:eastAsia="Arial" w:hAnsi="Arial" w:cs="Arial"/>
          <w:color w:val="231F20" w:themeColor="text2"/>
        </w:rPr>
      </w:pPr>
      <w:r w:rsidRPr="000B5CEA">
        <w:rPr>
          <w:b/>
          <w:bCs/>
        </w:rPr>
        <w:t>Exceptionality</w:t>
      </w:r>
      <w:r w:rsidRPr="000B5CEA">
        <w:t xml:space="preserve"> </w:t>
      </w:r>
      <w:r w:rsidR="563B0AEE" w:rsidRPr="000B5CEA">
        <w:t>–</w:t>
      </w:r>
      <w:r w:rsidRPr="000B5CEA">
        <w:t xml:space="preserve"> </w:t>
      </w:r>
      <w:r w:rsidR="563B0AEE" w:rsidRPr="000B5CEA">
        <w:t xml:space="preserve">refers to a patient who has a </w:t>
      </w:r>
      <w:r w:rsidR="2773C060" w:rsidRPr="000B5CEA">
        <w:t>clinical circumstance outside the range of the normal population</w:t>
      </w:r>
      <w:r w:rsidR="610C1803" w:rsidRPr="000B5CEA">
        <w:t xml:space="preserve"> of patients with the same medical condition and stage of progression</w:t>
      </w:r>
      <w:r w:rsidR="63985F40" w:rsidRPr="000B5CEA">
        <w:t xml:space="preserve"> or who may benefit more than</w:t>
      </w:r>
      <w:r w:rsidR="46B3AACB" w:rsidRPr="000B5CEA">
        <w:t xml:space="preserve"> other patients from the proposed treatment</w:t>
      </w:r>
      <w:r w:rsidR="610C1803" w:rsidRPr="000B5CEA">
        <w:t>.</w:t>
      </w:r>
    </w:p>
    <w:p w14:paraId="41DEA924" w14:textId="77777777" w:rsidR="00F40D75" w:rsidRPr="00F40D75" w:rsidRDefault="00F40D75" w:rsidP="00F40D75">
      <w:pPr>
        <w:pStyle w:val="Heading2"/>
      </w:pPr>
      <w:bookmarkStart w:id="8" w:name="_Toc108099465"/>
      <w:bookmarkStart w:id="9" w:name="_Toc155687878"/>
      <w:r w:rsidRPr="00F40D75">
        <w:t>Roles and Responsibilities</w:t>
      </w:r>
      <w:bookmarkEnd w:id="8"/>
      <w:bookmarkEnd w:id="9"/>
    </w:p>
    <w:p w14:paraId="160B9037" w14:textId="17A0A4D1" w:rsidR="00F40D75" w:rsidRPr="00F40D75" w:rsidRDefault="00F40D75" w:rsidP="00FB0D7A">
      <w:pPr>
        <w:pStyle w:val="Heading3"/>
      </w:pPr>
      <w:bookmarkStart w:id="10" w:name="_Toc155687879"/>
      <w:r w:rsidRPr="00F40D75">
        <w:t>Integrated Care Board</w:t>
      </w:r>
      <w:r w:rsidR="008252C1">
        <w:t xml:space="preserve"> (“the Board”)</w:t>
      </w:r>
      <w:bookmarkEnd w:id="10"/>
    </w:p>
    <w:p w14:paraId="54A8420E" w14:textId="642FAE55" w:rsidR="00F40D75" w:rsidRDefault="008252C1" w:rsidP="00F40D75">
      <w:pPr>
        <w:pStyle w:val="Style2"/>
      </w:pPr>
      <w:r>
        <w:t xml:space="preserve">The Board retains overarching </w:t>
      </w:r>
      <w:r w:rsidR="007C6A90">
        <w:t xml:space="preserve">accountability for the commissioning decisions of the ICB, in </w:t>
      </w:r>
      <w:r w:rsidR="00503018">
        <w:t>particular those for restricting service</w:t>
      </w:r>
      <w:r w:rsidR="00C81927">
        <w:t xml:space="preserve">s.  The Board delegates </w:t>
      </w:r>
      <w:r w:rsidR="00C60E59">
        <w:t xml:space="preserve">responsibility </w:t>
      </w:r>
      <w:r w:rsidR="00C81927">
        <w:t>(through the scheme of reservation and delegation</w:t>
      </w:r>
      <w:r w:rsidR="008A18C2">
        <w:t xml:space="preserve"> (SORD)</w:t>
      </w:r>
      <w:r w:rsidR="00C81927">
        <w:t xml:space="preserve">) </w:t>
      </w:r>
      <w:r w:rsidR="00370B31">
        <w:t xml:space="preserve">for managing service restriction to the ICB Medical Director, who </w:t>
      </w:r>
      <w:proofErr w:type="gramStart"/>
      <w:r w:rsidR="00370B31">
        <w:t>is able to</w:t>
      </w:r>
      <w:proofErr w:type="gramEnd"/>
      <w:r w:rsidR="00370B31">
        <w:t xml:space="preserve"> approve </w:t>
      </w:r>
      <w:r w:rsidR="00EF1445">
        <w:t xml:space="preserve">(through the Executive Team) </w:t>
      </w:r>
      <w:r w:rsidR="00B30ECD">
        <w:t>certain changes without recourse to the Board.</w:t>
      </w:r>
    </w:p>
    <w:p w14:paraId="5A671BFF" w14:textId="6CE469C0" w:rsidR="00493305" w:rsidRPr="00F40D75" w:rsidRDefault="3B7F5447" w:rsidP="00F40D75">
      <w:pPr>
        <w:pStyle w:val="Style2"/>
      </w:pPr>
      <w:r>
        <w:t>The Board</w:t>
      </w:r>
      <w:r w:rsidR="5EEAD74B">
        <w:t>,</w:t>
      </w:r>
      <w:r>
        <w:t xml:space="preserve"> however, reserves</w:t>
      </w:r>
      <w:r w:rsidR="36617AFE">
        <w:t xml:space="preserve"> authority to approve changes in service restriction where </w:t>
      </w:r>
      <w:r w:rsidR="385BF385">
        <w:t xml:space="preserve">they are considered </w:t>
      </w:r>
      <w:r w:rsidR="0D8D91C1">
        <w:t xml:space="preserve">(one or more of) </w:t>
      </w:r>
      <w:r w:rsidR="385BF385">
        <w:t xml:space="preserve">significant, complex, controversial and cross-cutting and have a </w:t>
      </w:r>
      <w:r w:rsidR="665C29F5">
        <w:t>financial impact congruent with the levels set out within the SORD.</w:t>
      </w:r>
      <w:r w:rsidR="385BF385">
        <w:t xml:space="preserve"> </w:t>
      </w:r>
    </w:p>
    <w:p w14:paraId="55FAF624" w14:textId="09F09BB4" w:rsidR="00F40D75" w:rsidRPr="00F40D75" w:rsidRDefault="00B30ECD" w:rsidP="00FB0D7A">
      <w:pPr>
        <w:pStyle w:val="Heading3"/>
      </w:pPr>
      <w:bookmarkStart w:id="11" w:name="_Toc155687880"/>
      <w:r>
        <w:lastRenderedPageBreak/>
        <w:t>Audit</w:t>
      </w:r>
      <w:r w:rsidR="00F40D75" w:rsidRPr="00F40D75">
        <w:t xml:space="preserve"> Committee</w:t>
      </w:r>
      <w:bookmarkEnd w:id="11"/>
    </w:p>
    <w:p w14:paraId="17C1A1DD" w14:textId="62D6453B" w:rsidR="00F40D75" w:rsidRPr="00F40D75" w:rsidRDefault="00800764" w:rsidP="00F40D75">
      <w:pPr>
        <w:pStyle w:val="Style2"/>
      </w:pPr>
      <w:r>
        <w:t>The Audit Committee is the sponsoring committee for this policy</w:t>
      </w:r>
      <w:r w:rsidR="00E0125C">
        <w:t xml:space="preserve"> on the basis that it sets out the governance process to be followed for commissioning decisions</w:t>
      </w:r>
      <w:r w:rsidR="00F40D75" w:rsidRPr="00F40D75">
        <w:t>.</w:t>
      </w:r>
      <w:r w:rsidR="009B5B04">
        <w:t xml:space="preserve"> It is not the responsibility of the Audit Committee to make decisions on any given service restriction, but just to ensure that there is appropriate governance over how those decisions are made.</w:t>
      </w:r>
    </w:p>
    <w:p w14:paraId="7A6B6C81" w14:textId="5AE74CBF" w:rsidR="00F40D75" w:rsidRPr="00F40D75" w:rsidRDefault="00B30ECD" w:rsidP="00FB0D7A">
      <w:pPr>
        <w:pStyle w:val="Heading3"/>
      </w:pPr>
      <w:bookmarkStart w:id="12" w:name="_Toc155687881"/>
      <w:r>
        <w:t>Clinical and Multi-professional</w:t>
      </w:r>
      <w:r w:rsidR="00986C01">
        <w:t xml:space="preserve"> Congress</w:t>
      </w:r>
      <w:r w:rsidR="00F40D75" w:rsidRPr="00F40D75">
        <w:t xml:space="preserve"> </w:t>
      </w:r>
      <w:r w:rsidR="00E0125C">
        <w:t>(“the Congress”)</w:t>
      </w:r>
      <w:bookmarkEnd w:id="12"/>
    </w:p>
    <w:p w14:paraId="062E8D2C" w14:textId="4D075076" w:rsidR="00F40D75" w:rsidRDefault="00E0125C" w:rsidP="00F40D75">
      <w:pPr>
        <w:pStyle w:val="Style2"/>
      </w:pPr>
      <w:r>
        <w:t>The Congress</w:t>
      </w:r>
      <w:r w:rsidR="00DC0A6F">
        <w:t xml:space="preserve"> is responsible for providing assurance to the Board that case</w:t>
      </w:r>
      <w:r w:rsidR="007078B6">
        <w:t>s</w:t>
      </w:r>
      <w:r w:rsidR="00DC0A6F">
        <w:t xml:space="preserve"> of a complex, controversial and cross-cutting nature</w:t>
      </w:r>
      <w:r w:rsidR="00AD7C44">
        <w:t xml:space="preserve"> have been reviewed and endorsed by appropriate clinical experts</w:t>
      </w:r>
      <w:r w:rsidR="00B61390">
        <w:t xml:space="preserve"> prior to</w:t>
      </w:r>
      <w:r w:rsidR="00D12C14">
        <w:t xml:space="preserve"> being presented to an appropriate Committee / Board for approval</w:t>
      </w:r>
      <w:r w:rsidR="005C3E1B">
        <w:t>.</w:t>
      </w:r>
    </w:p>
    <w:p w14:paraId="0F4B5D46" w14:textId="518D1BB5" w:rsidR="005C3E1B" w:rsidRPr="00F40D75" w:rsidRDefault="005C3E1B" w:rsidP="00F40D75">
      <w:pPr>
        <w:pStyle w:val="Style2"/>
      </w:pPr>
      <w:r>
        <w:t xml:space="preserve">The Congress will ensure that decisions are clinically sound and </w:t>
      </w:r>
      <w:r w:rsidR="00501FE2">
        <w:t>based on evidence from an appropriate authority</w:t>
      </w:r>
      <w:r w:rsidR="001246E2">
        <w:t>, as well as ensuring that the outcome of any equality and health inequality impact assessments</w:t>
      </w:r>
      <w:r w:rsidR="00CB4ACF">
        <w:t xml:space="preserve"> are clinically sound.</w:t>
      </w:r>
    </w:p>
    <w:p w14:paraId="6129E542" w14:textId="040B9491" w:rsidR="0081318F" w:rsidRPr="00F40D75" w:rsidRDefault="0081318F" w:rsidP="00FB0D7A">
      <w:pPr>
        <w:pStyle w:val="Heading3"/>
      </w:pPr>
      <w:bookmarkStart w:id="13" w:name="_Toc155687882"/>
      <w:r>
        <w:t>Sponsoring Clinical Committee</w:t>
      </w:r>
      <w:r w:rsidR="00C83D50">
        <w:t xml:space="preserve"> / Stewardship Groups</w:t>
      </w:r>
      <w:bookmarkEnd w:id="13"/>
    </w:p>
    <w:p w14:paraId="1F4D0D50" w14:textId="3007AA5A" w:rsidR="0081318F" w:rsidRDefault="00147221" w:rsidP="0081318F">
      <w:pPr>
        <w:pStyle w:val="Style2"/>
      </w:pPr>
      <w:r>
        <w:t>Restriction to services or any change to commissioning decisions must be</w:t>
      </w:r>
      <w:r w:rsidR="00C83D50">
        <w:t xml:space="preserve"> grounded in clinical expertise</w:t>
      </w:r>
      <w:r w:rsidR="0081318F" w:rsidRPr="00F40D75">
        <w:t>.</w:t>
      </w:r>
      <w:r w:rsidR="008A53BB">
        <w:t xml:space="preserve">  Sponsoring committees include groups formed of clinical experts</w:t>
      </w:r>
      <w:r w:rsidR="00194A33">
        <w:t xml:space="preserve"> </w:t>
      </w:r>
      <w:proofErr w:type="gramStart"/>
      <w:r w:rsidR="00194A33">
        <w:t>in a given</w:t>
      </w:r>
      <w:proofErr w:type="gramEnd"/>
      <w:r w:rsidR="00194A33">
        <w:t xml:space="preserve"> specialty.  This may include stewardship groups</w:t>
      </w:r>
      <w:r w:rsidR="00F00FD8">
        <w:t>.</w:t>
      </w:r>
    </w:p>
    <w:p w14:paraId="1175CC03" w14:textId="7B50138F" w:rsidR="00F00FD8" w:rsidRPr="00F40D75" w:rsidRDefault="006C12E4" w:rsidP="0081318F">
      <w:pPr>
        <w:pStyle w:val="Style2"/>
      </w:pPr>
      <w:r>
        <w:t>The role of the sponsoring committee / stewardship group is to ensure that any suggested change to commissioning policy or service restriction</w:t>
      </w:r>
      <w:r w:rsidR="006C57AA">
        <w:t xml:space="preserve"> is presented by clinical experts in their field</w:t>
      </w:r>
      <w:r w:rsidR="003357C9">
        <w:t xml:space="preserve"> who understand the implications of the change </w:t>
      </w:r>
      <w:r w:rsidR="0088706A">
        <w:t>and rationale for change that may have resulted from research and clinical guidance (e.g. from the National Institute for Clinical Excellence, NICE).</w:t>
      </w:r>
    </w:p>
    <w:p w14:paraId="0D3F4A4A" w14:textId="4ACB5513" w:rsidR="00DE3EA0" w:rsidRPr="00F40D75" w:rsidRDefault="007946F0" w:rsidP="00FB0D7A">
      <w:pPr>
        <w:pStyle w:val="Heading3"/>
      </w:pPr>
      <w:bookmarkStart w:id="14" w:name="_Toc155687883"/>
      <w:r>
        <w:t>Equalit</w:t>
      </w:r>
      <w:r w:rsidR="00B43DBA">
        <w:t>y and Diversity Impact Assessment</w:t>
      </w:r>
      <w:r>
        <w:t xml:space="preserve"> Panel</w:t>
      </w:r>
      <w:bookmarkEnd w:id="14"/>
    </w:p>
    <w:p w14:paraId="3AC393D9" w14:textId="1B71A716" w:rsidR="00B43DBA" w:rsidRPr="00B43DBA" w:rsidRDefault="00B43DBA" w:rsidP="00986C01">
      <w:pPr>
        <w:pStyle w:val="Style1"/>
        <w:rPr>
          <w:rFonts w:asciiTheme="minorHAnsi" w:eastAsiaTheme="minorHAnsi" w:hAnsiTheme="minorHAnsi" w:cstheme="minorBidi"/>
        </w:rPr>
      </w:pPr>
      <w:r w:rsidRPr="00B43DBA">
        <w:rPr>
          <w:rFonts w:asciiTheme="minorHAnsi" w:eastAsiaTheme="minorHAnsi" w:hAnsiTheme="minorHAnsi" w:cstheme="minorBidi"/>
        </w:rPr>
        <w:t>The Equality &amp; Diversity Impact Assessment Panel is responsible for review and approval of impact assessments and consequently oversight of the impact of EDI work within the ICB</w:t>
      </w:r>
      <w:r w:rsidR="00A27A05">
        <w:rPr>
          <w:rFonts w:asciiTheme="minorHAnsi" w:eastAsiaTheme="minorHAnsi" w:hAnsiTheme="minorHAnsi" w:cstheme="minorBidi"/>
        </w:rPr>
        <w:t>, including the impact of changes to commissioning decisions / service restriction.</w:t>
      </w:r>
    </w:p>
    <w:p w14:paraId="67F651F8" w14:textId="3BBF73A0" w:rsidR="00986C01" w:rsidRPr="00F40D75" w:rsidRDefault="00986C01" w:rsidP="00FB0D7A">
      <w:pPr>
        <w:pStyle w:val="Heading3"/>
      </w:pPr>
      <w:bookmarkStart w:id="15" w:name="_Toc155687884"/>
      <w:r>
        <w:t>ICB Ex</w:t>
      </w:r>
      <w:r w:rsidR="00A25465">
        <w:t>ecutive Team</w:t>
      </w:r>
      <w:bookmarkEnd w:id="15"/>
      <w:r w:rsidRPr="00F40D75">
        <w:t xml:space="preserve"> </w:t>
      </w:r>
    </w:p>
    <w:p w14:paraId="6FB396C5" w14:textId="275ABB9B" w:rsidR="00986C01" w:rsidRPr="00F40D75" w:rsidRDefault="00D967F6" w:rsidP="00986C01">
      <w:pPr>
        <w:pStyle w:val="Style2"/>
      </w:pPr>
      <w:r>
        <w:t>The ICB Executive Team</w:t>
      </w:r>
      <w:r w:rsidR="00EF1445">
        <w:t xml:space="preserve"> is responsible for receiving recommendations from the Executive Medical Director</w:t>
      </w:r>
      <w:r w:rsidR="005F2589">
        <w:t xml:space="preserve"> and approving changes to commissioning policy and the restriction of services where </w:t>
      </w:r>
      <w:r w:rsidR="004B1B88">
        <w:t xml:space="preserve">they are considered </w:t>
      </w:r>
      <w:r w:rsidR="005F2589">
        <w:t xml:space="preserve">a ‘minor’ </w:t>
      </w:r>
      <w:r w:rsidR="004B1B88">
        <w:t>change.  This means the change is based on clinical guidance, is supported by appropriate clinical experts and does not have a significant impact on service</w:t>
      </w:r>
      <w:r w:rsidR="00F90C82">
        <w:t>s o</w:t>
      </w:r>
      <w:r w:rsidR="002A2630">
        <w:t>r financial resources</w:t>
      </w:r>
      <w:r w:rsidR="00F90C82">
        <w:t>.</w:t>
      </w:r>
    </w:p>
    <w:p w14:paraId="42EA91A6" w14:textId="77777777" w:rsidR="00F40D75" w:rsidRPr="00F40D75" w:rsidRDefault="00F40D75" w:rsidP="00FB0D7A">
      <w:pPr>
        <w:pStyle w:val="Heading3"/>
      </w:pPr>
      <w:bookmarkStart w:id="16" w:name="_Toc155687885"/>
      <w:r w:rsidRPr="00F40D75">
        <w:lastRenderedPageBreak/>
        <w:t>Chief Executive</w:t>
      </w:r>
      <w:bookmarkEnd w:id="16"/>
    </w:p>
    <w:p w14:paraId="3BE25DC7" w14:textId="615C3E9F" w:rsidR="00F40D75" w:rsidRPr="00F40D75" w:rsidRDefault="002A2630" w:rsidP="00F40D75">
      <w:pPr>
        <w:pStyle w:val="Style2"/>
      </w:pPr>
      <w:r>
        <w:t>T</w:t>
      </w:r>
      <w:r w:rsidR="00F40D75" w:rsidRPr="00F40D75">
        <w:t>he Chief Executive is accountable for</w:t>
      </w:r>
      <w:r w:rsidR="00036C5B">
        <w:t xml:space="preserve"> changes in commissioning decisions </w:t>
      </w:r>
      <w:r w:rsidR="00CE6E78">
        <w:t>that are approved other than by the Board and is responsible for</w:t>
      </w:r>
      <w:r w:rsidR="008627BD">
        <w:t xml:space="preserve"> ensuring adequate</w:t>
      </w:r>
      <w:r w:rsidR="0002268F">
        <w:t xml:space="preserve"> processes exist to govern decision making</w:t>
      </w:r>
      <w:r w:rsidR="00F40D75" w:rsidRPr="00F40D75">
        <w:t>.</w:t>
      </w:r>
    </w:p>
    <w:p w14:paraId="76347847" w14:textId="69B35CC1" w:rsidR="00F40D75" w:rsidRPr="00F40D75" w:rsidRDefault="00F25D3B" w:rsidP="00FB0D7A">
      <w:pPr>
        <w:pStyle w:val="Heading3"/>
      </w:pPr>
      <w:bookmarkStart w:id="17" w:name="_Toc155687886"/>
      <w:r>
        <w:t xml:space="preserve">Executive </w:t>
      </w:r>
      <w:r w:rsidR="00B30ECD">
        <w:t xml:space="preserve">Medical </w:t>
      </w:r>
      <w:r w:rsidR="00F40D75" w:rsidRPr="00F40D75">
        <w:t>Director</w:t>
      </w:r>
      <w:bookmarkEnd w:id="17"/>
      <w:r w:rsidR="00F40D75" w:rsidRPr="00F40D75">
        <w:t xml:space="preserve"> </w:t>
      </w:r>
    </w:p>
    <w:p w14:paraId="55F72597" w14:textId="7FF4E765" w:rsidR="00F40D75" w:rsidRPr="00F40D75" w:rsidRDefault="00E1124D" w:rsidP="00F40D75">
      <w:pPr>
        <w:pStyle w:val="Style2"/>
      </w:pPr>
      <w:r>
        <w:t>The Executive Medical Director is responsible</w:t>
      </w:r>
      <w:r w:rsidR="00FF7F26">
        <w:t xml:space="preserve"> for ensuring that this policy has been followed when presenting commissioning / service restriction decisions to the Executive Team</w:t>
      </w:r>
      <w:r w:rsidR="00917D57">
        <w:t>, Congress and Board</w:t>
      </w:r>
      <w:r w:rsidR="00F40D75" w:rsidRPr="00F40D75">
        <w:t>.</w:t>
      </w:r>
    </w:p>
    <w:p w14:paraId="0F36F795" w14:textId="7978C757" w:rsidR="00737B7F" w:rsidRPr="00F40D75" w:rsidRDefault="00737B7F" w:rsidP="00FB0D7A">
      <w:pPr>
        <w:pStyle w:val="Heading3"/>
      </w:pPr>
      <w:bookmarkStart w:id="18" w:name="_Toc155687887"/>
      <w:r>
        <w:t>Public Health</w:t>
      </w:r>
      <w:bookmarkEnd w:id="18"/>
    </w:p>
    <w:p w14:paraId="4AC4D5DC" w14:textId="69AA3040" w:rsidR="00737B7F" w:rsidRDefault="00E4305C" w:rsidP="00737B7F">
      <w:pPr>
        <w:pStyle w:val="Style2"/>
      </w:pPr>
      <w:r>
        <w:t>All proposed changes to commissioning policy / service restriction must be assessed by t</w:t>
      </w:r>
      <w:r w:rsidR="003F53C4">
        <w:t xml:space="preserve">he Public Health representative </w:t>
      </w:r>
      <w:r w:rsidR="00627E2F">
        <w:t>as part of the Equality and Diversity Impact Assessment Panel</w:t>
      </w:r>
      <w:r w:rsidR="00737B7F" w:rsidRPr="00F40D75">
        <w:t>.</w:t>
      </w:r>
    </w:p>
    <w:p w14:paraId="3420F49D" w14:textId="78949F33" w:rsidR="00627E2F" w:rsidRPr="00F40D75" w:rsidRDefault="00627E2F" w:rsidP="00737B7F">
      <w:pPr>
        <w:pStyle w:val="Style2"/>
      </w:pPr>
      <w:r>
        <w:t xml:space="preserve">The Public Health representative will also provide invaluable expertise </w:t>
      </w:r>
      <w:r w:rsidR="00572229">
        <w:t>in relation to health needs, demography and decision making.</w:t>
      </w:r>
    </w:p>
    <w:p w14:paraId="25A181D1" w14:textId="109EBF28" w:rsidR="00737B7F" w:rsidRPr="00F40D75" w:rsidRDefault="00737B7F" w:rsidP="00FB0D7A">
      <w:pPr>
        <w:pStyle w:val="Heading3"/>
      </w:pPr>
      <w:bookmarkStart w:id="19" w:name="_Toc155687888"/>
      <w:r w:rsidRPr="00F40D75">
        <w:t xml:space="preserve">Director </w:t>
      </w:r>
      <w:r w:rsidR="003A2222">
        <w:t>of</w:t>
      </w:r>
      <w:r w:rsidR="00664932">
        <w:t xml:space="preserve"> Pharmacy and Medicines Optimisation</w:t>
      </w:r>
      <w:bookmarkEnd w:id="19"/>
    </w:p>
    <w:p w14:paraId="5A74A360" w14:textId="77777777" w:rsidR="005A509A" w:rsidRDefault="00572229" w:rsidP="00737B7F">
      <w:pPr>
        <w:pStyle w:val="Style2"/>
      </w:pPr>
      <w:r>
        <w:t>All proposed changes to commissioning policy / service restriction must be assessed by the Director of Pharmacy and Medicines Optimisation</w:t>
      </w:r>
      <w:r w:rsidR="005A509A">
        <w:t xml:space="preserve"> as part of the Equality and Diversity Impact Assessment Panel.</w:t>
      </w:r>
    </w:p>
    <w:p w14:paraId="3FFDF163" w14:textId="03CC6A3D" w:rsidR="00737B7F" w:rsidRDefault="005A509A" w:rsidP="00737B7F">
      <w:pPr>
        <w:pStyle w:val="Style2"/>
      </w:pPr>
      <w:r>
        <w:t>The Director of Pharmacy and Medicines Optimisation will also provide invaluable expertise in relation to interpretation of NICE guidance</w:t>
      </w:r>
      <w:r w:rsidR="00A159D7">
        <w:t xml:space="preserve"> in decision making</w:t>
      </w:r>
      <w:r w:rsidR="00737B7F" w:rsidRPr="00F40D75">
        <w:t>.</w:t>
      </w:r>
    </w:p>
    <w:p w14:paraId="2DE1BB51" w14:textId="1FD86EF7" w:rsidR="00A159D7" w:rsidRPr="00D74D74" w:rsidRDefault="5138DD5D" w:rsidP="00737B7F">
      <w:pPr>
        <w:pStyle w:val="Style2"/>
      </w:pPr>
      <w:r>
        <w:t xml:space="preserve">The Director of </w:t>
      </w:r>
      <w:r w:rsidRPr="00D74D74">
        <w:t>Pharmacy and Medicines Optimisation is also responsible for establishing arrangements for decision making for medicines</w:t>
      </w:r>
      <w:r w:rsidR="6B065FB1" w:rsidRPr="00D74D74">
        <w:t xml:space="preserve"> and medicines related devices</w:t>
      </w:r>
      <w:r w:rsidRPr="00D74D74">
        <w:t xml:space="preserve">, </w:t>
      </w:r>
      <w:r w:rsidR="71938F74" w:rsidRPr="00D74D74">
        <w:t xml:space="preserve">which will be in line with the Medicines </w:t>
      </w:r>
      <w:r w:rsidR="694D59B1" w:rsidRPr="00D74D74">
        <w:t xml:space="preserve">and Medicines Related Devices </w:t>
      </w:r>
      <w:r w:rsidR="09FAE719" w:rsidRPr="00D74D74">
        <w:t>Commissioning</w:t>
      </w:r>
      <w:r w:rsidR="694D59B1" w:rsidRPr="00D74D74">
        <w:t xml:space="preserve"> </w:t>
      </w:r>
      <w:r w:rsidR="71938F74" w:rsidRPr="00D74D74">
        <w:t xml:space="preserve">policy </w:t>
      </w:r>
      <w:r w:rsidR="207FB122" w:rsidRPr="00D74D74">
        <w:t>but</w:t>
      </w:r>
      <w:r w:rsidR="7E9D2479" w:rsidRPr="00D74D74">
        <w:t xml:space="preserve"> outside the </w:t>
      </w:r>
      <w:r w:rsidR="27EBF650" w:rsidRPr="00D74D74">
        <w:t xml:space="preserve">arrangements detailed in </w:t>
      </w:r>
      <w:r w:rsidR="7E9D2479" w:rsidRPr="00D74D74">
        <w:t>this policy.</w:t>
      </w:r>
      <w:r w:rsidR="7AF56E42" w:rsidRPr="00D74D74">
        <w:t xml:space="preserve"> (see appendix</w:t>
      </w:r>
      <w:r w:rsidR="00D74D74" w:rsidRPr="00D74D74">
        <w:t xml:space="preserve"> B</w:t>
      </w:r>
      <w:r w:rsidR="7AF56E42" w:rsidRPr="00D74D74">
        <w:t>)</w:t>
      </w:r>
      <w:r w:rsidR="00D74D74" w:rsidRPr="00D74D74">
        <w:t>.</w:t>
      </w:r>
    </w:p>
    <w:p w14:paraId="0569FDFB" w14:textId="77777777" w:rsidR="00F40D75" w:rsidRPr="00F40D75" w:rsidRDefault="00F40D75" w:rsidP="00FB0D7A">
      <w:pPr>
        <w:pStyle w:val="Heading3"/>
      </w:pPr>
      <w:bookmarkStart w:id="20" w:name="_Toc155687889"/>
      <w:r w:rsidRPr="00F40D75">
        <w:t>Policy Authors</w:t>
      </w:r>
      <w:bookmarkEnd w:id="20"/>
    </w:p>
    <w:p w14:paraId="4E413DC8" w14:textId="3F9AB482" w:rsidR="00F40D75" w:rsidRPr="00F40D75" w:rsidRDefault="006D4218" w:rsidP="00F40D75">
      <w:pPr>
        <w:pStyle w:val="Style2"/>
      </w:pPr>
      <w:r>
        <w:t xml:space="preserve">The Associate Director of Corporate Services, Director of Pharmacy and Medicines Optimisation, Public Health </w:t>
      </w:r>
      <w:r w:rsidR="00916CC2">
        <w:t>Consultant and Deputy Medical Director are responsible for updating the policy</w:t>
      </w:r>
      <w:r w:rsidR="00CE238E">
        <w:t xml:space="preserve"> as required</w:t>
      </w:r>
      <w:r w:rsidR="00F40D75" w:rsidRPr="00F40D75">
        <w:t>.</w:t>
      </w:r>
      <w:bookmarkStart w:id="21" w:name="_Toc84611053"/>
    </w:p>
    <w:p w14:paraId="5DEFB243" w14:textId="77777777" w:rsidR="00F40D75" w:rsidRPr="00F40D75" w:rsidRDefault="00F40D75" w:rsidP="00FB0D7A">
      <w:pPr>
        <w:pStyle w:val="Heading3"/>
      </w:pPr>
      <w:bookmarkStart w:id="22" w:name="_Toc155687890"/>
      <w:bookmarkEnd w:id="21"/>
      <w:r w:rsidRPr="00F40D75">
        <w:t>Line Managers</w:t>
      </w:r>
      <w:bookmarkEnd w:id="22"/>
      <w:r w:rsidRPr="00F40D75">
        <w:t xml:space="preserve"> </w:t>
      </w:r>
    </w:p>
    <w:p w14:paraId="4F968C01" w14:textId="1E05F429" w:rsidR="00F40D75" w:rsidRPr="00F40D75" w:rsidRDefault="00CE238E" w:rsidP="00F40D75">
      <w:pPr>
        <w:pStyle w:val="Style2"/>
      </w:pPr>
      <w:r>
        <w:t>Line managers must ensure that staff are aware of and follow this policy</w:t>
      </w:r>
      <w:r w:rsidR="00F40D75" w:rsidRPr="00F40D75">
        <w:t>.</w:t>
      </w:r>
    </w:p>
    <w:p w14:paraId="5D85F022" w14:textId="77777777" w:rsidR="00F40D75" w:rsidRPr="00F40D75" w:rsidRDefault="00F40D75" w:rsidP="00FB0D7A">
      <w:pPr>
        <w:pStyle w:val="Heading3"/>
      </w:pPr>
      <w:bookmarkStart w:id="23" w:name="_Toc155687891"/>
      <w:r w:rsidRPr="00F40D75">
        <w:lastRenderedPageBreak/>
        <w:t>All Staff</w:t>
      </w:r>
      <w:bookmarkEnd w:id="23"/>
    </w:p>
    <w:p w14:paraId="765A2629" w14:textId="7F45B0BD" w:rsidR="00F40D75" w:rsidRPr="00F40D75" w:rsidRDefault="00CE238E" w:rsidP="00F40D75">
      <w:pPr>
        <w:pStyle w:val="Style1"/>
      </w:pPr>
      <w:r>
        <w:t>All staff must be conversant with this policy and ensure that it is implemented and taken account of in their daily operations or interactions with Providers</w:t>
      </w:r>
      <w:r w:rsidR="00F40D75" w:rsidRPr="00F40D75">
        <w:t>.</w:t>
      </w:r>
    </w:p>
    <w:p w14:paraId="7B76DC9D" w14:textId="77777777" w:rsidR="00F40D75" w:rsidRPr="00F40D75" w:rsidRDefault="00F40D75" w:rsidP="00F40D75">
      <w:pPr>
        <w:pStyle w:val="Heading2"/>
      </w:pPr>
      <w:bookmarkStart w:id="24" w:name="_Toc108099466"/>
      <w:bookmarkStart w:id="25" w:name="_Toc155687892"/>
      <w:r w:rsidRPr="00F40D75">
        <w:t>Policy Detail</w:t>
      </w:r>
      <w:bookmarkEnd w:id="24"/>
      <w:bookmarkEnd w:id="25"/>
    </w:p>
    <w:p w14:paraId="4897E21F" w14:textId="77777777" w:rsidR="007F2732" w:rsidRDefault="007F2732" w:rsidP="00FB0D7A">
      <w:pPr>
        <w:pStyle w:val="Heading3"/>
      </w:pPr>
      <w:bookmarkStart w:id="26" w:name="_Toc155687893"/>
      <w:r>
        <w:t>Governing Commissioning / Service Restriction Decisions</w:t>
      </w:r>
      <w:bookmarkEnd w:id="26"/>
    </w:p>
    <w:p w14:paraId="48718B57" w14:textId="08143F8D" w:rsidR="007F2732" w:rsidRDefault="00AF5E3B" w:rsidP="007F2732">
      <w:pPr>
        <w:pStyle w:val="Style2"/>
      </w:pPr>
      <w:r>
        <w:t>The ICB Decision Making Policy must be followed</w:t>
      </w:r>
      <w:r w:rsidR="00181364">
        <w:t xml:space="preserve"> when making commissioning / service restriction decisions.  Thresholds set out within the SORD apply to all decisions and therefore</w:t>
      </w:r>
      <w:r w:rsidR="00AF31FA">
        <w:t xml:space="preserve"> approval routes set out within the </w:t>
      </w:r>
      <w:r w:rsidR="00773CD8">
        <w:t>Decision-Making</w:t>
      </w:r>
      <w:r w:rsidR="00AF31FA">
        <w:t xml:space="preserve"> Policy and SORD must be followed.  However, </w:t>
      </w:r>
      <w:r w:rsidR="00C54760">
        <w:t>there may be circumstances where the Board reserve the power to approve a decision because of its complexity</w:t>
      </w:r>
      <w:r w:rsidR="005C4B75">
        <w:t xml:space="preserve"> or impact, regardless of the level of resources required.</w:t>
      </w:r>
    </w:p>
    <w:p w14:paraId="4484F5D5" w14:textId="2C1C80D7" w:rsidR="00F11229" w:rsidRDefault="005C4B75" w:rsidP="007F2732">
      <w:pPr>
        <w:pStyle w:val="Style2"/>
      </w:pPr>
      <w:r>
        <w:t>In principle</w:t>
      </w:r>
      <w:r w:rsidR="001D1E62">
        <w:t>, all proposals for changes to commissioning policy / service restriction</w:t>
      </w:r>
      <w:r w:rsidR="0042664F">
        <w:t xml:space="preserve"> must be presented from a sponsoring clinical committee</w:t>
      </w:r>
      <w:r w:rsidR="0078017E">
        <w:t xml:space="preserve"> and be assessed by the Equality and Diversity Impact Assessment Panel</w:t>
      </w:r>
      <w:r w:rsidR="00F11229">
        <w:t xml:space="preserve"> in the first instance.</w:t>
      </w:r>
      <w:r w:rsidR="00627F93">
        <w:t xml:space="preserve"> </w:t>
      </w:r>
    </w:p>
    <w:p w14:paraId="4810D76C" w14:textId="4738F677" w:rsidR="005C4B75" w:rsidRDefault="5394CE5F" w:rsidP="007F2732">
      <w:pPr>
        <w:pStyle w:val="Style2"/>
      </w:pPr>
      <w:r>
        <w:t>Where proposed changes are minor and have</w:t>
      </w:r>
      <w:r w:rsidR="007D3B7B">
        <w:t xml:space="preserve"> either a neutral or budgeted impact less than the defined level of</w:t>
      </w:r>
      <w:r>
        <w:t xml:space="preserve"> </w:t>
      </w:r>
      <w:r w:rsidR="007D3B7B">
        <w:t xml:space="preserve">authority within the Scheme of Reservation and Delegation for an Executive Director, </w:t>
      </w:r>
      <w:r>
        <w:t>this will be presented</w:t>
      </w:r>
      <w:r w:rsidR="0C1DE2AA">
        <w:t xml:space="preserve"> to the Executive Team for approval, b</w:t>
      </w:r>
      <w:r w:rsidR="5DD2D7AE">
        <w:t>y</w:t>
      </w:r>
      <w:r w:rsidR="0C1DE2AA">
        <w:t xml:space="preserve"> the Executive Medical Director.</w:t>
      </w:r>
      <w:r w:rsidR="7EE23B68">
        <w:t xml:space="preserve"> </w:t>
      </w:r>
    </w:p>
    <w:p w14:paraId="66FCE2F1" w14:textId="52D94C0C" w:rsidR="007A4D80" w:rsidRDefault="007A4D80" w:rsidP="007F2732">
      <w:pPr>
        <w:pStyle w:val="Style2"/>
      </w:pPr>
      <w:r>
        <w:t>Complex, controversial or cross-cutting (e.g. impact on system partners) will be reviewed by the Congress</w:t>
      </w:r>
      <w:r w:rsidR="00B93799">
        <w:t xml:space="preserve"> before progressing through ICB decision making</w:t>
      </w:r>
      <w:r w:rsidR="007A48B9">
        <w:t>,</w:t>
      </w:r>
      <w:r w:rsidR="007A48B9" w:rsidRPr="007A48B9">
        <w:t xml:space="preserve"> </w:t>
      </w:r>
      <w:r w:rsidR="007A48B9">
        <w:t>but all cases will be reviewed by an appropriate clinical group</w:t>
      </w:r>
      <w:r w:rsidR="00B93799">
        <w:t>.</w:t>
      </w:r>
    </w:p>
    <w:p w14:paraId="07A9F5F5" w14:textId="4CBA55E9" w:rsidR="00B93799" w:rsidRDefault="00B93799" w:rsidP="007F2732">
      <w:pPr>
        <w:pStyle w:val="Style2"/>
      </w:pPr>
      <w:r>
        <w:t>Significant changes and those requiring financial</w:t>
      </w:r>
      <w:r w:rsidR="00C42D17">
        <w:t xml:space="preserve"> contribution will require a business case to be completed, as per the </w:t>
      </w:r>
      <w:r w:rsidR="00B30C72">
        <w:t>Decision-Making</w:t>
      </w:r>
      <w:r w:rsidR="00C42D17">
        <w:t xml:space="preserve"> Policy</w:t>
      </w:r>
      <w:r w:rsidR="00943B65">
        <w:t>, and then according to their complexity and financial value will be presented to the Finance &amp; Investment Committee and Board (refer to SORD for threshol</w:t>
      </w:r>
      <w:r w:rsidR="00C235D8">
        <w:t>ds).</w:t>
      </w:r>
    </w:p>
    <w:p w14:paraId="56B73D05" w14:textId="0F130109" w:rsidR="00C235D8" w:rsidRDefault="00C235D8" w:rsidP="007F2732">
      <w:pPr>
        <w:pStyle w:val="Style2"/>
      </w:pPr>
      <w:r>
        <w:t xml:space="preserve">Other Committees may be consulted where appropriate and as defined within the </w:t>
      </w:r>
      <w:proofErr w:type="gramStart"/>
      <w:r>
        <w:t>Decision Making</w:t>
      </w:r>
      <w:proofErr w:type="gramEnd"/>
      <w:r>
        <w:t xml:space="preserve"> Policy.</w:t>
      </w:r>
    </w:p>
    <w:p w14:paraId="21F3D337" w14:textId="6EBDB14E" w:rsidR="00C235D8" w:rsidRDefault="00C235D8" w:rsidP="007F2732">
      <w:pPr>
        <w:pStyle w:val="Style2"/>
      </w:pPr>
      <w:r>
        <w:t>Formal public consultation and consultation or engagement with</w:t>
      </w:r>
      <w:r w:rsidR="00AE017F">
        <w:t xml:space="preserve"> Partners or Stakeholders may also be necessary in certain circumstances as defined within the </w:t>
      </w:r>
      <w:proofErr w:type="gramStart"/>
      <w:r w:rsidR="00AE017F">
        <w:t>Decision Making</w:t>
      </w:r>
      <w:proofErr w:type="gramEnd"/>
      <w:r w:rsidR="00AE017F">
        <w:t xml:space="preserve"> Policy.</w:t>
      </w:r>
    </w:p>
    <w:p w14:paraId="03AE62E4" w14:textId="5671A1E9" w:rsidR="00E16046" w:rsidRDefault="009E133A" w:rsidP="007F2732">
      <w:pPr>
        <w:pStyle w:val="Style2"/>
      </w:pPr>
      <w:r>
        <w:rPr>
          <w:noProof/>
          <w:color w:val="2B579A"/>
          <w:shd w:val="clear" w:color="auto" w:fill="E6E6E6"/>
        </w:rPr>
        <w:lastRenderedPageBreak/>
        <w:drawing>
          <wp:anchor distT="0" distB="0" distL="114300" distR="114300" simplePos="0" relativeHeight="251658240" behindDoc="1" locked="0" layoutInCell="1" allowOverlap="1" wp14:anchorId="137413E3" wp14:editId="3471FB82">
            <wp:simplePos x="0" y="0"/>
            <wp:positionH relativeFrom="margin">
              <wp:align>left</wp:align>
            </wp:positionH>
            <wp:positionV relativeFrom="paragraph">
              <wp:posOffset>479425</wp:posOffset>
            </wp:positionV>
            <wp:extent cx="6411595" cy="4453890"/>
            <wp:effectExtent l="0" t="0" r="8255" b="3810"/>
            <wp:wrapTight wrapText="bothSides">
              <wp:wrapPolygon edited="0">
                <wp:start x="642" y="0"/>
                <wp:lineTo x="0" y="1016"/>
                <wp:lineTo x="0" y="1293"/>
                <wp:lineTo x="898" y="2956"/>
                <wp:lineTo x="963" y="5174"/>
                <wp:lineTo x="1219" y="5913"/>
                <wp:lineTo x="385" y="7114"/>
                <wp:lineTo x="449" y="8869"/>
                <wp:lineTo x="1348" y="10347"/>
                <wp:lineTo x="770" y="10717"/>
                <wp:lineTo x="385" y="11271"/>
                <wp:lineTo x="385" y="13211"/>
                <wp:lineTo x="1091" y="13304"/>
                <wp:lineTo x="14632" y="13304"/>
                <wp:lineTo x="7316" y="14043"/>
                <wp:lineTo x="6546" y="14228"/>
                <wp:lineTo x="6546" y="14782"/>
                <wp:lineTo x="898" y="15151"/>
                <wp:lineTo x="513" y="15244"/>
                <wp:lineTo x="513" y="18939"/>
                <wp:lineTo x="1476" y="19216"/>
                <wp:lineTo x="4942" y="19216"/>
                <wp:lineTo x="4942" y="19956"/>
                <wp:lineTo x="6482" y="20695"/>
                <wp:lineTo x="6161" y="20879"/>
                <wp:lineTo x="6161" y="21341"/>
                <wp:lineTo x="8728" y="21526"/>
                <wp:lineTo x="15531" y="21526"/>
                <wp:lineTo x="16750" y="21341"/>
                <wp:lineTo x="16686" y="20972"/>
                <wp:lineTo x="16044" y="20695"/>
                <wp:lineTo x="21499" y="19494"/>
                <wp:lineTo x="21564" y="18847"/>
                <wp:lineTo x="21499" y="17738"/>
                <wp:lineTo x="20280" y="17738"/>
                <wp:lineTo x="20344" y="16260"/>
                <wp:lineTo x="20665" y="14967"/>
                <wp:lineTo x="20601" y="14782"/>
                <wp:lineTo x="20280" y="13304"/>
                <wp:lineTo x="20280" y="11825"/>
                <wp:lineTo x="20665" y="10440"/>
                <wp:lineTo x="20665" y="9608"/>
                <wp:lineTo x="20280" y="8869"/>
                <wp:lineTo x="20280" y="7391"/>
                <wp:lineTo x="21114" y="7021"/>
                <wp:lineTo x="21307" y="6375"/>
                <wp:lineTo x="21050" y="5728"/>
                <wp:lineTo x="16622" y="4989"/>
                <wp:lineTo x="12386" y="4435"/>
                <wp:lineTo x="12515" y="3973"/>
                <wp:lineTo x="2246" y="2956"/>
                <wp:lineTo x="12386" y="2956"/>
                <wp:lineTo x="21179" y="2310"/>
                <wp:lineTo x="21114" y="1478"/>
                <wp:lineTo x="21435" y="1386"/>
                <wp:lineTo x="21307" y="1109"/>
                <wp:lineTo x="20537" y="0"/>
                <wp:lineTo x="642" y="0"/>
              </wp:wrapPolygon>
            </wp:wrapTight>
            <wp:docPr id="5" name="Picture 5" descr="Diagram showing the governance of commissioning / service restriction decisions as described within the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howing the governance of commissioning / service restriction decisions as described within the poli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5656" cy="4463650"/>
                    </a:xfrm>
                    <a:prstGeom prst="rect">
                      <a:avLst/>
                    </a:prstGeom>
                    <a:noFill/>
                  </pic:spPr>
                </pic:pic>
              </a:graphicData>
            </a:graphic>
            <wp14:sizeRelH relativeFrom="page">
              <wp14:pctWidth>0</wp14:pctWidth>
            </wp14:sizeRelH>
            <wp14:sizeRelV relativeFrom="page">
              <wp14:pctHeight>0</wp14:pctHeight>
            </wp14:sizeRelV>
          </wp:anchor>
        </w:drawing>
      </w:r>
      <w:r w:rsidR="64539446">
        <w:t>The following diagram provides a simple translation of governance for commissioning / service restriction decisions.</w:t>
      </w:r>
    </w:p>
    <w:p w14:paraId="43DE1CBC" w14:textId="5F0A9417" w:rsidR="00E16046" w:rsidRDefault="00E16046" w:rsidP="00E16046">
      <w:pPr>
        <w:pStyle w:val="Heading3"/>
        <w:numPr>
          <w:ilvl w:val="0"/>
          <w:numId w:val="0"/>
        </w:numPr>
        <w:ind w:left="1134"/>
      </w:pPr>
    </w:p>
    <w:p w14:paraId="3AC6EEA8" w14:textId="77777777" w:rsidR="00E16046" w:rsidRDefault="00E16046" w:rsidP="00E16046"/>
    <w:p w14:paraId="2F317212" w14:textId="77777777" w:rsidR="00E16046" w:rsidRDefault="00E16046" w:rsidP="00E16046"/>
    <w:p w14:paraId="05F2370A" w14:textId="77777777" w:rsidR="00EF73D4" w:rsidRPr="00E16046" w:rsidRDefault="00EF73D4" w:rsidP="00E16046"/>
    <w:p w14:paraId="2690308F" w14:textId="05525CD9" w:rsidR="003E5368" w:rsidRDefault="7CAC4EFF" w:rsidP="002870D0">
      <w:pPr>
        <w:pStyle w:val="Style2"/>
      </w:pPr>
      <w:r>
        <w:t xml:space="preserve">All Service </w:t>
      </w:r>
      <w:r w:rsidRPr="00A86401">
        <w:t>Restriction</w:t>
      </w:r>
      <w:r w:rsidR="395025CF" w:rsidRPr="00A86401">
        <w:t>s</w:t>
      </w:r>
      <w:r w:rsidRPr="00A86401">
        <w:t xml:space="preserve"> will be set out within a specific policy statement, that has been endorsed by the approving group, defined above. A list of the </w:t>
      </w:r>
      <w:r w:rsidR="2EB9AD48" w:rsidRPr="00A86401">
        <w:t xml:space="preserve">policy statements </w:t>
      </w:r>
      <w:r w:rsidR="23FAD727" w:rsidRPr="00A86401">
        <w:t>is</w:t>
      </w:r>
      <w:r w:rsidR="2EB9AD48" w:rsidRPr="00A86401">
        <w:t xml:space="preserve"> included in Appendix B and will be updated periodically to ensure that this</w:t>
      </w:r>
      <w:r w:rsidR="2EB9AD48">
        <w:t xml:space="preserve"> policy is up to date.</w:t>
      </w:r>
    </w:p>
    <w:p w14:paraId="5D939F09" w14:textId="1D35BC94" w:rsidR="005778B5" w:rsidRPr="002870D0" w:rsidRDefault="005778B5" w:rsidP="002870D0">
      <w:pPr>
        <w:pStyle w:val="Style2"/>
      </w:pPr>
      <w:r>
        <w:t>Service Restriction policy statements will be published on the ICB website to ensure transparency and public accountability.</w:t>
      </w:r>
    </w:p>
    <w:p w14:paraId="4CCD4E1C" w14:textId="77777777" w:rsidR="009B1587" w:rsidRDefault="009B1587" w:rsidP="00FB0D7A">
      <w:pPr>
        <w:pStyle w:val="Heading3"/>
      </w:pPr>
      <w:bookmarkStart w:id="27" w:name="_Toc155687894"/>
      <w:r>
        <w:t>Commissioning Policy Review Cycle</w:t>
      </w:r>
      <w:bookmarkEnd w:id="27"/>
    </w:p>
    <w:p w14:paraId="079B781D" w14:textId="53B42DD0" w:rsidR="009B1587" w:rsidRDefault="00350549" w:rsidP="009B1587">
      <w:pPr>
        <w:pStyle w:val="Style2"/>
      </w:pPr>
      <w:r>
        <w:t>The Equality and Diversity Impact Assessment Panel are responsible for implementing a commissioning policy review cycle and will track</w:t>
      </w:r>
      <w:r w:rsidR="00DF718E">
        <w:t xml:space="preserve"> service restriction policies to ensure that they are reviewed</w:t>
      </w:r>
      <w:r w:rsidR="00EE6B0D">
        <w:t xml:space="preserve"> at least</w:t>
      </w:r>
      <w:r w:rsidR="00DF718E">
        <w:t xml:space="preserve"> every two years or as and when national guidance and policy becomes available</w:t>
      </w:r>
      <w:r w:rsidR="00EE6B0D">
        <w:t xml:space="preserve"> to require a policy statement review.</w:t>
      </w:r>
    </w:p>
    <w:p w14:paraId="19FA7EA1" w14:textId="7B3A5352" w:rsidR="00F40D75" w:rsidRPr="00F40D75" w:rsidRDefault="00C76692" w:rsidP="00FB0D7A">
      <w:pPr>
        <w:pStyle w:val="Heading3"/>
      </w:pPr>
      <w:bookmarkStart w:id="28" w:name="_Toc155687895"/>
      <w:r>
        <w:lastRenderedPageBreak/>
        <w:t>Commissioning Policy</w:t>
      </w:r>
      <w:bookmarkEnd w:id="28"/>
    </w:p>
    <w:p w14:paraId="71489DD3" w14:textId="38F8F52F" w:rsidR="00C76692" w:rsidRPr="00C76692" w:rsidRDefault="7A34E371" w:rsidP="00C76692">
      <w:pPr>
        <w:pStyle w:val="Style2"/>
      </w:pPr>
      <w:r>
        <w:t>The over-riding commissioning policy requirement is that all commissioning must be based on value for money, defined as ‘the best mix of quality and effectiveness for the least outlay.</w:t>
      </w:r>
    </w:p>
    <w:p w14:paraId="5E8AFCCA" w14:textId="06ACE37F" w:rsidR="00C76692" w:rsidRPr="00C76692" w:rsidRDefault="48C0E1CD" w:rsidP="00C76692">
      <w:pPr>
        <w:pStyle w:val="Style2"/>
      </w:pPr>
      <w:r>
        <w:t xml:space="preserve">The </w:t>
      </w:r>
      <w:r w:rsidR="70DF9D0E">
        <w:t xml:space="preserve">Mid and South Essex Integrated Care Board (ICB) commissioning position is </w:t>
      </w:r>
      <w:r w:rsidR="70DF9D0E" w:rsidRPr="007F19C8">
        <w:t>that treatments not currently included in commissioned established care pathways (as identified</w:t>
      </w:r>
      <w:r w:rsidR="70DF9D0E">
        <w:t xml:space="preserve"> for example in the Schedules to the service agreements with acute care providers) or identified for funding through the commissioning process are not routinely funded.  </w:t>
      </w:r>
    </w:p>
    <w:p w14:paraId="09DB8A09" w14:textId="7B111524" w:rsidR="00C76692" w:rsidRPr="00C76692" w:rsidRDefault="70DF9D0E" w:rsidP="00C76692">
      <w:pPr>
        <w:pStyle w:val="Style2"/>
      </w:pPr>
      <w:r>
        <w:t xml:space="preserve">For </w:t>
      </w:r>
      <w:proofErr w:type="gramStart"/>
      <w:r>
        <w:t>a number of</w:t>
      </w:r>
      <w:proofErr w:type="gramEnd"/>
      <w:r>
        <w:t xml:space="preserve"> commissioned procedures, the ICB operate a ‘Prior Approvals Scheme’ setting out criteria for access based on evidence of effectiveness or </w:t>
      </w:r>
      <w:r w:rsidR="694D991C">
        <w:t>r</w:t>
      </w:r>
      <w:r>
        <w:t>elative priority for funding.  Those related to procedures are included</w:t>
      </w:r>
      <w:r w:rsidR="162184F2">
        <w:t xml:space="preserve"> in </w:t>
      </w:r>
      <w:r w:rsidR="162184F2" w:rsidRPr="00E14976">
        <w:rPr>
          <w:b/>
          <w:bCs/>
        </w:rPr>
        <w:t>Appendix B</w:t>
      </w:r>
      <w:r>
        <w:t xml:space="preserve">; those relating to prescribing can be found on the </w:t>
      </w:r>
      <w:r w:rsidR="2B626727">
        <w:t>ICB</w:t>
      </w:r>
      <w:r w:rsidR="2AE16527">
        <w:t xml:space="preserve"> </w:t>
      </w:r>
      <w:r>
        <w:t>Medicines Optimisation</w:t>
      </w:r>
      <w:r w:rsidR="79DB6B59">
        <w:t xml:space="preserve"> </w:t>
      </w:r>
      <w:r w:rsidR="00BD325D">
        <w:t>SharePoint</w:t>
      </w:r>
      <w:r w:rsidR="79DB6B59">
        <w:t xml:space="preserve"> site and available upon request.</w:t>
      </w:r>
      <w:r>
        <w:t xml:space="preserve">  Providers MUST NOT assume that because a procedure is not included in this </w:t>
      </w:r>
      <w:r w:rsidR="48FB1183">
        <w:t>policy</w:t>
      </w:r>
      <w:r>
        <w:t xml:space="preserve"> that by default it will be funded.</w:t>
      </w:r>
    </w:p>
    <w:p w14:paraId="464B41C7" w14:textId="0FEBCF20" w:rsidR="00C76692" w:rsidRPr="00C76692" w:rsidRDefault="70DF9D0E" w:rsidP="00C76692">
      <w:pPr>
        <w:pStyle w:val="Style2"/>
      </w:pPr>
      <w:r>
        <w:t xml:space="preserve">As a general principle it is expected that patients are managed in a setting which not only meets their clinical needs but is changed at the lowest appropriate tariff charge.  For example where a procedure </w:t>
      </w:r>
      <w:proofErr w:type="gramStart"/>
      <w:r>
        <w:t>can</w:t>
      </w:r>
      <w:proofErr w:type="gramEnd"/>
      <w:r>
        <w:t xml:space="preserve"> be carried out in an outpatient setting at a lower tariff price across outpatient procedures and day cases, or a single price across all settings.</w:t>
      </w:r>
      <w:r w:rsidR="1F7D5DED">
        <w:t xml:space="preserve">  </w:t>
      </w:r>
      <w:r>
        <w:t>This approach has been taken where a price that is independent of setting is clinically appropriate.</w:t>
      </w:r>
    </w:p>
    <w:p w14:paraId="50274636" w14:textId="77777777" w:rsidR="00C76692" w:rsidRPr="00C76692" w:rsidRDefault="5CA7973D" w:rsidP="00C76692">
      <w:pPr>
        <w:pStyle w:val="Style2"/>
      </w:pPr>
      <w:r>
        <w:t>Where following audit it is found that procedures could have been carried out in a lower cost setting, the commissioner will only pay at the lowest appropriate tariff charge.</w:t>
      </w:r>
    </w:p>
    <w:p w14:paraId="0DBD5412" w14:textId="77777777" w:rsidR="00C76692" w:rsidRPr="00C76692" w:rsidRDefault="5CA7973D" w:rsidP="00C76692">
      <w:pPr>
        <w:pStyle w:val="Style2"/>
      </w:pPr>
      <w:r>
        <w:t>Commissioning policy development is an on-going process and future commissioning policy on future procedures as developed or in response to NICE Guidance/Guidelines, health technology assessments etc. will be produced and published periodically on the ICB website. Commissioning Policies [LINK].</w:t>
      </w:r>
    </w:p>
    <w:p w14:paraId="7DF29E34" w14:textId="37A8919D" w:rsidR="00C76692" w:rsidRDefault="5CA7973D" w:rsidP="00C76692">
      <w:pPr>
        <w:pStyle w:val="Style2"/>
      </w:pPr>
      <w:r>
        <w:t xml:space="preserve">This document sets out access to </w:t>
      </w:r>
      <w:r w:rsidR="005748BF">
        <w:t>treatments where</w:t>
      </w:r>
      <w:r>
        <w:t xml:space="preserve"> compliance with the Prior Approvals </w:t>
      </w:r>
      <w:r w:rsidR="2937ADF1">
        <w:t xml:space="preserve">scheme </w:t>
      </w:r>
      <w:proofErr w:type="gramStart"/>
      <w:r w:rsidR="2937ADF1">
        <w:t xml:space="preserve">is </w:t>
      </w:r>
      <w:r>
        <w:t xml:space="preserve"> required</w:t>
      </w:r>
      <w:proofErr w:type="gramEnd"/>
      <w:r>
        <w:t>.</w:t>
      </w:r>
    </w:p>
    <w:p w14:paraId="334EF0D6" w14:textId="2743EE55" w:rsidR="00C76692" w:rsidRDefault="7DE51584" w:rsidP="00C76692">
      <w:pPr>
        <w:pStyle w:val="Style2"/>
      </w:pPr>
      <w:r>
        <w:t>Providers are contractually obliged to abide with the Prior Approvals scheme, and failure to do so is a breach of that contractual obligation and any unapproved activity will not be funded.</w:t>
      </w:r>
    </w:p>
    <w:p w14:paraId="418A10CC" w14:textId="7E4E4B08" w:rsidR="00C76692" w:rsidRPr="00C76692" w:rsidRDefault="00C76692" w:rsidP="00C76692">
      <w:pPr>
        <w:pStyle w:val="Heading3"/>
      </w:pPr>
      <w:bookmarkStart w:id="29" w:name="_Toc155687896"/>
      <w:r>
        <w:t xml:space="preserve">Group </w:t>
      </w:r>
      <w:r w:rsidR="7A34E371">
        <w:t>Prior Approvals</w:t>
      </w:r>
      <w:bookmarkEnd w:id="29"/>
    </w:p>
    <w:p w14:paraId="02F9F311" w14:textId="7D77A5E9" w:rsidR="1F237DE4" w:rsidRDefault="1F237DE4" w:rsidP="12D4BC2D">
      <w:pPr>
        <w:pStyle w:val="Style2"/>
      </w:pPr>
      <w:r w:rsidRPr="12D4BC2D">
        <w:rPr>
          <w:b/>
          <w:bCs/>
        </w:rPr>
        <w:t xml:space="preserve">Group Prior Approvals </w:t>
      </w:r>
      <w:r>
        <w:t xml:space="preserve">(previously known as threshold approval) are those </w:t>
      </w:r>
      <w:r w:rsidR="092B5FFC">
        <w:t>treatments</w:t>
      </w:r>
      <w:r>
        <w:t xml:space="preserve"> which are commissioned by the ICB on a restricted basis only for patients who meet the defined criteria set out within the relevant commissioning policy but for which individual prior approval is not required e.g. cataract surgery.</w:t>
      </w:r>
    </w:p>
    <w:p w14:paraId="54296504" w14:textId="69F6659B" w:rsidR="00C76692" w:rsidRPr="00BD325D" w:rsidRDefault="70DF9D0E" w:rsidP="00C76692">
      <w:pPr>
        <w:pStyle w:val="Style2"/>
      </w:pPr>
      <w:r>
        <w:lastRenderedPageBreak/>
        <w:t xml:space="preserve">For these </w:t>
      </w:r>
      <w:r w:rsidR="319038A9">
        <w:t xml:space="preserve">treatments </w:t>
      </w:r>
      <w:r>
        <w:t xml:space="preserve">the criteria listed apply to both the </w:t>
      </w:r>
      <w:r w:rsidRPr="00BD325D">
        <w:t>referring and treating clinicians</w:t>
      </w:r>
      <w:r w:rsidR="56684D9E" w:rsidRPr="00BD325D">
        <w:t>.</w:t>
      </w:r>
    </w:p>
    <w:p w14:paraId="767A015A" w14:textId="1E995B37" w:rsidR="00C76692" w:rsidRPr="00BD325D" w:rsidRDefault="56684D9E" w:rsidP="00C76692">
      <w:pPr>
        <w:pStyle w:val="Style2"/>
      </w:pPr>
      <w:r w:rsidRPr="00BD325D">
        <w:t xml:space="preserve">Primary care clinicians e.g. </w:t>
      </w:r>
      <w:r w:rsidR="70DF9D0E" w:rsidRPr="00BD325D">
        <w:t>GPs should not refer patients who do not meet criteria which they can a</w:t>
      </w:r>
      <w:r w:rsidR="3D03507A" w:rsidRPr="00BD325D">
        <w:t>ss</w:t>
      </w:r>
      <w:r w:rsidR="70DF9D0E" w:rsidRPr="00BD325D">
        <w:t>ess.  This not only takes up an unnecessary outpatient appointment but results in a poor patient experience.</w:t>
      </w:r>
    </w:p>
    <w:p w14:paraId="4192E211" w14:textId="35E2C2F4" w:rsidR="00C76692" w:rsidRPr="00C76692" w:rsidRDefault="5CA7973D" w:rsidP="00C76692">
      <w:pPr>
        <w:pStyle w:val="Style2"/>
      </w:pPr>
      <w:r w:rsidRPr="00BD325D">
        <w:t>Equally treating clinicians should review referrals and return to the</w:t>
      </w:r>
      <w:r w:rsidR="0CCEB1BF" w:rsidRPr="00BD325D">
        <w:t xml:space="preserve"> referring clinician</w:t>
      </w:r>
      <w:r w:rsidRPr="00BD325D">
        <w:t xml:space="preserve"> those where it is clear from the information provided that the patient does not meet criteria, thus reducing the number</w:t>
      </w:r>
      <w:r>
        <w:t xml:space="preserve"> of inappropriate outpatient appointments. </w:t>
      </w:r>
    </w:p>
    <w:p w14:paraId="278516BA" w14:textId="5A905691" w:rsidR="00C76692" w:rsidRDefault="3CF55261" w:rsidP="12D4BC2D">
      <w:pPr>
        <w:numPr>
          <w:ilvl w:val="2"/>
          <w:numId w:val="10"/>
        </w:numPr>
        <w:rPr>
          <w:color w:val="231F20" w:themeColor="text2"/>
        </w:rPr>
      </w:pPr>
      <w:r>
        <w:t>The ICB notification of compliance or audit will be required according to contractual arrangements.  Providers should be aware that payment may be withheld where they cannot demonstrate that patients treated meet the criteria specified.</w:t>
      </w:r>
    </w:p>
    <w:p w14:paraId="42DB9051" w14:textId="334D6459" w:rsidR="00F47B97" w:rsidRDefault="3CF55261" w:rsidP="00F40D75">
      <w:pPr>
        <w:pStyle w:val="Style2"/>
      </w:pPr>
      <w:r>
        <w:t xml:space="preserve">Group Prior Approval should be applied in line with the policy in force at the time the patient is listed (where relevant) for the </w:t>
      </w:r>
      <w:r w:rsidR="00E271FE">
        <w:t>treatment.</w:t>
      </w:r>
      <w:r>
        <w:t xml:space="preserve">  This approval will last for 12 months.  After 12 months have elapsed the patient should be reviewed against the policy in force at the time and the criteria for the </w:t>
      </w:r>
      <w:r w:rsidR="49A35374">
        <w:t xml:space="preserve">treatment </w:t>
      </w:r>
      <w:r>
        <w:t>will apply.  Subsequent reviews should be undertaken in line with the policy in force at the time and approval time limits will also be in line with the policy in force at the time.</w:t>
      </w:r>
    </w:p>
    <w:p w14:paraId="72376D2A" w14:textId="755E00B9" w:rsidR="00F47B97" w:rsidRDefault="3CF55261" w:rsidP="00F40D75">
      <w:pPr>
        <w:pStyle w:val="Style2"/>
      </w:pPr>
      <w:r>
        <w:t>This process and associated time limits will apply unless an alternative policy is subsequently introduced for a named procedure.</w:t>
      </w:r>
    </w:p>
    <w:p w14:paraId="324EA3E8" w14:textId="43086D21" w:rsidR="00F47B97" w:rsidRDefault="00F47B97" w:rsidP="00F47B97">
      <w:pPr>
        <w:pStyle w:val="Heading3"/>
      </w:pPr>
      <w:bookmarkStart w:id="30" w:name="_Toc155687897"/>
      <w:r>
        <w:t>Individual Prior Approvals</w:t>
      </w:r>
      <w:bookmarkEnd w:id="30"/>
    </w:p>
    <w:p w14:paraId="354F55C5" w14:textId="667E50AA" w:rsidR="00F47B97" w:rsidRDefault="3F8EC098" w:rsidP="00F40D75">
      <w:pPr>
        <w:pStyle w:val="Style2"/>
      </w:pPr>
      <w:r>
        <w:t xml:space="preserve">Individual Prior Approvals are those </w:t>
      </w:r>
      <w:r w:rsidR="374A4C7C">
        <w:t>treatments</w:t>
      </w:r>
      <w:r>
        <w:t xml:space="preserve"> which are commissioned by the ICB, but only for patients who meet the defined criteria set out within the relevant commissioning policy and which require individual approval on a patient by patient and, in some circumstances, treatment by treatment basis</w:t>
      </w:r>
      <w:r w:rsidR="4C8FEA9C">
        <w:t>.</w:t>
      </w:r>
    </w:p>
    <w:p w14:paraId="6F65EA8C" w14:textId="4987E4D4" w:rsidR="00F47B97" w:rsidRDefault="3F8EC098" w:rsidP="00F40D75">
      <w:pPr>
        <w:pStyle w:val="Style2"/>
      </w:pPr>
      <w:r>
        <w:t xml:space="preserve">For these </w:t>
      </w:r>
      <w:r w:rsidR="1C53D688">
        <w:t xml:space="preserve">treatments </w:t>
      </w:r>
      <w:r>
        <w:t xml:space="preserve">the criteria listed apply to both the referring and treating clinicians and if a patient is deemed to meet these criteria individual prior approval must be sought.  When applicable, </w:t>
      </w:r>
      <w:r w:rsidR="61E95856">
        <w:t xml:space="preserve">primary care clinicians e.g. </w:t>
      </w:r>
      <w:r>
        <w:t>GPs should seek individual prior approval before a referral is made/outpatient appointment is booked.</w:t>
      </w:r>
    </w:p>
    <w:p w14:paraId="45EB1A68" w14:textId="47F15872" w:rsidR="00F47B97" w:rsidRDefault="3F8EC098" w:rsidP="00F40D75">
      <w:pPr>
        <w:pStyle w:val="Style2"/>
      </w:pPr>
      <w:r>
        <w:t xml:space="preserve">Individual prior approval should be sought in line with the policy in force at the time the patient is identified as requiring the </w:t>
      </w:r>
      <w:r w:rsidR="10649A79">
        <w:t>treatment</w:t>
      </w:r>
      <w:r>
        <w:t xml:space="preserve">.  Once approved the individual prior approval will be </w:t>
      </w:r>
      <w:r w:rsidR="584D05EB">
        <w:t>valid</w:t>
      </w:r>
      <w:r>
        <w:t xml:space="preserve"> for 12 months.  After 12 months have elapsed the patient should be reviewed against the policy in force at the time and the criteria for the </w:t>
      </w:r>
      <w:r w:rsidR="53865DD4">
        <w:t xml:space="preserve">treatment </w:t>
      </w:r>
      <w:r>
        <w:t xml:space="preserve">will apply and, if the </w:t>
      </w:r>
      <w:r w:rsidR="26CAE84C">
        <w:t xml:space="preserve">treatment </w:t>
      </w:r>
      <w:r>
        <w:t>continues to be required, a new individual prior approval application should be made.  Subsequent reviews should be undertaken in line with the policy in force at the time and approval time limits will also be in line with the policy in force at the time.</w:t>
      </w:r>
    </w:p>
    <w:p w14:paraId="3C29240B" w14:textId="10DAE0BD" w:rsidR="00F47B97" w:rsidRDefault="00E6622E" w:rsidP="00F40D75">
      <w:pPr>
        <w:pStyle w:val="Style2"/>
      </w:pPr>
      <w:r>
        <w:lastRenderedPageBreak/>
        <w:t xml:space="preserve">This process and associated time limits will apply unless an alternative policy is subsequently introduced for a named </w:t>
      </w:r>
      <w:r w:rsidR="6B2CD7D3">
        <w:t>treatment</w:t>
      </w:r>
      <w:r>
        <w:t>.</w:t>
      </w:r>
    </w:p>
    <w:p w14:paraId="3899D497" w14:textId="0DD38610" w:rsidR="00E6622E" w:rsidRDefault="00E6622E" w:rsidP="00E6622E">
      <w:pPr>
        <w:pStyle w:val="Heading3"/>
      </w:pPr>
      <w:bookmarkStart w:id="31" w:name="_Toc155687898"/>
      <w:r>
        <w:t>Not Funded</w:t>
      </w:r>
      <w:bookmarkEnd w:id="31"/>
    </w:p>
    <w:p w14:paraId="06CADC32" w14:textId="6C083D14" w:rsidR="00E6622E" w:rsidRDefault="0BDA653B" w:rsidP="00F40D75">
      <w:pPr>
        <w:pStyle w:val="Style2"/>
      </w:pPr>
      <w:r>
        <w:t>Treatments</w:t>
      </w:r>
      <w:r w:rsidR="00E6622E">
        <w:t xml:space="preserve"> not funded</w:t>
      </w:r>
      <w:r w:rsidR="0573CED7">
        <w:t xml:space="preserve"> are those which</w:t>
      </w:r>
      <w:r w:rsidR="00E6622E">
        <w:t xml:space="preserve"> have been assessed as ‘low clinical priority’ by the ICB and</w:t>
      </w:r>
      <w:r w:rsidR="078BBA95">
        <w:t xml:space="preserve"> therefor</w:t>
      </w:r>
      <w:r w:rsidR="00D51CD1">
        <w:t>e</w:t>
      </w:r>
      <w:r w:rsidR="078BBA95">
        <w:t xml:space="preserve"> are not</w:t>
      </w:r>
      <w:r w:rsidR="00E6622E">
        <w:t xml:space="preserve"> funded unless there are exceptional clinical circumstances.  Applications for funding for these procedures can be made using the ‘Individual Funding Request’ process but should only be made where the patient demonstrates clinical exceptionality.</w:t>
      </w:r>
    </w:p>
    <w:p w14:paraId="53B36DD5" w14:textId="4437F463" w:rsidR="00E6622E" w:rsidRDefault="00E6622E" w:rsidP="00E6622E">
      <w:pPr>
        <w:pStyle w:val="Heading3"/>
      </w:pPr>
      <w:bookmarkStart w:id="32" w:name="_Toc155687899"/>
      <w:r>
        <w:t>Legacy Patients</w:t>
      </w:r>
      <w:bookmarkEnd w:id="32"/>
    </w:p>
    <w:p w14:paraId="31A758C0" w14:textId="2C602225" w:rsidR="00E6622E" w:rsidRDefault="6B0CE45F" w:rsidP="00F40D75">
      <w:pPr>
        <w:pStyle w:val="Style2"/>
      </w:pPr>
      <w:r>
        <w:t xml:space="preserve">It is acknowledged where funding criteria has changed there will be patients who have received </w:t>
      </w:r>
      <w:r w:rsidR="001D1E1D">
        <w:t>treatment funded</w:t>
      </w:r>
      <w:r w:rsidR="273008B7">
        <w:t xml:space="preserve"> </w:t>
      </w:r>
      <w:r>
        <w:t xml:space="preserve">under a previous policy which is no longer funded or the criteria for funding has changed. Where for clinical reasons a previously funded </w:t>
      </w:r>
      <w:r w:rsidR="001D1E1D">
        <w:t>treatment needs</w:t>
      </w:r>
      <w:r>
        <w:t xml:space="preserve"> repeating / revision / replacement the current policy applies.</w:t>
      </w:r>
    </w:p>
    <w:p w14:paraId="0FFF10E1" w14:textId="4DF01F40" w:rsidR="00E6622E" w:rsidRDefault="00E6622E" w:rsidP="00E6622E">
      <w:pPr>
        <w:pStyle w:val="Heading3"/>
      </w:pPr>
      <w:bookmarkStart w:id="33" w:name="_Toc155687900"/>
      <w:r>
        <w:t>Individual Funding Requests (IFR)</w:t>
      </w:r>
      <w:bookmarkEnd w:id="33"/>
    </w:p>
    <w:p w14:paraId="0FEBAAE0" w14:textId="7A6A2751" w:rsidR="00E6622E" w:rsidRDefault="6B0CE45F" w:rsidP="00F40D75">
      <w:pPr>
        <w:pStyle w:val="Style2"/>
      </w:pPr>
      <w:r>
        <w:t>The ICB allows clinicians, on behalf of their patients, the opportunity to make specific funding requests via the IFR process.  Requests may include patients with conditions for which the ICB do not have an agreed commissioning policy, including patients with rare conditions, and patients whose proposed treatment is outside agreed commissioning policies (exceptional clinical circumstances) or service agreements.  Such requests should not constitute a request for a service development</w:t>
      </w:r>
      <w:r w:rsidR="70EF48A1">
        <w:t xml:space="preserve"> where more than one patient might be expected to require such treatment</w:t>
      </w:r>
      <w:r>
        <w:t>.</w:t>
      </w:r>
    </w:p>
    <w:p w14:paraId="162BC062" w14:textId="58A363AB" w:rsidR="002B46A8" w:rsidRDefault="00BB2109" w:rsidP="00F40D75">
      <w:pPr>
        <w:pStyle w:val="Style2"/>
      </w:pPr>
      <w:r w:rsidRPr="00BD325D">
        <w:rPr>
          <w:b/>
          <w:bCs/>
        </w:rPr>
        <w:t>Exceptional clinical circumstances</w:t>
      </w:r>
      <w:r w:rsidRPr="00BD325D">
        <w:t xml:space="preserve"> (exceptionality) </w:t>
      </w:r>
      <w:r w:rsidR="07C23DB3" w:rsidRPr="00BD325D">
        <w:t>refer</w:t>
      </w:r>
      <w:r w:rsidRPr="00BD325D">
        <w:t xml:space="preserve"> to a patient who has clinical circumstances which are outside the range of clinical circumstances</w:t>
      </w:r>
      <w:r>
        <w:t xml:space="preserve"> presented by a patient within the normal population </w:t>
      </w:r>
      <w:r w:rsidR="00C43E34">
        <w:t>of patients with the same medical condition and at the same stage of progression as the patient. There are two tests to apply to exceptionality:</w:t>
      </w:r>
    </w:p>
    <w:p w14:paraId="7297FF8F" w14:textId="1F8466D8" w:rsidR="00C43E34" w:rsidRPr="00FC0D06" w:rsidRDefault="49D8B645" w:rsidP="00162C05">
      <w:pPr>
        <w:pStyle w:val="ListParagraph"/>
        <w:numPr>
          <w:ilvl w:val="0"/>
          <w:numId w:val="23"/>
        </w:numPr>
        <w:spacing w:before="100" w:beforeAutospacing="1" w:after="100" w:afterAutospacing="1"/>
        <w:ind w:left="1418" w:hanging="283"/>
      </w:pPr>
      <w:r w:rsidRPr="12D4BC2D">
        <w:rPr>
          <w:b/>
          <w:bCs/>
        </w:rPr>
        <w:t>Test 1</w:t>
      </w:r>
      <w:r>
        <w:t xml:space="preserve"> – is the patient is significantly different to the general population of patients with the condition in question wanting that intervention.</w:t>
      </w:r>
    </w:p>
    <w:p w14:paraId="47BF25E4" w14:textId="20EF5617" w:rsidR="00C43E34" w:rsidRPr="00FC0D06" w:rsidRDefault="49D8B645" w:rsidP="00162C05">
      <w:pPr>
        <w:pStyle w:val="ListParagraph"/>
        <w:numPr>
          <w:ilvl w:val="0"/>
          <w:numId w:val="23"/>
        </w:numPr>
        <w:spacing w:before="100" w:beforeAutospacing="1" w:after="100" w:afterAutospacing="1"/>
        <w:ind w:left="1418" w:hanging="283"/>
      </w:pPr>
      <w:r w:rsidRPr="12D4BC2D">
        <w:rPr>
          <w:b/>
          <w:bCs/>
        </w:rPr>
        <w:t>Test 2</w:t>
      </w:r>
      <w:r>
        <w:t xml:space="preserve"> – is the patient is likely to gain significantly more benefit from the intervention than might be normally expected for patients with that condition wanting that intervention.</w:t>
      </w:r>
    </w:p>
    <w:p w14:paraId="0F8321F3" w14:textId="093F9109" w:rsidR="00C43E34" w:rsidRDefault="00FC0D06" w:rsidP="00F40D75">
      <w:pPr>
        <w:pStyle w:val="Style2"/>
      </w:pPr>
      <w:r>
        <w:t xml:space="preserve">The ICB </w:t>
      </w:r>
      <w:hyperlink r:id="rId14" w:history="1">
        <w:r w:rsidRPr="12D4BC2D">
          <w:rPr>
            <w:rStyle w:val="Hyperlink"/>
          </w:rPr>
          <w:t>Individual Funding Request Policy</w:t>
        </w:r>
      </w:hyperlink>
      <w:r>
        <w:t xml:space="preserve"> defines the process for managing IFRs and should be followed at all times.</w:t>
      </w:r>
    </w:p>
    <w:p w14:paraId="2FC4E7F1" w14:textId="7A8D1730" w:rsidR="00E6622E" w:rsidRDefault="00944F27" w:rsidP="00944F27">
      <w:pPr>
        <w:pStyle w:val="Heading3"/>
      </w:pPr>
      <w:bookmarkStart w:id="34" w:name="_Toc155687901"/>
      <w:r>
        <w:lastRenderedPageBreak/>
        <w:t>Equality and Diversity</w:t>
      </w:r>
      <w:bookmarkEnd w:id="34"/>
    </w:p>
    <w:p w14:paraId="11BF8DEB" w14:textId="2963113D" w:rsidR="00944F27" w:rsidRDefault="00944F27" w:rsidP="00F40D75">
      <w:pPr>
        <w:pStyle w:val="Style2"/>
      </w:pPr>
      <w:r>
        <w:t>The Equality Act 2010 protects people against unfair treatment (discrimination) on the grounds of age, disability, gender reassignment, marriage and civil partnership, pregnancy and maternity, race, religion or belief, sex and sexual orientation.  The Equality Act defines ‘disability’ as a physical or mental impairment which has a substantial and long-term adverse effect on your ability to carry out normal day to day activities.  Providers are reminded that under this Act they must make adequate and reasonable adjustment to services, which includes provision for interpreters, carers and for others from whom patients may require assistance, providing information and/or signage in an appropriate range of formats, media and languages.  Providers shall ensure that service and customer care is delivered in an inclusive manner which respects the diversity of users.  It is therefore unlikely that an application for additional funding for such adjustments will be successful.</w:t>
      </w:r>
    </w:p>
    <w:p w14:paraId="28A3DDAA" w14:textId="5DE6F716" w:rsidR="00944F27" w:rsidRDefault="00944F27" w:rsidP="00944F27">
      <w:pPr>
        <w:pStyle w:val="Heading3"/>
      </w:pPr>
      <w:bookmarkStart w:id="35" w:name="_Toc155687902"/>
      <w:r>
        <w:t>Children and Families Act 2014</w:t>
      </w:r>
      <w:bookmarkEnd w:id="35"/>
    </w:p>
    <w:p w14:paraId="05B4A29B" w14:textId="6A87D37F" w:rsidR="006A3C8F" w:rsidRPr="006A3C8F" w:rsidRDefault="00944F27" w:rsidP="00FC0D06">
      <w:pPr>
        <w:pStyle w:val="Style2"/>
      </w:pPr>
      <w:r>
        <w:t xml:space="preserve">All Providers are also reminded that they must </w:t>
      </w:r>
      <w:proofErr w:type="gramStart"/>
      <w:r>
        <w:t>take into account</w:t>
      </w:r>
      <w:proofErr w:type="gramEnd"/>
      <w:r>
        <w:t xml:space="preserve"> the requirements of the Children and Families Act 2014.  Commissioned service provision for children must be delivered to young people 19-25 years of age if they have an Education, Health and Care Plan in place.</w:t>
      </w:r>
    </w:p>
    <w:p w14:paraId="47E1D005" w14:textId="77777777" w:rsidR="00F40D75" w:rsidRPr="00F40D75" w:rsidRDefault="00F40D75" w:rsidP="00F40D75">
      <w:pPr>
        <w:pStyle w:val="Heading2"/>
      </w:pPr>
      <w:bookmarkStart w:id="36" w:name="_Toc108099467"/>
      <w:bookmarkStart w:id="37" w:name="_Toc155687903"/>
      <w:r w:rsidRPr="00F40D75">
        <w:t>Monitoring Compliance</w:t>
      </w:r>
      <w:bookmarkEnd w:id="36"/>
      <w:bookmarkEnd w:id="37"/>
    </w:p>
    <w:p w14:paraId="410821A4" w14:textId="77777777" w:rsidR="00FA6FD2" w:rsidRDefault="00FA6FD2" w:rsidP="00F40D75">
      <w:pPr>
        <w:pStyle w:val="Style1"/>
      </w:pPr>
      <w:r>
        <w:t>The responsibility for adherence to these policies lies with the treating clinician and failure to adhere to these criteria may result in non-payment of the activity.</w:t>
      </w:r>
    </w:p>
    <w:p w14:paraId="3CF62C81" w14:textId="1A6FFB83" w:rsidR="00F40D75" w:rsidRPr="00F40D75" w:rsidRDefault="00992545" w:rsidP="00F40D75">
      <w:pPr>
        <w:pStyle w:val="Style1"/>
      </w:pPr>
      <w:r>
        <w:t>The Executive Medical Director will ensure that this policy is followed</w:t>
      </w:r>
      <w:r w:rsidR="006F2D54">
        <w:t xml:space="preserve"> and will report any non-compliance with due process to the Audit Committee</w:t>
      </w:r>
      <w:r>
        <w:t>.</w:t>
      </w:r>
    </w:p>
    <w:p w14:paraId="4B161ECA" w14:textId="77D19BB4" w:rsidR="00F40D75" w:rsidRPr="00F40D75" w:rsidRDefault="006F2D54" w:rsidP="00F40D75">
      <w:pPr>
        <w:pStyle w:val="Style1"/>
      </w:pPr>
      <w:r>
        <w:t>The Equality and Diversity Impact Assessment Panel will monitor</w:t>
      </w:r>
      <w:r w:rsidR="00011FE0">
        <w:t xml:space="preserve"> compliance with the assessment of impact on equality and health inequality, which will be reported to the Quality Committee.</w:t>
      </w:r>
    </w:p>
    <w:p w14:paraId="2AA801A0" w14:textId="77777777" w:rsidR="00F40D75" w:rsidRPr="00F40D75" w:rsidRDefault="00F40D75" w:rsidP="00F40D75">
      <w:pPr>
        <w:pStyle w:val="Heading2"/>
      </w:pPr>
      <w:bookmarkStart w:id="38" w:name="_Toc108099468"/>
      <w:bookmarkStart w:id="39" w:name="_Toc155687904"/>
      <w:r w:rsidRPr="00F40D75">
        <w:t>Staff Training</w:t>
      </w:r>
      <w:bookmarkEnd w:id="38"/>
      <w:bookmarkEnd w:id="39"/>
    </w:p>
    <w:p w14:paraId="0A533397" w14:textId="42390ADC" w:rsidR="00F40D75" w:rsidRDefault="00011FE0" w:rsidP="00F40D75">
      <w:pPr>
        <w:pStyle w:val="Style1"/>
      </w:pPr>
      <w:r>
        <w:t xml:space="preserve">Staff will be made aware of this policy and provided with support from their line manager and the Clinical Leadership </w:t>
      </w:r>
      <w:r w:rsidR="00EC0CD5">
        <w:t xml:space="preserve">and Innovation </w:t>
      </w:r>
      <w:r w:rsidR="00B42E64">
        <w:t>Directorate and/or policy authors in interpretation of the policy.</w:t>
      </w:r>
    </w:p>
    <w:p w14:paraId="588716F1" w14:textId="33878650" w:rsidR="00B42E64" w:rsidRPr="00F40D75" w:rsidRDefault="00F735E6" w:rsidP="00F40D75">
      <w:pPr>
        <w:pStyle w:val="Style1"/>
      </w:pPr>
      <w:r>
        <w:t>Guidance and informal training will be provided to those staff involved in decision making by the Public Health Consultant.</w:t>
      </w:r>
    </w:p>
    <w:p w14:paraId="34EEE0E0" w14:textId="77777777" w:rsidR="00F40D75" w:rsidRPr="00F40D75" w:rsidRDefault="00F40D75" w:rsidP="00F40D75">
      <w:pPr>
        <w:pStyle w:val="Heading2"/>
      </w:pPr>
      <w:bookmarkStart w:id="40" w:name="_Toc108099469"/>
      <w:bookmarkStart w:id="41" w:name="_Toc155687905"/>
      <w:r w:rsidRPr="00F40D75">
        <w:lastRenderedPageBreak/>
        <w:t xml:space="preserve">Arrangements </w:t>
      </w:r>
      <w:r>
        <w:t>f</w:t>
      </w:r>
      <w:r w:rsidRPr="00F40D75">
        <w:t>or Review</w:t>
      </w:r>
      <w:bookmarkEnd w:id="40"/>
      <w:bookmarkEnd w:id="41"/>
    </w:p>
    <w:p w14:paraId="4B35D3FB" w14:textId="77777777" w:rsidR="00F40D75" w:rsidRPr="00F40D75" w:rsidRDefault="00F40D75" w:rsidP="00162C05">
      <w:pPr>
        <w:pStyle w:val="Style1"/>
      </w:pPr>
      <w:r w:rsidRPr="00F40D75">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6B121F85" w14:textId="77777777" w:rsidR="00F40D75" w:rsidRPr="00F40D75" w:rsidRDefault="00F40D75" w:rsidP="00162C05">
      <w:pPr>
        <w:pStyle w:val="Style1"/>
      </w:pPr>
      <w:r w:rsidRPr="00F40D75">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p>
    <w:p w14:paraId="31501B44" w14:textId="77777777" w:rsidR="00F40D75" w:rsidRPr="00F40D75" w:rsidRDefault="00F40D75" w:rsidP="00F40D75">
      <w:pPr>
        <w:pStyle w:val="Heading2"/>
      </w:pPr>
      <w:bookmarkStart w:id="42" w:name="_Toc108099470"/>
      <w:bookmarkStart w:id="43" w:name="_Toc155687906"/>
      <w:r w:rsidRPr="00F40D75">
        <w:t xml:space="preserve">Associated Policies, Guidance </w:t>
      </w:r>
      <w:r>
        <w:t>a</w:t>
      </w:r>
      <w:r w:rsidRPr="00F40D75">
        <w:t>nd Documents</w:t>
      </w:r>
      <w:bookmarkEnd w:id="42"/>
      <w:bookmarkEnd w:id="43"/>
    </w:p>
    <w:p w14:paraId="6932D38C" w14:textId="4993F96E" w:rsidR="00F40D75" w:rsidRPr="00F40D75" w:rsidRDefault="009639A8" w:rsidP="00162C05">
      <w:pPr>
        <w:pStyle w:val="Style1"/>
        <w:numPr>
          <w:ilvl w:val="0"/>
          <w:numId w:val="24"/>
        </w:numPr>
      </w:pPr>
      <w:r>
        <w:t xml:space="preserve">Detailed Service Restriction Policies listed in </w:t>
      </w:r>
      <w:r w:rsidRPr="00E14976">
        <w:rPr>
          <w:b/>
          <w:bCs/>
        </w:rPr>
        <w:t>Appendix B</w:t>
      </w:r>
      <w:r>
        <w:t>.</w:t>
      </w:r>
    </w:p>
    <w:p w14:paraId="5DEA8583" w14:textId="7E5DFB51" w:rsidR="00F40D75" w:rsidRPr="00C256ED" w:rsidRDefault="00F40D75" w:rsidP="00F40D75">
      <w:pPr>
        <w:widowControl w:val="0"/>
        <w:spacing w:before="100" w:beforeAutospacing="1" w:after="100" w:afterAutospacing="1"/>
        <w:ind w:left="414" w:firstLine="720"/>
        <w:outlineLvl w:val="3"/>
        <w:rPr>
          <w:rFonts w:asciiTheme="majorHAnsi" w:eastAsiaTheme="majorEastAsia" w:hAnsiTheme="majorHAnsi" w:cstheme="majorBidi"/>
          <w:b/>
          <w:iCs/>
          <w:color w:val="0000FF"/>
        </w:rPr>
      </w:pPr>
      <w:hyperlink r:id="rId15" w:history="1">
        <w:r w:rsidRPr="00C256ED">
          <w:rPr>
            <w:rStyle w:val="Hyperlink"/>
            <w:rFonts w:asciiTheme="majorHAnsi" w:eastAsiaTheme="majorEastAsia" w:hAnsiTheme="majorHAnsi" w:cstheme="majorBidi"/>
            <w:b/>
            <w:iCs/>
            <w:color w:val="0000FF"/>
          </w:rPr>
          <w:t>Associated Policies</w:t>
        </w:r>
      </w:hyperlink>
    </w:p>
    <w:p w14:paraId="0910E2C3" w14:textId="7F91B0BA" w:rsidR="00F40D75" w:rsidRDefault="009639A8" w:rsidP="00162C05">
      <w:pPr>
        <w:pStyle w:val="ListParagraph"/>
        <w:numPr>
          <w:ilvl w:val="0"/>
          <w:numId w:val="24"/>
        </w:numPr>
        <w:spacing w:before="100" w:beforeAutospacing="1" w:after="100" w:afterAutospacing="1"/>
      </w:pPr>
      <w:r>
        <w:t>Decision Making Policy</w:t>
      </w:r>
    </w:p>
    <w:p w14:paraId="10264B10" w14:textId="638617C4" w:rsidR="009639A8" w:rsidRDefault="009639A8" w:rsidP="00162C05">
      <w:pPr>
        <w:pStyle w:val="ListParagraph"/>
        <w:numPr>
          <w:ilvl w:val="0"/>
          <w:numId w:val="24"/>
        </w:numPr>
        <w:spacing w:before="100" w:beforeAutospacing="1" w:after="100" w:afterAutospacing="1"/>
      </w:pPr>
      <w:r>
        <w:t>Individual Funding Request Policy</w:t>
      </w:r>
    </w:p>
    <w:p w14:paraId="0F11E2A3" w14:textId="0DA2D4C1" w:rsidR="009639A8" w:rsidRPr="001F64C6" w:rsidRDefault="009639A8" w:rsidP="00162C05">
      <w:pPr>
        <w:pStyle w:val="ListParagraph"/>
        <w:numPr>
          <w:ilvl w:val="0"/>
          <w:numId w:val="24"/>
        </w:numPr>
        <w:spacing w:before="100" w:beforeAutospacing="1" w:after="100" w:afterAutospacing="1"/>
      </w:pPr>
      <w:r>
        <w:t>Equality and Health Inequality Impact Assessment Policy</w:t>
      </w:r>
    </w:p>
    <w:p w14:paraId="67D80317" w14:textId="77777777" w:rsidR="00F40D75" w:rsidRPr="00F40D75" w:rsidRDefault="669EECD1" w:rsidP="00F40D75">
      <w:pPr>
        <w:pStyle w:val="Heading2"/>
      </w:pPr>
      <w:bookmarkStart w:id="44" w:name="_Toc108099471"/>
      <w:bookmarkStart w:id="45" w:name="_Toc155687907"/>
      <w:r>
        <w:t>References</w:t>
      </w:r>
      <w:bookmarkEnd w:id="44"/>
      <w:bookmarkEnd w:id="45"/>
    </w:p>
    <w:p w14:paraId="64FB88A8" w14:textId="0F3376BC" w:rsidR="00F40D75" w:rsidRPr="001F64C6" w:rsidRDefault="00404328" w:rsidP="00162C05">
      <w:pPr>
        <w:pStyle w:val="ListParagraph"/>
        <w:numPr>
          <w:ilvl w:val="1"/>
          <w:numId w:val="25"/>
        </w:numPr>
        <w:ind w:left="1843" w:hanging="283"/>
      </w:pPr>
      <w:r>
        <w:t>Each restriction policy includes references relating to the basis for the policy</w:t>
      </w:r>
      <w:r w:rsidR="00F40D75" w:rsidRPr="001F64C6">
        <w:t>.</w:t>
      </w:r>
    </w:p>
    <w:p w14:paraId="20B6862D" w14:textId="77777777" w:rsidR="00F40D75" w:rsidRPr="00F40D75" w:rsidRDefault="00F40D75" w:rsidP="001F64C6">
      <w:pPr>
        <w:pStyle w:val="Heading2"/>
      </w:pPr>
      <w:bookmarkStart w:id="46" w:name="_Toc108099472"/>
      <w:bookmarkStart w:id="47" w:name="_Toc155687908"/>
      <w:r w:rsidRPr="00F40D75">
        <w:t>Equality Impact Assessment</w:t>
      </w:r>
      <w:bookmarkEnd w:id="46"/>
      <w:bookmarkEnd w:id="47"/>
    </w:p>
    <w:p w14:paraId="15462A77" w14:textId="0D7D76B4" w:rsidR="00F40D75" w:rsidRPr="00F40D75" w:rsidRDefault="00580E78" w:rsidP="001F64C6">
      <w:pPr>
        <w:pStyle w:val="Style1"/>
      </w:pPr>
      <w:r>
        <w:t>T</w:t>
      </w:r>
      <w:r w:rsidR="00F40D75" w:rsidRPr="00F40D75">
        <w:t xml:space="preserve">he EIA has identified no equality issues with this policy.  </w:t>
      </w:r>
    </w:p>
    <w:p w14:paraId="3FD7E0F6" w14:textId="77777777" w:rsidR="00F40D75" w:rsidRPr="00F40D75" w:rsidRDefault="00F40D75" w:rsidP="001F64C6">
      <w:pPr>
        <w:pStyle w:val="Style1"/>
      </w:pPr>
      <w:r w:rsidRPr="00F40D75">
        <w:t xml:space="preserve">The EIA has been included as </w:t>
      </w:r>
      <w:r w:rsidRPr="00C256ED">
        <w:rPr>
          <w:b/>
          <w:bCs/>
        </w:rPr>
        <w:t>Appendix A</w:t>
      </w:r>
      <w:r w:rsidRPr="00F40D75">
        <w:t>.</w:t>
      </w:r>
    </w:p>
    <w:p w14:paraId="57DE0D04" w14:textId="77777777" w:rsidR="00F40D75" w:rsidRPr="00F40D75" w:rsidRDefault="00F40D75" w:rsidP="00F40D75">
      <w:pPr>
        <w:spacing w:before="0" w:after="0"/>
        <w:ind w:left="0"/>
        <w:rPr>
          <w:rFonts w:asciiTheme="majorHAnsi" w:eastAsiaTheme="majorEastAsia" w:hAnsiTheme="majorHAnsi" w:cstheme="majorBidi"/>
          <w:color w:val="001743" w:themeColor="accent1" w:themeShade="7F"/>
        </w:rPr>
      </w:pPr>
      <w:r w:rsidRPr="00F40D75">
        <w:br w:type="page"/>
      </w:r>
    </w:p>
    <w:p w14:paraId="7CA62F83" w14:textId="77777777" w:rsidR="00F40D75" w:rsidRPr="00F40D75" w:rsidRDefault="00F40D75" w:rsidP="00D50A0A">
      <w:pPr>
        <w:pStyle w:val="Heading2"/>
        <w:numPr>
          <w:ilvl w:val="0"/>
          <w:numId w:val="0"/>
        </w:numPr>
        <w:ind w:left="1134" w:hanging="1134"/>
      </w:pPr>
      <w:bookmarkStart w:id="48" w:name="_Toc155687909"/>
      <w:r w:rsidRPr="00F40D75">
        <w:lastRenderedPageBreak/>
        <w:t>Appendix A - Equality Impact Assessment</w:t>
      </w:r>
      <w:bookmarkEnd w:id="48"/>
    </w:p>
    <w:p w14:paraId="0E79A55C" w14:textId="77777777" w:rsidR="00F40D75" w:rsidRPr="00F40D75" w:rsidRDefault="00F40D75" w:rsidP="00F40D75">
      <w:pPr>
        <w:keepNext/>
        <w:keepLines/>
        <w:spacing w:before="240"/>
        <w:ind w:left="0"/>
        <w:outlineLvl w:val="0"/>
        <w:rPr>
          <w:rFonts w:asciiTheme="majorHAnsi" w:eastAsia="Times New Roman" w:hAnsiTheme="majorHAnsi" w:cstheme="majorBidi"/>
          <w:b/>
        </w:rPr>
      </w:pPr>
      <w:r w:rsidRPr="00F40D75">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0"/>
        <w:gridCol w:w="3793"/>
      </w:tblGrid>
      <w:tr w:rsidR="00F40D75" w:rsidRPr="00F40D75" w14:paraId="561E6995" w14:textId="77777777" w:rsidTr="001F64C6">
        <w:trPr>
          <w:trHeight w:val="743"/>
        </w:trPr>
        <w:tc>
          <w:tcPr>
            <w:tcW w:w="2966" w:type="pct"/>
          </w:tcPr>
          <w:p w14:paraId="6BC97C22" w14:textId="77777777" w:rsidR="00F40D75" w:rsidRPr="00F40D75" w:rsidRDefault="00F40D75" w:rsidP="00F40D75">
            <w:pPr>
              <w:spacing w:before="0" w:after="0"/>
              <w:ind w:left="0"/>
              <w:rPr>
                <w:rFonts w:ascii="Arial" w:eastAsia="Times New Roman" w:hAnsi="Arial" w:cs="Arial"/>
                <w:b/>
                <w:bCs/>
                <w:color w:val="auto"/>
              </w:rPr>
            </w:pPr>
            <w:r w:rsidRPr="00F40D75">
              <w:rPr>
                <w:rFonts w:ascii="Arial" w:eastAsia="Times New Roman" w:hAnsi="Arial" w:cs="Arial"/>
                <w:b/>
                <w:bCs/>
                <w:color w:val="auto"/>
              </w:rPr>
              <w:t>Name of policy</w:t>
            </w:r>
            <w:r w:rsidR="001F64C6">
              <w:rPr>
                <w:rFonts w:ascii="Arial" w:eastAsia="Times New Roman" w:hAnsi="Arial" w:cs="Arial"/>
                <w:b/>
                <w:bCs/>
                <w:color w:val="auto"/>
              </w:rPr>
              <w:t xml:space="preserve"> and version number:</w:t>
            </w:r>
          </w:p>
          <w:p w14:paraId="2BAC09A8" w14:textId="09DC7250" w:rsidR="00F40D75" w:rsidRPr="00F40D75" w:rsidRDefault="00303E6A" w:rsidP="00F40D75">
            <w:pPr>
              <w:spacing w:before="0" w:after="0"/>
              <w:ind w:left="0"/>
              <w:rPr>
                <w:rFonts w:ascii="Arial" w:eastAsia="Times New Roman" w:hAnsi="Arial" w:cs="Arial"/>
                <w:bCs/>
                <w:color w:val="auto"/>
              </w:rPr>
            </w:pPr>
            <w:r>
              <w:rPr>
                <w:rFonts w:ascii="Arial" w:eastAsia="Times New Roman" w:hAnsi="Arial" w:cs="Arial"/>
                <w:bCs/>
                <w:color w:val="auto"/>
              </w:rPr>
              <w:t>Service Restriction Policy</w:t>
            </w:r>
            <w:r w:rsidR="00F40D75" w:rsidRPr="00F40D75">
              <w:rPr>
                <w:rFonts w:ascii="Arial" w:eastAsia="Times New Roman" w:hAnsi="Arial" w:cs="Arial"/>
                <w:bCs/>
                <w:color w:val="auto"/>
              </w:rPr>
              <w:tab/>
            </w:r>
            <w:r w:rsidR="00F40D75" w:rsidRPr="00F40D75">
              <w:rPr>
                <w:rFonts w:ascii="Arial" w:eastAsia="Times New Roman" w:hAnsi="Arial" w:cs="Arial"/>
                <w:b/>
                <w:bCs/>
                <w:color w:val="auto"/>
              </w:rPr>
              <w:t xml:space="preserve"> </w:t>
            </w:r>
          </w:p>
        </w:tc>
        <w:tc>
          <w:tcPr>
            <w:tcW w:w="2034" w:type="pct"/>
          </w:tcPr>
          <w:p w14:paraId="01FB3BB1"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
                <w:bCs/>
                <w:color w:val="auto"/>
              </w:rPr>
              <w:t>Directorate/Service</w:t>
            </w:r>
            <w:r w:rsidRPr="00F40D75">
              <w:rPr>
                <w:rFonts w:ascii="Arial" w:eastAsia="Times New Roman" w:hAnsi="Arial" w:cs="Arial"/>
                <w:bCs/>
                <w:color w:val="auto"/>
              </w:rPr>
              <w:t xml:space="preserve">: </w:t>
            </w:r>
          </w:p>
          <w:p w14:paraId="1E2D979F" w14:textId="0A63D40B" w:rsidR="00F40D75" w:rsidRPr="00F40D75" w:rsidRDefault="00303E6A" w:rsidP="00F40D75">
            <w:pPr>
              <w:spacing w:before="0" w:after="0"/>
              <w:ind w:left="0"/>
              <w:rPr>
                <w:rFonts w:ascii="Arial" w:eastAsia="Times New Roman" w:hAnsi="Arial" w:cs="Arial"/>
                <w:bCs/>
                <w:color w:val="auto"/>
              </w:rPr>
            </w:pPr>
            <w:r>
              <w:rPr>
                <w:rFonts w:ascii="Arial" w:eastAsia="Times New Roman" w:hAnsi="Arial" w:cs="Arial"/>
                <w:bCs/>
                <w:color w:val="auto"/>
              </w:rPr>
              <w:t>Clinical Leadership and Innovation</w:t>
            </w:r>
          </w:p>
        </w:tc>
      </w:tr>
      <w:tr w:rsidR="00F40D75" w:rsidRPr="00F40D75" w14:paraId="541F9697" w14:textId="77777777" w:rsidTr="001F64C6">
        <w:trPr>
          <w:trHeight w:val="697"/>
        </w:trPr>
        <w:tc>
          <w:tcPr>
            <w:tcW w:w="2966" w:type="pct"/>
          </w:tcPr>
          <w:p w14:paraId="67C55A29" w14:textId="77777777" w:rsidR="00F40D75" w:rsidRPr="00F40D75" w:rsidRDefault="00F40D75" w:rsidP="00F40D75">
            <w:pPr>
              <w:spacing w:before="0" w:after="0"/>
              <w:ind w:left="0"/>
              <w:rPr>
                <w:rFonts w:ascii="Arial" w:eastAsia="Times New Roman" w:hAnsi="Arial" w:cs="Arial"/>
                <w:b/>
                <w:bCs/>
                <w:color w:val="auto"/>
              </w:rPr>
            </w:pPr>
            <w:r w:rsidRPr="00F40D75">
              <w:rPr>
                <w:rFonts w:ascii="Arial" w:eastAsia="Times New Roman" w:hAnsi="Arial" w:cs="Arial"/>
                <w:b/>
                <w:bCs/>
                <w:color w:val="auto"/>
              </w:rPr>
              <w:t xml:space="preserve">Assessor’s Name and Job Title: </w:t>
            </w:r>
          </w:p>
          <w:p w14:paraId="1920B95A" w14:textId="55454CFA" w:rsidR="00F40D75" w:rsidRPr="00F40D75" w:rsidRDefault="00303E6A" w:rsidP="00F40D75">
            <w:pPr>
              <w:spacing w:before="0" w:after="0"/>
              <w:ind w:left="0"/>
              <w:rPr>
                <w:rFonts w:ascii="Arial" w:eastAsia="Times New Roman" w:hAnsi="Arial" w:cs="Arial"/>
                <w:bCs/>
                <w:color w:val="auto"/>
              </w:rPr>
            </w:pPr>
            <w:r>
              <w:rPr>
                <w:rFonts w:ascii="Arial" w:eastAsia="Times New Roman" w:hAnsi="Arial" w:cs="Arial"/>
                <w:bCs/>
                <w:color w:val="auto"/>
              </w:rPr>
              <w:t>Paula Wilkinson</w:t>
            </w:r>
          </w:p>
        </w:tc>
        <w:tc>
          <w:tcPr>
            <w:tcW w:w="2034" w:type="pct"/>
          </w:tcPr>
          <w:p w14:paraId="17737F19"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
                <w:bCs/>
                <w:color w:val="auto"/>
              </w:rPr>
              <w:t>Date:</w:t>
            </w:r>
            <w:r w:rsidRPr="00F40D75">
              <w:rPr>
                <w:rFonts w:ascii="Arial" w:eastAsia="Times New Roman" w:hAnsi="Arial" w:cs="Arial"/>
                <w:bCs/>
                <w:color w:val="auto"/>
              </w:rPr>
              <w:t xml:space="preserve"> </w:t>
            </w:r>
          </w:p>
          <w:p w14:paraId="44DFADE9" w14:textId="53D9F436" w:rsidR="00F40D75" w:rsidRPr="00F40D75" w:rsidRDefault="00303E6A" w:rsidP="00F40D75">
            <w:pPr>
              <w:spacing w:before="0" w:after="0"/>
              <w:ind w:left="0"/>
              <w:rPr>
                <w:rFonts w:ascii="Arial" w:eastAsia="Times New Roman" w:hAnsi="Arial" w:cs="Arial"/>
                <w:bCs/>
                <w:color w:val="auto"/>
              </w:rPr>
            </w:pPr>
            <w:r>
              <w:rPr>
                <w:rFonts w:ascii="Arial" w:eastAsia="Times New Roman" w:hAnsi="Arial" w:cs="Arial"/>
                <w:bCs/>
                <w:color w:val="auto"/>
              </w:rPr>
              <w:t>09/01/2024</w:t>
            </w:r>
          </w:p>
        </w:tc>
      </w:tr>
    </w:tbl>
    <w:p w14:paraId="5AE0FB9E" w14:textId="77777777" w:rsidR="00F40D75" w:rsidRPr="00F40D75" w:rsidRDefault="00F40D75" w:rsidP="00F40D75">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3"/>
      </w:tblGrid>
      <w:tr w:rsidR="00F40D75" w:rsidRPr="00F40D75" w14:paraId="1B9B5C5F" w14:textId="77777777" w:rsidTr="00DB1144">
        <w:tc>
          <w:tcPr>
            <w:tcW w:w="5000" w:type="pct"/>
            <w:vAlign w:val="center"/>
          </w:tcPr>
          <w:p w14:paraId="0421B14C" w14:textId="77777777" w:rsidR="00F40D75" w:rsidRPr="00F40D75" w:rsidRDefault="00F40D75" w:rsidP="00F40D75">
            <w:pPr>
              <w:spacing w:before="0" w:after="0"/>
              <w:ind w:left="0"/>
              <w:rPr>
                <w:rFonts w:ascii="Arial" w:eastAsia="Times New Roman" w:hAnsi="Arial" w:cs="Arial"/>
                <w:b/>
                <w:bCs/>
                <w:color w:val="000000"/>
              </w:rPr>
            </w:pPr>
            <w:r w:rsidRPr="00F40D75">
              <w:rPr>
                <w:rFonts w:ascii="Arial" w:eastAsia="Times New Roman" w:hAnsi="Arial" w:cs="Arial"/>
                <w:b/>
                <w:bCs/>
                <w:color w:val="000000"/>
              </w:rPr>
              <w:t>OUTCOMES</w:t>
            </w:r>
          </w:p>
        </w:tc>
      </w:tr>
      <w:tr w:rsidR="00F40D75" w:rsidRPr="00F40D75" w14:paraId="77CFC568" w14:textId="77777777" w:rsidTr="00DB1144">
        <w:tc>
          <w:tcPr>
            <w:tcW w:w="5000" w:type="pct"/>
          </w:tcPr>
          <w:p w14:paraId="32335EFC"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 xml:space="preserve">Briefly describe the aim of the policy and state the intended outcomes for staff </w:t>
            </w:r>
          </w:p>
        </w:tc>
      </w:tr>
      <w:tr w:rsidR="00F40D75" w:rsidRPr="00F40D75" w14:paraId="227F37BB" w14:textId="77777777" w:rsidTr="00DB1144">
        <w:trPr>
          <w:trHeight w:val="1987"/>
        </w:trPr>
        <w:tc>
          <w:tcPr>
            <w:tcW w:w="5000" w:type="pct"/>
          </w:tcPr>
          <w:p w14:paraId="78D51B24" w14:textId="095FC532" w:rsidR="00F40D75" w:rsidRPr="00F40D75" w:rsidRDefault="00797453" w:rsidP="00F40D75">
            <w:pPr>
              <w:autoSpaceDE w:val="0"/>
              <w:autoSpaceDN w:val="0"/>
              <w:adjustRightInd w:val="0"/>
              <w:spacing w:before="0" w:after="0"/>
              <w:ind w:left="0"/>
              <w:rPr>
                <w:rFonts w:ascii="Arial" w:eastAsia="Times New Roman" w:hAnsi="Arial" w:cs="Arial"/>
                <w:b/>
                <w:bCs/>
                <w:color w:val="000000"/>
              </w:rPr>
            </w:pPr>
            <w:r>
              <w:rPr>
                <w:rFonts w:ascii="Arial" w:eastAsia="Times New Roman" w:hAnsi="Arial" w:cs="Arial"/>
                <w:b/>
                <w:bCs/>
                <w:color w:val="000000"/>
              </w:rPr>
              <w:t>To define the governance process for service restriction.</w:t>
            </w:r>
          </w:p>
        </w:tc>
      </w:tr>
      <w:tr w:rsidR="00F40D75" w:rsidRPr="00F40D75" w14:paraId="0FAFA840" w14:textId="77777777" w:rsidTr="00DB1144">
        <w:tc>
          <w:tcPr>
            <w:tcW w:w="5000" w:type="pct"/>
            <w:vAlign w:val="center"/>
          </w:tcPr>
          <w:p w14:paraId="0589B9F5" w14:textId="77777777" w:rsidR="00F40D75" w:rsidRPr="00F40D75" w:rsidRDefault="00F40D75" w:rsidP="00F40D75">
            <w:pPr>
              <w:spacing w:before="0" w:after="0"/>
              <w:ind w:left="0"/>
              <w:rPr>
                <w:rFonts w:ascii="Arial" w:eastAsia="Times New Roman" w:hAnsi="Arial" w:cs="Arial"/>
                <w:b/>
                <w:color w:val="auto"/>
              </w:rPr>
            </w:pPr>
            <w:r w:rsidRPr="00F40D75">
              <w:rPr>
                <w:rFonts w:ascii="Arial" w:eastAsia="Times New Roman" w:hAnsi="Arial" w:cs="Arial"/>
                <w:b/>
                <w:color w:val="auto"/>
              </w:rPr>
              <w:t>EVIDENCE</w:t>
            </w:r>
          </w:p>
        </w:tc>
      </w:tr>
      <w:tr w:rsidR="00F40D75" w:rsidRPr="00F40D75" w14:paraId="1969F8A9" w14:textId="77777777" w:rsidTr="00DB1144">
        <w:tc>
          <w:tcPr>
            <w:tcW w:w="5000" w:type="pct"/>
          </w:tcPr>
          <w:p w14:paraId="60D65439" w14:textId="77777777" w:rsidR="00F40D75" w:rsidRPr="00F40D75" w:rsidRDefault="00F40D75" w:rsidP="00F40D75">
            <w:pPr>
              <w:spacing w:before="0" w:after="0"/>
              <w:ind w:left="0"/>
              <w:rPr>
                <w:rFonts w:ascii="Arial" w:eastAsia="Times New Roman" w:hAnsi="Arial" w:cs="Arial"/>
                <w:b/>
                <w:i/>
                <w:iCs/>
                <w:color w:val="auto"/>
              </w:rPr>
            </w:pPr>
            <w:r w:rsidRPr="00F40D75">
              <w:rPr>
                <w:rFonts w:ascii="Arial" w:eastAsia="Times New Roman" w:hAnsi="Arial" w:cs="Arial"/>
                <w:bCs/>
                <w:i/>
                <w:iCs/>
                <w:color w:val="auto"/>
              </w:rPr>
              <w:t>What data / information have you used to assess how this policy might impact on protected groups?</w:t>
            </w:r>
          </w:p>
        </w:tc>
      </w:tr>
      <w:tr w:rsidR="00F40D75" w:rsidRPr="00F40D75" w14:paraId="54426D4A" w14:textId="77777777" w:rsidTr="00DB1144">
        <w:trPr>
          <w:trHeight w:val="778"/>
        </w:trPr>
        <w:tc>
          <w:tcPr>
            <w:tcW w:w="5000" w:type="pct"/>
          </w:tcPr>
          <w:p w14:paraId="117518BB" w14:textId="35225C46" w:rsidR="00F40D75" w:rsidRPr="00F40D75" w:rsidRDefault="00797453" w:rsidP="00F40D75">
            <w:pPr>
              <w:spacing w:before="0" w:after="0"/>
              <w:ind w:left="0"/>
              <w:rPr>
                <w:rFonts w:ascii="Arial" w:eastAsia="Times New Roman" w:hAnsi="Arial" w:cs="Arial"/>
                <w:b/>
                <w:color w:val="auto"/>
              </w:rPr>
            </w:pPr>
            <w:r>
              <w:rPr>
                <w:rFonts w:ascii="Arial" w:eastAsia="Times New Roman" w:hAnsi="Arial" w:cs="Arial"/>
                <w:b/>
                <w:color w:val="auto"/>
              </w:rPr>
              <w:t>This policy defines governance process and does not impact on the delivery of or access to services by anyone.</w:t>
            </w:r>
          </w:p>
        </w:tc>
      </w:tr>
      <w:tr w:rsidR="00F40D75" w:rsidRPr="00F40D75" w14:paraId="04F05D55" w14:textId="77777777" w:rsidTr="00DB1144">
        <w:tc>
          <w:tcPr>
            <w:tcW w:w="5000" w:type="pct"/>
          </w:tcPr>
          <w:p w14:paraId="136781EF" w14:textId="77777777" w:rsidR="00F40D75" w:rsidRPr="00F40D75" w:rsidRDefault="00F40D75" w:rsidP="00F40D75">
            <w:pPr>
              <w:spacing w:before="0" w:after="0"/>
              <w:ind w:left="0"/>
              <w:rPr>
                <w:rFonts w:ascii="Arial" w:eastAsia="MS Mincho" w:hAnsi="Arial" w:cs="Arial"/>
                <w:bCs/>
                <w:i/>
                <w:iCs/>
                <w:color w:val="000000"/>
              </w:rPr>
            </w:pPr>
            <w:r w:rsidRPr="00F40D75">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F40D75" w:rsidRPr="00F40D75" w14:paraId="7345DF1F" w14:textId="77777777" w:rsidTr="00DB1144">
        <w:trPr>
          <w:trHeight w:val="926"/>
        </w:trPr>
        <w:tc>
          <w:tcPr>
            <w:tcW w:w="5000" w:type="pct"/>
          </w:tcPr>
          <w:p w14:paraId="14393F80" w14:textId="76473939" w:rsidR="00F40D75" w:rsidRPr="006076E5" w:rsidRDefault="006076E5" w:rsidP="00F40D75">
            <w:pPr>
              <w:spacing w:before="0" w:after="0"/>
              <w:ind w:left="0"/>
              <w:rPr>
                <w:rFonts w:ascii="Arial" w:eastAsia="Times New Roman" w:hAnsi="Arial" w:cs="Arial"/>
                <w:b/>
                <w:bCs/>
                <w:color w:val="auto"/>
              </w:rPr>
            </w:pPr>
            <w:r w:rsidRPr="006076E5">
              <w:rPr>
                <w:rFonts w:ascii="Arial" w:eastAsia="Times New Roman" w:hAnsi="Arial" w:cs="Arial"/>
                <w:b/>
                <w:bCs/>
                <w:color w:val="auto"/>
              </w:rPr>
              <w:t>N/A</w:t>
            </w:r>
          </w:p>
        </w:tc>
      </w:tr>
    </w:tbl>
    <w:p w14:paraId="5A8DAF5B" w14:textId="77777777" w:rsidR="00F40D75" w:rsidRPr="00F40D75" w:rsidRDefault="00F40D75" w:rsidP="00F40D75">
      <w:pPr>
        <w:keepNext/>
        <w:keepLines/>
        <w:spacing w:before="240"/>
        <w:ind w:left="0"/>
        <w:outlineLvl w:val="0"/>
        <w:rPr>
          <w:rFonts w:asciiTheme="majorHAnsi" w:eastAsia="Times New Roman" w:hAnsiTheme="majorHAnsi" w:cstheme="majorBidi"/>
          <w:b/>
          <w:color w:val="auto"/>
        </w:rPr>
      </w:pPr>
      <w:r w:rsidRPr="00F40D75">
        <w:rPr>
          <w:rFonts w:asciiTheme="majorHAnsi" w:eastAsia="MS Mincho" w:hAnsiTheme="majorHAnsi" w:cstheme="majorBidi"/>
          <w:b/>
        </w:rPr>
        <w:t xml:space="preserve">ANALYSIS OF IMPACT ON EQUALITY </w:t>
      </w:r>
    </w:p>
    <w:p w14:paraId="088D2315" w14:textId="77777777" w:rsidR="00F40D75" w:rsidRPr="00F40D75" w:rsidRDefault="00F40D75" w:rsidP="00C0647A">
      <w:pPr>
        <w:spacing w:before="240" w:after="240"/>
        <w:ind w:left="0"/>
        <w:rPr>
          <w:rFonts w:ascii="Arial" w:eastAsia="Times New Roman" w:hAnsi="Arial" w:cs="Arial"/>
          <w:color w:val="auto"/>
        </w:rPr>
      </w:pPr>
      <w:r w:rsidRPr="00F40D75">
        <w:rPr>
          <w:rFonts w:ascii="Arial" w:eastAsia="Times New Roman" w:hAnsi="Arial" w:cs="Arial"/>
          <w:color w:val="auto"/>
        </w:rPr>
        <w:t xml:space="preserve">The Public Sector Equality Duty requires us to </w:t>
      </w:r>
      <w:r w:rsidRPr="00F40D75">
        <w:rPr>
          <w:rFonts w:ascii="Arial" w:eastAsia="Times New Roman" w:hAnsi="Arial" w:cs="Arial"/>
          <w:b/>
          <w:color w:val="auto"/>
        </w:rPr>
        <w:t>eliminate</w:t>
      </w:r>
      <w:r w:rsidRPr="00F40D75">
        <w:rPr>
          <w:rFonts w:ascii="Arial" w:eastAsia="Times New Roman" w:hAnsi="Arial" w:cs="Arial"/>
          <w:color w:val="auto"/>
        </w:rPr>
        <w:t xml:space="preserve"> discrimination, </w:t>
      </w:r>
      <w:r w:rsidRPr="00F40D75">
        <w:rPr>
          <w:rFonts w:ascii="Arial" w:eastAsia="Times New Roman" w:hAnsi="Arial" w:cs="Arial"/>
          <w:b/>
          <w:color w:val="auto"/>
        </w:rPr>
        <w:t>advance</w:t>
      </w:r>
      <w:r w:rsidRPr="00F40D75">
        <w:rPr>
          <w:rFonts w:ascii="Arial" w:eastAsia="Times New Roman" w:hAnsi="Arial" w:cs="Arial"/>
          <w:color w:val="auto"/>
        </w:rPr>
        <w:t xml:space="preserve"> equality of opportunity and </w:t>
      </w:r>
      <w:r w:rsidRPr="00F40D75">
        <w:rPr>
          <w:rFonts w:ascii="Arial" w:eastAsia="Times New Roman" w:hAnsi="Arial" w:cs="Arial"/>
          <w:b/>
          <w:color w:val="auto"/>
        </w:rPr>
        <w:t>foster</w:t>
      </w:r>
      <w:r w:rsidRPr="00F40D75">
        <w:rPr>
          <w:rFonts w:ascii="Arial" w:eastAsia="Times New Roman" w:hAnsi="Arial" w:cs="Arial"/>
          <w:color w:val="auto"/>
        </w:rPr>
        <w:t xml:space="preserve"> good relations with protected groups.   Consider how this policy / service will achieve these aims.</w:t>
      </w:r>
    </w:p>
    <w:p w14:paraId="29879B1F" w14:textId="77777777" w:rsidR="00F40D75" w:rsidRPr="00F40D75" w:rsidRDefault="00F40D75" w:rsidP="00C0647A">
      <w:pPr>
        <w:spacing w:before="240" w:after="240"/>
        <w:ind w:left="0"/>
        <w:rPr>
          <w:rFonts w:ascii="Arial" w:eastAsia="Times New Roman" w:hAnsi="Arial" w:cs="Arial"/>
          <w:color w:val="auto"/>
        </w:rPr>
      </w:pPr>
      <w:r w:rsidRPr="00F40D75">
        <w:rPr>
          <w:rFonts w:ascii="Arial" w:eastAsia="Times New Roman" w:hAnsi="Arial" w:cs="Arial"/>
          <w:color w:val="auto"/>
        </w:rPr>
        <w:t>N.B. In some cases it is legal to treat people differently (objective justification).</w:t>
      </w:r>
    </w:p>
    <w:p w14:paraId="5256BA78" w14:textId="77777777" w:rsidR="00F40D75" w:rsidRPr="00F40D75" w:rsidRDefault="00F40D75" w:rsidP="00162C05">
      <w:pPr>
        <w:numPr>
          <w:ilvl w:val="0"/>
          <w:numId w:val="21"/>
        </w:numPr>
        <w:spacing w:before="0" w:after="0"/>
        <w:ind w:left="709" w:hanging="709"/>
        <w:rPr>
          <w:rFonts w:ascii="Arial" w:eastAsia="Times New Roman" w:hAnsi="Arial" w:cs="Arial"/>
          <w:i/>
          <w:color w:val="auto"/>
        </w:rPr>
      </w:pPr>
      <w:r w:rsidRPr="00F40D75">
        <w:rPr>
          <w:rFonts w:ascii="Arial" w:eastAsia="Times New Roman" w:hAnsi="Arial" w:cs="Arial"/>
          <w:b/>
          <w:bCs/>
          <w:i/>
          <w:color w:val="auto"/>
        </w:rPr>
        <w:t>Positive outcome</w:t>
      </w:r>
      <w:r w:rsidRPr="00F40D75">
        <w:rPr>
          <w:rFonts w:ascii="Arial" w:eastAsia="Times New Roman" w:hAnsi="Arial" w:cs="Arial"/>
          <w:i/>
          <w:color w:val="auto"/>
        </w:rPr>
        <w:t xml:space="preserve"> – the policy/service eliminates discrimination, advances equality of opportunity and fosters good relations with protected groups</w:t>
      </w:r>
    </w:p>
    <w:p w14:paraId="643C6F00" w14:textId="77777777" w:rsidR="00F40D75" w:rsidRPr="00F40D75" w:rsidRDefault="00F40D75" w:rsidP="00162C05">
      <w:pPr>
        <w:numPr>
          <w:ilvl w:val="0"/>
          <w:numId w:val="21"/>
        </w:numPr>
        <w:spacing w:before="0" w:after="0"/>
        <w:ind w:left="709" w:hanging="709"/>
        <w:rPr>
          <w:rFonts w:ascii="Arial" w:eastAsia="Times New Roman" w:hAnsi="Arial" w:cs="Arial"/>
          <w:b/>
          <w:bCs/>
          <w:i/>
          <w:color w:val="auto"/>
        </w:rPr>
      </w:pPr>
      <w:r w:rsidRPr="00F40D75">
        <w:rPr>
          <w:rFonts w:ascii="Arial" w:eastAsia="Times New Roman" w:hAnsi="Arial" w:cs="Arial"/>
          <w:b/>
          <w:bCs/>
          <w:i/>
          <w:color w:val="auto"/>
        </w:rPr>
        <w:t xml:space="preserve">Negative outcome </w:t>
      </w:r>
      <w:r w:rsidRPr="00F40D75">
        <w:rPr>
          <w:rFonts w:ascii="Arial" w:eastAsia="Times New Roman" w:hAnsi="Arial" w:cs="Arial"/>
          <w:bCs/>
          <w:i/>
          <w:color w:val="auto"/>
        </w:rPr>
        <w:t>–</w:t>
      </w:r>
      <w:r w:rsidRPr="00F40D75">
        <w:rPr>
          <w:rFonts w:ascii="Arial" w:eastAsia="Times New Roman" w:hAnsi="Arial" w:cs="Arial"/>
          <w:b/>
          <w:bCs/>
          <w:i/>
          <w:color w:val="auto"/>
        </w:rPr>
        <w:t xml:space="preserve"> </w:t>
      </w:r>
      <w:r w:rsidRPr="00F40D75">
        <w:rPr>
          <w:rFonts w:ascii="Arial" w:eastAsia="Times New Roman" w:hAnsi="Arial" w:cs="Arial"/>
          <w:bCs/>
          <w:i/>
          <w:color w:val="auto"/>
        </w:rPr>
        <w:t>protected group(s) could be disadvantaged or discriminated against</w:t>
      </w:r>
    </w:p>
    <w:p w14:paraId="7D7B31EE" w14:textId="77777777" w:rsidR="00F40D75" w:rsidRPr="00F40D75" w:rsidRDefault="00F40D75" w:rsidP="00162C05">
      <w:pPr>
        <w:numPr>
          <w:ilvl w:val="0"/>
          <w:numId w:val="21"/>
        </w:numPr>
        <w:spacing w:before="0" w:after="0"/>
        <w:ind w:left="709" w:hanging="709"/>
        <w:rPr>
          <w:rFonts w:ascii="Arial" w:eastAsia="Times New Roman" w:hAnsi="Arial" w:cs="Arial"/>
          <w:b/>
          <w:bCs/>
          <w:i/>
          <w:color w:val="auto"/>
        </w:rPr>
      </w:pPr>
      <w:r w:rsidRPr="00F40D75">
        <w:rPr>
          <w:rFonts w:ascii="Arial" w:eastAsia="Times New Roman" w:hAnsi="Arial" w:cs="Arial"/>
          <w:b/>
          <w:bCs/>
          <w:i/>
          <w:color w:val="auto"/>
        </w:rPr>
        <w:t xml:space="preserve">Neutral </w:t>
      </w:r>
      <w:proofErr w:type="gramStart"/>
      <w:r w:rsidRPr="00F40D75">
        <w:rPr>
          <w:rFonts w:ascii="Arial" w:eastAsia="Times New Roman" w:hAnsi="Arial" w:cs="Arial"/>
          <w:b/>
          <w:bCs/>
          <w:i/>
          <w:color w:val="auto"/>
        </w:rPr>
        <w:t xml:space="preserve">outcome </w:t>
      </w:r>
      <w:r w:rsidRPr="00F40D75">
        <w:rPr>
          <w:rFonts w:ascii="Arial" w:eastAsia="Times New Roman" w:hAnsi="Arial" w:cs="Arial"/>
          <w:bCs/>
          <w:i/>
          <w:color w:val="auto"/>
        </w:rPr>
        <w:t xml:space="preserve"> –</w:t>
      </w:r>
      <w:proofErr w:type="gramEnd"/>
      <w:r w:rsidRPr="00F40D75">
        <w:rPr>
          <w:rFonts w:ascii="Arial" w:eastAsia="Times New Roman" w:hAnsi="Arial" w:cs="Arial"/>
          <w:b/>
          <w:bCs/>
          <w:i/>
          <w:color w:val="auto"/>
        </w:rPr>
        <w:t xml:space="preserve"> </w:t>
      </w:r>
      <w:r w:rsidRPr="00F40D75">
        <w:rPr>
          <w:rFonts w:ascii="Arial" w:eastAsia="Times New Roman" w:hAnsi="Arial" w:cs="Arial"/>
          <w:bCs/>
          <w:i/>
          <w:color w:val="auto"/>
        </w:rPr>
        <w:t>there is no effect currently on protected groups</w:t>
      </w:r>
    </w:p>
    <w:p w14:paraId="7A377CFB" w14:textId="77777777" w:rsidR="00F40D75" w:rsidRPr="00F40D75" w:rsidRDefault="00F40D75" w:rsidP="00F40D75">
      <w:pPr>
        <w:ind w:left="0"/>
      </w:pPr>
      <w:r w:rsidRPr="00F40D75">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275"/>
        <w:gridCol w:w="1275"/>
        <w:gridCol w:w="1275"/>
        <w:gridCol w:w="3397"/>
      </w:tblGrid>
      <w:tr w:rsidR="00F40D75" w:rsidRPr="00F40D75" w14:paraId="34CBAEF7" w14:textId="77777777" w:rsidTr="00DB1144">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DC29D66"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lastRenderedPageBreak/>
              <w:t>Protected</w:t>
            </w:r>
          </w:p>
          <w:p w14:paraId="6E1D2167"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E9753F7"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Positive</w:t>
            </w:r>
          </w:p>
          <w:p w14:paraId="3E7D2C22"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312E280"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Negative</w:t>
            </w:r>
          </w:p>
          <w:p w14:paraId="668833A5"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2323768"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Neutral</w:t>
            </w:r>
          </w:p>
          <w:p w14:paraId="2B844AED"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D3B3E24" w14:textId="77777777" w:rsidR="00F40D75" w:rsidRPr="00F40D75" w:rsidRDefault="00F40D75" w:rsidP="00F40D75">
            <w:pPr>
              <w:keepNext/>
              <w:spacing w:before="0" w:after="0"/>
              <w:ind w:left="0"/>
              <w:outlineLvl w:val="2"/>
              <w:rPr>
                <w:rFonts w:ascii="Arial" w:eastAsia="Times New Roman" w:hAnsi="Arial" w:cs="Arial"/>
                <w:color w:val="FFFFFF" w:themeColor="background1"/>
              </w:rPr>
            </w:pPr>
            <w:r w:rsidRPr="00F40D75">
              <w:rPr>
                <w:rFonts w:ascii="Arial" w:eastAsia="Times New Roman" w:hAnsi="Arial" w:cs="Arial"/>
                <w:color w:val="FFFFFF" w:themeColor="background1"/>
              </w:rPr>
              <w:t>Reason(s) for outcome</w:t>
            </w:r>
          </w:p>
        </w:tc>
      </w:tr>
      <w:tr w:rsidR="00F40D75" w:rsidRPr="00F40D75" w14:paraId="170F45F1"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050402F0"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05F1766D"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B58E0C8"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B42070" w14:textId="3F5C95BC"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084D42FB" w14:textId="3309716A" w:rsidR="00F40D75" w:rsidRPr="00F40D75" w:rsidRDefault="006076E5"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62E2C5FC"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3FFAEF37"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Disability</w:t>
            </w:r>
          </w:p>
          <w:p w14:paraId="18B7E175"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6150FC20"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AE5416C"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80BB85B" w14:textId="05A811C6"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04AC5919" w14:textId="7A8CA9E5"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1EB3F1F8"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30D22D57"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0A221F73"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A1D4522"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F218B2" w14:textId="68DA8A30"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5AA3B5A" w14:textId="02F5D268"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29B75EA0" w14:textId="77777777" w:rsidTr="00DB1144">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78567DBF"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2923139B"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1B3E7AB"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DCB541A" w14:textId="2100ACC7"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C664023" w14:textId="4B73E084"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2C85A891" w14:textId="77777777" w:rsidTr="00DB1144">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7AB5E6C7"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 xml:space="preserve">Sexual </w:t>
            </w:r>
          </w:p>
          <w:p w14:paraId="2F636B83"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42046F3"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54EA142"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48D37AC" w14:textId="3D0664F7"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589D7B07" w14:textId="01A277B7"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56E8665B"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1EA0812B"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0E8814D5"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593EA6D"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695102B" w14:textId="01710B94"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F9A20C7" w14:textId="2974AC2A"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1ACD1089" w14:textId="77777777" w:rsidTr="00DB1144">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2CAB98D6"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4E13132C"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CD3591F"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30EE7CE" w14:textId="793640F2"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DDFB91B" w14:textId="6E00DD9F"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27CE2D9B"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4800156F"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46432FF8"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A942579"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06E4768" w14:textId="09F14FD3"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B64050" w14:textId="68EAC035"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2921639B" w14:textId="77777777" w:rsidTr="00DB1144">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2BB86668"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 xml:space="preserve">Marriage or </w:t>
            </w:r>
            <w:proofErr w:type="gramStart"/>
            <w:r w:rsidRPr="00F40D75">
              <w:rPr>
                <w:rFonts w:ascii="Arial" w:eastAsia="Times New Roman" w:hAnsi="Arial" w:cs="Arial"/>
                <w:color w:val="auto"/>
              </w:rPr>
              <w:t>Civil  Partnership</w:t>
            </w:r>
            <w:proofErr w:type="gramEnd"/>
          </w:p>
        </w:tc>
        <w:tc>
          <w:tcPr>
            <w:tcW w:w="684" w:type="pct"/>
            <w:tcBorders>
              <w:top w:val="single" w:sz="4" w:space="0" w:color="auto"/>
              <w:left w:val="single" w:sz="4" w:space="0" w:color="auto"/>
              <w:bottom w:val="single" w:sz="4" w:space="0" w:color="000000"/>
              <w:right w:val="single" w:sz="4" w:space="0" w:color="auto"/>
            </w:tcBorders>
            <w:vAlign w:val="center"/>
          </w:tcPr>
          <w:p w14:paraId="5C3D681D"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3AD0138D"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5B8ADB18" w14:textId="1D1B223D"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7903FD82" w14:textId="33AF4E0A"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bl>
    <w:p w14:paraId="00F7030F" w14:textId="77777777" w:rsidR="00F40D75" w:rsidRPr="00F40D75" w:rsidRDefault="00F40D7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3"/>
      </w:tblGrid>
      <w:tr w:rsidR="00F40D75" w:rsidRPr="00F40D75" w14:paraId="04ACAF86" w14:textId="77777777" w:rsidTr="00DB1144">
        <w:trPr>
          <w:trHeight w:val="269"/>
        </w:trPr>
        <w:tc>
          <w:tcPr>
            <w:tcW w:w="5000" w:type="pct"/>
            <w:tcBorders>
              <w:top w:val="single" w:sz="4" w:space="0" w:color="auto"/>
              <w:left w:val="single" w:sz="4" w:space="0" w:color="auto"/>
              <w:right w:val="single" w:sz="4" w:space="0" w:color="auto"/>
            </w:tcBorders>
          </w:tcPr>
          <w:p w14:paraId="1F3D1072" w14:textId="77777777" w:rsidR="00F40D75" w:rsidRPr="00F40D75" w:rsidRDefault="00F40D75" w:rsidP="00F40D75">
            <w:pPr>
              <w:spacing w:before="0" w:after="0"/>
              <w:ind w:left="0"/>
              <w:rPr>
                <w:rFonts w:asciiTheme="majorHAnsi" w:eastAsia="Times New Roman" w:hAnsiTheme="majorHAnsi" w:cstheme="majorBidi"/>
                <w:b/>
                <w:bCs/>
              </w:rPr>
            </w:pPr>
            <w:r w:rsidRPr="00F40D75">
              <w:rPr>
                <w:b/>
                <w:bCs/>
              </w:rPr>
              <w:t>MONITORING OUTCOMES</w:t>
            </w:r>
          </w:p>
        </w:tc>
      </w:tr>
      <w:tr w:rsidR="00F40D75" w:rsidRPr="00F40D75" w14:paraId="0D1F1306" w14:textId="77777777" w:rsidTr="00DB1144">
        <w:trPr>
          <w:trHeight w:val="416"/>
        </w:trPr>
        <w:tc>
          <w:tcPr>
            <w:tcW w:w="5000" w:type="pct"/>
            <w:tcBorders>
              <w:top w:val="single" w:sz="4" w:space="0" w:color="auto"/>
              <w:left w:val="single" w:sz="4" w:space="0" w:color="auto"/>
              <w:right w:val="single" w:sz="4" w:space="0" w:color="auto"/>
            </w:tcBorders>
          </w:tcPr>
          <w:p w14:paraId="6FD658F1"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Monitoring is an ongoing process to check outcomes.  It is different from a formal review which takes place at pre-agreed intervals.</w:t>
            </w:r>
          </w:p>
        </w:tc>
      </w:tr>
      <w:tr w:rsidR="00F40D75" w:rsidRPr="00F40D75" w14:paraId="5D455534" w14:textId="77777777" w:rsidTr="00DB1144">
        <w:trPr>
          <w:trHeight w:val="416"/>
        </w:trPr>
        <w:tc>
          <w:tcPr>
            <w:tcW w:w="5000" w:type="pct"/>
            <w:tcBorders>
              <w:top w:val="single" w:sz="4" w:space="0" w:color="auto"/>
              <w:left w:val="single" w:sz="4" w:space="0" w:color="auto"/>
              <w:right w:val="single" w:sz="4" w:space="0" w:color="auto"/>
            </w:tcBorders>
          </w:tcPr>
          <w:p w14:paraId="7C29739D"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What methods will you use to monitor outcomes on protected groups?</w:t>
            </w:r>
          </w:p>
        </w:tc>
      </w:tr>
      <w:tr w:rsidR="00F40D75" w:rsidRPr="00F40D75" w14:paraId="5C197B99" w14:textId="77777777" w:rsidTr="00DB1144">
        <w:trPr>
          <w:trHeight w:val="983"/>
        </w:trPr>
        <w:tc>
          <w:tcPr>
            <w:tcW w:w="5000" w:type="pct"/>
            <w:tcBorders>
              <w:top w:val="single" w:sz="4" w:space="0" w:color="auto"/>
              <w:left w:val="single" w:sz="4" w:space="0" w:color="auto"/>
              <w:right w:val="single" w:sz="4" w:space="0" w:color="auto"/>
            </w:tcBorders>
          </w:tcPr>
          <w:p w14:paraId="47E29FCE" w14:textId="2DB58C78"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 xml:space="preserve"> </w:t>
            </w:r>
            <w:r w:rsidR="00317C4C">
              <w:rPr>
                <w:rFonts w:ascii="Arial" w:eastAsia="Times New Roman" w:hAnsi="Arial" w:cs="Arial"/>
                <w:bCs/>
                <w:color w:val="auto"/>
              </w:rPr>
              <w:t xml:space="preserve">N/A </w:t>
            </w:r>
          </w:p>
        </w:tc>
      </w:tr>
    </w:tbl>
    <w:p w14:paraId="58A78DA6" w14:textId="77777777" w:rsidR="00F40D75" w:rsidRPr="00F40D75" w:rsidRDefault="00F40D7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3"/>
      </w:tblGrid>
      <w:tr w:rsidR="00F40D75" w:rsidRPr="00F40D75" w14:paraId="13967DC8" w14:textId="77777777" w:rsidTr="00DB1144">
        <w:tc>
          <w:tcPr>
            <w:tcW w:w="5000" w:type="pct"/>
            <w:tcBorders>
              <w:left w:val="single" w:sz="4" w:space="0" w:color="auto"/>
              <w:right w:val="single" w:sz="4" w:space="0" w:color="auto"/>
            </w:tcBorders>
          </w:tcPr>
          <w:p w14:paraId="2EF1F6D1" w14:textId="77777777" w:rsidR="00F40D75" w:rsidRPr="00F40D75" w:rsidRDefault="00F40D75" w:rsidP="00F40D75">
            <w:pPr>
              <w:spacing w:before="0" w:after="0"/>
              <w:ind w:left="0"/>
              <w:rPr>
                <w:rFonts w:ascii="Arial" w:eastAsia="MS Mincho" w:hAnsi="Arial" w:cs="Arial"/>
                <w:b/>
                <w:bCs/>
                <w:color w:val="000000"/>
              </w:rPr>
            </w:pPr>
            <w:r w:rsidRPr="00F40D75">
              <w:rPr>
                <w:rFonts w:ascii="Arial" w:eastAsia="MS Mincho" w:hAnsi="Arial" w:cs="Arial"/>
                <w:b/>
                <w:bCs/>
                <w:color w:val="000000"/>
              </w:rPr>
              <w:t>REVIEW</w:t>
            </w:r>
          </w:p>
        </w:tc>
      </w:tr>
      <w:tr w:rsidR="00F40D75" w:rsidRPr="00F40D75" w14:paraId="0BF63D43" w14:textId="77777777" w:rsidTr="00DB1144">
        <w:tc>
          <w:tcPr>
            <w:tcW w:w="5000" w:type="pct"/>
            <w:tcBorders>
              <w:left w:val="single" w:sz="4" w:space="0" w:color="auto"/>
              <w:right w:val="single" w:sz="4" w:space="0" w:color="auto"/>
            </w:tcBorders>
          </w:tcPr>
          <w:p w14:paraId="0F640A92"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 xml:space="preserve">How often will you review this policy / service? </w:t>
            </w:r>
          </w:p>
        </w:tc>
      </w:tr>
      <w:tr w:rsidR="00F40D75" w:rsidRPr="00F40D75" w14:paraId="05A208AE" w14:textId="77777777" w:rsidTr="00DB1144">
        <w:trPr>
          <w:trHeight w:val="687"/>
        </w:trPr>
        <w:tc>
          <w:tcPr>
            <w:tcW w:w="5000" w:type="pct"/>
            <w:tcBorders>
              <w:left w:val="single" w:sz="4" w:space="0" w:color="auto"/>
              <w:right w:val="single" w:sz="4" w:space="0" w:color="auto"/>
            </w:tcBorders>
          </w:tcPr>
          <w:p w14:paraId="0098EBFD"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Every 2 years as a minimum and earlier if there are any significant changes in legislation, policy or good practice.</w:t>
            </w:r>
          </w:p>
        </w:tc>
      </w:tr>
      <w:tr w:rsidR="00F40D75" w:rsidRPr="00F40D75" w14:paraId="3B51AF2C" w14:textId="77777777" w:rsidTr="00DB1144">
        <w:tc>
          <w:tcPr>
            <w:tcW w:w="5000" w:type="pct"/>
            <w:tcBorders>
              <w:left w:val="single" w:sz="4" w:space="0" w:color="auto"/>
              <w:right w:val="single" w:sz="4" w:space="0" w:color="auto"/>
            </w:tcBorders>
          </w:tcPr>
          <w:p w14:paraId="34339E6E"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If a review process is not in place, what plans do you have to establish one?</w:t>
            </w:r>
          </w:p>
        </w:tc>
      </w:tr>
      <w:tr w:rsidR="00F40D75" w:rsidRPr="00F40D75" w14:paraId="435CB69F" w14:textId="77777777" w:rsidTr="00DB1144">
        <w:trPr>
          <w:trHeight w:val="275"/>
        </w:trPr>
        <w:tc>
          <w:tcPr>
            <w:tcW w:w="5000" w:type="pct"/>
            <w:tcBorders>
              <w:left w:val="single" w:sz="4" w:space="0" w:color="auto"/>
              <w:right w:val="single" w:sz="4" w:space="0" w:color="auto"/>
            </w:tcBorders>
          </w:tcPr>
          <w:p w14:paraId="47B9F0EE"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N/A</w:t>
            </w:r>
          </w:p>
        </w:tc>
      </w:tr>
    </w:tbl>
    <w:p w14:paraId="13C48EC3" w14:textId="5E62CC10" w:rsidR="00F40D75" w:rsidRPr="00F40D75" w:rsidRDefault="00F40D75" w:rsidP="00F40D75">
      <w:pPr>
        <w:ind w:left="0"/>
      </w:pPr>
    </w:p>
    <w:p w14:paraId="76A57EF1" w14:textId="77777777" w:rsidR="00F40D75" w:rsidRPr="00F40D75" w:rsidRDefault="00F40D75" w:rsidP="00F40D75">
      <w:pPr>
        <w:spacing w:before="0" w:after="0"/>
        <w:ind w:left="0"/>
        <w:rPr>
          <w:rFonts w:asciiTheme="majorHAnsi" w:eastAsiaTheme="majorEastAsia" w:hAnsiTheme="majorHAnsi" w:cstheme="majorBidi"/>
          <w:b/>
          <w:color w:val="005EB8" w:themeColor="accent2"/>
          <w:sz w:val="32"/>
          <w:szCs w:val="26"/>
        </w:rPr>
      </w:pPr>
      <w:r w:rsidRPr="00F40D75">
        <w:br w:type="page"/>
      </w:r>
    </w:p>
    <w:p w14:paraId="4603D4EB" w14:textId="56C813A6" w:rsidR="00F40D75" w:rsidRPr="00F40D75" w:rsidRDefault="00F40D75" w:rsidP="00D50A0A">
      <w:pPr>
        <w:pStyle w:val="Heading2"/>
        <w:numPr>
          <w:ilvl w:val="0"/>
          <w:numId w:val="0"/>
        </w:numPr>
      </w:pPr>
      <w:bookmarkStart w:id="49" w:name="_Toc155687910"/>
      <w:r w:rsidRPr="00F40D75">
        <w:lastRenderedPageBreak/>
        <w:t xml:space="preserve">Appendix B – </w:t>
      </w:r>
      <w:r w:rsidR="00FA6FD2">
        <w:t>Schedule of Commissioning Policies (Restricted Services)</w:t>
      </w:r>
      <w:bookmarkEnd w:id="49"/>
    </w:p>
    <w:tbl>
      <w:tblPr>
        <w:tblW w:w="9026" w:type="dxa"/>
        <w:tblBorders>
          <w:bottom w:val="single" w:sz="4" w:space="0" w:color="auto"/>
        </w:tblBorders>
        <w:tblLook w:val="04A0" w:firstRow="1" w:lastRow="0" w:firstColumn="1" w:lastColumn="0" w:noHBand="0" w:noVBand="1"/>
      </w:tblPr>
      <w:tblGrid>
        <w:gridCol w:w="911"/>
        <w:gridCol w:w="911"/>
        <w:gridCol w:w="6286"/>
        <w:gridCol w:w="306"/>
        <w:gridCol w:w="306"/>
        <w:gridCol w:w="306"/>
      </w:tblGrid>
      <w:tr w:rsidR="00E475B2" w:rsidRPr="00E475B2" w14:paraId="3FB2B4A1" w14:textId="77777777" w:rsidTr="005A5694">
        <w:trPr>
          <w:trHeight w:val="300"/>
        </w:trPr>
        <w:tc>
          <w:tcPr>
            <w:tcW w:w="911" w:type="dxa"/>
            <w:shd w:val="clear" w:color="auto" w:fill="auto"/>
            <w:noWrap/>
            <w:vAlign w:val="center"/>
            <w:hideMark/>
          </w:tcPr>
          <w:p w14:paraId="3B3F738C"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r w:rsidRPr="00E475B2">
              <w:rPr>
                <w:rFonts w:ascii="Calibri" w:eastAsia="Times New Roman" w:hAnsi="Calibri" w:cs="Calibri"/>
                <w:b/>
                <w:bCs/>
                <w:color w:val="000000"/>
                <w:sz w:val="22"/>
                <w:szCs w:val="22"/>
                <w:lang w:eastAsia="en-GB"/>
              </w:rPr>
              <w:t>SRP No.</w:t>
            </w:r>
          </w:p>
        </w:tc>
        <w:tc>
          <w:tcPr>
            <w:tcW w:w="911" w:type="dxa"/>
            <w:shd w:val="clear" w:color="auto" w:fill="auto"/>
            <w:noWrap/>
            <w:vAlign w:val="center"/>
            <w:hideMark/>
          </w:tcPr>
          <w:p w14:paraId="0C408D2A"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r w:rsidRPr="00E475B2">
              <w:rPr>
                <w:rFonts w:ascii="Calibri" w:eastAsia="Times New Roman" w:hAnsi="Calibri" w:cs="Calibri"/>
                <w:b/>
                <w:bCs/>
                <w:color w:val="000000"/>
                <w:sz w:val="22"/>
                <w:szCs w:val="22"/>
                <w:lang w:eastAsia="en-GB"/>
              </w:rPr>
              <w:t>New</w:t>
            </w:r>
          </w:p>
        </w:tc>
        <w:tc>
          <w:tcPr>
            <w:tcW w:w="7204" w:type="dxa"/>
            <w:gridSpan w:val="4"/>
            <w:shd w:val="clear" w:color="auto" w:fill="auto"/>
            <w:noWrap/>
            <w:vAlign w:val="center"/>
            <w:hideMark/>
          </w:tcPr>
          <w:p w14:paraId="23744CCA"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r w:rsidRPr="00E475B2">
              <w:rPr>
                <w:rFonts w:ascii="Calibri" w:eastAsia="Times New Roman" w:hAnsi="Calibri" w:cs="Calibri"/>
                <w:b/>
                <w:bCs/>
                <w:color w:val="000000"/>
                <w:sz w:val="22"/>
                <w:szCs w:val="22"/>
                <w:lang w:eastAsia="en-GB"/>
              </w:rPr>
              <w:t>Commissioning Framework Policies:</w:t>
            </w:r>
          </w:p>
        </w:tc>
      </w:tr>
      <w:tr w:rsidR="00E475B2" w:rsidRPr="00E475B2" w14:paraId="1EE90EC4" w14:textId="77777777" w:rsidTr="005A5694">
        <w:trPr>
          <w:trHeight w:val="300"/>
        </w:trPr>
        <w:tc>
          <w:tcPr>
            <w:tcW w:w="911" w:type="dxa"/>
            <w:shd w:val="clear" w:color="auto" w:fill="auto"/>
            <w:noWrap/>
            <w:vAlign w:val="center"/>
            <w:hideMark/>
          </w:tcPr>
          <w:p w14:paraId="45C856C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shd w:val="clear" w:color="auto" w:fill="auto"/>
            <w:noWrap/>
            <w:vAlign w:val="center"/>
            <w:hideMark/>
          </w:tcPr>
          <w:p w14:paraId="31B53B4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w:t>
            </w:r>
          </w:p>
        </w:tc>
        <w:tc>
          <w:tcPr>
            <w:tcW w:w="7204" w:type="dxa"/>
            <w:gridSpan w:val="4"/>
            <w:shd w:val="clear" w:color="auto" w:fill="auto"/>
            <w:noWrap/>
            <w:vAlign w:val="center"/>
            <w:hideMark/>
          </w:tcPr>
          <w:p w14:paraId="10AED9E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Smoking / Weight Management and Surgery</w:t>
            </w:r>
          </w:p>
        </w:tc>
      </w:tr>
      <w:tr w:rsidR="00E475B2" w:rsidRPr="00E475B2" w14:paraId="694F7D02" w14:textId="77777777" w:rsidTr="005A5694">
        <w:trPr>
          <w:trHeight w:val="300"/>
        </w:trPr>
        <w:tc>
          <w:tcPr>
            <w:tcW w:w="911" w:type="dxa"/>
            <w:shd w:val="clear" w:color="auto" w:fill="auto"/>
            <w:noWrap/>
            <w:vAlign w:val="center"/>
            <w:hideMark/>
          </w:tcPr>
          <w:p w14:paraId="6DE8250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shd w:val="clear" w:color="auto" w:fill="auto"/>
            <w:noWrap/>
            <w:vAlign w:val="center"/>
            <w:hideMark/>
          </w:tcPr>
          <w:p w14:paraId="7DE0933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w:t>
            </w:r>
          </w:p>
        </w:tc>
        <w:tc>
          <w:tcPr>
            <w:tcW w:w="7204" w:type="dxa"/>
            <w:gridSpan w:val="4"/>
            <w:shd w:val="clear" w:color="auto" w:fill="auto"/>
            <w:noWrap/>
            <w:vAlign w:val="center"/>
            <w:hideMark/>
          </w:tcPr>
          <w:p w14:paraId="2B7CAEE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Medicines and Medicines Related Devices Commissioning Policy</w:t>
            </w:r>
          </w:p>
        </w:tc>
      </w:tr>
      <w:tr w:rsidR="00E475B2" w:rsidRPr="00E475B2" w14:paraId="289036B9" w14:textId="77777777" w:rsidTr="005A5694">
        <w:trPr>
          <w:trHeight w:val="300"/>
        </w:trPr>
        <w:tc>
          <w:tcPr>
            <w:tcW w:w="911" w:type="dxa"/>
            <w:shd w:val="clear" w:color="auto" w:fill="auto"/>
            <w:noWrap/>
            <w:vAlign w:val="center"/>
            <w:hideMark/>
          </w:tcPr>
          <w:p w14:paraId="297B976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shd w:val="clear" w:color="auto" w:fill="auto"/>
            <w:noWrap/>
            <w:vAlign w:val="center"/>
            <w:hideMark/>
          </w:tcPr>
          <w:p w14:paraId="056D51C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w:t>
            </w:r>
          </w:p>
        </w:tc>
        <w:tc>
          <w:tcPr>
            <w:tcW w:w="7204" w:type="dxa"/>
            <w:gridSpan w:val="4"/>
            <w:shd w:val="clear" w:color="auto" w:fill="auto"/>
            <w:noWrap/>
            <w:vAlign w:val="center"/>
            <w:hideMark/>
          </w:tcPr>
          <w:p w14:paraId="4DE6C13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NHS England Commissioning-Specialised Services</w:t>
            </w:r>
          </w:p>
        </w:tc>
      </w:tr>
      <w:tr w:rsidR="00E475B2" w:rsidRPr="00E475B2" w14:paraId="2D4EA03A" w14:textId="77777777" w:rsidTr="005A5694">
        <w:trPr>
          <w:trHeight w:val="300"/>
        </w:trPr>
        <w:tc>
          <w:tcPr>
            <w:tcW w:w="911" w:type="dxa"/>
            <w:shd w:val="clear" w:color="auto" w:fill="auto"/>
            <w:noWrap/>
            <w:vAlign w:val="center"/>
            <w:hideMark/>
          </w:tcPr>
          <w:p w14:paraId="3F9030D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shd w:val="clear" w:color="auto" w:fill="auto"/>
            <w:noWrap/>
            <w:vAlign w:val="center"/>
            <w:hideMark/>
          </w:tcPr>
          <w:p w14:paraId="19ADCB6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w:t>
            </w:r>
          </w:p>
        </w:tc>
        <w:tc>
          <w:tcPr>
            <w:tcW w:w="7204" w:type="dxa"/>
            <w:gridSpan w:val="4"/>
            <w:shd w:val="clear" w:color="auto" w:fill="auto"/>
            <w:noWrap/>
            <w:vAlign w:val="center"/>
            <w:hideMark/>
          </w:tcPr>
          <w:p w14:paraId="3B61ADA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Low Clinical Priority Procedures</w:t>
            </w:r>
          </w:p>
        </w:tc>
      </w:tr>
      <w:tr w:rsidR="00E475B2" w:rsidRPr="00E475B2" w14:paraId="20B7E0A0" w14:textId="77777777" w:rsidTr="005A5694">
        <w:trPr>
          <w:trHeight w:val="300"/>
        </w:trPr>
        <w:tc>
          <w:tcPr>
            <w:tcW w:w="911" w:type="dxa"/>
            <w:shd w:val="clear" w:color="auto" w:fill="auto"/>
            <w:noWrap/>
            <w:vAlign w:val="center"/>
            <w:hideMark/>
          </w:tcPr>
          <w:p w14:paraId="3C65A76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shd w:val="clear" w:color="auto" w:fill="auto"/>
            <w:noWrap/>
            <w:vAlign w:val="center"/>
            <w:hideMark/>
          </w:tcPr>
          <w:p w14:paraId="22D3646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w:t>
            </w:r>
          </w:p>
        </w:tc>
        <w:tc>
          <w:tcPr>
            <w:tcW w:w="7204" w:type="dxa"/>
            <w:gridSpan w:val="4"/>
            <w:shd w:val="clear" w:color="auto" w:fill="auto"/>
            <w:noWrap/>
            <w:vAlign w:val="center"/>
            <w:hideMark/>
          </w:tcPr>
          <w:p w14:paraId="22BF51F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Interventional Procedure Guidance</w:t>
            </w:r>
          </w:p>
        </w:tc>
      </w:tr>
      <w:tr w:rsidR="00E475B2" w:rsidRPr="00E475B2" w14:paraId="2BA45A49" w14:textId="77777777" w:rsidTr="005A5694">
        <w:trPr>
          <w:trHeight w:val="300"/>
        </w:trPr>
        <w:tc>
          <w:tcPr>
            <w:tcW w:w="911" w:type="dxa"/>
            <w:shd w:val="clear" w:color="auto" w:fill="auto"/>
            <w:noWrap/>
            <w:vAlign w:val="center"/>
            <w:hideMark/>
          </w:tcPr>
          <w:p w14:paraId="49310B9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shd w:val="clear" w:color="auto" w:fill="auto"/>
            <w:noWrap/>
            <w:vAlign w:val="center"/>
            <w:hideMark/>
          </w:tcPr>
          <w:p w14:paraId="7996021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w:t>
            </w:r>
          </w:p>
        </w:tc>
        <w:tc>
          <w:tcPr>
            <w:tcW w:w="7204" w:type="dxa"/>
            <w:gridSpan w:val="4"/>
            <w:shd w:val="clear" w:color="auto" w:fill="auto"/>
            <w:noWrap/>
            <w:vAlign w:val="center"/>
            <w:hideMark/>
          </w:tcPr>
          <w:p w14:paraId="0ADBC1B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Medical Technologies Guidance (MTG)</w:t>
            </w:r>
          </w:p>
        </w:tc>
      </w:tr>
      <w:tr w:rsidR="00E475B2" w:rsidRPr="00E475B2" w14:paraId="17C342DB" w14:textId="77777777" w:rsidTr="005A5694">
        <w:trPr>
          <w:trHeight w:val="300"/>
        </w:trPr>
        <w:tc>
          <w:tcPr>
            <w:tcW w:w="911" w:type="dxa"/>
            <w:shd w:val="clear" w:color="auto" w:fill="auto"/>
            <w:noWrap/>
            <w:vAlign w:val="center"/>
            <w:hideMark/>
          </w:tcPr>
          <w:p w14:paraId="5B28683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shd w:val="clear" w:color="auto" w:fill="auto"/>
            <w:noWrap/>
            <w:vAlign w:val="center"/>
            <w:hideMark/>
          </w:tcPr>
          <w:p w14:paraId="383269E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w:t>
            </w:r>
          </w:p>
        </w:tc>
        <w:tc>
          <w:tcPr>
            <w:tcW w:w="7204" w:type="dxa"/>
            <w:gridSpan w:val="4"/>
            <w:shd w:val="clear" w:color="auto" w:fill="auto"/>
            <w:noWrap/>
            <w:vAlign w:val="center"/>
            <w:hideMark/>
          </w:tcPr>
          <w:p w14:paraId="0114D88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Medical Technologies Funding Mandate</w:t>
            </w:r>
          </w:p>
        </w:tc>
      </w:tr>
      <w:tr w:rsidR="00E475B2" w:rsidRPr="00E475B2" w14:paraId="23326EBD" w14:textId="77777777" w:rsidTr="005A5694">
        <w:trPr>
          <w:trHeight w:val="300"/>
        </w:trPr>
        <w:tc>
          <w:tcPr>
            <w:tcW w:w="911" w:type="dxa"/>
            <w:shd w:val="clear" w:color="auto" w:fill="auto"/>
            <w:noWrap/>
            <w:vAlign w:val="center"/>
            <w:hideMark/>
          </w:tcPr>
          <w:p w14:paraId="38E88B8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shd w:val="clear" w:color="auto" w:fill="auto"/>
            <w:noWrap/>
            <w:vAlign w:val="center"/>
            <w:hideMark/>
          </w:tcPr>
          <w:p w14:paraId="4C3E63D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w:t>
            </w:r>
          </w:p>
        </w:tc>
        <w:tc>
          <w:tcPr>
            <w:tcW w:w="6898" w:type="dxa"/>
            <w:gridSpan w:val="3"/>
            <w:shd w:val="clear" w:color="auto" w:fill="auto"/>
            <w:noWrap/>
            <w:vAlign w:val="center"/>
            <w:hideMark/>
          </w:tcPr>
          <w:p w14:paraId="10893FD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Multi-staged procedures</w:t>
            </w:r>
          </w:p>
        </w:tc>
        <w:tc>
          <w:tcPr>
            <w:tcW w:w="306" w:type="dxa"/>
            <w:shd w:val="clear" w:color="auto" w:fill="auto"/>
            <w:noWrap/>
            <w:vAlign w:val="bottom"/>
            <w:hideMark/>
          </w:tcPr>
          <w:p w14:paraId="7C63FEC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F365981" w14:textId="77777777" w:rsidTr="005A5694">
        <w:trPr>
          <w:trHeight w:val="300"/>
        </w:trPr>
        <w:tc>
          <w:tcPr>
            <w:tcW w:w="911" w:type="dxa"/>
            <w:shd w:val="clear" w:color="auto" w:fill="auto"/>
            <w:noWrap/>
            <w:vAlign w:val="center"/>
            <w:hideMark/>
          </w:tcPr>
          <w:p w14:paraId="60CF1D1A"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r w:rsidRPr="00E475B2">
              <w:rPr>
                <w:rFonts w:ascii="Calibri" w:eastAsia="Times New Roman" w:hAnsi="Calibri" w:cs="Calibri"/>
                <w:b/>
                <w:bCs/>
                <w:color w:val="000000"/>
                <w:sz w:val="22"/>
                <w:szCs w:val="22"/>
                <w:lang w:eastAsia="en-GB"/>
              </w:rPr>
              <w:t>SRP No.</w:t>
            </w:r>
          </w:p>
        </w:tc>
        <w:tc>
          <w:tcPr>
            <w:tcW w:w="911" w:type="dxa"/>
            <w:shd w:val="clear" w:color="auto" w:fill="auto"/>
            <w:noWrap/>
            <w:vAlign w:val="center"/>
            <w:hideMark/>
          </w:tcPr>
          <w:p w14:paraId="049C637D"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p>
        </w:tc>
        <w:tc>
          <w:tcPr>
            <w:tcW w:w="7204" w:type="dxa"/>
            <w:gridSpan w:val="4"/>
            <w:shd w:val="clear" w:color="auto" w:fill="auto"/>
            <w:noWrap/>
            <w:vAlign w:val="center"/>
            <w:hideMark/>
          </w:tcPr>
          <w:p w14:paraId="7EA15B3E"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r w:rsidRPr="00E475B2">
              <w:rPr>
                <w:rFonts w:ascii="Calibri" w:eastAsia="Times New Roman" w:hAnsi="Calibri" w:cs="Calibri"/>
                <w:b/>
                <w:bCs/>
                <w:color w:val="000000"/>
                <w:sz w:val="22"/>
                <w:szCs w:val="22"/>
                <w:lang w:eastAsia="en-GB"/>
              </w:rPr>
              <w:t>Service Restriction Policy Statement</w:t>
            </w:r>
          </w:p>
        </w:tc>
      </w:tr>
      <w:tr w:rsidR="00E475B2" w:rsidRPr="00E475B2" w14:paraId="5A2ADF71" w14:textId="77777777" w:rsidTr="005A5694">
        <w:trPr>
          <w:trHeight w:val="300"/>
        </w:trPr>
        <w:tc>
          <w:tcPr>
            <w:tcW w:w="911" w:type="dxa"/>
            <w:shd w:val="clear" w:color="auto" w:fill="auto"/>
            <w:noWrap/>
            <w:vAlign w:val="center"/>
            <w:hideMark/>
          </w:tcPr>
          <w:p w14:paraId="331466A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0B2143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w:t>
            </w:r>
          </w:p>
        </w:tc>
        <w:tc>
          <w:tcPr>
            <w:tcW w:w="7204" w:type="dxa"/>
            <w:gridSpan w:val="4"/>
            <w:shd w:val="clear" w:color="auto" w:fill="auto"/>
            <w:noWrap/>
            <w:vAlign w:val="center"/>
            <w:hideMark/>
          </w:tcPr>
          <w:p w14:paraId="3ABF5BA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Abdominoplasty/</w:t>
            </w:r>
            <w:proofErr w:type="spellStart"/>
            <w:r w:rsidRPr="00E475B2">
              <w:rPr>
                <w:rFonts w:ascii="Calibri" w:eastAsia="Times New Roman" w:hAnsi="Calibri" w:cs="Calibri"/>
                <w:color w:val="000000"/>
                <w:sz w:val="22"/>
                <w:szCs w:val="22"/>
                <w:lang w:eastAsia="en-GB"/>
              </w:rPr>
              <w:t>Apronectomy</w:t>
            </w:r>
            <w:proofErr w:type="spellEnd"/>
            <w:r w:rsidRPr="00E475B2">
              <w:rPr>
                <w:rFonts w:ascii="Calibri" w:eastAsia="Times New Roman" w:hAnsi="Calibri" w:cs="Calibri"/>
                <w:color w:val="000000"/>
                <w:sz w:val="22"/>
                <w:szCs w:val="22"/>
                <w:lang w:eastAsia="en-GB"/>
              </w:rPr>
              <w:t xml:space="preserve"> </w:t>
            </w:r>
          </w:p>
        </w:tc>
      </w:tr>
      <w:tr w:rsidR="00E475B2" w:rsidRPr="00E475B2" w14:paraId="49817102" w14:textId="77777777" w:rsidTr="005A5694">
        <w:trPr>
          <w:trHeight w:val="300"/>
        </w:trPr>
        <w:tc>
          <w:tcPr>
            <w:tcW w:w="911" w:type="dxa"/>
            <w:shd w:val="clear" w:color="auto" w:fill="auto"/>
            <w:noWrap/>
            <w:vAlign w:val="center"/>
            <w:hideMark/>
          </w:tcPr>
          <w:p w14:paraId="39CAD57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56CAAF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w:t>
            </w:r>
          </w:p>
        </w:tc>
        <w:tc>
          <w:tcPr>
            <w:tcW w:w="7204" w:type="dxa"/>
            <w:gridSpan w:val="4"/>
            <w:shd w:val="clear" w:color="auto" w:fill="auto"/>
            <w:noWrap/>
            <w:vAlign w:val="center"/>
            <w:hideMark/>
          </w:tcPr>
          <w:p w14:paraId="24E6E8E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Acne Vulgaris/Laser/Resurfacing </w:t>
            </w:r>
          </w:p>
        </w:tc>
      </w:tr>
      <w:tr w:rsidR="00E475B2" w:rsidRPr="00E475B2" w14:paraId="1D2BE9C0" w14:textId="77777777" w:rsidTr="005A5694">
        <w:trPr>
          <w:trHeight w:val="300"/>
        </w:trPr>
        <w:tc>
          <w:tcPr>
            <w:tcW w:w="911" w:type="dxa"/>
            <w:shd w:val="clear" w:color="auto" w:fill="auto"/>
            <w:noWrap/>
            <w:vAlign w:val="center"/>
            <w:hideMark/>
          </w:tcPr>
          <w:p w14:paraId="05D92F1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7EF9B1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w:t>
            </w:r>
          </w:p>
        </w:tc>
        <w:tc>
          <w:tcPr>
            <w:tcW w:w="6592" w:type="dxa"/>
            <w:gridSpan w:val="2"/>
            <w:shd w:val="clear" w:color="auto" w:fill="auto"/>
            <w:noWrap/>
            <w:vAlign w:val="center"/>
            <w:hideMark/>
          </w:tcPr>
          <w:p w14:paraId="3E1E454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Adenoidectomy</w:t>
            </w:r>
          </w:p>
        </w:tc>
        <w:tc>
          <w:tcPr>
            <w:tcW w:w="306" w:type="dxa"/>
            <w:shd w:val="clear" w:color="auto" w:fill="auto"/>
            <w:noWrap/>
            <w:vAlign w:val="bottom"/>
            <w:hideMark/>
          </w:tcPr>
          <w:p w14:paraId="2A54B95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0F5724D0"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0566E1B" w14:textId="77777777" w:rsidTr="005A5694">
        <w:trPr>
          <w:trHeight w:val="300"/>
        </w:trPr>
        <w:tc>
          <w:tcPr>
            <w:tcW w:w="911" w:type="dxa"/>
            <w:shd w:val="clear" w:color="auto" w:fill="auto"/>
            <w:noWrap/>
            <w:vAlign w:val="center"/>
            <w:hideMark/>
          </w:tcPr>
          <w:p w14:paraId="38B3285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C1F774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12</w:t>
            </w:r>
          </w:p>
        </w:tc>
        <w:tc>
          <w:tcPr>
            <w:tcW w:w="7204" w:type="dxa"/>
            <w:gridSpan w:val="4"/>
            <w:shd w:val="clear" w:color="auto" w:fill="auto"/>
            <w:noWrap/>
            <w:vAlign w:val="center"/>
            <w:hideMark/>
          </w:tcPr>
          <w:p w14:paraId="6E2FF1A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Allergy Disorder – Unconventional Therapy</w:t>
            </w:r>
          </w:p>
        </w:tc>
      </w:tr>
      <w:tr w:rsidR="00E475B2" w:rsidRPr="00E475B2" w14:paraId="46860EFC" w14:textId="77777777" w:rsidTr="005A5694">
        <w:trPr>
          <w:trHeight w:val="300"/>
        </w:trPr>
        <w:tc>
          <w:tcPr>
            <w:tcW w:w="911" w:type="dxa"/>
            <w:shd w:val="clear" w:color="auto" w:fill="auto"/>
            <w:noWrap/>
            <w:vAlign w:val="center"/>
            <w:hideMark/>
          </w:tcPr>
          <w:p w14:paraId="4ECAE4F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8BDB0F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13</w:t>
            </w:r>
          </w:p>
        </w:tc>
        <w:tc>
          <w:tcPr>
            <w:tcW w:w="7204" w:type="dxa"/>
            <w:gridSpan w:val="4"/>
            <w:shd w:val="clear" w:color="auto" w:fill="auto"/>
            <w:noWrap/>
            <w:vAlign w:val="center"/>
            <w:hideMark/>
          </w:tcPr>
          <w:p w14:paraId="0039DAA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Arthroscopic shoulder decompression for subacromial pain </w:t>
            </w:r>
          </w:p>
        </w:tc>
      </w:tr>
      <w:tr w:rsidR="00E475B2" w:rsidRPr="00E475B2" w14:paraId="63C3997E" w14:textId="77777777" w:rsidTr="005A5694">
        <w:trPr>
          <w:trHeight w:val="300"/>
        </w:trPr>
        <w:tc>
          <w:tcPr>
            <w:tcW w:w="911" w:type="dxa"/>
            <w:shd w:val="clear" w:color="auto" w:fill="auto"/>
            <w:noWrap/>
            <w:vAlign w:val="center"/>
            <w:hideMark/>
          </w:tcPr>
          <w:p w14:paraId="1FF9BCF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AD3AC7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14</w:t>
            </w:r>
          </w:p>
        </w:tc>
        <w:tc>
          <w:tcPr>
            <w:tcW w:w="7204" w:type="dxa"/>
            <w:gridSpan w:val="4"/>
            <w:shd w:val="clear" w:color="auto" w:fill="auto"/>
            <w:noWrap/>
            <w:vAlign w:val="center"/>
            <w:hideMark/>
          </w:tcPr>
          <w:p w14:paraId="358C55C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Arthroscopy Hip including </w:t>
            </w:r>
            <w:proofErr w:type="spellStart"/>
            <w:r w:rsidRPr="00E475B2">
              <w:rPr>
                <w:rFonts w:ascii="Calibri" w:eastAsia="Times New Roman" w:hAnsi="Calibri" w:cs="Calibri"/>
                <w:color w:val="000000"/>
                <w:sz w:val="22"/>
                <w:szCs w:val="22"/>
                <w:lang w:eastAsia="en-GB"/>
              </w:rPr>
              <w:t>Femoro</w:t>
            </w:r>
            <w:proofErr w:type="spellEnd"/>
            <w:r w:rsidRPr="00E475B2">
              <w:rPr>
                <w:rFonts w:ascii="Calibri" w:eastAsia="Times New Roman" w:hAnsi="Calibri" w:cs="Calibri"/>
                <w:color w:val="000000"/>
                <w:sz w:val="22"/>
                <w:szCs w:val="22"/>
                <w:lang w:eastAsia="en-GB"/>
              </w:rPr>
              <w:t>-Acetabular Impingement (FAI) </w:t>
            </w:r>
          </w:p>
        </w:tc>
      </w:tr>
      <w:tr w:rsidR="00E475B2" w:rsidRPr="00E475B2" w14:paraId="0BA14A21" w14:textId="77777777" w:rsidTr="005A5694">
        <w:trPr>
          <w:trHeight w:val="300"/>
        </w:trPr>
        <w:tc>
          <w:tcPr>
            <w:tcW w:w="911" w:type="dxa"/>
            <w:shd w:val="clear" w:color="auto" w:fill="auto"/>
            <w:noWrap/>
            <w:vAlign w:val="center"/>
            <w:hideMark/>
          </w:tcPr>
          <w:p w14:paraId="61E46DA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350B68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15</w:t>
            </w:r>
          </w:p>
        </w:tc>
        <w:tc>
          <w:tcPr>
            <w:tcW w:w="6592" w:type="dxa"/>
            <w:gridSpan w:val="2"/>
            <w:shd w:val="clear" w:color="auto" w:fill="auto"/>
            <w:noWrap/>
            <w:vAlign w:val="center"/>
            <w:hideMark/>
          </w:tcPr>
          <w:p w14:paraId="1A773EB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Arthroscopy Knee </w:t>
            </w:r>
          </w:p>
        </w:tc>
        <w:tc>
          <w:tcPr>
            <w:tcW w:w="306" w:type="dxa"/>
            <w:shd w:val="clear" w:color="auto" w:fill="auto"/>
            <w:noWrap/>
            <w:vAlign w:val="bottom"/>
            <w:hideMark/>
          </w:tcPr>
          <w:p w14:paraId="6BAE055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0E0FB50C"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063E8B86" w14:textId="77777777" w:rsidTr="005A5694">
        <w:trPr>
          <w:trHeight w:val="300"/>
        </w:trPr>
        <w:tc>
          <w:tcPr>
            <w:tcW w:w="911" w:type="dxa"/>
            <w:shd w:val="clear" w:color="auto" w:fill="auto"/>
            <w:noWrap/>
            <w:vAlign w:val="center"/>
            <w:hideMark/>
          </w:tcPr>
          <w:p w14:paraId="45A5936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C13BD5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16</w:t>
            </w:r>
          </w:p>
        </w:tc>
        <w:tc>
          <w:tcPr>
            <w:tcW w:w="6898" w:type="dxa"/>
            <w:gridSpan w:val="3"/>
            <w:shd w:val="clear" w:color="auto" w:fill="auto"/>
            <w:noWrap/>
            <w:vAlign w:val="center"/>
            <w:hideMark/>
          </w:tcPr>
          <w:p w14:paraId="1C5388E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Arthroscopy Shoulder</w:t>
            </w:r>
          </w:p>
        </w:tc>
        <w:tc>
          <w:tcPr>
            <w:tcW w:w="306" w:type="dxa"/>
            <w:shd w:val="clear" w:color="auto" w:fill="auto"/>
            <w:noWrap/>
            <w:vAlign w:val="bottom"/>
            <w:hideMark/>
          </w:tcPr>
          <w:p w14:paraId="4BB8A92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883181F" w14:textId="77777777" w:rsidTr="005A5694">
        <w:trPr>
          <w:trHeight w:val="300"/>
        </w:trPr>
        <w:tc>
          <w:tcPr>
            <w:tcW w:w="911" w:type="dxa"/>
            <w:shd w:val="clear" w:color="auto" w:fill="auto"/>
            <w:noWrap/>
            <w:vAlign w:val="center"/>
            <w:hideMark/>
          </w:tcPr>
          <w:p w14:paraId="287B504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DC44B6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17</w:t>
            </w:r>
          </w:p>
        </w:tc>
        <w:tc>
          <w:tcPr>
            <w:tcW w:w="7204" w:type="dxa"/>
            <w:gridSpan w:val="4"/>
            <w:shd w:val="clear" w:color="auto" w:fill="auto"/>
            <w:noWrap/>
            <w:vAlign w:val="center"/>
            <w:hideMark/>
          </w:tcPr>
          <w:p w14:paraId="0E8E69F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Autologous Cartilage Transplant</w:t>
            </w:r>
          </w:p>
        </w:tc>
      </w:tr>
      <w:tr w:rsidR="00E475B2" w:rsidRPr="00E475B2" w14:paraId="10074549" w14:textId="77777777" w:rsidTr="005A5694">
        <w:trPr>
          <w:trHeight w:val="300"/>
        </w:trPr>
        <w:tc>
          <w:tcPr>
            <w:tcW w:w="911" w:type="dxa"/>
            <w:shd w:val="clear" w:color="auto" w:fill="auto"/>
            <w:noWrap/>
            <w:vAlign w:val="center"/>
            <w:hideMark/>
          </w:tcPr>
          <w:p w14:paraId="2841216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5AA179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18</w:t>
            </w:r>
          </w:p>
        </w:tc>
        <w:tc>
          <w:tcPr>
            <w:tcW w:w="6592" w:type="dxa"/>
            <w:gridSpan w:val="2"/>
            <w:shd w:val="clear" w:color="auto" w:fill="auto"/>
            <w:noWrap/>
            <w:vAlign w:val="center"/>
            <w:hideMark/>
          </w:tcPr>
          <w:p w14:paraId="49590DF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Benign Skin Lesion</w:t>
            </w:r>
          </w:p>
        </w:tc>
        <w:tc>
          <w:tcPr>
            <w:tcW w:w="306" w:type="dxa"/>
            <w:shd w:val="clear" w:color="auto" w:fill="auto"/>
            <w:noWrap/>
            <w:vAlign w:val="bottom"/>
            <w:hideMark/>
          </w:tcPr>
          <w:p w14:paraId="787AC44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18C9C7E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72836C3" w14:textId="77777777" w:rsidTr="005A5694">
        <w:trPr>
          <w:trHeight w:val="300"/>
        </w:trPr>
        <w:tc>
          <w:tcPr>
            <w:tcW w:w="911" w:type="dxa"/>
            <w:shd w:val="clear" w:color="auto" w:fill="auto"/>
            <w:noWrap/>
            <w:vAlign w:val="center"/>
            <w:hideMark/>
          </w:tcPr>
          <w:p w14:paraId="01F9BCD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4CF3EB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19</w:t>
            </w:r>
          </w:p>
        </w:tc>
        <w:tc>
          <w:tcPr>
            <w:tcW w:w="6592" w:type="dxa"/>
            <w:gridSpan w:val="2"/>
            <w:shd w:val="clear" w:color="auto" w:fill="auto"/>
            <w:noWrap/>
            <w:vAlign w:val="center"/>
            <w:hideMark/>
          </w:tcPr>
          <w:p w14:paraId="7DA65A9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Biological Mesh</w:t>
            </w:r>
          </w:p>
        </w:tc>
        <w:tc>
          <w:tcPr>
            <w:tcW w:w="306" w:type="dxa"/>
            <w:shd w:val="clear" w:color="auto" w:fill="auto"/>
            <w:noWrap/>
            <w:vAlign w:val="bottom"/>
            <w:hideMark/>
          </w:tcPr>
          <w:p w14:paraId="71EEF8D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77CE79E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1608AA9" w14:textId="77777777" w:rsidTr="005A5694">
        <w:trPr>
          <w:trHeight w:val="300"/>
        </w:trPr>
        <w:tc>
          <w:tcPr>
            <w:tcW w:w="911" w:type="dxa"/>
            <w:shd w:val="clear" w:color="auto" w:fill="auto"/>
            <w:noWrap/>
            <w:vAlign w:val="center"/>
            <w:hideMark/>
          </w:tcPr>
          <w:p w14:paraId="6CC9C38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360344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20</w:t>
            </w:r>
          </w:p>
        </w:tc>
        <w:tc>
          <w:tcPr>
            <w:tcW w:w="6592" w:type="dxa"/>
            <w:gridSpan w:val="2"/>
            <w:shd w:val="clear" w:color="auto" w:fill="auto"/>
            <w:noWrap/>
            <w:vAlign w:val="center"/>
            <w:hideMark/>
          </w:tcPr>
          <w:p w14:paraId="6CC2F81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roofErr w:type="spellStart"/>
            <w:r w:rsidRPr="00E475B2">
              <w:rPr>
                <w:rFonts w:ascii="Calibri" w:eastAsia="Times New Roman" w:hAnsi="Calibri" w:cs="Calibri"/>
                <w:color w:val="000000"/>
                <w:sz w:val="22"/>
                <w:szCs w:val="22"/>
                <w:lang w:eastAsia="en-GB"/>
              </w:rPr>
              <w:t>Bobath</w:t>
            </w:r>
            <w:proofErr w:type="spellEnd"/>
            <w:r w:rsidRPr="00E475B2">
              <w:rPr>
                <w:rFonts w:ascii="Calibri" w:eastAsia="Times New Roman" w:hAnsi="Calibri" w:cs="Calibri"/>
                <w:color w:val="000000"/>
                <w:sz w:val="22"/>
                <w:szCs w:val="22"/>
                <w:lang w:eastAsia="en-GB"/>
              </w:rPr>
              <w:t xml:space="preserve"> Therapy</w:t>
            </w:r>
          </w:p>
        </w:tc>
        <w:tc>
          <w:tcPr>
            <w:tcW w:w="306" w:type="dxa"/>
            <w:shd w:val="clear" w:color="auto" w:fill="auto"/>
            <w:noWrap/>
            <w:vAlign w:val="bottom"/>
            <w:hideMark/>
          </w:tcPr>
          <w:p w14:paraId="0EB451D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36B463AC"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58C41119" w14:textId="77777777" w:rsidTr="005A5694">
        <w:trPr>
          <w:trHeight w:val="300"/>
        </w:trPr>
        <w:tc>
          <w:tcPr>
            <w:tcW w:w="911" w:type="dxa"/>
            <w:shd w:val="clear" w:color="auto" w:fill="auto"/>
            <w:noWrap/>
            <w:vAlign w:val="center"/>
            <w:hideMark/>
          </w:tcPr>
          <w:p w14:paraId="2FB452A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3D4BC8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21</w:t>
            </w:r>
          </w:p>
        </w:tc>
        <w:tc>
          <w:tcPr>
            <w:tcW w:w="7204" w:type="dxa"/>
            <w:gridSpan w:val="4"/>
            <w:shd w:val="clear" w:color="auto" w:fill="auto"/>
            <w:noWrap/>
            <w:vAlign w:val="center"/>
            <w:hideMark/>
          </w:tcPr>
          <w:p w14:paraId="035115F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Bone Morphogenic Protein (BMP) </w:t>
            </w:r>
          </w:p>
        </w:tc>
      </w:tr>
      <w:tr w:rsidR="00E475B2" w:rsidRPr="00E475B2" w14:paraId="207BB912" w14:textId="77777777" w:rsidTr="005A5694">
        <w:trPr>
          <w:trHeight w:val="300"/>
        </w:trPr>
        <w:tc>
          <w:tcPr>
            <w:tcW w:w="911" w:type="dxa"/>
            <w:shd w:val="clear" w:color="auto" w:fill="auto"/>
            <w:noWrap/>
            <w:vAlign w:val="center"/>
            <w:hideMark/>
          </w:tcPr>
          <w:p w14:paraId="74D0D5A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AA17C4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22</w:t>
            </w:r>
          </w:p>
        </w:tc>
        <w:tc>
          <w:tcPr>
            <w:tcW w:w="6592" w:type="dxa"/>
            <w:gridSpan w:val="2"/>
            <w:shd w:val="clear" w:color="auto" w:fill="auto"/>
            <w:noWrap/>
            <w:vAlign w:val="center"/>
            <w:hideMark/>
          </w:tcPr>
          <w:p w14:paraId="7028849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Botulinum Toxin</w:t>
            </w:r>
          </w:p>
        </w:tc>
        <w:tc>
          <w:tcPr>
            <w:tcW w:w="306" w:type="dxa"/>
            <w:shd w:val="clear" w:color="auto" w:fill="auto"/>
            <w:noWrap/>
            <w:vAlign w:val="bottom"/>
            <w:hideMark/>
          </w:tcPr>
          <w:p w14:paraId="5D73201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24A31C27"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64670A08" w14:textId="77777777" w:rsidTr="005A5694">
        <w:trPr>
          <w:trHeight w:val="300"/>
        </w:trPr>
        <w:tc>
          <w:tcPr>
            <w:tcW w:w="911" w:type="dxa"/>
            <w:shd w:val="clear" w:color="auto" w:fill="auto"/>
            <w:noWrap/>
            <w:vAlign w:val="center"/>
            <w:hideMark/>
          </w:tcPr>
          <w:p w14:paraId="4577A42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9E16A5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23</w:t>
            </w:r>
          </w:p>
        </w:tc>
        <w:tc>
          <w:tcPr>
            <w:tcW w:w="6592" w:type="dxa"/>
            <w:gridSpan w:val="2"/>
            <w:shd w:val="clear" w:color="auto" w:fill="auto"/>
            <w:noWrap/>
            <w:vAlign w:val="center"/>
            <w:hideMark/>
          </w:tcPr>
          <w:p w14:paraId="77B9ADA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Breast Asymmetry </w:t>
            </w:r>
          </w:p>
        </w:tc>
        <w:tc>
          <w:tcPr>
            <w:tcW w:w="306" w:type="dxa"/>
            <w:shd w:val="clear" w:color="auto" w:fill="auto"/>
            <w:noWrap/>
            <w:vAlign w:val="bottom"/>
            <w:hideMark/>
          </w:tcPr>
          <w:p w14:paraId="29489B6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617F1C21"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6DD89688" w14:textId="77777777" w:rsidTr="005A5694">
        <w:trPr>
          <w:trHeight w:val="300"/>
        </w:trPr>
        <w:tc>
          <w:tcPr>
            <w:tcW w:w="911" w:type="dxa"/>
            <w:shd w:val="clear" w:color="auto" w:fill="auto"/>
            <w:noWrap/>
            <w:vAlign w:val="center"/>
            <w:hideMark/>
          </w:tcPr>
          <w:p w14:paraId="5FF8D24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7A729C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24</w:t>
            </w:r>
          </w:p>
        </w:tc>
        <w:tc>
          <w:tcPr>
            <w:tcW w:w="6898" w:type="dxa"/>
            <w:gridSpan w:val="3"/>
            <w:shd w:val="clear" w:color="auto" w:fill="auto"/>
            <w:noWrap/>
            <w:vAlign w:val="center"/>
            <w:hideMark/>
          </w:tcPr>
          <w:p w14:paraId="12F9D40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Breast Augmentation</w:t>
            </w:r>
          </w:p>
        </w:tc>
        <w:tc>
          <w:tcPr>
            <w:tcW w:w="306" w:type="dxa"/>
            <w:shd w:val="clear" w:color="auto" w:fill="auto"/>
            <w:noWrap/>
            <w:vAlign w:val="bottom"/>
            <w:hideMark/>
          </w:tcPr>
          <w:p w14:paraId="15475D7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389E4DF" w14:textId="77777777" w:rsidTr="005A5694">
        <w:trPr>
          <w:trHeight w:val="300"/>
        </w:trPr>
        <w:tc>
          <w:tcPr>
            <w:tcW w:w="911" w:type="dxa"/>
            <w:shd w:val="clear" w:color="auto" w:fill="auto"/>
            <w:noWrap/>
            <w:vAlign w:val="center"/>
            <w:hideMark/>
          </w:tcPr>
          <w:p w14:paraId="2913E17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ABE121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25</w:t>
            </w:r>
          </w:p>
        </w:tc>
        <w:tc>
          <w:tcPr>
            <w:tcW w:w="6592" w:type="dxa"/>
            <w:gridSpan w:val="2"/>
            <w:shd w:val="clear" w:color="auto" w:fill="auto"/>
            <w:noWrap/>
            <w:vAlign w:val="center"/>
            <w:hideMark/>
          </w:tcPr>
          <w:p w14:paraId="68C9A19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Breast Implant </w:t>
            </w:r>
          </w:p>
        </w:tc>
        <w:tc>
          <w:tcPr>
            <w:tcW w:w="306" w:type="dxa"/>
            <w:shd w:val="clear" w:color="auto" w:fill="auto"/>
            <w:noWrap/>
            <w:vAlign w:val="bottom"/>
            <w:hideMark/>
          </w:tcPr>
          <w:p w14:paraId="1A4A4ED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2FC06906"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5CE20D2" w14:textId="77777777" w:rsidTr="005A5694">
        <w:trPr>
          <w:trHeight w:val="300"/>
        </w:trPr>
        <w:tc>
          <w:tcPr>
            <w:tcW w:w="911" w:type="dxa"/>
            <w:shd w:val="clear" w:color="auto" w:fill="auto"/>
            <w:noWrap/>
            <w:vAlign w:val="center"/>
            <w:hideMark/>
          </w:tcPr>
          <w:p w14:paraId="5C1E02B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65C3B0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26</w:t>
            </w:r>
          </w:p>
        </w:tc>
        <w:tc>
          <w:tcPr>
            <w:tcW w:w="6898" w:type="dxa"/>
            <w:gridSpan w:val="3"/>
            <w:shd w:val="clear" w:color="auto" w:fill="auto"/>
            <w:noWrap/>
            <w:vAlign w:val="center"/>
            <w:hideMark/>
          </w:tcPr>
          <w:p w14:paraId="1B50FC4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Breast Lift Mastopexy</w:t>
            </w:r>
          </w:p>
        </w:tc>
        <w:tc>
          <w:tcPr>
            <w:tcW w:w="306" w:type="dxa"/>
            <w:shd w:val="clear" w:color="auto" w:fill="auto"/>
            <w:noWrap/>
            <w:vAlign w:val="bottom"/>
            <w:hideMark/>
          </w:tcPr>
          <w:p w14:paraId="0CEB9C0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742A26BE" w14:textId="77777777" w:rsidTr="005A5694">
        <w:trPr>
          <w:trHeight w:val="300"/>
        </w:trPr>
        <w:tc>
          <w:tcPr>
            <w:tcW w:w="911" w:type="dxa"/>
            <w:shd w:val="clear" w:color="auto" w:fill="auto"/>
            <w:noWrap/>
            <w:vAlign w:val="center"/>
            <w:hideMark/>
          </w:tcPr>
          <w:p w14:paraId="0FCDF56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B4D27F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27</w:t>
            </w:r>
          </w:p>
        </w:tc>
        <w:tc>
          <w:tcPr>
            <w:tcW w:w="6898" w:type="dxa"/>
            <w:gridSpan w:val="3"/>
            <w:shd w:val="clear" w:color="auto" w:fill="auto"/>
            <w:noWrap/>
            <w:vAlign w:val="center"/>
            <w:hideMark/>
          </w:tcPr>
          <w:p w14:paraId="0A0338F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Breast Reconstruction</w:t>
            </w:r>
          </w:p>
        </w:tc>
        <w:tc>
          <w:tcPr>
            <w:tcW w:w="306" w:type="dxa"/>
            <w:shd w:val="clear" w:color="auto" w:fill="auto"/>
            <w:noWrap/>
            <w:vAlign w:val="bottom"/>
            <w:hideMark/>
          </w:tcPr>
          <w:p w14:paraId="38AD873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E0F9DCE" w14:textId="77777777" w:rsidTr="005A5694">
        <w:trPr>
          <w:trHeight w:val="300"/>
        </w:trPr>
        <w:tc>
          <w:tcPr>
            <w:tcW w:w="911" w:type="dxa"/>
            <w:shd w:val="clear" w:color="auto" w:fill="auto"/>
            <w:noWrap/>
            <w:vAlign w:val="center"/>
            <w:hideMark/>
          </w:tcPr>
          <w:p w14:paraId="101D435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DACD48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28</w:t>
            </w:r>
          </w:p>
        </w:tc>
        <w:tc>
          <w:tcPr>
            <w:tcW w:w="6592" w:type="dxa"/>
            <w:gridSpan w:val="2"/>
            <w:shd w:val="clear" w:color="auto" w:fill="auto"/>
            <w:noWrap/>
            <w:vAlign w:val="center"/>
            <w:hideMark/>
          </w:tcPr>
          <w:p w14:paraId="7A62A8F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Breast Reduction </w:t>
            </w:r>
          </w:p>
        </w:tc>
        <w:tc>
          <w:tcPr>
            <w:tcW w:w="306" w:type="dxa"/>
            <w:shd w:val="clear" w:color="auto" w:fill="auto"/>
            <w:noWrap/>
            <w:vAlign w:val="bottom"/>
            <w:hideMark/>
          </w:tcPr>
          <w:p w14:paraId="35F90F1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2EC45C24"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6BD5EBB8" w14:textId="77777777" w:rsidTr="005A5694">
        <w:trPr>
          <w:trHeight w:val="300"/>
        </w:trPr>
        <w:tc>
          <w:tcPr>
            <w:tcW w:w="911" w:type="dxa"/>
            <w:shd w:val="clear" w:color="auto" w:fill="auto"/>
            <w:noWrap/>
            <w:vAlign w:val="center"/>
            <w:hideMark/>
          </w:tcPr>
          <w:p w14:paraId="7825C1A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B83DB8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29</w:t>
            </w:r>
          </w:p>
        </w:tc>
        <w:tc>
          <w:tcPr>
            <w:tcW w:w="7204" w:type="dxa"/>
            <w:gridSpan w:val="4"/>
            <w:shd w:val="clear" w:color="auto" w:fill="auto"/>
            <w:noWrap/>
            <w:vAlign w:val="center"/>
            <w:hideMark/>
          </w:tcPr>
          <w:p w14:paraId="6C8956D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Bunions (Hallux Valgus) Surgery</w:t>
            </w:r>
          </w:p>
        </w:tc>
      </w:tr>
      <w:tr w:rsidR="00E475B2" w:rsidRPr="00E475B2" w14:paraId="2810098D" w14:textId="77777777" w:rsidTr="005A5694">
        <w:trPr>
          <w:trHeight w:val="300"/>
        </w:trPr>
        <w:tc>
          <w:tcPr>
            <w:tcW w:w="911" w:type="dxa"/>
            <w:shd w:val="clear" w:color="auto" w:fill="auto"/>
            <w:noWrap/>
            <w:vAlign w:val="center"/>
            <w:hideMark/>
          </w:tcPr>
          <w:p w14:paraId="08C0DBD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9BFAE6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30</w:t>
            </w:r>
          </w:p>
        </w:tc>
        <w:tc>
          <w:tcPr>
            <w:tcW w:w="6898" w:type="dxa"/>
            <w:gridSpan w:val="3"/>
            <w:shd w:val="clear" w:color="auto" w:fill="auto"/>
            <w:noWrap/>
            <w:vAlign w:val="center"/>
            <w:hideMark/>
          </w:tcPr>
          <w:p w14:paraId="7991E48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Caesarean Section (Elective)</w:t>
            </w:r>
          </w:p>
        </w:tc>
        <w:tc>
          <w:tcPr>
            <w:tcW w:w="306" w:type="dxa"/>
            <w:shd w:val="clear" w:color="auto" w:fill="auto"/>
            <w:noWrap/>
            <w:vAlign w:val="bottom"/>
            <w:hideMark/>
          </w:tcPr>
          <w:p w14:paraId="6CF903B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7F5C3E4F" w14:textId="77777777" w:rsidTr="005A5694">
        <w:trPr>
          <w:trHeight w:val="300"/>
        </w:trPr>
        <w:tc>
          <w:tcPr>
            <w:tcW w:w="911" w:type="dxa"/>
            <w:shd w:val="clear" w:color="auto" w:fill="auto"/>
            <w:noWrap/>
            <w:vAlign w:val="center"/>
            <w:hideMark/>
          </w:tcPr>
          <w:p w14:paraId="0A4B352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241CA5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31</w:t>
            </w:r>
          </w:p>
        </w:tc>
        <w:tc>
          <w:tcPr>
            <w:tcW w:w="7204" w:type="dxa"/>
            <w:gridSpan w:val="4"/>
            <w:shd w:val="clear" w:color="auto" w:fill="auto"/>
            <w:noWrap/>
            <w:vAlign w:val="center"/>
            <w:hideMark/>
          </w:tcPr>
          <w:p w14:paraId="30FD456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Capsule Endoscopy &amp; Double Balloon Endoscopy </w:t>
            </w:r>
          </w:p>
        </w:tc>
      </w:tr>
      <w:tr w:rsidR="00E475B2" w:rsidRPr="00E475B2" w14:paraId="7B6A8F22" w14:textId="77777777" w:rsidTr="005A5694">
        <w:trPr>
          <w:trHeight w:val="300"/>
        </w:trPr>
        <w:tc>
          <w:tcPr>
            <w:tcW w:w="911" w:type="dxa"/>
            <w:shd w:val="clear" w:color="auto" w:fill="auto"/>
            <w:noWrap/>
            <w:vAlign w:val="center"/>
            <w:hideMark/>
          </w:tcPr>
          <w:p w14:paraId="10CF4EE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C1253C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32</w:t>
            </w:r>
          </w:p>
        </w:tc>
        <w:tc>
          <w:tcPr>
            <w:tcW w:w="6592" w:type="dxa"/>
            <w:gridSpan w:val="2"/>
            <w:shd w:val="clear" w:color="auto" w:fill="auto"/>
            <w:noWrap/>
            <w:vAlign w:val="center"/>
            <w:hideMark/>
          </w:tcPr>
          <w:p w14:paraId="6624AFB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Carpal Tunnel</w:t>
            </w:r>
          </w:p>
        </w:tc>
        <w:tc>
          <w:tcPr>
            <w:tcW w:w="306" w:type="dxa"/>
            <w:shd w:val="clear" w:color="auto" w:fill="auto"/>
            <w:noWrap/>
            <w:vAlign w:val="bottom"/>
            <w:hideMark/>
          </w:tcPr>
          <w:p w14:paraId="2874EE5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28E88607"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54A50048" w14:textId="77777777" w:rsidTr="005A5694">
        <w:trPr>
          <w:trHeight w:val="300"/>
        </w:trPr>
        <w:tc>
          <w:tcPr>
            <w:tcW w:w="911" w:type="dxa"/>
            <w:shd w:val="clear" w:color="auto" w:fill="auto"/>
            <w:noWrap/>
            <w:vAlign w:val="center"/>
            <w:hideMark/>
          </w:tcPr>
          <w:p w14:paraId="42020E5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3EC737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33</w:t>
            </w:r>
          </w:p>
        </w:tc>
        <w:tc>
          <w:tcPr>
            <w:tcW w:w="6898" w:type="dxa"/>
            <w:gridSpan w:val="3"/>
            <w:shd w:val="clear" w:color="auto" w:fill="auto"/>
            <w:noWrap/>
            <w:vAlign w:val="center"/>
            <w:hideMark/>
          </w:tcPr>
          <w:p w14:paraId="0116C35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Cataracts/Lens Extraction </w:t>
            </w:r>
          </w:p>
        </w:tc>
        <w:tc>
          <w:tcPr>
            <w:tcW w:w="306" w:type="dxa"/>
            <w:shd w:val="clear" w:color="auto" w:fill="auto"/>
            <w:noWrap/>
            <w:vAlign w:val="bottom"/>
            <w:hideMark/>
          </w:tcPr>
          <w:p w14:paraId="614FFCE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C798E10" w14:textId="77777777" w:rsidTr="005A5694">
        <w:trPr>
          <w:trHeight w:val="300"/>
        </w:trPr>
        <w:tc>
          <w:tcPr>
            <w:tcW w:w="911" w:type="dxa"/>
            <w:shd w:val="clear" w:color="auto" w:fill="auto"/>
            <w:noWrap/>
            <w:vAlign w:val="center"/>
            <w:hideMark/>
          </w:tcPr>
          <w:p w14:paraId="5908A67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BE71B0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34</w:t>
            </w:r>
          </w:p>
        </w:tc>
        <w:tc>
          <w:tcPr>
            <w:tcW w:w="6898" w:type="dxa"/>
            <w:gridSpan w:val="3"/>
            <w:shd w:val="clear" w:color="auto" w:fill="auto"/>
            <w:noWrap/>
            <w:vAlign w:val="center"/>
            <w:hideMark/>
          </w:tcPr>
          <w:p w14:paraId="2C05397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Chronic Fatigue Syndrome</w:t>
            </w:r>
          </w:p>
        </w:tc>
        <w:tc>
          <w:tcPr>
            <w:tcW w:w="306" w:type="dxa"/>
            <w:shd w:val="clear" w:color="auto" w:fill="auto"/>
            <w:noWrap/>
            <w:vAlign w:val="bottom"/>
            <w:hideMark/>
          </w:tcPr>
          <w:p w14:paraId="5F7AFE4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4AE014A1" w14:textId="77777777" w:rsidTr="005A5694">
        <w:trPr>
          <w:trHeight w:val="300"/>
        </w:trPr>
        <w:tc>
          <w:tcPr>
            <w:tcW w:w="911" w:type="dxa"/>
            <w:shd w:val="clear" w:color="auto" w:fill="auto"/>
            <w:noWrap/>
            <w:vAlign w:val="center"/>
            <w:hideMark/>
          </w:tcPr>
          <w:p w14:paraId="2E4BABF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2812013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35</w:t>
            </w:r>
          </w:p>
        </w:tc>
        <w:tc>
          <w:tcPr>
            <w:tcW w:w="6592" w:type="dxa"/>
            <w:gridSpan w:val="2"/>
            <w:shd w:val="clear" w:color="auto" w:fill="auto"/>
            <w:noWrap/>
            <w:vAlign w:val="center"/>
            <w:hideMark/>
          </w:tcPr>
          <w:p w14:paraId="55C69CC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Circumcision</w:t>
            </w:r>
          </w:p>
        </w:tc>
        <w:tc>
          <w:tcPr>
            <w:tcW w:w="306" w:type="dxa"/>
            <w:shd w:val="clear" w:color="auto" w:fill="auto"/>
            <w:noWrap/>
            <w:vAlign w:val="bottom"/>
            <w:hideMark/>
          </w:tcPr>
          <w:p w14:paraId="3F79AF2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3A402BE0"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090DB6E5" w14:textId="77777777" w:rsidTr="005A5694">
        <w:trPr>
          <w:trHeight w:val="300"/>
        </w:trPr>
        <w:tc>
          <w:tcPr>
            <w:tcW w:w="911" w:type="dxa"/>
            <w:shd w:val="clear" w:color="auto" w:fill="auto"/>
            <w:noWrap/>
            <w:vAlign w:val="center"/>
            <w:hideMark/>
          </w:tcPr>
          <w:p w14:paraId="11843FA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98BABD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36</w:t>
            </w:r>
          </w:p>
        </w:tc>
        <w:tc>
          <w:tcPr>
            <w:tcW w:w="7204" w:type="dxa"/>
            <w:gridSpan w:val="4"/>
            <w:shd w:val="clear" w:color="auto" w:fill="auto"/>
            <w:noWrap/>
            <w:vAlign w:val="center"/>
            <w:hideMark/>
          </w:tcPr>
          <w:p w14:paraId="1E4CF2D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Complementary and Alternative Therapies </w:t>
            </w:r>
          </w:p>
        </w:tc>
      </w:tr>
      <w:tr w:rsidR="00E475B2" w:rsidRPr="00E475B2" w14:paraId="7E1F5EFC" w14:textId="77777777" w:rsidTr="005A5694">
        <w:trPr>
          <w:trHeight w:val="300"/>
        </w:trPr>
        <w:tc>
          <w:tcPr>
            <w:tcW w:w="911" w:type="dxa"/>
            <w:shd w:val="clear" w:color="auto" w:fill="auto"/>
            <w:noWrap/>
            <w:vAlign w:val="center"/>
            <w:hideMark/>
          </w:tcPr>
          <w:p w14:paraId="6E2E21E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AD80D1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37</w:t>
            </w:r>
          </w:p>
        </w:tc>
        <w:tc>
          <w:tcPr>
            <w:tcW w:w="7204" w:type="dxa"/>
            <w:gridSpan w:val="4"/>
            <w:shd w:val="clear" w:color="auto" w:fill="auto"/>
            <w:noWrap/>
            <w:vAlign w:val="center"/>
            <w:hideMark/>
          </w:tcPr>
          <w:p w14:paraId="4D7AE13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Continuous Glucose Monitoring</w:t>
            </w:r>
          </w:p>
        </w:tc>
      </w:tr>
      <w:tr w:rsidR="00E475B2" w:rsidRPr="00E475B2" w14:paraId="4D7CB45A" w14:textId="77777777" w:rsidTr="005A5694">
        <w:trPr>
          <w:trHeight w:val="300"/>
        </w:trPr>
        <w:tc>
          <w:tcPr>
            <w:tcW w:w="911" w:type="dxa"/>
            <w:shd w:val="clear" w:color="auto" w:fill="auto"/>
            <w:noWrap/>
            <w:vAlign w:val="center"/>
            <w:hideMark/>
          </w:tcPr>
          <w:p w14:paraId="148BDF7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5096E4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38</w:t>
            </w:r>
          </w:p>
        </w:tc>
        <w:tc>
          <w:tcPr>
            <w:tcW w:w="7204" w:type="dxa"/>
            <w:gridSpan w:val="4"/>
            <w:shd w:val="clear" w:color="auto" w:fill="auto"/>
            <w:noWrap/>
            <w:vAlign w:val="center"/>
            <w:hideMark/>
          </w:tcPr>
          <w:p w14:paraId="65D8E95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Continuous Positive Airways Pressure (CPAP) in adults </w:t>
            </w:r>
          </w:p>
        </w:tc>
      </w:tr>
      <w:tr w:rsidR="00E475B2" w:rsidRPr="00E475B2" w14:paraId="776B25CA" w14:textId="77777777" w:rsidTr="005A5694">
        <w:trPr>
          <w:trHeight w:val="300"/>
        </w:trPr>
        <w:tc>
          <w:tcPr>
            <w:tcW w:w="911" w:type="dxa"/>
            <w:shd w:val="clear" w:color="auto" w:fill="auto"/>
            <w:noWrap/>
            <w:vAlign w:val="center"/>
            <w:hideMark/>
          </w:tcPr>
          <w:p w14:paraId="441FC34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lastRenderedPageBreak/>
              <w:t>SRP</w:t>
            </w:r>
          </w:p>
        </w:tc>
        <w:tc>
          <w:tcPr>
            <w:tcW w:w="911" w:type="dxa"/>
            <w:shd w:val="clear" w:color="auto" w:fill="auto"/>
            <w:noWrap/>
            <w:vAlign w:val="center"/>
            <w:hideMark/>
          </w:tcPr>
          <w:p w14:paraId="11943C5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39</w:t>
            </w:r>
          </w:p>
        </w:tc>
        <w:tc>
          <w:tcPr>
            <w:tcW w:w="6898" w:type="dxa"/>
            <w:gridSpan w:val="3"/>
            <w:shd w:val="clear" w:color="auto" w:fill="auto"/>
            <w:noWrap/>
            <w:vAlign w:val="center"/>
            <w:hideMark/>
          </w:tcPr>
          <w:p w14:paraId="7EDA8CA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roofErr w:type="spellStart"/>
            <w:r w:rsidRPr="00E475B2">
              <w:rPr>
                <w:rFonts w:ascii="Calibri" w:eastAsia="Times New Roman" w:hAnsi="Calibri" w:cs="Calibri"/>
                <w:color w:val="000000"/>
                <w:sz w:val="22"/>
                <w:szCs w:val="22"/>
                <w:lang w:eastAsia="en-GB"/>
              </w:rPr>
              <w:t>Diatasis</w:t>
            </w:r>
            <w:proofErr w:type="spellEnd"/>
            <w:r w:rsidRPr="00E475B2">
              <w:rPr>
                <w:rFonts w:ascii="Calibri" w:eastAsia="Times New Roman" w:hAnsi="Calibri" w:cs="Calibri"/>
                <w:color w:val="000000"/>
                <w:sz w:val="22"/>
                <w:szCs w:val="22"/>
                <w:lang w:eastAsia="en-GB"/>
              </w:rPr>
              <w:t xml:space="preserve">/Divarication of Recti </w:t>
            </w:r>
          </w:p>
        </w:tc>
        <w:tc>
          <w:tcPr>
            <w:tcW w:w="306" w:type="dxa"/>
            <w:shd w:val="clear" w:color="auto" w:fill="auto"/>
            <w:noWrap/>
            <w:vAlign w:val="bottom"/>
            <w:hideMark/>
          </w:tcPr>
          <w:p w14:paraId="2152900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FDB7819" w14:textId="77777777" w:rsidTr="005A5694">
        <w:trPr>
          <w:trHeight w:val="300"/>
        </w:trPr>
        <w:tc>
          <w:tcPr>
            <w:tcW w:w="911" w:type="dxa"/>
            <w:shd w:val="clear" w:color="auto" w:fill="auto"/>
            <w:noWrap/>
            <w:vAlign w:val="center"/>
            <w:hideMark/>
          </w:tcPr>
          <w:p w14:paraId="6495B5C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E6ACB9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40</w:t>
            </w:r>
          </w:p>
        </w:tc>
        <w:tc>
          <w:tcPr>
            <w:tcW w:w="6898" w:type="dxa"/>
            <w:gridSpan w:val="3"/>
            <w:shd w:val="clear" w:color="auto" w:fill="auto"/>
            <w:noWrap/>
            <w:vAlign w:val="center"/>
            <w:hideMark/>
          </w:tcPr>
          <w:p w14:paraId="421119D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Dupuytren's Contracture</w:t>
            </w:r>
          </w:p>
        </w:tc>
        <w:tc>
          <w:tcPr>
            <w:tcW w:w="306" w:type="dxa"/>
            <w:shd w:val="clear" w:color="auto" w:fill="auto"/>
            <w:noWrap/>
            <w:vAlign w:val="bottom"/>
            <w:hideMark/>
          </w:tcPr>
          <w:p w14:paraId="25198A4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5D98EE7" w14:textId="77777777" w:rsidTr="005A5694">
        <w:trPr>
          <w:trHeight w:val="300"/>
        </w:trPr>
        <w:tc>
          <w:tcPr>
            <w:tcW w:w="911" w:type="dxa"/>
            <w:shd w:val="clear" w:color="auto" w:fill="auto"/>
            <w:noWrap/>
            <w:vAlign w:val="center"/>
            <w:hideMark/>
          </w:tcPr>
          <w:p w14:paraId="019B45E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CD57B3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41</w:t>
            </w:r>
          </w:p>
        </w:tc>
        <w:tc>
          <w:tcPr>
            <w:tcW w:w="6898" w:type="dxa"/>
            <w:gridSpan w:val="3"/>
            <w:shd w:val="clear" w:color="auto" w:fill="auto"/>
            <w:noWrap/>
            <w:vAlign w:val="center"/>
            <w:hideMark/>
          </w:tcPr>
          <w:p w14:paraId="64E4038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Dynamic Lycra Splinting </w:t>
            </w:r>
          </w:p>
        </w:tc>
        <w:tc>
          <w:tcPr>
            <w:tcW w:w="306" w:type="dxa"/>
            <w:shd w:val="clear" w:color="auto" w:fill="auto"/>
            <w:noWrap/>
            <w:vAlign w:val="bottom"/>
            <w:hideMark/>
          </w:tcPr>
          <w:p w14:paraId="1A69547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FA87C7B" w14:textId="77777777" w:rsidTr="005A5694">
        <w:trPr>
          <w:trHeight w:val="300"/>
        </w:trPr>
        <w:tc>
          <w:tcPr>
            <w:tcW w:w="911" w:type="dxa"/>
            <w:shd w:val="clear" w:color="auto" w:fill="auto"/>
            <w:noWrap/>
            <w:vAlign w:val="center"/>
            <w:hideMark/>
          </w:tcPr>
          <w:p w14:paraId="164C069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DA4A98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42</w:t>
            </w:r>
          </w:p>
        </w:tc>
        <w:tc>
          <w:tcPr>
            <w:tcW w:w="6592" w:type="dxa"/>
            <w:gridSpan w:val="2"/>
            <w:shd w:val="clear" w:color="auto" w:fill="auto"/>
            <w:noWrap/>
            <w:vAlign w:val="center"/>
            <w:hideMark/>
          </w:tcPr>
          <w:p w14:paraId="3109DEB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Ear </w:t>
            </w:r>
            <w:proofErr w:type="spellStart"/>
            <w:r w:rsidRPr="00E475B2">
              <w:rPr>
                <w:rFonts w:ascii="Calibri" w:eastAsia="Times New Roman" w:hAnsi="Calibri" w:cs="Calibri"/>
                <w:color w:val="000000"/>
                <w:sz w:val="22"/>
                <w:szCs w:val="22"/>
                <w:lang w:eastAsia="en-GB"/>
              </w:rPr>
              <w:t>Microsuction</w:t>
            </w:r>
            <w:proofErr w:type="spellEnd"/>
          </w:p>
        </w:tc>
        <w:tc>
          <w:tcPr>
            <w:tcW w:w="306" w:type="dxa"/>
            <w:shd w:val="clear" w:color="auto" w:fill="auto"/>
            <w:noWrap/>
            <w:vAlign w:val="bottom"/>
            <w:hideMark/>
          </w:tcPr>
          <w:p w14:paraId="62B0FCF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3AE6B487"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5CEA4EEA" w14:textId="77777777" w:rsidTr="005A5694">
        <w:trPr>
          <w:trHeight w:val="300"/>
        </w:trPr>
        <w:tc>
          <w:tcPr>
            <w:tcW w:w="911" w:type="dxa"/>
            <w:shd w:val="clear" w:color="auto" w:fill="auto"/>
            <w:noWrap/>
            <w:vAlign w:val="center"/>
            <w:hideMark/>
          </w:tcPr>
          <w:p w14:paraId="3DBC419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A2C2B1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43</w:t>
            </w:r>
          </w:p>
        </w:tc>
        <w:tc>
          <w:tcPr>
            <w:tcW w:w="7204" w:type="dxa"/>
            <w:gridSpan w:val="4"/>
            <w:shd w:val="clear" w:color="auto" w:fill="auto"/>
            <w:noWrap/>
            <w:vAlign w:val="center"/>
            <w:hideMark/>
          </w:tcPr>
          <w:p w14:paraId="0B7D31C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Endoscopic Laser/Electrothermal Spinal Surgery </w:t>
            </w:r>
          </w:p>
        </w:tc>
      </w:tr>
      <w:tr w:rsidR="00E475B2" w:rsidRPr="00E475B2" w14:paraId="12FA90DB" w14:textId="77777777" w:rsidTr="005A5694">
        <w:trPr>
          <w:trHeight w:val="300"/>
        </w:trPr>
        <w:tc>
          <w:tcPr>
            <w:tcW w:w="911" w:type="dxa"/>
            <w:shd w:val="clear" w:color="auto" w:fill="auto"/>
            <w:noWrap/>
            <w:vAlign w:val="center"/>
            <w:hideMark/>
          </w:tcPr>
          <w:p w14:paraId="23E261B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ECC7DB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44</w:t>
            </w:r>
          </w:p>
        </w:tc>
        <w:tc>
          <w:tcPr>
            <w:tcW w:w="7204" w:type="dxa"/>
            <w:gridSpan w:val="4"/>
            <w:shd w:val="clear" w:color="auto" w:fill="auto"/>
            <w:noWrap/>
            <w:vAlign w:val="center"/>
            <w:hideMark/>
          </w:tcPr>
          <w:p w14:paraId="4600424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Exogen® Bone healing ultrasound system </w:t>
            </w:r>
          </w:p>
        </w:tc>
      </w:tr>
      <w:tr w:rsidR="00E475B2" w:rsidRPr="00E475B2" w14:paraId="02E3FF74" w14:textId="77777777" w:rsidTr="005A5694">
        <w:trPr>
          <w:trHeight w:val="300"/>
        </w:trPr>
        <w:tc>
          <w:tcPr>
            <w:tcW w:w="911" w:type="dxa"/>
            <w:shd w:val="clear" w:color="auto" w:fill="auto"/>
            <w:noWrap/>
            <w:vAlign w:val="center"/>
            <w:hideMark/>
          </w:tcPr>
          <w:p w14:paraId="3193E1D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14C15D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45</w:t>
            </w:r>
          </w:p>
        </w:tc>
        <w:tc>
          <w:tcPr>
            <w:tcW w:w="7204" w:type="dxa"/>
            <w:gridSpan w:val="4"/>
            <w:shd w:val="clear" w:color="auto" w:fill="auto"/>
            <w:noWrap/>
            <w:vAlign w:val="center"/>
            <w:hideMark/>
          </w:tcPr>
          <w:p w14:paraId="2EEE313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Eye Dysthyroid Disease (Proptosis)</w:t>
            </w:r>
          </w:p>
        </w:tc>
      </w:tr>
      <w:tr w:rsidR="00E475B2" w:rsidRPr="00E475B2" w14:paraId="2639684B" w14:textId="77777777" w:rsidTr="005A5694">
        <w:trPr>
          <w:trHeight w:val="300"/>
        </w:trPr>
        <w:tc>
          <w:tcPr>
            <w:tcW w:w="911" w:type="dxa"/>
            <w:shd w:val="clear" w:color="auto" w:fill="auto"/>
            <w:noWrap/>
            <w:vAlign w:val="center"/>
            <w:hideMark/>
          </w:tcPr>
          <w:p w14:paraId="7FCBB62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5177B5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46</w:t>
            </w:r>
          </w:p>
        </w:tc>
        <w:tc>
          <w:tcPr>
            <w:tcW w:w="7204" w:type="dxa"/>
            <w:gridSpan w:val="4"/>
            <w:shd w:val="clear" w:color="auto" w:fill="auto"/>
            <w:noWrap/>
            <w:vAlign w:val="center"/>
            <w:hideMark/>
          </w:tcPr>
          <w:p w14:paraId="30E3978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Facial Surgery - Aesthetic (Cosmetic) </w:t>
            </w:r>
          </w:p>
        </w:tc>
      </w:tr>
      <w:tr w:rsidR="00E475B2" w:rsidRPr="00E475B2" w14:paraId="77C60B61" w14:textId="77777777" w:rsidTr="005A5694">
        <w:trPr>
          <w:trHeight w:val="300"/>
        </w:trPr>
        <w:tc>
          <w:tcPr>
            <w:tcW w:w="911" w:type="dxa"/>
            <w:shd w:val="clear" w:color="auto" w:fill="auto"/>
            <w:noWrap/>
            <w:vAlign w:val="center"/>
            <w:hideMark/>
          </w:tcPr>
          <w:p w14:paraId="0362D2F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143759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47</w:t>
            </w:r>
          </w:p>
        </w:tc>
        <w:tc>
          <w:tcPr>
            <w:tcW w:w="6898" w:type="dxa"/>
            <w:gridSpan w:val="3"/>
            <w:shd w:val="clear" w:color="auto" w:fill="auto"/>
            <w:noWrap/>
            <w:vAlign w:val="center"/>
            <w:hideMark/>
          </w:tcPr>
          <w:p w14:paraId="1403F0D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Facial Surgery - </w:t>
            </w:r>
            <w:proofErr w:type="gramStart"/>
            <w:r w:rsidRPr="00E475B2">
              <w:rPr>
                <w:rFonts w:ascii="Calibri" w:eastAsia="Times New Roman" w:hAnsi="Calibri" w:cs="Calibri"/>
                <w:color w:val="000000"/>
                <w:sz w:val="22"/>
                <w:szCs w:val="22"/>
                <w:lang w:eastAsia="en-GB"/>
              </w:rPr>
              <w:t>Non Aesthetic</w:t>
            </w:r>
            <w:proofErr w:type="gramEnd"/>
            <w:r w:rsidRPr="00E475B2">
              <w:rPr>
                <w:rFonts w:ascii="Calibri" w:eastAsia="Times New Roman" w:hAnsi="Calibri" w:cs="Calibri"/>
                <w:color w:val="000000"/>
                <w:sz w:val="22"/>
                <w:szCs w:val="22"/>
                <w:lang w:eastAsia="en-GB"/>
              </w:rPr>
              <w:t xml:space="preserve"> </w:t>
            </w:r>
          </w:p>
        </w:tc>
        <w:tc>
          <w:tcPr>
            <w:tcW w:w="306" w:type="dxa"/>
            <w:shd w:val="clear" w:color="auto" w:fill="auto"/>
            <w:noWrap/>
            <w:vAlign w:val="bottom"/>
            <w:hideMark/>
          </w:tcPr>
          <w:p w14:paraId="763C062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75FA3B59" w14:textId="77777777" w:rsidTr="005A5694">
        <w:trPr>
          <w:trHeight w:val="300"/>
        </w:trPr>
        <w:tc>
          <w:tcPr>
            <w:tcW w:w="911" w:type="dxa"/>
            <w:shd w:val="clear" w:color="auto" w:fill="auto"/>
            <w:noWrap/>
            <w:vAlign w:val="center"/>
            <w:hideMark/>
          </w:tcPr>
          <w:p w14:paraId="03AF89C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045E67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48</w:t>
            </w:r>
          </w:p>
        </w:tc>
        <w:tc>
          <w:tcPr>
            <w:tcW w:w="7204" w:type="dxa"/>
            <w:gridSpan w:val="4"/>
            <w:shd w:val="clear" w:color="auto" w:fill="auto"/>
            <w:noWrap/>
            <w:vAlign w:val="center"/>
            <w:hideMark/>
          </w:tcPr>
          <w:p w14:paraId="14A76C8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Female Sterilisation (operative occlusion of the fallopian tubes)</w:t>
            </w:r>
          </w:p>
        </w:tc>
      </w:tr>
      <w:tr w:rsidR="00E475B2" w:rsidRPr="00E475B2" w14:paraId="48613DB0" w14:textId="77777777" w:rsidTr="005A5694">
        <w:trPr>
          <w:trHeight w:val="300"/>
        </w:trPr>
        <w:tc>
          <w:tcPr>
            <w:tcW w:w="911" w:type="dxa"/>
            <w:shd w:val="clear" w:color="auto" w:fill="auto"/>
            <w:noWrap/>
            <w:vAlign w:val="center"/>
            <w:hideMark/>
          </w:tcPr>
          <w:p w14:paraId="1BC3AD2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CD6FC9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49</w:t>
            </w:r>
          </w:p>
        </w:tc>
        <w:tc>
          <w:tcPr>
            <w:tcW w:w="7204" w:type="dxa"/>
            <w:gridSpan w:val="4"/>
            <w:shd w:val="clear" w:color="auto" w:fill="auto"/>
            <w:noWrap/>
            <w:vAlign w:val="center"/>
            <w:hideMark/>
          </w:tcPr>
          <w:p w14:paraId="1EA5595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Foetal Alcohol Syndrome Disorder </w:t>
            </w:r>
          </w:p>
        </w:tc>
      </w:tr>
      <w:tr w:rsidR="00E475B2" w:rsidRPr="00E475B2" w14:paraId="1CA425C0" w14:textId="77777777" w:rsidTr="005A5694">
        <w:trPr>
          <w:trHeight w:val="300"/>
        </w:trPr>
        <w:tc>
          <w:tcPr>
            <w:tcW w:w="911" w:type="dxa"/>
            <w:shd w:val="clear" w:color="auto" w:fill="auto"/>
            <w:noWrap/>
            <w:vAlign w:val="center"/>
            <w:hideMark/>
          </w:tcPr>
          <w:p w14:paraId="5588760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F24FCB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50</w:t>
            </w:r>
          </w:p>
        </w:tc>
        <w:tc>
          <w:tcPr>
            <w:tcW w:w="7204" w:type="dxa"/>
            <w:gridSpan w:val="4"/>
            <w:shd w:val="clear" w:color="auto" w:fill="auto"/>
            <w:noWrap/>
            <w:vAlign w:val="center"/>
            <w:hideMark/>
          </w:tcPr>
          <w:p w14:paraId="7900540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Functional Electrical Stimulation </w:t>
            </w:r>
          </w:p>
        </w:tc>
      </w:tr>
      <w:tr w:rsidR="00E475B2" w:rsidRPr="00E475B2" w14:paraId="226648E9" w14:textId="77777777" w:rsidTr="005A5694">
        <w:trPr>
          <w:trHeight w:val="300"/>
        </w:trPr>
        <w:tc>
          <w:tcPr>
            <w:tcW w:w="911" w:type="dxa"/>
            <w:shd w:val="clear" w:color="auto" w:fill="auto"/>
            <w:noWrap/>
            <w:vAlign w:val="center"/>
            <w:hideMark/>
          </w:tcPr>
          <w:p w14:paraId="6048F9C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AA469D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51</w:t>
            </w:r>
          </w:p>
        </w:tc>
        <w:tc>
          <w:tcPr>
            <w:tcW w:w="7204" w:type="dxa"/>
            <w:gridSpan w:val="4"/>
            <w:shd w:val="clear" w:color="auto" w:fill="auto"/>
            <w:noWrap/>
            <w:vAlign w:val="center"/>
            <w:hideMark/>
          </w:tcPr>
          <w:p w14:paraId="407D4FA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Gall Stones - Cholecystectomy </w:t>
            </w:r>
          </w:p>
        </w:tc>
      </w:tr>
      <w:tr w:rsidR="00E475B2" w:rsidRPr="00E475B2" w14:paraId="412BB8D9" w14:textId="77777777" w:rsidTr="005A5694">
        <w:trPr>
          <w:trHeight w:val="300"/>
        </w:trPr>
        <w:tc>
          <w:tcPr>
            <w:tcW w:w="911" w:type="dxa"/>
            <w:shd w:val="clear" w:color="auto" w:fill="auto"/>
            <w:noWrap/>
            <w:vAlign w:val="center"/>
            <w:hideMark/>
          </w:tcPr>
          <w:p w14:paraId="4907DAC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D61C13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52</w:t>
            </w:r>
          </w:p>
        </w:tc>
        <w:tc>
          <w:tcPr>
            <w:tcW w:w="6898" w:type="dxa"/>
            <w:gridSpan w:val="3"/>
            <w:shd w:val="clear" w:color="auto" w:fill="auto"/>
            <w:noWrap/>
            <w:vAlign w:val="center"/>
            <w:hideMark/>
          </w:tcPr>
          <w:p w14:paraId="3A3F280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Ganglion/Mucoid Cysts</w:t>
            </w:r>
          </w:p>
        </w:tc>
        <w:tc>
          <w:tcPr>
            <w:tcW w:w="306" w:type="dxa"/>
            <w:shd w:val="clear" w:color="auto" w:fill="auto"/>
            <w:noWrap/>
            <w:vAlign w:val="bottom"/>
            <w:hideMark/>
          </w:tcPr>
          <w:p w14:paraId="23EFCA2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1F19ED07" w14:textId="77777777" w:rsidTr="005A5694">
        <w:trPr>
          <w:trHeight w:val="300"/>
        </w:trPr>
        <w:tc>
          <w:tcPr>
            <w:tcW w:w="911" w:type="dxa"/>
            <w:shd w:val="clear" w:color="auto" w:fill="auto"/>
            <w:noWrap/>
            <w:vAlign w:val="center"/>
            <w:hideMark/>
          </w:tcPr>
          <w:p w14:paraId="455F45E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308BBE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53</w:t>
            </w:r>
          </w:p>
        </w:tc>
        <w:tc>
          <w:tcPr>
            <w:tcW w:w="6898" w:type="dxa"/>
            <w:gridSpan w:val="3"/>
            <w:shd w:val="clear" w:color="auto" w:fill="auto"/>
            <w:noWrap/>
            <w:vAlign w:val="center"/>
            <w:hideMark/>
          </w:tcPr>
          <w:p w14:paraId="311D6DB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Gastro-electrical stimulation</w:t>
            </w:r>
          </w:p>
        </w:tc>
        <w:tc>
          <w:tcPr>
            <w:tcW w:w="306" w:type="dxa"/>
            <w:shd w:val="clear" w:color="auto" w:fill="auto"/>
            <w:noWrap/>
            <w:vAlign w:val="bottom"/>
            <w:hideMark/>
          </w:tcPr>
          <w:p w14:paraId="5107461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16D8FA2" w14:textId="77777777" w:rsidTr="005A5694">
        <w:trPr>
          <w:trHeight w:val="300"/>
        </w:trPr>
        <w:tc>
          <w:tcPr>
            <w:tcW w:w="911" w:type="dxa"/>
            <w:shd w:val="clear" w:color="auto" w:fill="auto"/>
            <w:noWrap/>
            <w:vAlign w:val="center"/>
            <w:hideMark/>
          </w:tcPr>
          <w:p w14:paraId="40A6F03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F5B7E6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54</w:t>
            </w:r>
          </w:p>
        </w:tc>
        <w:tc>
          <w:tcPr>
            <w:tcW w:w="6592" w:type="dxa"/>
            <w:gridSpan w:val="2"/>
            <w:shd w:val="clear" w:color="auto" w:fill="auto"/>
            <w:noWrap/>
            <w:vAlign w:val="center"/>
            <w:hideMark/>
          </w:tcPr>
          <w:p w14:paraId="540CDCE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Grommets</w:t>
            </w:r>
          </w:p>
        </w:tc>
        <w:tc>
          <w:tcPr>
            <w:tcW w:w="306" w:type="dxa"/>
            <w:shd w:val="clear" w:color="auto" w:fill="auto"/>
            <w:noWrap/>
            <w:vAlign w:val="bottom"/>
            <w:hideMark/>
          </w:tcPr>
          <w:p w14:paraId="0C837F8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2BC14B2C"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3EB3881" w14:textId="77777777" w:rsidTr="005A5694">
        <w:trPr>
          <w:trHeight w:val="300"/>
        </w:trPr>
        <w:tc>
          <w:tcPr>
            <w:tcW w:w="911" w:type="dxa"/>
            <w:shd w:val="clear" w:color="auto" w:fill="auto"/>
            <w:noWrap/>
            <w:vAlign w:val="center"/>
            <w:hideMark/>
          </w:tcPr>
          <w:p w14:paraId="532BF99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913EBF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55</w:t>
            </w:r>
          </w:p>
        </w:tc>
        <w:tc>
          <w:tcPr>
            <w:tcW w:w="6592" w:type="dxa"/>
            <w:gridSpan w:val="2"/>
            <w:shd w:val="clear" w:color="auto" w:fill="auto"/>
            <w:noWrap/>
            <w:vAlign w:val="center"/>
            <w:hideMark/>
          </w:tcPr>
          <w:p w14:paraId="6C50BDE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Gynaecomastia</w:t>
            </w:r>
          </w:p>
        </w:tc>
        <w:tc>
          <w:tcPr>
            <w:tcW w:w="306" w:type="dxa"/>
            <w:shd w:val="clear" w:color="auto" w:fill="auto"/>
            <w:noWrap/>
            <w:vAlign w:val="bottom"/>
            <w:hideMark/>
          </w:tcPr>
          <w:p w14:paraId="7091DF7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2737D4C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7E09F4AD" w14:textId="77777777" w:rsidTr="005A5694">
        <w:trPr>
          <w:trHeight w:val="300"/>
        </w:trPr>
        <w:tc>
          <w:tcPr>
            <w:tcW w:w="911" w:type="dxa"/>
            <w:shd w:val="clear" w:color="auto" w:fill="auto"/>
            <w:noWrap/>
            <w:vAlign w:val="center"/>
            <w:hideMark/>
          </w:tcPr>
          <w:p w14:paraId="11E36EA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D18C29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56</w:t>
            </w:r>
          </w:p>
        </w:tc>
        <w:tc>
          <w:tcPr>
            <w:tcW w:w="6592" w:type="dxa"/>
            <w:gridSpan w:val="2"/>
            <w:shd w:val="clear" w:color="auto" w:fill="auto"/>
            <w:noWrap/>
            <w:vAlign w:val="center"/>
            <w:hideMark/>
          </w:tcPr>
          <w:p w14:paraId="19ED6D4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Haemorrhoids</w:t>
            </w:r>
          </w:p>
        </w:tc>
        <w:tc>
          <w:tcPr>
            <w:tcW w:w="306" w:type="dxa"/>
            <w:shd w:val="clear" w:color="auto" w:fill="auto"/>
            <w:noWrap/>
            <w:vAlign w:val="bottom"/>
            <w:hideMark/>
          </w:tcPr>
          <w:p w14:paraId="4486EC0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0719A635"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B4FCBB2" w14:textId="77777777" w:rsidTr="005A5694">
        <w:trPr>
          <w:trHeight w:val="300"/>
        </w:trPr>
        <w:tc>
          <w:tcPr>
            <w:tcW w:w="911" w:type="dxa"/>
            <w:shd w:val="clear" w:color="auto" w:fill="auto"/>
            <w:noWrap/>
            <w:vAlign w:val="center"/>
            <w:hideMark/>
          </w:tcPr>
          <w:p w14:paraId="5EFC7E3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783F1D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57</w:t>
            </w:r>
          </w:p>
        </w:tc>
        <w:tc>
          <w:tcPr>
            <w:tcW w:w="6898" w:type="dxa"/>
            <w:gridSpan w:val="3"/>
            <w:shd w:val="clear" w:color="auto" w:fill="auto"/>
            <w:noWrap/>
            <w:vAlign w:val="center"/>
            <w:hideMark/>
          </w:tcPr>
          <w:p w14:paraId="3BE2368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Hair Depilation/Hirsutism </w:t>
            </w:r>
          </w:p>
        </w:tc>
        <w:tc>
          <w:tcPr>
            <w:tcW w:w="306" w:type="dxa"/>
            <w:shd w:val="clear" w:color="auto" w:fill="auto"/>
            <w:noWrap/>
            <w:vAlign w:val="bottom"/>
            <w:hideMark/>
          </w:tcPr>
          <w:p w14:paraId="705295F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62B4A658" w14:textId="77777777" w:rsidTr="005A5694">
        <w:trPr>
          <w:trHeight w:val="300"/>
        </w:trPr>
        <w:tc>
          <w:tcPr>
            <w:tcW w:w="911" w:type="dxa"/>
            <w:shd w:val="clear" w:color="auto" w:fill="auto"/>
            <w:noWrap/>
            <w:vAlign w:val="center"/>
            <w:hideMark/>
          </w:tcPr>
          <w:p w14:paraId="2F46308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2C05BB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58</w:t>
            </w:r>
          </w:p>
        </w:tc>
        <w:tc>
          <w:tcPr>
            <w:tcW w:w="7204" w:type="dxa"/>
            <w:gridSpan w:val="4"/>
            <w:shd w:val="clear" w:color="auto" w:fill="auto"/>
            <w:noWrap/>
            <w:vAlign w:val="center"/>
            <w:hideMark/>
          </w:tcPr>
          <w:p w14:paraId="188C8AC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Heavy Menstrual Bleeding (including uterine fibroids)</w:t>
            </w:r>
          </w:p>
        </w:tc>
      </w:tr>
      <w:tr w:rsidR="00E475B2" w:rsidRPr="00E475B2" w14:paraId="0FDDE608" w14:textId="77777777" w:rsidTr="005A5694">
        <w:trPr>
          <w:trHeight w:val="300"/>
        </w:trPr>
        <w:tc>
          <w:tcPr>
            <w:tcW w:w="911" w:type="dxa"/>
            <w:shd w:val="clear" w:color="auto" w:fill="auto"/>
            <w:noWrap/>
            <w:vAlign w:val="center"/>
            <w:hideMark/>
          </w:tcPr>
          <w:p w14:paraId="475E64B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B49DBA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59</w:t>
            </w:r>
          </w:p>
        </w:tc>
        <w:tc>
          <w:tcPr>
            <w:tcW w:w="6286" w:type="dxa"/>
            <w:shd w:val="clear" w:color="auto" w:fill="auto"/>
            <w:noWrap/>
            <w:vAlign w:val="center"/>
            <w:hideMark/>
          </w:tcPr>
          <w:p w14:paraId="2B7B769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Hernia</w:t>
            </w:r>
          </w:p>
        </w:tc>
        <w:tc>
          <w:tcPr>
            <w:tcW w:w="306" w:type="dxa"/>
            <w:shd w:val="clear" w:color="auto" w:fill="auto"/>
            <w:noWrap/>
            <w:vAlign w:val="bottom"/>
            <w:hideMark/>
          </w:tcPr>
          <w:p w14:paraId="3A818D8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171EFB2A"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shd w:val="clear" w:color="auto" w:fill="auto"/>
            <w:noWrap/>
            <w:vAlign w:val="bottom"/>
            <w:hideMark/>
          </w:tcPr>
          <w:p w14:paraId="1A96378D"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3646EC1" w14:textId="77777777" w:rsidTr="005A5694">
        <w:trPr>
          <w:trHeight w:val="300"/>
        </w:trPr>
        <w:tc>
          <w:tcPr>
            <w:tcW w:w="911" w:type="dxa"/>
            <w:shd w:val="clear" w:color="auto" w:fill="auto"/>
            <w:noWrap/>
            <w:vAlign w:val="center"/>
            <w:hideMark/>
          </w:tcPr>
          <w:p w14:paraId="4ECE712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0D80AD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60</w:t>
            </w:r>
          </w:p>
        </w:tc>
        <w:tc>
          <w:tcPr>
            <w:tcW w:w="6592" w:type="dxa"/>
            <w:gridSpan w:val="2"/>
            <w:shd w:val="clear" w:color="auto" w:fill="auto"/>
            <w:noWrap/>
            <w:vAlign w:val="center"/>
            <w:hideMark/>
          </w:tcPr>
          <w:p w14:paraId="5B247E8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Hip Joint Injections</w:t>
            </w:r>
          </w:p>
        </w:tc>
        <w:tc>
          <w:tcPr>
            <w:tcW w:w="306" w:type="dxa"/>
            <w:shd w:val="clear" w:color="auto" w:fill="auto"/>
            <w:noWrap/>
            <w:vAlign w:val="bottom"/>
            <w:hideMark/>
          </w:tcPr>
          <w:p w14:paraId="221698C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57F093D6"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8A083A9" w14:textId="77777777" w:rsidTr="005A5694">
        <w:trPr>
          <w:trHeight w:val="300"/>
        </w:trPr>
        <w:tc>
          <w:tcPr>
            <w:tcW w:w="911" w:type="dxa"/>
            <w:shd w:val="clear" w:color="auto" w:fill="auto"/>
            <w:noWrap/>
            <w:vAlign w:val="center"/>
            <w:hideMark/>
          </w:tcPr>
          <w:p w14:paraId="7EF9BF2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E27EBC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61</w:t>
            </w:r>
          </w:p>
        </w:tc>
        <w:tc>
          <w:tcPr>
            <w:tcW w:w="6898" w:type="dxa"/>
            <w:gridSpan w:val="3"/>
            <w:shd w:val="clear" w:color="auto" w:fill="auto"/>
            <w:noWrap/>
            <w:vAlign w:val="center"/>
            <w:hideMark/>
          </w:tcPr>
          <w:p w14:paraId="6C8C0CD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Hip Joint Replacement</w:t>
            </w:r>
          </w:p>
        </w:tc>
        <w:tc>
          <w:tcPr>
            <w:tcW w:w="306" w:type="dxa"/>
            <w:shd w:val="clear" w:color="auto" w:fill="auto"/>
            <w:noWrap/>
            <w:vAlign w:val="bottom"/>
            <w:hideMark/>
          </w:tcPr>
          <w:p w14:paraId="53D4DFF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156D721" w14:textId="77777777" w:rsidTr="005A5694">
        <w:trPr>
          <w:trHeight w:val="300"/>
        </w:trPr>
        <w:tc>
          <w:tcPr>
            <w:tcW w:w="911" w:type="dxa"/>
            <w:shd w:val="clear" w:color="auto" w:fill="auto"/>
            <w:noWrap/>
            <w:vAlign w:val="center"/>
            <w:hideMark/>
          </w:tcPr>
          <w:p w14:paraId="30E7B31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3CDC11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62</w:t>
            </w:r>
          </w:p>
        </w:tc>
        <w:tc>
          <w:tcPr>
            <w:tcW w:w="6592" w:type="dxa"/>
            <w:gridSpan w:val="2"/>
            <w:shd w:val="clear" w:color="auto" w:fill="auto"/>
            <w:noWrap/>
            <w:vAlign w:val="center"/>
            <w:hideMark/>
          </w:tcPr>
          <w:p w14:paraId="4775330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Hip Resurfacing </w:t>
            </w:r>
          </w:p>
        </w:tc>
        <w:tc>
          <w:tcPr>
            <w:tcW w:w="306" w:type="dxa"/>
            <w:shd w:val="clear" w:color="auto" w:fill="auto"/>
            <w:noWrap/>
            <w:vAlign w:val="bottom"/>
            <w:hideMark/>
          </w:tcPr>
          <w:p w14:paraId="7633325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251F002F"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1D076BB7" w14:textId="77777777" w:rsidTr="005A5694">
        <w:trPr>
          <w:trHeight w:val="300"/>
        </w:trPr>
        <w:tc>
          <w:tcPr>
            <w:tcW w:w="911" w:type="dxa"/>
            <w:shd w:val="clear" w:color="auto" w:fill="auto"/>
            <w:noWrap/>
            <w:vAlign w:val="center"/>
            <w:hideMark/>
          </w:tcPr>
          <w:p w14:paraId="6B87CE7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408EEB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63</w:t>
            </w:r>
          </w:p>
        </w:tc>
        <w:tc>
          <w:tcPr>
            <w:tcW w:w="7204" w:type="dxa"/>
            <w:gridSpan w:val="4"/>
            <w:shd w:val="clear" w:color="auto" w:fill="auto"/>
            <w:noWrap/>
            <w:vAlign w:val="center"/>
            <w:hideMark/>
          </w:tcPr>
          <w:p w14:paraId="75BADEE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Hyperhidrosis - Botulinum toxin Type A</w:t>
            </w:r>
          </w:p>
        </w:tc>
      </w:tr>
      <w:tr w:rsidR="00E475B2" w:rsidRPr="00E475B2" w14:paraId="77D143B1" w14:textId="77777777" w:rsidTr="005A5694">
        <w:trPr>
          <w:trHeight w:val="300"/>
        </w:trPr>
        <w:tc>
          <w:tcPr>
            <w:tcW w:w="911" w:type="dxa"/>
            <w:shd w:val="clear" w:color="auto" w:fill="auto"/>
            <w:noWrap/>
            <w:vAlign w:val="center"/>
            <w:hideMark/>
          </w:tcPr>
          <w:p w14:paraId="40BC0CB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941B6E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64</w:t>
            </w:r>
          </w:p>
        </w:tc>
        <w:tc>
          <w:tcPr>
            <w:tcW w:w="7204" w:type="dxa"/>
            <w:gridSpan w:val="4"/>
            <w:shd w:val="clear" w:color="auto" w:fill="auto"/>
            <w:noWrap/>
            <w:vAlign w:val="center"/>
            <w:hideMark/>
          </w:tcPr>
          <w:p w14:paraId="3911B81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Hysteroscopy/Dilatation and Curettage (D&amp;C)</w:t>
            </w:r>
          </w:p>
        </w:tc>
      </w:tr>
      <w:tr w:rsidR="00E475B2" w:rsidRPr="00E475B2" w14:paraId="17A34F83" w14:textId="77777777" w:rsidTr="005A5694">
        <w:trPr>
          <w:trHeight w:val="300"/>
        </w:trPr>
        <w:tc>
          <w:tcPr>
            <w:tcW w:w="911" w:type="dxa"/>
            <w:shd w:val="clear" w:color="auto" w:fill="auto"/>
            <w:noWrap/>
            <w:vAlign w:val="center"/>
            <w:hideMark/>
          </w:tcPr>
          <w:p w14:paraId="321ED39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3A900A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65</w:t>
            </w:r>
          </w:p>
        </w:tc>
        <w:tc>
          <w:tcPr>
            <w:tcW w:w="6898" w:type="dxa"/>
            <w:gridSpan w:val="3"/>
            <w:shd w:val="clear" w:color="auto" w:fill="auto"/>
            <w:noWrap/>
            <w:vAlign w:val="center"/>
            <w:hideMark/>
          </w:tcPr>
          <w:p w14:paraId="658BFA7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Ingrown Toenail surgery</w:t>
            </w:r>
          </w:p>
        </w:tc>
        <w:tc>
          <w:tcPr>
            <w:tcW w:w="306" w:type="dxa"/>
            <w:shd w:val="clear" w:color="auto" w:fill="auto"/>
            <w:noWrap/>
            <w:vAlign w:val="bottom"/>
            <w:hideMark/>
          </w:tcPr>
          <w:p w14:paraId="4614663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0945F7D" w14:textId="77777777" w:rsidTr="005A5694">
        <w:trPr>
          <w:trHeight w:val="300"/>
        </w:trPr>
        <w:tc>
          <w:tcPr>
            <w:tcW w:w="911" w:type="dxa"/>
            <w:shd w:val="clear" w:color="auto" w:fill="auto"/>
            <w:noWrap/>
            <w:vAlign w:val="center"/>
            <w:hideMark/>
          </w:tcPr>
          <w:p w14:paraId="6F2E192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687A85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66</w:t>
            </w:r>
          </w:p>
        </w:tc>
        <w:tc>
          <w:tcPr>
            <w:tcW w:w="6898" w:type="dxa"/>
            <w:gridSpan w:val="3"/>
            <w:shd w:val="clear" w:color="auto" w:fill="auto"/>
            <w:noWrap/>
            <w:vAlign w:val="center"/>
            <w:hideMark/>
          </w:tcPr>
          <w:p w14:paraId="2D52BE7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Insulin Pump Therapy</w:t>
            </w:r>
          </w:p>
        </w:tc>
        <w:tc>
          <w:tcPr>
            <w:tcW w:w="306" w:type="dxa"/>
            <w:shd w:val="clear" w:color="auto" w:fill="auto"/>
            <w:noWrap/>
            <w:vAlign w:val="bottom"/>
            <w:hideMark/>
          </w:tcPr>
          <w:p w14:paraId="5A60D9E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69B5955" w14:textId="77777777" w:rsidTr="005A5694">
        <w:trPr>
          <w:trHeight w:val="300"/>
        </w:trPr>
        <w:tc>
          <w:tcPr>
            <w:tcW w:w="911" w:type="dxa"/>
            <w:shd w:val="clear" w:color="auto" w:fill="auto"/>
            <w:noWrap/>
            <w:vAlign w:val="center"/>
            <w:hideMark/>
          </w:tcPr>
          <w:p w14:paraId="67201FD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67173D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67</w:t>
            </w:r>
          </w:p>
        </w:tc>
        <w:tc>
          <w:tcPr>
            <w:tcW w:w="7204" w:type="dxa"/>
            <w:gridSpan w:val="4"/>
            <w:shd w:val="clear" w:color="auto" w:fill="auto"/>
            <w:noWrap/>
            <w:vAlign w:val="center"/>
            <w:hideMark/>
          </w:tcPr>
          <w:p w14:paraId="59769E1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Irritable Bowel Syndrome Diagnostics</w:t>
            </w:r>
          </w:p>
        </w:tc>
      </w:tr>
      <w:tr w:rsidR="00E475B2" w:rsidRPr="00E475B2" w14:paraId="2A4FEA84" w14:textId="77777777" w:rsidTr="005A5694">
        <w:trPr>
          <w:trHeight w:val="300"/>
        </w:trPr>
        <w:tc>
          <w:tcPr>
            <w:tcW w:w="911" w:type="dxa"/>
            <w:shd w:val="clear" w:color="auto" w:fill="auto"/>
            <w:noWrap/>
            <w:vAlign w:val="center"/>
            <w:hideMark/>
          </w:tcPr>
          <w:p w14:paraId="00BED33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3B9CDC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68</w:t>
            </w:r>
          </w:p>
        </w:tc>
        <w:tc>
          <w:tcPr>
            <w:tcW w:w="6898" w:type="dxa"/>
            <w:gridSpan w:val="3"/>
            <w:shd w:val="clear" w:color="auto" w:fill="auto"/>
            <w:noWrap/>
            <w:vAlign w:val="center"/>
            <w:hideMark/>
          </w:tcPr>
          <w:p w14:paraId="7A19361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Knee Joint Replacement</w:t>
            </w:r>
          </w:p>
        </w:tc>
        <w:tc>
          <w:tcPr>
            <w:tcW w:w="306" w:type="dxa"/>
            <w:shd w:val="clear" w:color="auto" w:fill="auto"/>
            <w:noWrap/>
            <w:vAlign w:val="bottom"/>
            <w:hideMark/>
          </w:tcPr>
          <w:p w14:paraId="343D2F6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C911C73" w14:textId="77777777" w:rsidTr="005A5694">
        <w:trPr>
          <w:trHeight w:val="300"/>
        </w:trPr>
        <w:tc>
          <w:tcPr>
            <w:tcW w:w="911" w:type="dxa"/>
            <w:shd w:val="clear" w:color="auto" w:fill="auto"/>
            <w:noWrap/>
            <w:vAlign w:val="center"/>
            <w:hideMark/>
          </w:tcPr>
          <w:p w14:paraId="56E4A5F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CBFD0A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69</w:t>
            </w:r>
          </w:p>
        </w:tc>
        <w:tc>
          <w:tcPr>
            <w:tcW w:w="7204" w:type="dxa"/>
            <w:gridSpan w:val="4"/>
            <w:shd w:val="clear" w:color="auto" w:fill="auto"/>
            <w:noWrap/>
            <w:vAlign w:val="center"/>
            <w:hideMark/>
          </w:tcPr>
          <w:p w14:paraId="05B5051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Labial Reduction /Refashioning/Vaginoplasty/</w:t>
            </w:r>
            <w:proofErr w:type="spellStart"/>
            <w:r w:rsidRPr="00E475B2">
              <w:rPr>
                <w:rFonts w:ascii="Calibri" w:eastAsia="Times New Roman" w:hAnsi="Calibri" w:cs="Calibri"/>
                <w:color w:val="000000"/>
                <w:sz w:val="22"/>
                <w:szCs w:val="22"/>
                <w:lang w:eastAsia="en-GB"/>
              </w:rPr>
              <w:t>Cliteroplasty</w:t>
            </w:r>
            <w:proofErr w:type="spellEnd"/>
            <w:r w:rsidRPr="00E475B2">
              <w:rPr>
                <w:rFonts w:ascii="Calibri" w:eastAsia="Times New Roman" w:hAnsi="Calibri" w:cs="Calibri"/>
                <w:color w:val="000000"/>
                <w:sz w:val="22"/>
                <w:szCs w:val="22"/>
                <w:lang w:eastAsia="en-GB"/>
              </w:rPr>
              <w:t xml:space="preserve"> </w:t>
            </w:r>
          </w:p>
        </w:tc>
      </w:tr>
      <w:tr w:rsidR="00E475B2" w:rsidRPr="00E475B2" w14:paraId="4722173B" w14:textId="77777777" w:rsidTr="005A5694">
        <w:trPr>
          <w:trHeight w:val="300"/>
        </w:trPr>
        <w:tc>
          <w:tcPr>
            <w:tcW w:w="911" w:type="dxa"/>
            <w:shd w:val="clear" w:color="auto" w:fill="auto"/>
            <w:noWrap/>
            <w:vAlign w:val="center"/>
            <w:hideMark/>
          </w:tcPr>
          <w:p w14:paraId="35FD1A2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9E0403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70</w:t>
            </w:r>
          </w:p>
        </w:tc>
        <w:tc>
          <w:tcPr>
            <w:tcW w:w="6898" w:type="dxa"/>
            <w:gridSpan w:val="3"/>
            <w:shd w:val="clear" w:color="auto" w:fill="auto"/>
            <w:noWrap/>
            <w:vAlign w:val="center"/>
            <w:hideMark/>
          </w:tcPr>
          <w:p w14:paraId="3B0CBB8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Lymphoedema Services</w:t>
            </w:r>
          </w:p>
        </w:tc>
        <w:tc>
          <w:tcPr>
            <w:tcW w:w="306" w:type="dxa"/>
            <w:shd w:val="clear" w:color="auto" w:fill="auto"/>
            <w:noWrap/>
            <w:vAlign w:val="bottom"/>
            <w:hideMark/>
          </w:tcPr>
          <w:p w14:paraId="7283D8D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C5F6056" w14:textId="77777777" w:rsidTr="005A5694">
        <w:trPr>
          <w:trHeight w:val="300"/>
        </w:trPr>
        <w:tc>
          <w:tcPr>
            <w:tcW w:w="911" w:type="dxa"/>
            <w:shd w:val="clear" w:color="auto" w:fill="auto"/>
            <w:noWrap/>
            <w:vAlign w:val="center"/>
            <w:hideMark/>
          </w:tcPr>
          <w:p w14:paraId="01E2009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63D3F4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71</w:t>
            </w:r>
          </w:p>
        </w:tc>
        <w:tc>
          <w:tcPr>
            <w:tcW w:w="7204" w:type="dxa"/>
            <w:gridSpan w:val="4"/>
            <w:shd w:val="clear" w:color="auto" w:fill="auto"/>
            <w:noWrap/>
            <w:vAlign w:val="center"/>
            <w:hideMark/>
          </w:tcPr>
          <w:p w14:paraId="06B156E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Male Sterilisation (Vasectomy) under General Anaesthetic (GA)</w:t>
            </w:r>
          </w:p>
        </w:tc>
      </w:tr>
      <w:tr w:rsidR="00E475B2" w:rsidRPr="00E475B2" w14:paraId="5199AF6D" w14:textId="77777777" w:rsidTr="005A5694">
        <w:trPr>
          <w:trHeight w:val="300"/>
        </w:trPr>
        <w:tc>
          <w:tcPr>
            <w:tcW w:w="911" w:type="dxa"/>
            <w:shd w:val="clear" w:color="auto" w:fill="auto"/>
            <w:noWrap/>
            <w:vAlign w:val="center"/>
            <w:hideMark/>
          </w:tcPr>
          <w:p w14:paraId="51FFB89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A58F0D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72</w:t>
            </w:r>
          </w:p>
        </w:tc>
        <w:tc>
          <w:tcPr>
            <w:tcW w:w="7204" w:type="dxa"/>
            <w:gridSpan w:val="4"/>
            <w:shd w:val="clear" w:color="auto" w:fill="auto"/>
            <w:noWrap/>
            <w:vAlign w:val="center"/>
            <w:hideMark/>
          </w:tcPr>
          <w:p w14:paraId="211C313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Monogenetic Diabetes Testing (MODY)</w:t>
            </w:r>
          </w:p>
        </w:tc>
      </w:tr>
      <w:tr w:rsidR="00E475B2" w:rsidRPr="00E475B2" w14:paraId="40D0B66F" w14:textId="77777777" w:rsidTr="005A5694">
        <w:trPr>
          <w:trHeight w:val="300"/>
        </w:trPr>
        <w:tc>
          <w:tcPr>
            <w:tcW w:w="911" w:type="dxa"/>
            <w:shd w:val="clear" w:color="auto" w:fill="auto"/>
            <w:noWrap/>
            <w:vAlign w:val="center"/>
            <w:hideMark/>
          </w:tcPr>
          <w:p w14:paraId="0FEBC04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23BB81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73</w:t>
            </w:r>
          </w:p>
        </w:tc>
        <w:tc>
          <w:tcPr>
            <w:tcW w:w="6898" w:type="dxa"/>
            <w:gridSpan w:val="3"/>
            <w:shd w:val="clear" w:color="auto" w:fill="auto"/>
            <w:noWrap/>
            <w:vAlign w:val="center"/>
            <w:hideMark/>
          </w:tcPr>
          <w:p w14:paraId="2812E7F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Myopia Laser Eye Surgery</w:t>
            </w:r>
          </w:p>
        </w:tc>
        <w:tc>
          <w:tcPr>
            <w:tcW w:w="306" w:type="dxa"/>
            <w:shd w:val="clear" w:color="auto" w:fill="auto"/>
            <w:noWrap/>
            <w:vAlign w:val="bottom"/>
            <w:hideMark/>
          </w:tcPr>
          <w:p w14:paraId="785A71E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061CB68" w14:textId="77777777" w:rsidTr="005A5694">
        <w:trPr>
          <w:trHeight w:val="300"/>
        </w:trPr>
        <w:tc>
          <w:tcPr>
            <w:tcW w:w="911" w:type="dxa"/>
            <w:shd w:val="clear" w:color="auto" w:fill="auto"/>
            <w:noWrap/>
            <w:vAlign w:val="center"/>
            <w:hideMark/>
          </w:tcPr>
          <w:p w14:paraId="21F3A28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AB0007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74</w:t>
            </w:r>
          </w:p>
        </w:tc>
        <w:tc>
          <w:tcPr>
            <w:tcW w:w="6592" w:type="dxa"/>
            <w:gridSpan w:val="2"/>
            <w:shd w:val="clear" w:color="auto" w:fill="auto"/>
            <w:noWrap/>
            <w:vAlign w:val="center"/>
            <w:hideMark/>
          </w:tcPr>
          <w:p w14:paraId="6D0DED9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Nipple Inversion </w:t>
            </w:r>
          </w:p>
        </w:tc>
        <w:tc>
          <w:tcPr>
            <w:tcW w:w="306" w:type="dxa"/>
            <w:shd w:val="clear" w:color="auto" w:fill="auto"/>
            <w:noWrap/>
            <w:vAlign w:val="bottom"/>
            <w:hideMark/>
          </w:tcPr>
          <w:p w14:paraId="4A61252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0BDA4A51"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3A4D349F" w14:textId="77777777" w:rsidTr="005A5694">
        <w:trPr>
          <w:trHeight w:val="300"/>
        </w:trPr>
        <w:tc>
          <w:tcPr>
            <w:tcW w:w="911" w:type="dxa"/>
            <w:shd w:val="clear" w:color="auto" w:fill="auto"/>
            <w:noWrap/>
            <w:vAlign w:val="center"/>
            <w:hideMark/>
          </w:tcPr>
          <w:p w14:paraId="52C547A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55A703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75</w:t>
            </w:r>
          </w:p>
        </w:tc>
        <w:tc>
          <w:tcPr>
            <w:tcW w:w="6898" w:type="dxa"/>
            <w:gridSpan w:val="3"/>
            <w:shd w:val="clear" w:color="auto" w:fill="auto"/>
            <w:noWrap/>
            <w:vAlign w:val="center"/>
            <w:hideMark/>
          </w:tcPr>
          <w:p w14:paraId="2990B23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Oculoplastic Procedures</w:t>
            </w:r>
          </w:p>
        </w:tc>
        <w:tc>
          <w:tcPr>
            <w:tcW w:w="306" w:type="dxa"/>
            <w:shd w:val="clear" w:color="auto" w:fill="auto"/>
            <w:noWrap/>
            <w:vAlign w:val="bottom"/>
            <w:hideMark/>
          </w:tcPr>
          <w:p w14:paraId="2F11008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4F05E720" w14:textId="77777777" w:rsidTr="005A5694">
        <w:trPr>
          <w:trHeight w:val="300"/>
        </w:trPr>
        <w:tc>
          <w:tcPr>
            <w:tcW w:w="911" w:type="dxa"/>
            <w:shd w:val="clear" w:color="auto" w:fill="auto"/>
            <w:noWrap/>
            <w:vAlign w:val="center"/>
            <w:hideMark/>
          </w:tcPr>
          <w:p w14:paraId="3EE896D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BEFC99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76</w:t>
            </w:r>
          </w:p>
        </w:tc>
        <w:tc>
          <w:tcPr>
            <w:tcW w:w="6898" w:type="dxa"/>
            <w:gridSpan w:val="3"/>
            <w:shd w:val="clear" w:color="auto" w:fill="auto"/>
            <w:noWrap/>
            <w:vAlign w:val="center"/>
            <w:hideMark/>
          </w:tcPr>
          <w:p w14:paraId="3914852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Open Wide-bore MRI</w:t>
            </w:r>
          </w:p>
        </w:tc>
        <w:tc>
          <w:tcPr>
            <w:tcW w:w="306" w:type="dxa"/>
            <w:shd w:val="clear" w:color="auto" w:fill="auto"/>
            <w:noWrap/>
            <w:vAlign w:val="bottom"/>
            <w:hideMark/>
          </w:tcPr>
          <w:p w14:paraId="634451E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46D864F" w14:textId="77777777" w:rsidTr="005A5694">
        <w:trPr>
          <w:trHeight w:val="300"/>
        </w:trPr>
        <w:tc>
          <w:tcPr>
            <w:tcW w:w="911" w:type="dxa"/>
            <w:shd w:val="clear" w:color="auto" w:fill="auto"/>
            <w:noWrap/>
            <w:vAlign w:val="center"/>
            <w:hideMark/>
          </w:tcPr>
          <w:p w14:paraId="30808DE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ED13B4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77</w:t>
            </w:r>
          </w:p>
        </w:tc>
        <w:tc>
          <w:tcPr>
            <w:tcW w:w="6898" w:type="dxa"/>
            <w:gridSpan w:val="3"/>
            <w:shd w:val="clear" w:color="auto" w:fill="auto"/>
            <w:noWrap/>
            <w:vAlign w:val="center"/>
            <w:hideMark/>
          </w:tcPr>
          <w:p w14:paraId="4BDCC50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Orthoses/</w:t>
            </w:r>
            <w:proofErr w:type="spellStart"/>
            <w:r w:rsidRPr="00E475B2">
              <w:rPr>
                <w:rFonts w:ascii="Calibri" w:eastAsia="Times New Roman" w:hAnsi="Calibri" w:cs="Calibri"/>
                <w:color w:val="000000"/>
                <w:sz w:val="22"/>
                <w:szCs w:val="22"/>
                <w:lang w:eastAsia="en-GB"/>
              </w:rPr>
              <w:t>Orthothics</w:t>
            </w:r>
            <w:proofErr w:type="spellEnd"/>
            <w:r w:rsidRPr="00E475B2">
              <w:rPr>
                <w:rFonts w:ascii="Calibri" w:eastAsia="Times New Roman" w:hAnsi="Calibri" w:cs="Calibri"/>
                <w:color w:val="000000"/>
                <w:sz w:val="22"/>
                <w:szCs w:val="22"/>
                <w:lang w:eastAsia="en-GB"/>
              </w:rPr>
              <w:t xml:space="preserve"> </w:t>
            </w:r>
          </w:p>
        </w:tc>
        <w:tc>
          <w:tcPr>
            <w:tcW w:w="306" w:type="dxa"/>
            <w:shd w:val="clear" w:color="auto" w:fill="auto"/>
            <w:noWrap/>
            <w:vAlign w:val="bottom"/>
            <w:hideMark/>
          </w:tcPr>
          <w:p w14:paraId="6F7F5F0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21ED257" w14:textId="77777777" w:rsidTr="005A5694">
        <w:trPr>
          <w:trHeight w:val="300"/>
        </w:trPr>
        <w:tc>
          <w:tcPr>
            <w:tcW w:w="911" w:type="dxa"/>
            <w:shd w:val="clear" w:color="auto" w:fill="auto"/>
            <w:noWrap/>
            <w:vAlign w:val="center"/>
            <w:hideMark/>
          </w:tcPr>
          <w:p w14:paraId="78C6346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6D62E7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78</w:t>
            </w:r>
          </w:p>
        </w:tc>
        <w:tc>
          <w:tcPr>
            <w:tcW w:w="7204" w:type="dxa"/>
            <w:gridSpan w:val="4"/>
            <w:shd w:val="clear" w:color="auto" w:fill="auto"/>
            <w:noWrap/>
            <w:vAlign w:val="center"/>
            <w:hideMark/>
          </w:tcPr>
          <w:p w14:paraId="41C232A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Photodynamic Therapy for age-related Macular Degeneration</w:t>
            </w:r>
          </w:p>
        </w:tc>
      </w:tr>
      <w:tr w:rsidR="00E475B2" w:rsidRPr="00E475B2" w14:paraId="5A9A2ED5" w14:textId="77777777" w:rsidTr="005A5694">
        <w:trPr>
          <w:trHeight w:val="300"/>
        </w:trPr>
        <w:tc>
          <w:tcPr>
            <w:tcW w:w="911" w:type="dxa"/>
            <w:shd w:val="clear" w:color="auto" w:fill="auto"/>
            <w:noWrap/>
            <w:vAlign w:val="center"/>
            <w:hideMark/>
          </w:tcPr>
          <w:p w14:paraId="037835F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5BBF15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79</w:t>
            </w:r>
          </w:p>
        </w:tc>
        <w:tc>
          <w:tcPr>
            <w:tcW w:w="6898" w:type="dxa"/>
            <w:gridSpan w:val="3"/>
            <w:shd w:val="clear" w:color="auto" w:fill="auto"/>
            <w:noWrap/>
            <w:vAlign w:val="center"/>
            <w:hideMark/>
          </w:tcPr>
          <w:p w14:paraId="06268CE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roofErr w:type="spellStart"/>
            <w:r w:rsidRPr="00E475B2">
              <w:rPr>
                <w:rFonts w:ascii="Calibri" w:eastAsia="Times New Roman" w:hAnsi="Calibri" w:cs="Calibri"/>
                <w:color w:val="000000"/>
                <w:sz w:val="22"/>
                <w:szCs w:val="22"/>
                <w:lang w:eastAsia="en-GB"/>
              </w:rPr>
              <w:t>Pinnaplasty</w:t>
            </w:r>
            <w:proofErr w:type="spellEnd"/>
            <w:r w:rsidRPr="00E475B2">
              <w:rPr>
                <w:rFonts w:ascii="Calibri" w:eastAsia="Times New Roman" w:hAnsi="Calibri" w:cs="Calibri"/>
                <w:color w:val="000000"/>
                <w:sz w:val="22"/>
                <w:szCs w:val="22"/>
                <w:lang w:eastAsia="en-GB"/>
              </w:rPr>
              <w:t xml:space="preserve"> Otoplasty</w:t>
            </w:r>
          </w:p>
        </w:tc>
        <w:tc>
          <w:tcPr>
            <w:tcW w:w="306" w:type="dxa"/>
            <w:shd w:val="clear" w:color="auto" w:fill="auto"/>
            <w:noWrap/>
            <w:vAlign w:val="bottom"/>
            <w:hideMark/>
          </w:tcPr>
          <w:p w14:paraId="0FF8E5F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1E150348" w14:textId="77777777" w:rsidTr="005A5694">
        <w:trPr>
          <w:trHeight w:val="300"/>
        </w:trPr>
        <w:tc>
          <w:tcPr>
            <w:tcW w:w="911" w:type="dxa"/>
            <w:shd w:val="clear" w:color="auto" w:fill="auto"/>
            <w:noWrap/>
            <w:vAlign w:val="center"/>
            <w:hideMark/>
          </w:tcPr>
          <w:p w14:paraId="68038AE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AF3A9F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80</w:t>
            </w:r>
          </w:p>
        </w:tc>
        <w:tc>
          <w:tcPr>
            <w:tcW w:w="6898" w:type="dxa"/>
            <w:gridSpan w:val="3"/>
            <w:shd w:val="clear" w:color="auto" w:fill="auto"/>
            <w:noWrap/>
            <w:vAlign w:val="center"/>
            <w:hideMark/>
          </w:tcPr>
          <w:p w14:paraId="20CD16F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Plagiocephaly Positional </w:t>
            </w:r>
          </w:p>
        </w:tc>
        <w:tc>
          <w:tcPr>
            <w:tcW w:w="306" w:type="dxa"/>
            <w:shd w:val="clear" w:color="auto" w:fill="auto"/>
            <w:noWrap/>
            <w:vAlign w:val="bottom"/>
            <w:hideMark/>
          </w:tcPr>
          <w:p w14:paraId="76F7DE3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61E7449B" w14:textId="77777777" w:rsidTr="005A5694">
        <w:trPr>
          <w:trHeight w:val="300"/>
        </w:trPr>
        <w:tc>
          <w:tcPr>
            <w:tcW w:w="911" w:type="dxa"/>
            <w:shd w:val="clear" w:color="auto" w:fill="auto"/>
            <w:noWrap/>
            <w:vAlign w:val="center"/>
            <w:hideMark/>
          </w:tcPr>
          <w:p w14:paraId="272B9B3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EEED12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81</w:t>
            </w:r>
          </w:p>
        </w:tc>
        <w:tc>
          <w:tcPr>
            <w:tcW w:w="7204" w:type="dxa"/>
            <w:gridSpan w:val="4"/>
            <w:shd w:val="clear" w:color="auto" w:fill="auto"/>
            <w:noWrap/>
            <w:vAlign w:val="center"/>
            <w:hideMark/>
          </w:tcPr>
          <w:p w14:paraId="3ADA407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Platelet Rich Plasma Injections for Tendinopathy </w:t>
            </w:r>
          </w:p>
        </w:tc>
      </w:tr>
      <w:tr w:rsidR="00E475B2" w:rsidRPr="00E475B2" w14:paraId="2579CC9F" w14:textId="77777777" w:rsidTr="005A5694">
        <w:trPr>
          <w:trHeight w:val="300"/>
        </w:trPr>
        <w:tc>
          <w:tcPr>
            <w:tcW w:w="911" w:type="dxa"/>
            <w:shd w:val="clear" w:color="auto" w:fill="auto"/>
            <w:noWrap/>
            <w:vAlign w:val="center"/>
            <w:hideMark/>
          </w:tcPr>
          <w:p w14:paraId="003FDD6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2D1E86C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82</w:t>
            </w:r>
          </w:p>
        </w:tc>
        <w:tc>
          <w:tcPr>
            <w:tcW w:w="6592" w:type="dxa"/>
            <w:gridSpan w:val="2"/>
            <w:shd w:val="clear" w:color="auto" w:fill="auto"/>
            <w:noWrap/>
            <w:vAlign w:val="center"/>
            <w:hideMark/>
          </w:tcPr>
          <w:p w14:paraId="072439A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Repair of Ear Lobes</w:t>
            </w:r>
          </w:p>
        </w:tc>
        <w:tc>
          <w:tcPr>
            <w:tcW w:w="306" w:type="dxa"/>
            <w:shd w:val="clear" w:color="auto" w:fill="auto"/>
            <w:noWrap/>
            <w:vAlign w:val="bottom"/>
            <w:hideMark/>
          </w:tcPr>
          <w:p w14:paraId="13C4DC5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0244D3B1"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3F9AD178" w14:textId="77777777" w:rsidTr="005A5694">
        <w:trPr>
          <w:trHeight w:val="300"/>
        </w:trPr>
        <w:tc>
          <w:tcPr>
            <w:tcW w:w="911" w:type="dxa"/>
            <w:shd w:val="clear" w:color="auto" w:fill="auto"/>
            <w:noWrap/>
            <w:vAlign w:val="center"/>
            <w:hideMark/>
          </w:tcPr>
          <w:p w14:paraId="4CABC6C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lastRenderedPageBreak/>
              <w:t>SRP</w:t>
            </w:r>
          </w:p>
        </w:tc>
        <w:tc>
          <w:tcPr>
            <w:tcW w:w="911" w:type="dxa"/>
            <w:shd w:val="clear" w:color="auto" w:fill="auto"/>
            <w:noWrap/>
            <w:vAlign w:val="center"/>
            <w:hideMark/>
          </w:tcPr>
          <w:p w14:paraId="74F4C68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83</w:t>
            </w:r>
          </w:p>
        </w:tc>
        <w:tc>
          <w:tcPr>
            <w:tcW w:w="6898" w:type="dxa"/>
            <w:gridSpan w:val="3"/>
            <w:shd w:val="clear" w:color="auto" w:fill="auto"/>
            <w:noWrap/>
            <w:vAlign w:val="center"/>
            <w:hideMark/>
          </w:tcPr>
          <w:p w14:paraId="6D71493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Reversal of Sterilisation </w:t>
            </w:r>
          </w:p>
        </w:tc>
        <w:tc>
          <w:tcPr>
            <w:tcW w:w="306" w:type="dxa"/>
            <w:shd w:val="clear" w:color="auto" w:fill="auto"/>
            <w:noWrap/>
            <w:vAlign w:val="bottom"/>
            <w:hideMark/>
          </w:tcPr>
          <w:p w14:paraId="2E13907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691142B7" w14:textId="77777777" w:rsidTr="005A5694">
        <w:trPr>
          <w:trHeight w:val="300"/>
        </w:trPr>
        <w:tc>
          <w:tcPr>
            <w:tcW w:w="911" w:type="dxa"/>
            <w:shd w:val="clear" w:color="auto" w:fill="auto"/>
            <w:noWrap/>
            <w:vAlign w:val="center"/>
            <w:hideMark/>
          </w:tcPr>
          <w:p w14:paraId="3162BC1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3D598F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84</w:t>
            </w:r>
          </w:p>
        </w:tc>
        <w:tc>
          <w:tcPr>
            <w:tcW w:w="6592" w:type="dxa"/>
            <w:gridSpan w:val="2"/>
            <w:shd w:val="clear" w:color="auto" w:fill="auto"/>
            <w:noWrap/>
            <w:vAlign w:val="center"/>
            <w:hideMark/>
          </w:tcPr>
          <w:p w14:paraId="245B005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Rhinophyma</w:t>
            </w:r>
          </w:p>
        </w:tc>
        <w:tc>
          <w:tcPr>
            <w:tcW w:w="306" w:type="dxa"/>
            <w:shd w:val="clear" w:color="auto" w:fill="auto"/>
            <w:noWrap/>
            <w:vAlign w:val="bottom"/>
            <w:hideMark/>
          </w:tcPr>
          <w:p w14:paraId="52281E8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682831F4"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3959996" w14:textId="77777777" w:rsidTr="005A5694">
        <w:trPr>
          <w:trHeight w:val="300"/>
        </w:trPr>
        <w:tc>
          <w:tcPr>
            <w:tcW w:w="911" w:type="dxa"/>
            <w:shd w:val="clear" w:color="auto" w:fill="auto"/>
            <w:noWrap/>
            <w:vAlign w:val="center"/>
            <w:hideMark/>
          </w:tcPr>
          <w:p w14:paraId="563967F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355F70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85</w:t>
            </w:r>
          </w:p>
        </w:tc>
        <w:tc>
          <w:tcPr>
            <w:tcW w:w="6898" w:type="dxa"/>
            <w:gridSpan w:val="3"/>
            <w:shd w:val="clear" w:color="auto" w:fill="auto"/>
            <w:noWrap/>
            <w:vAlign w:val="center"/>
            <w:hideMark/>
          </w:tcPr>
          <w:p w14:paraId="43F3676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Riser Recliner Chairs</w:t>
            </w:r>
          </w:p>
        </w:tc>
        <w:tc>
          <w:tcPr>
            <w:tcW w:w="306" w:type="dxa"/>
            <w:shd w:val="clear" w:color="auto" w:fill="auto"/>
            <w:noWrap/>
            <w:vAlign w:val="bottom"/>
            <w:hideMark/>
          </w:tcPr>
          <w:p w14:paraId="6BD3489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25E62341" w14:textId="77777777" w:rsidTr="005A5694">
        <w:trPr>
          <w:trHeight w:val="300"/>
        </w:trPr>
        <w:tc>
          <w:tcPr>
            <w:tcW w:w="911" w:type="dxa"/>
            <w:shd w:val="clear" w:color="auto" w:fill="auto"/>
            <w:noWrap/>
            <w:vAlign w:val="center"/>
            <w:hideMark/>
          </w:tcPr>
          <w:p w14:paraId="3D31CE5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AC6621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86</w:t>
            </w:r>
          </w:p>
        </w:tc>
        <w:tc>
          <w:tcPr>
            <w:tcW w:w="6898" w:type="dxa"/>
            <w:gridSpan w:val="3"/>
            <w:shd w:val="clear" w:color="auto" w:fill="auto"/>
            <w:noWrap/>
            <w:vAlign w:val="center"/>
            <w:hideMark/>
          </w:tcPr>
          <w:p w14:paraId="67AE98F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Sacral Nerve Stimulation </w:t>
            </w:r>
          </w:p>
        </w:tc>
        <w:tc>
          <w:tcPr>
            <w:tcW w:w="306" w:type="dxa"/>
            <w:shd w:val="clear" w:color="auto" w:fill="auto"/>
            <w:noWrap/>
            <w:vAlign w:val="bottom"/>
            <w:hideMark/>
          </w:tcPr>
          <w:p w14:paraId="302F694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3DD635D" w14:textId="77777777" w:rsidTr="005A5694">
        <w:trPr>
          <w:trHeight w:val="300"/>
        </w:trPr>
        <w:tc>
          <w:tcPr>
            <w:tcW w:w="911" w:type="dxa"/>
            <w:shd w:val="clear" w:color="auto" w:fill="auto"/>
            <w:noWrap/>
            <w:vAlign w:val="center"/>
            <w:hideMark/>
          </w:tcPr>
          <w:p w14:paraId="08E34E6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342A9F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87</w:t>
            </w:r>
          </w:p>
        </w:tc>
        <w:tc>
          <w:tcPr>
            <w:tcW w:w="6592" w:type="dxa"/>
            <w:gridSpan w:val="2"/>
            <w:shd w:val="clear" w:color="auto" w:fill="auto"/>
            <w:noWrap/>
            <w:vAlign w:val="center"/>
            <w:hideMark/>
          </w:tcPr>
          <w:p w14:paraId="7F7E600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Scar Revision</w:t>
            </w:r>
          </w:p>
        </w:tc>
        <w:tc>
          <w:tcPr>
            <w:tcW w:w="306" w:type="dxa"/>
            <w:shd w:val="clear" w:color="auto" w:fill="auto"/>
            <w:noWrap/>
            <w:vAlign w:val="bottom"/>
            <w:hideMark/>
          </w:tcPr>
          <w:p w14:paraId="2E3813A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3857301C"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A36F9C0" w14:textId="77777777" w:rsidTr="005A5694">
        <w:trPr>
          <w:trHeight w:val="300"/>
        </w:trPr>
        <w:tc>
          <w:tcPr>
            <w:tcW w:w="911" w:type="dxa"/>
            <w:shd w:val="clear" w:color="auto" w:fill="auto"/>
            <w:noWrap/>
            <w:vAlign w:val="center"/>
            <w:hideMark/>
          </w:tcPr>
          <w:p w14:paraId="5F399B4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0080C3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88</w:t>
            </w:r>
          </w:p>
        </w:tc>
        <w:tc>
          <w:tcPr>
            <w:tcW w:w="7204" w:type="dxa"/>
            <w:gridSpan w:val="4"/>
            <w:shd w:val="clear" w:color="auto" w:fill="auto"/>
            <w:noWrap/>
            <w:vAlign w:val="center"/>
            <w:hideMark/>
          </w:tcPr>
          <w:p w14:paraId="0FC8ECF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Scotopic Sensitivity Syndrome and Coloured Filters/Tinted Lenses </w:t>
            </w:r>
          </w:p>
        </w:tc>
      </w:tr>
      <w:tr w:rsidR="00E475B2" w:rsidRPr="00E475B2" w14:paraId="14FC9E0D" w14:textId="77777777" w:rsidTr="005A5694">
        <w:trPr>
          <w:trHeight w:val="300"/>
        </w:trPr>
        <w:tc>
          <w:tcPr>
            <w:tcW w:w="911" w:type="dxa"/>
            <w:shd w:val="clear" w:color="auto" w:fill="auto"/>
            <w:noWrap/>
            <w:vAlign w:val="center"/>
            <w:hideMark/>
          </w:tcPr>
          <w:p w14:paraId="1A17FB9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251AA1B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89</w:t>
            </w:r>
          </w:p>
        </w:tc>
        <w:tc>
          <w:tcPr>
            <w:tcW w:w="6592" w:type="dxa"/>
            <w:gridSpan w:val="2"/>
            <w:shd w:val="clear" w:color="auto" w:fill="auto"/>
            <w:noWrap/>
            <w:vAlign w:val="center"/>
            <w:hideMark/>
          </w:tcPr>
          <w:p w14:paraId="09BB0AF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Septoplasty</w:t>
            </w:r>
          </w:p>
        </w:tc>
        <w:tc>
          <w:tcPr>
            <w:tcW w:w="306" w:type="dxa"/>
            <w:shd w:val="clear" w:color="auto" w:fill="auto"/>
            <w:noWrap/>
            <w:vAlign w:val="bottom"/>
            <w:hideMark/>
          </w:tcPr>
          <w:p w14:paraId="679FF6D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7ECCE1BA"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621243B1" w14:textId="77777777" w:rsidTr="005A5694">
        <w:trPr>
          <w:trHeight w:val="300"/>
        </w:trPr>
        <w:tc>
          <w:tcPr>
            <w:tcW w:w="911" w:type="dxa"/>
            <w:shd w:val="clear" w:color="auto" w:fill="auto"/>
            <w:noWrap/>
            <w:vAlign w:val="center"/>
            <w:hideMark/>
          </w:tcPr>
          <w:p w14:paraId="3A48076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850DA7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90</w:t>
            </w:r>
          </w:p>
        </w:tc>
        <w:tc>
          <w:tcPr>
            <w:tcW w:w="7204" w:type="dxa"/>
            <w:gridSpan w:val="4"/>
            <w:shd w:val="clear" w:color="auto" w:fill="auto"/>
            <w:noWrap/>
            <w:vAlign w:val="center"/>
            <w:hideMark/>
          </w:tcPr>
          <w:p w14:paraId="50DA4EE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Skin Contouring/Body Contouring/Tumescent liposuction /Liposuction/Liposculpture </w:t>
            </w:r>
          </w:p>
        </w:tc>
      </w:tr>
      <w:tr w:rsidR="00E475B2" w:rsidRPr="00E475B2" w14:paraId="79698382" w14:textId="77777777" w:rsidTr="005A5694">
        <w:trPr>
          <w:trHeight w:val="300"/>
        </w:trPr>
        <w:tc>
          <w:tcPr>
            <w:tcW w:w="911" w:type="dxa"/>
            <w:shd w:val="clear" w:color="auto" w:fill="auto"/>
            <w:noWrap/>
            <w:vAlign w:val="center"/>
            <w:hideMark/>
          </w:tcPr>
          <w:p w14:paraId="71BBD19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D64641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91</w:t>
            </w:r>
          </w:p>
        </w:tc>
        <w:tc>
          <w:tcPr>
            <w:tcW w:w="6592" w:type="dxa"/>
            <w:gridSpan w:val="2"/>
            <w:shd w:val="clear" w:color="auto" w:fill="auto"/>
            <w:noWrap/>
            <w:vAlign w:val="center"/>
            <w:hideMark/>
          </w:tcPr>
          <w:p w14:paraId="1F60EF9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Sleep Studies </w:t>
            </w:r>
          </w:p>
        </w:tc>
        <w:tc>
          <w:tcPr>
            <w:tcW w:w="306" w:type="dxa"/>
            <w:shd w:val="clear" w:color="auto" w:fill="auto"/>
            <w:noWrap/>
            <w:vAlign w:val="bottom"/>
            <w:hideMark/>
          </w:tcPr>
          <w:p w14:paraId="64D566C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69D3B23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564DACA7" w14:textId="77777777" w:rsidTr="005A5694">
        <w:trPr>
          <w:trHeight w:val="300"/>
        </w:trPr>
        <w:tc>
          <w:tcPr>
            <w:tcW w:w="911" w:type="dxa"/>
            <w:shd w:val="clear" w:color="auto" w:fill="auto"/>
            <w:noWrap/>
            <w:vAlign w:val="center"/>
            <w:hideMark/>
          </w:tcPr>
          <w:p w14:paraId="5FE6F8A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ADE043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92</w:t>
            </w:r>
          </w:p>
        </w:tc>
        <w:tc>
          <w:tcPr>
            <w:tcW w:w="6286" w:type="dxa"/>
            <w:shd w:val="clear" w:color="auto" w:fill="auto"/>
            <w:noWrap/>
            <w:vAlign w:val="center"/>
            <w:hideMark/>
          </w:tcPr>
          <w:p w14:paraId="7253D0B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Snoring</w:t>
            </w:r>
          </w:p>
        </w:tc>
        <w:tc>
          <w:tcPr>
            <w:tcW w:w="306" w:type="dxa"/>
            <w:shd w:val="clear" w:color="auto" w:fill="auto"/>
            <w:noWrap/>
            <w:vAlign w:val="bottom"/>
            <w:hideMark/>
          </w:tcPr>
          <w:p w14:paraId="147B2BE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544F85D8"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shd w:val="clear" w:color="auto" w:fill="auto"/>
            <w:noWrap/>
            <w:vAlign w:val="bottom"/>
            <w:hideMark/>
          </w:tcPr>
          <w:p w14:paraId="09CE9C45"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0E2C1658" w14:textId="77777777" w:rsidTr="005A5694">
        <w:trPr>
          <w:trHeight w:val="300"/>
        </w:trPr>
        <w:tc>
          <w:tcPr>
            <w:tcW w:w="911" w:type="dxa"/>
            <w:shd w:val="clear" w:color="auto" w:fill="auto"/>
            <w:noWrap/>
            <w:vAlign w:val="center"/>
            <w:hideMark/>
          </w:tcPr>
          <w:p w14:paraId="7CE5553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503E57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93</w:t>
            </w:r>
          </w:p>
        </w:tc>
        <w:tc>
          <w:tcPr>
            <w:tcW w:w="7204" w:type="dxa"/>
            <w:gridSpan w:val="4"/>
            <w:shd w:val="clear" w:color="auto" w:fill="auto"/>
            <w:noWrap/>
            <w:vAlign w:val="center"/>
            <w:hideMark/>
          </w:tcPr>
          <w:p w14:paraId="018609A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Sperm, Embryo or Oocyte Cryopreservation</w:t>
            </w:r>
          </w:p>
        </w:tc>
      </w:tr>
      <w:tr w:rsidR="00E475B2" w:rsidRPr="00E475B2" w14:paraId="2A8A3221" w14:textId="77777777" w:rsidTr="005A5694">
        <w:trPr>
          <w:trHeight w:val="300"/>
        </w:trPr>
        <w:tc>
          <w:tcPr>
            <w:tcW w:w="911" w:type="dxa"/>
            <w:shd w:val="clear" w:color="auto" w:fill="auto"/>
            <w:noWrap/>
            <w:vAlign w:val="center"/>
            <w:hideMark/>
          </w:tcPr>
          <w:p w14:paraId="4C61F1E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48B132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94</w:t>
            </w:r>
          </w:p>
        </w:tc>
        <w:tc>
          <w:tcPr>
            <w:tcW w:w="6898" w:type="dxa"/>
            <w:gridSpan w:val="3"/>
            <w:shd w:val="clear" w:color="auto" w:fill="auto"/>
            <w:noWrap/>
            <w:vAlign w:val="center"/>
            <w:hideMark/>
          </w:tcPr>
          <w:p w14:paraId="4669F57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Spinal Cord Stimulators</w:t>
            </w:r>
          </w:p>
        </w:tc>
        <w:tc>
          <w:tcPr>
            <w:tcW w:w="306" w:type="dxa"/>
            <w:shd w:val="clear" w:color="auto" w:fill="auto"/>
            <w:noWrap/>
            <w:vAlign w:val="bottom"/>
            <w:hideMark/>
          </w:tcPr>
          <w:p w14:paraId="69F9ADB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0A50843" w14:textId="77777777" w:rsidTr="005A5694">
        <w:trPr>
          <w:trHeight w:val="300"/>
        </w:trPr>
        <w:tc>
          <w:tcPr>
            <w:tcW w:w="911" w:type="dxa"/>
            <w:shd w:val="clear" w:color="auto" w:fill="auto"/>
            <w:noWrap/>
            <w:vAlign w:val="center"/>
            <w:hideMark/>
          </w:tcPr>
          <w:p w14:paraId="12B1DE0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C9E80D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95</w:t>
            </w:r>
          </w:p>
        </w:tc>
        <w:tc>
          <w:tcPr>
            <w:tcW w:w="7204" w:type="dxa"/>
            <w:gridSpan w:val="4"/>
            <w:shd w:val="clear" w:color="auto" w:fill="auto"/>
            <w:noWrap/>
            <w:vAlign w:val="center"/>
            <w:hideMark/>
          </w:tcPr>
          <w:p w14:paraId="77C08B1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Spinal Injections for Low Back Pain and Radicular Leg Pain </w:t>
            </w:r>
          </w:p>
        </w:tc>
      </w:tr>
      <w:tr w:rsidR="00E475B2" w:rsidRPr="00E475B2" w14:paraId="748596A7" w14:textId="77777777" w:rsidTr="005A5694">
        <w:trPr>
          <w:trHeight w:val="300"/>
        </w:trPr>
        <w:tc>
          <w:tcPr>
            <w:tcW w:w="911" w:type="dxa"/>
            <w:shd w:val="clear" w:color="auto" w:fill="auto"/>
            <w:noWrap/>
            <w:vAlign w:val="center"/>
            <w:hideMark/>
          </w:tcPr>
          <w:p w14:paraId="463AC59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7BADDC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96</w:t>
            </w:r>
          </w:p>
        </w:tc>
        <w:tc>
          <w:tcPr>
            <w:tcW w:w="7204" w:type="dxa"/>
            <w:gridSpan w:val="4"/>
            <w:shd w:val="clear" w:color="auto" w:fill="auto"/>
            <w:noWrap/>
            <w:vAlign w:val="center"/>
            <w:hideMark/>
          </w:tcPr>
          <w:p w14:paraId="36DA6C9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Spinal Surgery for Non-Acute Lumbar Conditions</w:t>
            </w:r>
          </w:p>
        </w:tc>
      </w:tr>
      <w:tr w:rsidR="00E475B2" w:rsidRPr="00E475B2" w14:paraId="3B9BE4AC" w14:textId="77777777" w:rsidTr="005A5694">
        <w:trPr>
          <w:trHeight w:val="300"/>
        </w:trPr>
        <w:tc>
          <w:tcPr>
            <w:tcW w:w="911" w:type="dxa"/>
            <w:shd w:val="clear" w:color="auto" w:fill="auto"/>
            <w:noWrap/>
            <w:vAlign w:val="center"/>
            <w:hideMark/>
          </w:tcPr>
          <w:p w14:paraId="43F179C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21D9C3E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97</w:t>
            </w:r>
          </w:p>
        </w:tc>
        <w:tc>
          <w:tcPr>
            <w:tcW w:w="6592" w:type="dxa"/>
            <w:gridSpan w:val="2"/>
            <w:shd w:val="clear" w:color="auto" w:fill="auto"/>
            <w:noWrap/>
            <w:vAlign w:val="center"/>
            <w:hideMark/>
          </w:tcPr>
          <w:p w14:paraId="3A3D2B0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Surrogacy</w:t>
            </w:r>
          </w:p>
        </w:tc>
        <w:tc>
          <w:tcPr>
            <w:tcW w:w="306" w:type="dxa"/>
            <w:shd w:val="clear" w:color="auto" w:fill="auto"/>
            <w:noWrap/>
            <w:vAlign w:val="bottom"/>
            <w:hideMark/>
          </w:tcPr>
          <w:p w14:paraId="57A817D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66A74F59"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5A1AFAA1" w14:textId="77777777" w:rsidTr="005A5694">
        <w:trPr>
          <w:trHeight w:val="300"/>
        </w:trPr>
        <w:tc>
          <w:tcPr>
            <w:tcW w:w="911" w:type="dxa"/>
            <w:shd w:val="clear" w:color="auto" w:fill="auto"/>
            <w:noWrap/>
            <w:vAlign w:val="center"/>
            <w:hideMark/>
          </w:tcPr>
          <w:p w14:paraId="66A05E1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145AC3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98</w:t>
            </w:r>
          </w:p>
        </w:tc>
        <w:tc>
          <w:tcPr>
            <w:tcW w:w="6592" w:type="dxa"/>
            <w:gridSpan w:val="2"/>
            <w:shd w:val="clear" w:color="auto" w:fill="auto"/>
            <w:noWrap/>
            <w:vAlign w:val="center"/>
            <w:hideMark/>
          </w:tcPr>
          <w:p w14:paraId="58ED4F8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Tattoo Removal</w:t>
            </w:r>
          </w:p>
        </w:tc>
        <w:tc>
          <w:tcPr>
            <w:tcW w:w="306" w:type="dxa"/>
            <w:shd w:val="clear" w:color="auto" w:fill="auto"/>
            <w:noWrap/>
            <w:vAlign w:val="bottom"/>
            <w:hideMark/>
          </w:tcPr>
          <w:p w14:paraId="23104D0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4366CEDE"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E593002" w14:textId="77777777" w:rsidTr="005A5694">
        <w:trPr>
          <w:trHeight w:val="300"/>
        </w:trPr>
        <w:tc>
          <w:tcPr>
            <w:tcW w:w="911" w:type="dxa"/>
            <w:shd w:val="clear" w:color="auto" w:fill="auto"/>
            <w:noWrap/>
            <w:vAlign w:val="center"/>
            <w:hideMark/>
          </w:tcPr>
          <w:p w14:paraId="580DE67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284FB70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99</w:t>
            </w:r>
          </w:p>
        </w:tc>
        <w:tc>
          <w:tcPr>
            <w:tcW w:w="7204" w:type="dxa"/>
            <w:gridSpan w:val="4"/>
            <w:shd w:val="clear" w:color="auto" w:fill="auto"/>
            <w:noWrap/>
            <w:vAlign w:val="center"/>
            <w:hideMark/>
          </w:tcPr>
          <w:p w14:paraId="152E5AA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Temporomandibular Joint (TMJ) Retainers and Appliances  </w:t>
            </w:r>
          </w:p>
        </w:tc>
      </w:tr>
      <w:tr w:rsidR="00E475B2" w:rsidRPr="00E475B2" w14:paraId="477E9A9C" w14:textId="77777777" w:rsidTr="005A5694">
        <w:trPr>
          <w:trHeight w:val="300"/>
        </w:trPr>
        <w:tc>
          <w:tcPr>
            <w:tcW w:w="911" w:type="dxa"/>
            <w:shd w:val="clear" w:color="auto" w:fill="auto"/>
            <w:noWrap/>
            <w:vAlign w:val="center"/>
            <w:hideMark/>
          </w:tcPr>
          <w:p w14:paraId="2E93870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CB1051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100</w:t>
            </w:r>
          </w:p>
        </w:tc>
        <w:tc>
          <w:tcPr>
            <w:tcW w:w="7204" w:type="dxa"/>
            <w:gridSpan w:val="4"/>
            <w:shd w:val="clear" w:color="auto" w:fill="auto"/>
            <w:noWrap/>
            <w:vAlign w:val="center"/>
            <w:hideMark/>
          </w:tcPr>
          <w:p w14:paraId="5E1E325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Temporomandibular Joint Replacement</w:t>
            </w:r>
          </w:p>
        </w:tc>
      </w:tr>
      <w:tr w:rsidR="00E475B2" w:rsidRPr="00E475B2" w14:paraId="04FE8348" w14:textId="77777777" w:rsidTr="005A5694">
        <w:trPr>
          <w:trHeight w:val="300"/>
        </w:trPr>
        <w:tc>
          <w:tcPr>
            <w:tcW w:w="911" w:type="dxa"/>
            <w:shd w:val="clear" w:color="auto" w:fill="auto"/>
            <w:noWrap/>
            <w:vAlign w:val="center"/>
            <w:hideMark/>
          </w:tcPr>
          <w:p w14:paraId="5EFE2C6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7FB8F6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101</w:t>
            </w:r>
          </w:p>
        </w:tc>
        <w:tc>
          <w:tcPr>
            <w:tcW w:w="6898" w:type="dxa"/>
            <w:gridSpan w:val="3"/>
            <w:shd w:val="clear" w:color="auto" w:fill="auto"/>
            <w:noWrap/>
            <w:vAlign w:val="center"/>
            <w:hideMark/>
          </w:tcPr>
          <w:p w14:paraId="68B8CCD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Tertiary Fertility Services</w:t>
            </w:r>
          </w:p>
        </w:tc>
        <w:tc>
          <w:tcPr>
            <w:tcW w:w="306" w:type="dxa"/>
            <w:shd w:val="clear" w:color="auto" w:fill="auto"/>
            <w:noWrap/>
            <w:vAlign w:val="bottom"/>
            <w:hideMark/>
          </w:tcPr>
          <w:p w14:paraId="149721F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0418A2D" w14:textId="77777777" w:rsidTr="005A5694">
        <w:trPr>
          <w:trHeight w:val="300"/>
        </w:trPr>
        <w:tc>
          <w:tcPr>
            <w:tcW w:w="911" w:type="dxa"/>
            <w:shd w:val="clear" w:color="auto" w:fill="auto"/>
            <w:noWrap/>
            <w:vAlign w:val="center"/>
            <w:hideMark/>
          </w:tcPr>
          <w:p w14:paraId="32FF1B6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FCA10E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102</w:t>
            </w:r>
          </w:p>
        </w:tc>
        <w:tc>
          <w:tcPr>
            <w:tcW w:w="6286" w:type="dxa"/>
            <w:shd w:val="clear" w:color="auto" w:fill="auto"/>
            <w:noWrap/>
            <w:vAlign w:val="center"/>
            <w:hideMark/>
          </w:tcPr>
          <w:p w14:paraId="05F6943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Tinnitus</w:t>
            </w:r>
          </w:p>
        </w:tc>
        <w:tc>
          <w:tcPr>
            <w:tcW w:w="306" w:type="dxa"/>
            <w:shd w:val="clear" w:color="auto" w:fill="auto"/>
            <w:noWrap/>
            <w:vAlign w:val="bottom"/>
            <w:hideMark/>
          </w:tcPr>
          <w:p w14:paraId="5FA1651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4DAFEC09"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shd w:val="clear" w:color="auto" w:fill="auto"/>
            <w:noWrap/>
            <w:vAlign w:val="bottom"/>
            <w:hideMark/>
          </w:tcPr>
          <w:p w14:paraId="70FEF673"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09DFC81A" w14:textId="77777777" w:rsidTr="005A5694">
        <w:trPr>
          <w:trHeight w:val="300"/>
        </w:trPr>
        <w:tc>
          <w:tcPr>
            <w:tcW w:w="911" w:type="dxa"/>
            <w:shd w:val="clear" w:color="auto" w:fill="auto"/>
            <w:noWrap/>
            <w:vAlign w:val="center"/>
            <w:hideMark/>
          </w:tcPr>
          <w:p w14:paraId="6D5E7F2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D407B0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103</w:t>
            </w:r>
          </w:p>
        </w:tc>
        <w:tc>
          <w:tcPr>
            <w:tcW w:w="6592" w:type="dxa"/>
            <w:gridSpan w:val="2"/>
            <w:shd w:val="clear" w:color="auto" w:fill="auto"/>
            <w:noWrap/>
            <w:vAlign w:val="center"/>
            <w:hideMark/>
          </w:tcPr>
          <w:p w14:paraId="0DBC491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Tonsillectomy</w:t>
            </w:r>
          </w:p>
        </w:tc>
        <w:tc>
          <w:tcPr>
            <w:tcW w:w="306" w:type="dxa"/>
            <w:shd w:val="clear" w:color="auto" w:fill="auto"/>
            <w:noWrap/>
            <w:vAlign w:val="bottom"/>
            <w:hideMark/>
          </w:tcPr>
          <w:p w14:paraId="0B4D65E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334C1C20"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132C08BB" w14:textId="77777777" w:rsidTr="005A5694">
        <w:trPr>
          <w:trHeight w:val="300"/>
        </w:trPr>
        <w:tc>
          <w:tcPr>
            <w:tcW w:w="911" w:type="dxa"/>
            <w:shd w:val="clear" w:color="auto" w:fill="auto"/>
            <w:noWrap/>
            <w:vAlign w:val="center"/>
            <w:hideMark/>
          </w:tcPr>
          <w:p w14:paraId="690C441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169C29F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104</w:t>
            </w:r>
          </w:p>
        </w:tc>
        <w:tc>
          <w:tcPr>
            <w:tcW w:w="7204" w:type="dxa"/>
            <w:gridSpan w:val="4"/>
            <w:shd w:val="clear" w:color="auto" w:fill="auto"/>
            <w:noWrap/>
            <w:vAlign w:val="center"/>
            <w:hideMark/>
          </w:tcPr>
          <w:p w14:paraId="0003219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Toric Lens Implants – Astigmatism </w:t>
            </w:r>
          </w:p>
        </w:tc>
      </w:tr>
      <w:tr w:rsidR="00E475B2" w:rsidRPr="00E475B2" w14:paraId="4C4C045D" w14:textId="77777777" w:rsidTr="005A5694">
        <w:trPr>
          <w:trHeight w:val="300"/>
        </w:trPr>
        <w:tc>
          <w:tcPr>
            <w:tcW w:w="911" w:type="dxa"/>
            <w:shd w:val="clear" w:color="auto" w:fill="auto"/>
            <w:noWrap/>
            <w:vAlign w:val="center"/>
            <w:hideMark/>
          </w:tcPr>
          <w:p w14:paraId="1B5798D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A90676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105</w:t>
            </w:r>
          </w:p>
        </w:tc>
        <w:tc>
          <w:tcPr>
            <w:tcW w:w="7204" w:type="dxa"/>
            <w:gridSpan w:val="4"/>
            <w:shd w:val="clear" w:color="auto" w:fill="auto"/>
            <w:noWrap/>
            <w:vAlign w:val="center"/>
            <w:hideMark/>
          </w:tcPr>
          <w:p w14:paraId="60DAFDE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Transcranial Magnetic Stimulation </w:t>
            </w:r>
          </w:p>
        </w:tc>
      </w:tr>
      <w:tr w:rsidR="00E475B2" w:rsidRPr="00E475B2" w14:paraId="318F7589" w14:textId="77777777" w:rsidTr="005A5694">
        <w:trPr>
          <w:trHeight w:val="300"/>
        </w:trPr>
        <w:tc>
          <w:tcPr>
            <w:tcW w:w="911" w:type="dxa"/>
            <w:shd w:val="clear" w:color="auto" w:fill="auto"/>
            <w:noWrap/>
            <w:vAlign w:val="center"/>
            <w:hideMark/>
          </w:tcPr>
          <w:p w14:paraId="1B5039C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6FC65B6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106</w:t>
            </w:r>
          </w:p>
        </w:tc>
        <w:tc>
          <w:tcPr>
            <w:tcW w:w="7204" w:type="dxa"/>
            <w:gridSpan w:val="4"/>
            <w:shd w:val="clear" w:color="auto" w:fill="auto"/>
            <w:noWrap/>
            <w:vAlign w:val="center"/>
            <w:hideMark/>
          </w:tcPr>
          <w:p w14:paraId="27ACF71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Trigger Finger release in adults </w:t>
            </w:r>
          </w:p>
        </w:tc>
      </w:tr>
      <w:tr w:rsidR="00E475B2" w:rsidRPr="00E475B2" w14:paraId="526B442C" w14:textId="77777777" w:rsidTr="005A5694">
        <w:trPr>
          <w:trHeight w:val="300"/>
        </w:trPr>
        <w:tc>
          <w:tcPr>
            <w:tcW w:w="911" w:type="dxa"/>
            <w:shd w:val="clear" w:color="auto" w:fill="auto"/>
            <w:noWrap/>
            <w:vAlign w:val="center"/>
            <w:hideMark/>
          </w:tcPr>
          <w:p w14:paraId="679CD63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6D401B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107</w:t>
            </w:r>
          </w:p>
        </w:tc>
        <w:tc>
          <w:tcPr>
            <w:tcW w:w="6898" w:type="dxa"/>
            <w:gridSpan w:val="3"/>
            <w:shd w:val="clear" w:color="auto" w:fill="auto"/>
            <w:noWrap/>
            <w:vAlign w:val="center"/>
            <w:hideMark/>
          </w:tcPr>
          <w:p w14:paraId="0E51656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Vaginal Uterine Prolapse</w:t>
            </w:r>
          </w:p>
        </w:tc>
        <w:tc>
          <w:tcPr>
            <w:tcW w:w="306" w:type="dxa"/>
            <w:shd w:val="clear" w:color="auto" w:fill="auto"/>
            <w:noWrap/>
            <w:vAlign w:val="bottom"/>
            <w:hideMark/>
          </w:tcPr>
          <w:p w14:paraId="63ABD73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D51B047" w14:textId="77777777" w:rsidTr="005A5694">
        <w:trPr>
          <w:trHeight w:val="300"/>
        </w:trPr>
        <w:tc>
          <w:tcPr>
            <w:tcW w:w="911" w:type="dxa"/>
            <w:shd w:val="clear" w:color="auto" w:fill="auto"/>
            <w:noWrap/>
            <w:vAlign w:val="center"/>
            <w:hideMark/>
          </w:tcPr>
          <w:p w14:paraId="78232FD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8F00FF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108</w:t>
            </w:r>
          </w:p>
        </w:tc>
        <w:tc>
          <w:tcPr>
            <w:tcW w:w="6898" w:type="dxa"/>
            <w:gridSpan w:val="3"/>
            <w:shd w:val="clear" w:color="auto" w:fill="auto"/>
            <w:noWrap/>
            <w:vAlign w:val="center"/>
            <w:hideMark/>
          </w:tcPr>
          <w:p w14:paraId="2CA273E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roofErr w:type="spellStart"/>
            <w:r w:rsidRPr="00E475B2">
              <w:rPr>
                <w:rFonts w:ascii="Calibri" w:eastAsia="Times New Roman" w:hAnsi="Calibri" w:cs="Calibri"/>
                <w:color w:val="000000"/>
                <w:sz w:val="22"/>
                <w:szCs w:val="22"/>
                <w:lang w:eastAsia="en-GB"/>
              </w:rPr>
              <w:t>Vagus</w:t>
            </w:r>
            <w:proofErr w:type="spellEnd"/>
            <w:r w:rsidRPr="00E475B2">
              <w:rPr>
                <w:rFonts w:ascii="Calibri" w:eastAsia="Times New Roman" w:hAnsi="Calibri" w:cs="Calibri"/>
                <w:color w:val="000000"/>
                <w:sz w:val="22"/>
                <w:szCs w:val="22"/>
                <w:lang w:eastAsia="en-GB"/>
              </w:rPr>
              <w:t xml:space="preserve"> Nerve Stimulation</w:t>
            </w:r>
          </w:p>
        </w:tc>
        <w:tc>
          <w:tcPr>
            <w:tcW w:w="306" w:type="dxa"/>
            <w:shd w:val="clear" w:color="auto" w:fill="auto"/>
            <w:noWrap/>
            <w:vAlign w:val="bottom"/>
            <w:hideMark/>
          </w:tcPr>
          <w:p w14:paraId="6F44CBF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696DBD3E" w14:textId="77777777" w:rsidTr="005A5694">
        <w:trPr>
          <w:trHeight w:val="300"/>
        </w:trPr>
        <w:tc>
          <w:tcPr>
            <w:tcW w:w="911" w:type="dxa"/>
            <w:shd w:val="clear" w:color="auto" w:fill="auto"/>
            <w:noWrap/>
            <w:vAlign w:val="center"/>
            <w:hideMark/>
          </w:tcPr>
          <w:p w14:paraId="01E45CD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30CACE7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109</w:t>
            </w:r>
          </w:p>
        </w:tc>
        <w:tc>
          <w:tcPr>
            <w:tcW w:w="6592" w:type="dxa"/>
            <w:gridSpan w:val="2"/>
            <w:shd w:val="clear" w:color="auto" w:fill="auto"/>
            <w:noWrap/>
            <w:vAlign w:val="center"/>
            <w:hideMark/>
          </w:tcPr>
          <w:p w14:paraId="6F60938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Varicose Veins</w:t>
            </w:r>
          </w:p>
        </w:tc>
        <w:tc>
          <w:tcPr>
            <w:tcW w:w="306" w:type="dxa"/>
            <w:shd w:val="clear" w:color="auto" w:fill="auto"/>
            <w:noWrap/>
            <w:vAlign w:val="bottom"/>
            <w:hideMark/>
          </w:tcPr>
          <w:p w14:paraId="6709D95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shd w:val="clear" w:color="auto" w:fill="auto"/>
            <w:noWrap/>
            <w:vAlign w:val="bottom"/>
            <w:hideMark/>
          </w:tcPr>
          <w:p w14:paraId="7FE403A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5C47504" w14:textId="77777777" w:rsidTr="005A5694">
        <w:trPr>
          <w:trHeight w:val="300"/>
        </w:trPr>
        <w:tc>
          <w:tcPr>
            <w:tcW w:w="911" w:type="dxa"/>
            <w:shd w:val="clear" w:color="auto" w:fill="auto"/>
            <w:noWrap/>
            <w:vAlign w:val="center"/>
            <w:hideMark/>
          </w:tcPr>
          <w:p w14:paraId="3201D2C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AFF312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110</w:t>
            </w:r>
          </w:p>
        </w:tc>
        <w:tc>
          <w:tcPr>
            <w:tcW w:w="7204" w:type="dxa"/>
            <w:gridSpan w:val="4"/>
            <w:shd w:val="clear" w:color="auto" w:fill="auto"/>
            <w:noWrap/>
            <w:vAlign w:val="center"/>
            <w:hideMark/>
          </w:tcPr>
          <w:p w14:paraId="7B0D3C0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Vision Therapy/Vision Training/Behavioural Optometry </w:t>
            </w:r>
          </w:p>
        </w:tc>
      </w:tr>
      <w:tr w:rsidR="00E475B2" w:rsidRPr="00E475B2" w14:paraId="325E5B80" w14:textId="77777777" w:rsidTr="005A5694">
        <w:trPr>
          <w:trHeight w:val="300"/>
        </w:trPr>
        <w:tc>
          <w:tcPr>
            <w:tcW w:w="911" w:type="dxa"/>
            <w:shd w:val="clear" w:color="auto" w:fill="auto"/>
            <w:noWrap/>
            <w:vAlign w:val="center"/>
            <w:hideMark/>
          </w:tcPr>
          <w:p w14:paraId="1CC9F53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0AD0315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111</w:t>
            </w:r>
          </w:p>
        </w:tc>
        <w:tc>
          <w:tcPr>
            <w:tcW w:w="7204" w:type="dxa"/>
            <w:gridSpan w:val="4"/>
            <w:shd w:val="clear" w:color="auto" w:fill="auto"/>
            <w:noWrap/>
            <w:vAlign w:val="center"/>
            <w:hideMark/>
          </w:tcPr>
          <w:p w14:paraId="7002B17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Wigs and Hair Pieces/Hair Systems/Transplantation</w:t>
            </w:r>
          </w:p>
        </w:tc>
      </w:tr>
      <w:tr w:rsidR="00E475B2" w:rsidRPr="00E475B2" w14:paraId="169A752B" w14:textId="77777777" w:rsidTr="005A5694">
        <w:trPr>
          <w:trHeight w:val="300"/>
        </w:trPr>
        <w:tc>
          <w:tcPr>
            <w:tcW w:w="911" w:type="dxa"/>
            <w:shd w:val="clear" w:color="auto" w:fill="auto"/>
            <w:noWrap/>
            <w:vAlign w:val="center"/>
            <w:hideMark/>
          </w:tcPr>
          <w:p w14:paraId="68E9055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4E7F555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112</w:t>
            </w:r>
          </w:p>
        </w:tc>
        <w:tc>
          <w:tcPr>
            <w:tcW w:w="6898" w:type="dxa"/>
            <w:gridSpan w:val="3"/>
            <w:shd w:val="clear" w:color="auto" w:fill="auto"/>
            <w:noWrap/>
            <w:vAlign w:val="center"/>
            <w:hideMark/>
          </w:tcPr>
          <w:p w14:paraId="05F8D56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Hybrid closed Loops Diabetes</w:t>
            </w:r>
          </w:p>
        </w:tc>
        <w:tc>
          <w:tcPr>
            <w:tcW w:w="306" w:type="dxa"/>
            <w:shd w:val="clear" w:color="auto" w:fill="auto"/>
            <w:noWrap/>
            <w:vAlign w:val="bottom"/>
            <w:hideMark/>
          </w:tcPr>
          <w:p w14:paraId="362077A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637B6AA9" w14:textId="77777777" w:rsidTr="005A5694">
        <w:trPr>
          <w:trHeight w:val="300"/>
        </w:trPr>
        <w:tc>
          <w:tcPr>
            <w:tcW w:w="911" w:type="dxa"/>
            <w:shd w:val="clear" w:color="auto" w:fill="auto"/>
            <w:noWrap/>
            <w:vAlign w:val="center"/>
            <w:hideMark/>
          </w:tcPr>
          <w:p w14:paraId="3E8DBB0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5E4BDAA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113</w:t>
            </w:r>
          </w:p>
        </w:tc>
        <w:tc>
          <w:tcPr>
            <w:tcW w:w="7204" w:type="dxa"/>
            <w:gridSpan w:val="4"/>
            <w:shd w:val="clear" w:color="auto" w:fill="auto"/>
            <w:noWrap/>
            <w:vAlign w:val="center"/>
            <w:hideMark/>
          </w:tcPr>
          <w:p w14:paraId="1F10D30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Tier 3 Weight Management Services</w:t>
            </w:r>
          </w:p>
        </w:tc>
      </w:tr>
      <w:tr w:rsidR="00E475B2" w:rsidRPr="00E475B2" w14:paraId="1C34C3BE" w14:textId="77777777" w:rsidTr="005A5694">
        <w:trPr>
          <w:trHeight w:val="300"/>
        </w:trPr>
        <w:tc>
          <w:tcPr>
            <w:tcW w:w="911" w:type="dxa"/>
            <w:shd w:val="clear" w:color="auto" w:fill="auto"/>
            <w:noWrap/>
            <w:vAlign w:val="center"/>
            <w:hideMark/>
          </w:tcPr>
          <w:p w14:paraId="10B7B01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shd w:val="clear" w:color="auto" w:fill="auto"/>
            <w:noWrap/>
            <w:vAlign w:val="center"/>
            <w:hideMark/>
          </w:tcPr>
          <w:p w14:paraId="71EA010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114</w:t>
            </w:r>
          </w:p>
        </w:tc>
        <w:tc>
          <w:tcPr>
            <w:tcW w:w="6898" w:type="dxa"/>
            <w:gridSpan w:val="3"/>
            <w:shd w:val="clear" w:color="auto" w:fill="auto"/>
            <w:noWrap/>
            <w:vAlign w:val="center"/>
            <w:hideMark/>
          </w:tcPr>
          <w:p w14:paraId="3936FBC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Specialist Obesity Services</w:t>
            </w:r>
          </w:p>
        </w:tc>
        <w:tc>
          <w:tcPr>
            <w:tcW w:w="306" w:type="dxa"/>
            <w:shd w:val="clear" w:color="auto" w:fill="auto"/>
            <w:noWrap/>
            <w:vAlign w:val="bottom"/>
            <w:hideMark/>
          </w:tcPr>
          <w:p w14:paraId="0D65FA0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1D4C52" w:rsidRPr="00E475B2" w14:paraId="0DFBE9A5" w14:textId="77777777" w:rsidTr="005A5694">
        <w:trPr>
          <w:trHeight w:val="300"/>
        </w:trPr>
        <w:tc>
          <w:tcPr>
            <w:tcW w:w="911" w:type="dxa"/>
            <w:shd w:val="clear" w:color="auto" w:fill="auto"/>
            <w:noWrap/>
            <w:vAlign w:val="center"/>
          </w:tcPr>
          <w:p w14:paraId="5ACC91A0" w14:textId="6AD45AB5" w:rsidR="001D4C52" w:rsidRPr="00E475B2" w:rsidRDefault="001D4C52" w:rsidP="00E475B2">
            <w:pPr>
              <w:spacing w:before="0" w:after="0"/>
              <w:ind w:left="0"/>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SRP</w:t>
            </w:r>
          </w:p>
        </w:tc>
        <w:tc>
          <w:tcPr>
            <w:tcW w:w="911" w:type="dxa"/>
            <w:shd w:val="clear" w:color="auto" w:fill="auto"/>
            <w:noWrap/>
            <w:vAlign w:val="center"/>
          </w:tcPr>
          <w:p w14:paraId="74FB7B91" w14:textId="1D8A8762" w:rsidR="001D4C52" w:rsidRPr="00E475B2" w:rsidRDefault="001D4C52" w:rsidP="00E475B2">
            <w:pPr>
              <w:spacing w:before="0" w:after="0"/>
              <w:ind w:left="0"/>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115</w:t>
            </w:r>
          </w:p>
        </w:tc>
        <w:tc>
          <w:tcPr>
            <w:tcW w:w="6898" w:type="dxa"/>
            <w:gridSpan w:val="3"/>
            <w:shd w:val="clear" w:color="auto" w:fill="auto"/>
            <w:noWrap/>
            <w:vAlign w:val="center"/>
          </w:tcPr>
          <w:p w14:paraId="6EC05EB6" w14:textId="63D30E08" w:rsidR="001D4C52" w:rsidRPr="00E475B2" w:rsidRDefault="004D03E4" w:rsidP="00E475B2">
            <w:pPr>
              <w:spacing w:before="0" w:after="0"/>
              <w:ind w:left="0"/>
              <w:rPr>
                <w:rFonts w:ascii="Calibri" w:eastAsia="Times New Roman" w:hAnsi="Calibri" w:cs="Calibri"/>
                <w:color w:val="000000"/>
                <w:sz w:val="22"/>
                <w:szCs w:val="22"/>
                <w:lang w:eastAsia="en-GB"/>
              </w:rPr>
            </w:pPr>
            <w:r w:rsidRPr="004D03E4">
              <w:rPr>
                <w:rFonts w:ascii="Calibri" w:eastAsia="Times New Roman" w:hAnsi="Calibri" w:cs="Calibri"/>
                <w:color w:val="000000"/>
                <w:sz w:val="22"/>
                <w:szCs w:val="22"/>
                <w:lang w:eastAsia="en-GB"/>
              </w:rPr>
              <w:t>Surgical Intervention for Bladder Outflow Obstruction (BOO)</w:t>
            </w:r>
          </w:p>
        </w:tc>
        <w:tc>
          <w:tcPr>
            <w:tcW w:w="306" w:type="dxa"/>
            <w:shd w:val="clear" w:color="auto" w:fill="auto"/>
            <w:noWrap/>
            <w:vAlign w:val="bottom"/>
          </w:tcPr>
          <w:p w14:paraId="64FE61D4" w14:textId="77777777" w:rsidR="001D4C52" w:rsidRPr="00E475B2" w:rsidRDefault="001D4C52" w:rsidP="00E475B2">
            <w:pPr>
              <w:spacing w:before="0" w:after="0"/>
              <w:ind w:left="0"/>
              <w:rPr>
                <w:rFonts w:ascii="Calibri" w:eastAsia="Times New Roman" w:hAnsi="Calibri" w:cs="Calibri"/>
                <w:color w:val="000000"/>
                <w:sz w:val="22"/>
                <w:szCs w:val="22"/>
                <w:lang w:eastAsia="en-GB"/>
              </w:rPr>
            </w:pPr>
          </w:p>
        </w:tc>
      </w:tr>
      <w:tr w:rsidR="001D4C52" w:rsidRPr="00E475B2" w14:paraId="6C46AE15" w14:textId="77777777" w:rsidTr="005A5694">
        <w:trPr>
          <w:trHeight w:val="300"/>
        </w:trPr>
        <w:tc>
          <w:tcPr>
            <w:tcW w:w="911" w:type="dxa"/>
            <w:shd w:val="clear" w:color="auto" w:fill="auto"/>
            <w:noWrap/>
            <w:vAlign w:val="center"/>
          </w:tcPr>
          <w:p w14:paraId="58556989" w14:textId="67E630FF" w:rsidR="001D4C52" w:rsidRPr="00E475B2" w:rsidRDefault="004D03E4" w:rsidP="00E475B2">
            <w:pPr>
              <w:spacing w:before="0" w:after="0"/>
              <w:ind w:left="0"/>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SRP</w:t>
            </w:r>
          </w:p>
        </w:tc>
        <w:tc>
          <w:tcPr>
            <w:tcW w:w="911" w:type="dxa"/>
            <w:shd w:val="clear" w:color="auto" w:fill="auto"/>
            <w:noWrap/>
            <w:vAlign w:val="center"/>
          </w:tcPr>
          <w:p w14:paraId="5FBE8D0D" w14:textId="2D363D7B" w:rsidR="001D4C52" w:rsidRPr="00E475B2" w:rsidRDefault="004D03E4" w:rsidP="00E475B2">
            <w:pPr>
              <w:spacing w:before="0" w:after="0"/>
              <w:ind w:left="0"/>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116</w:t>
            </w:r>
          </w:p>
        </w:tc>
        <w:tc>
          <w:tcPr>
            <w:tcW w:w="6898" w:type="dxa"/>
            <w:gridSpan w:val="3"/>
            <w:shd w:val="clear" w:color="auto" w:fill="auto"/>
            <w:noWrap/>
            <w:vAlign w:val="center"/>
          </w:tcPr>
          <w:p w14:paraId="2C361539" w14:textId="6793AE8B" w:rsidR="001D4C52" w:rsidRPr="00E475B2" w:rsidRDefault="00E74363" w:rsidP="00E475B2">
            <w:pPr>
              <w:spacing w:before="0" w:after="0"/>
              <w:ind w:left="0"/>
              <w:rPr>
                <w:rFonts w:ascii="Calibri" w:eastAsia="Times New Roman" w:hAnsi="Calibri" w:cs="Calibri"/>
                <w:color w:val="000000"/>
                <w:sz w:val="22"/>
                <w:szCs w:val="22"/>
                <w:lang w:eastAsia="en-GB"/>
              </w:rPr>
            </w:pPr>
            <w:r w:rsidRPr="00E74363">
              <w:rPr>
                <w:rFonts w:ascii="Calibri" w:eastAsia="Times New Roman" w:hAnsi="Calibri" w:cs="Calibri"/>
                <w:color w:val="000000"/>
                <w:sz w:val="22"/>
                <w:szCs w:val="22"/>
                <w:lang w:eastAsia="en-GB"/>
              </w:rPr>
              <w:t>Surgical Removal of Kidney Stones</w:t>
            </w:r>
          </w:p>
        </w:tc>
        <w:tc>
          <w:tcPr>
            <w:tcW w:w="306" w:type="dxa"/>
            <w:shd w:val="clear" w:color="auto" w:fill="auto"/>
            <w:noWrap/>
            <w:vAlign w:val="bottom"/>
          </w:tcPr>
          <w:p w14:paraId="31D8FBF5" w14:textId="77777777" w:rsidR="001D4C52" w:rsidRPr="00E475B2" w:rsidRDefault="001D4C52" w:rsidP="00E475B2">
            <w:pPr>
              <w:spacing w:before="0" w:after="0"/>
              <w:ind w:left="0"/>
              <w:rPr>
                <w:rFonts w:ascii="Calibri" w:eastAsia="Times New Roman" w:hAnsi="Calibri" w:cs="Calibri"/>
                <w:color w:val="000000"/>
                <w:sz w:val="22"/>
                <w:szCs w:val="22"/>
                <w:lang w:eastAsia="en-GB"/>
              </w:rPr>
            </w:pPr>
          </w:p>
        </w:tc>
      </w:tr>
      <w:tr w:rsidR="00E475B2" w:rsidRPr="00E475B2" w14:paraId="4E521983" w14:textId="77777777" w:rsidTr="005A5694">
        <w:trPr>
          <w:trHeight w:val="300"/>
        </w:trPr>
        <w:tc>
          <w:tcPr>
            <w:tcW w:w="911" w:type="dxa"/>
            <w:shd w:val="clear" w:color="auto" w:fill="auto"/>
            <w:noWrap/>
            <w:vAlign w:val="bottom"/>
            <w:hideMark/>
          </w:tcPr>
          <w:p w14:paraId="2F461F86"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911" w:type="dxa"/>
            <w:shd w:val="clear" w:color="auto" w:fill="auto"/>
            <w:noWrap/>
            <w:vAlign w:val="bottom"/>
            <w:hideMark/>
          </w:tcPr>
          <w:p w14:paraId="303426CE"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6286" w:type="dxa"/>
            <w:shd w:val="clear" w:color="auto" w:fill="auto"/>
            <w:noWrap/>
            <w:vAlign w:val="bottom"/>
            <w:hideMark/>
          </w:tcPr>
          <w:p w14:paraId="5BC17F7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shd w:val="clear" w:color="auto" w:fill="auto"/>
            <w:noWrap/>
            <w:vAlign w:val="bottom"/>
            <w:hideMark/>
          </w:tcPr>
          <w:p w14:paraId="294478F0"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shd w:val="clear" w:color="auto" w:fill="auto"/>
            <w:noWrap/>
            <w:vAlign w:val="bottom"/>
            <w:hideMark/>
          </w:tcPr>
          <w:p w14:paraId="42E04E34"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shd w:val="clear" w:color="auto" w:fill="auto"/>
            <w:noWrap/>
            <w:vAlign w:val="bottom"/>
            <w:hideMark/>
          </w:tcPr>
          <w:p w14:paraId="3224F184"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bl>
    <w:p w14:paraId="2EB3F579" w14:textId="702A153E" w:rsidR="005778B5" w:rsidRPr="00F40D75" w:rsidRDefault="005778B5" w:rsidP="00F40D75">
      <w:pPr>
        <w:ind w:left="0"/>
      </w:pPr>
    </w:p>
    <w:sectPr w:rsidR="005778B5" w:rsidRPr="00F40D75" w:rsidSect="00904F3A">
      <w:headerReference w:type="default" r:id="rId16"/>
      <w:footerReference w:type="default" r:id="rId17"/>
      <w:pgSz w:w="11906" w:h="16838"/>
      <w:pgMar w:top="1560" w:right="1133" w:bottom="1797" w:left="1440" w:header="993"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EB8D" w14:textId="77777777" w:rsidR="00DD2028" w:rsidRDefault="00DD2028" w:rsidP="00EB783D">
      <w:pPr>
        <w:spacing w:before="0" w:after="0"/>
      </w:pPr>
      <w:r>
        <w:separator/>
      </w:r>
    </w:p>
  </w:endnote>
  <w:endnote w:type="continuationSeparator" w:id="0">
    <w:p w14:paraId="06DF63CC" w14:textId="77777777" w:rsidR="00DD2028" w:rsidRDefault="00DD2028" w:rsidP="00EB783D">
      <w:pPr>
        <w:spacing w:before="0" w:after="0"/>
      </w:pPr>
      <w:r>
        <w:continuationSeparator/>
      </w:r>
    </w:p>
  </w:endnote>
  <w:endnote w:type="continuationNotice" w:id="1">
    <w:p w14:paraId="161646D6" w14:textId="77777777" w:rsidR="00DD2028" w:rsidRDefault="00DD20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pleSystemUIFont">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6C0A" w14:textId="1A2078D1" w:rsidR="00076346" w:rsidRPr="00A91472" w:rsidRDefault="00941DB9" w:rsidP="00EB783D">
    <w:pPr>
      <w:pStyle w:val="Footer"/>
      <w:ind w:left="0"/>
    </w:pPr>
    <w:r>
      <w:t>Commissioning Policy (Service Restriction) V1.0</w:t>
    </w:r>
    <w:r w:rsidR="000D3262">
      <w:tab/>
    </w:r>
    <w:r w:rsidR="00664B3F" w:rsidRPr="00C90341">
      <w:t xml:space="preserve">Page </w:t>
    </w:r>
    <w:r w:rsidR="00664B3F" w:rsidRPr="00C90341">
      <w:fldChar w:fldCharType="begin"/>
    </w:r>
    <w:r w:rsidR="00664B3F" w:rsidRPr="00C90341">
      <w:instrText xml:space="preserve"> PAGE </w:instrText>
    </w:r>
    <w:r w:rsidR="00664B3F" w:rsidRPr="00C90341">
      <w:fldChar w:fldCharType="separate"/>
    </w:r>
    <w:r w:rsidR="00664B3F">
      <w:t>1</w:t>
    </w:r>
    <w:r w:rsidR="00664B3F" w:rsidRPr="00C90341">
      <w:fldChar w:fldCharType="end"/>
    </w:r>
    <w:r w:rsidR="00664B3F" w:rsidRPr="00C90341">
      <w:t xml:space="preserve"> of </w:t>
    </w:r>
    <w:r>
      <w:fldChar w:fldCharType="begin"/>
    </w:r>
    <w:r>
      <w:instrText>NUMPAGES</w:instrText>
    </w:r>
    <w:r>
      <w:fldChar w:fldCharType="separate"/>
    </w:r>
    <w:r w:rsidR="00664B3F">
      <w:t>12</w:t>
    </w:r>
    <w:r>
      <w:fldChar w:fldCharType="end"/>
    </w:r>
  </w:p>
  <w:p w14:paraId="1EEA6B97" w14:textId="77777777" w:rsidR="00076346" w:rsidRDefault="0007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1952" w14:textId="64D5CF96" w:rsidR="00364D55" w:rsidRDefault="00AC0EF1" w:rsidP="00BF7DE9">
    <w:pPr>
      <w:pStyle w:val="Footer"/>
      <w:ind w:left="0"/>
    </w:pPr>
    <w:r>
      <w:t xml:space="preserve">Commissioning Policy (Service Restriction) </w:t>
    </w:r>
    <w:r w:rsidR="00182A68">
      <w:t>V1.0</w:t>
    </w:r>
    <w:r w:rsidR="00364D55" w:rsidRPr="00C1239F">
      <w:tab/>
    </w:r>
    <w:r w:rsidR="00364D55" w:rsidRPr="00C90341">
      <w:t xml:space="preserve">Page </w:t>
    </w:r>
    <w:r w:rsidR="00364D55" w:rsidRPr="00C90341">
      <w:rPr>
        <w:color w:val="2B579A"/>
        <w:shd w:val="clear" w:color="auto" w:fill="E6E6E6"/>
      </w:rPr>
      <w:fldChar w:fldCharType="begin"/>
    </w:r>
    <w:r w:rsidR="00364D55" w:rsidRPr="00C90341">
      <w:instrText xml:space="preserve"> PAGE </w:instrText>
    </w:r>
    <w:r w:rsidR="00364D55" w:rsidRPr="00C90341">
      <w:rPr>
        <w:color w:val="2B579A"/>
        <w:shd w:val="clear" w:color="auto" w:fill="E6E6E6"/>
      </w:rPr>
      <w:fldChar w:fldCharType="separate"/>
    </w:r>
    <w:r w:rsidR="00364D55">
      <w:t>2</w:t>
    </w:r>
    <w:r w:rsidR="00364D55" w:rsidRPr="00C90341">
      <w:rPr>
        <w:color w:val="2B579A"/>
        <w:shd w:val="clear" w:color="auto" w:fill="E6E6E6"/>
      </w:rPr>
      <w:fldChar w:fldCharType="end"/>
    </w:r>
    <w:r w:rsidR="00364D55" w:rsidRPr="00C90341">
      <w:t xml:space="preserve"> of </w:t>
    </w:r>
    <w:r>
      <w:fldChar w:fldCharType="begin"/>
    </w:r>
    <w:r>
      <w:instrText>NUMPAGES</w:instrText>
    </w:r>
    <w:r>
      <w:fldChar w:fldCharType="separate"/>
    </w:r>
    <w:r w:rsidR="00364D55">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0332" w14:textId="77777777" w:rsidR="00DD2028" w:rsidRDefault="00DD2028" w:rsidP="00EB783D">
      <w:pPr>
        <w:spacing w:before="0" w:after="0"/>
      </w:pPr>
      <w:r>
        <w:separator/>
      </w:r>
    </w:p>
  </w:footnote>
  <w:footnote w:type="continuationSeparator" w:id="0">
    <w:p w14:paraId="52E08B4B" w14:textId="77777777" w:rsidR="00DD2028" w:rsidRDefault="00DD2028" w:rsidP="00EB783D">
      <w:pPr>
        <w:spacing w:before="0" w:after="0"/>
      </w:pPr>
      <w:r>
        <w:continuationSeparator/>
      </w:r>
    </w:p>
  </w:footnote>
  <w:footnote w:type="continuationNotice" w:id="1">
    <w:p w14:paraId="1551A538" w14:textId="77777777" w:rsidR="00DD2028" w:rsidRDefault="00DD20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F442" w14:textId="77777777" w:rsidR="00076346" w:rsidRDefault="00364D55" w:rsidP="00EB783D">
    <w:pPr>
      <w:pStyle w:val="Header"/>
      <w:ind w:left="0"/>
    </w:pPr>
    <w:r>
      <w:rPr>
        <w:noProof/>
        <w:color w:val="2B579A"/>
        <w:shd w:val="clear" w:color="auto" w:fill="E6E6E6"/>
      </w:rPr>
      <mc:AlternateContent>
        <mc:Choice Requires="wpg">
          <w:drawing>
            <wp:anchor distT="0" distB="0" distL="114300" distR="114300" simplePos="0" relativeHeight="251658240" behindDoc="0" locked="0" layoutInCell="1" allowOverlap="1" wp14:anchorId="38EDD447" wp14:editId="16F57EF0">
              <wp:simplePos x="0" y="0"/>
              <wp:positionH relativeFrom="column">
                <wp:posOffset>0</wp:posOffset>
              </wp:positionH>
              <wp:positionV relativeFrom="paragraph">
                <wp:posOffset>-168275</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3" name="Group 3"/>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344539B0">
            <v:group id="Group 3" style="position:absolute;margin-left:0;margin-top:-13.25pt;width:470.55pt;height:61.25pt;z-index:251658240" coordsize="59762,7778" o:spid="_x0000_s1026" w14:anchorId="0E4C7F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top:302;width:22345;height:647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o:title="" r:id="rId3"/>
              </v:shape>
              <v:shape id="Picture 2" style="position:absolute;left:43176;width:16586;height:777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o:title="" r:id="rId4"/>
              </v:shape>
              <w10:wrap type="through"/>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04FF" w14:textId="77777777" w:rsidR="00076346" w:rsidRDefault="00076346" w:rsidP="00EB783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2835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E4AE1"/>
    <w:multiLevelType w:val="hybridMultilevel"/>
    <w:tmpl w:val="E618A458"/>
    <w:lvl w:ilvl="0" w:tplc="4F8C19E8">
      <w:start w:val="1"/>
      <w:numFmt w:val="bullet"/>
      <w:lvlText w:val=""/>
      <w:lvlJc w:val="left"/>
      <w:pPr>
        <w:ind w:left="720" w:hanging="360"/>
      </w:pPr>
      <w:rPr>
        <w:rFonts w:ascii="Symbol" w:hAnsi="Symbol" w:hint="default"/>
      </w:rPr>
    </w:lvl>
    <w:lvl w:ilvl="1" w:tplc="2536F82E">
      <w:start w:val="1"/>
      <w:numFmt w:val="bullet"/>
      <w:lvlText w:val=""/>
      <w:lvlJc w:val="left"/>
      <w:pPr>
        <w:ind w:left="1440" w:hanging="360"/>
      </w:pPr>
      <w:rPr>
        <w:rFonts w:ascii="Symbol" w:hAnsi="Symbol" w:hint="default"/>
      </w:rPr>
    </w:lvl>
    <w:lvl w:ilvl="2" w:tplc="B0902AAE">
      <w:start w:val="1"/>
      <w:numFmt w:val="bullet"/>
      <w:lvlText w:val=""/>
      <w:lvlJc w:val="left"/>
      <w:pPr>
        <w:ind w:left="2160" w:hanging="360"/>
      </w:pPr>
      <w:rPr>
        <w:rFonts w:ascii="Wingdings" w:hAnsi="Wingdings" w:hint="default"/>
      </w:rPr>
    </w:lvl>
    <w:lvl w:ilvl="3" w:tplc="D57EE39C">
      <w:start w:val="1"/>
      <w:numFmt w:val="bullet"/>
      <w:lvlText w:val=""/>
      <w:lvlJc w:val="left"/>
      <w:pPr>
        <w:ind w:left="2880" w:hanging="360"/>
      </w:pPr>
      <w:rPr>
        <w:rFonts w:ascii="Symbol" w:hAnsi="Symbol" w:hint="default"/>
      </w:rPr>
    </w:lvl>
    <w:lvl w:ilvl="4" w:tplc="81B46914">
      <w:start w:val="1"/>
      <w:numFmt w:val="bullet"/>
      <w:lvlText w:val="o"/>
      <w:lvlJc w:val="left"/>
      <w:pPr>
        <w:ind w:left="3600" w:hanging="360"/>
      </w:pPr>
      <w:rPr>
        <w:rFonts w:ascii="Courier New" w:hAnsi="Courier New" w:hint="default"/>
      </w:rPr>
    </w:lvl>
    <w:lvl w:ilvl="5" w:tplc="9C62D376">
      <w:start w:val="1"/>
      <w:numFmt w:val="bullet"/>
      <w:lvlText w:val=""/>
      <w:lvlJc w:val="left"/>
      <w:pPr>
        <w:ind w:left="4320" w:hanging="360"/>
      </w:pPr>
      <w:rPr>
        <w:rFonts w:ascii="Wingdings" w:hAnsi="Wingdings" w:hint="default"/>
      </w:rPr>
    </w:lvl>
    <w:lvl w:ilvl="6" w:tplc="06926400">
      <w:start w:val="1"/>
      <w:numFmt w:val="bullet"/>
      <w:lvlText w:val=""/>
      <w:lvlJc w:val="left"/>
      <w:pPr>
        <w:ind w:left="5040" w:hanging="360"/>
      </w:pPr>
      <w:rPr>
        <w:rFonts w:ascii="Symbol" w:hAnsi="Symbol" w:hint="default"/>
      </w:rPr>
    </w:lvl>
    <w:lvl w:ilvl="7" w:tplc="C3901F20">
      <w:start w:val="1"/>
      <w:numFmt w:val="bullet"/>
      <w:lvlText w:val="o"/>
      <w:lvlJc w:val="left"/>
      <w:pPr>
        <w:ind w:left="5760" w:hanging="360"/>
      </w:pPr>
      <w:rPr>
        <w:rFonts w:ascii="Courier New" w:hAnsi="Courier New" w:hint="default"/>
      </w:rPr>
    </w:lvl>
    <w:lvl w:ilvl="8" w:tplc="826CCE14">
      <w:start w:val="1"/>
      <w:numFmt w:val="bullet"/>
      <w:lvlText w:val=""/>
      <w:lvlJc w:val="left"/>
      <w:pPr>
        <w:ind w:left="6480" w:hanging="360"/>
      </w:pPr>
      <w:rPr>
        <w:rFonts w:ascii="Wingdings" w:hAnsi="Wingdings" w:hint="default"/>
      </w:rPr>
    </w:lvl>
  </w:abstractNum>
  <w:abstractNum w:abstractNumId="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037C95"/>
    <w:multiLevelType w:val="hybridMultilevel"/>
    <w:tmpl w:val="E878E65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296893D"/>
    <w:multiLevelType w:val="hybridMultilevel"/>
    <w:tmpl w:val="3A8EA4EC"/>
    <w:lvl w:ilvl="0" w:tplc="7C5A24EE">
      <w:start w:val="1"/>
      <w:numFmt w:val="bullet"/>
      <w:lvlText w:val=""/>
      <w:lvlJc w:val="left"/>
      <w:pPr>
        <w:ind w:left="720" w:hanging="360"/>
      </w:pPr>
      <w:rPr>
        <w:rFonts w:ascii="Symbol" w:hAnsi="Symbol" w:hint="default"/>
      </w:rPr>
    </w:lvl>
    <w:lvl w:ilvl="1" w:tplc="1AC42930">
      <w:start w:val="1"/>
      <w:numFmt w:val="bullet"/>
      <w:lvlText w:val=""/>
      <w:lvlJc w:val="left"/>
      <w:pPr>
        <w:ind w:left="1440" w:hanging="360"/>
      </w:pPr>
      <w:rPr>
        <w:rFonts w:ascii="Symbol" w:hAnsi="Symbol" w:hint="default"/>
      </w:rPr>
    </w:lvl>
    <w:lvl w:ilvl="2" w:tplc="71A2B134">
      <w:start w:val="1"/>
      <w:numFmt w:val="bullet"/>
      <w:lvlText w:val=""/>
      <w:lvlJc w:val="left"/>
      <w:pPr>
        <w:ind w:left="2160" w:hanging="360"/>
      </w:pPr>
      <w:rPr>
        <w:rFonts w:ascii="Wingdings" w:hAnsi="Wingdings" w:hint="default"/>
      </w:rPr>
    </w:lvl>
    <w:lvl w:ilvl="3" w:tplc="AA5C2226">
      <w:start w:val="1"/>
      <w:numFmt w:val="bullet"/>
      <w:lvlText w:val=""/>
      <w:lvlJc w:val="left"/>
      <w:pPr>
        <w:ind w:left="2880" w:hanging="360"/>
      </w:pPr>
      <w:rPr>
        <w:rFonts w:ascii="Symbol" w:hAnsi="Symbol" w:hint="default"/>
      </w:rPr>
    </w:lvl>
    <w:lvl w:ilvl="4" w:tplc="54D27B70">
      <w:start w:val="1"/>
      <w:numFmt w:val="bullet"/>
      <w:lvlText w:val="o"/>
      <w:lvlJc w:val="left"/>
      <w:pPr>
        <w:ind w:left="3600" w:hanging="360"/>
      </w:pPr>
      <w:rPr>
        <w:rFonts w:ascii="Courier New" w:hAnsi="Courier New" w:hint="default"/>
      </w:rPr>
    </w:lvl>
    <w:lvl w:ilvl="5" w:tplc="14323B9E">
      <w:start w:val="1"/>
      <w:numFmt w:val="bullet"/>
      <w:lvlText w:val=""/>
      <w:lvlJc w:val="left"/>
      <w:pPr>
        <w:ind w:left="4320" w:hanging="360"/>
      </w:pPr>
      <w:rPr>
        <w:rFonts w:ascii="Wingdings" w:hAnsi="Wingdings" w:hint="default"/>
      </w:rPr>
    </w:lvl>
    <w:lvl w:ilvl="6" w:tplc="78F02A5C">
      <w:start w:val="1"/>
      <w:numFmt w:val="bullet"/>
      <w:lvlText w:val=""/>
      <w:lvlJc w:val="left"/>
      <w:pPr>
        <w:ind w:left="5040" w:hanging="360"/>
      </w:pPr>
      <w:rPr>
        <w:rFonts w:ascii="Symbol" w:hAnsi="Symbol" w:hint="default"/>
      </w:rPr>
    </w:lvl>
    <w:lvl w:ilvl="7" w:tplc="89CE1FC8">
      <w:start w:val="1"/>
      <w:numFmt w:val="bullet"/>
      <w:lvlText w:val="o"/>
      <w:lvlJc w:val="left"/>
      <w:pPr>
        <w:ind w:left="5760" w:hanging="360"/>
      </w:pPr>
      <w:rPr>
        <w:rFonts w:ascii="Courier New" w:hAnsi="Courier New" w:hint="default"/>
      </w:rPr>
    </w:lvl>
    <w:lvl w:ilvl="8" w:tplc="8F22AF10">
      <w:start w:val="1"/>
      <w:numFmt w:val="bullet"/>
      <w:lvlText w:val=""/>
      <w:lvlJc w:val="left"/>
      <w:pPr>
        <w:ind w:left="6480" w:hanging="360"/>
      </w:pPr>
      <w:rPr>
        <w:rFonts w:ascii="Wingdings" w:hAnsi="Wingdings" w:hint="default"/>
      </w:rPr>
    </w:lvl>
  </w:abstractNum>
  <w:abstractNum w:abstractNumId="5"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B00E6"/>
    <w:multiLevelType w:val="hybridMultilevel"/>
    <w:tmpl w:val="92B47786"/>
    <w:lvl w:ilvl="0" w:tplc="D500DE48">
      <w:start w:val="1"/>
      <w:numFmt w:val="bullet"/>
      <w:lvlText w:val=""/>
      <w:lvlJc w:val="left"/>
      <w:pPr>
        <w:ind w:left="720" w:hanging="360"/>
      </w:pPr>
      <w:rPr>
        <w:rFonts w:ascii="Symbol" w:hAnsi="Symbol" w:hint="default"/>
      </w:rPr>
    </w:lvl>
    <w:lvl w:ilvl="1" w:tplc="1CB6DA72">
      <w:start w:val="1"/>
      <w:numFmt w:val="bullet"/>
      <w:lvlText w:val=""/>
      <w:lvlJc w:val="left"/>
      <w:pPr>
        <w:ind w:left="1440" w:hanging="360"/>
      </w:pPr>
      <w:rPr>
        <w:rFonts w:ascii="Symbol" w:hAnsi="Symbol" w:hint="default"/>
      </w:rPr>
    </w:lvl>
    <w:lvl w:ilvl="2" w:tplc="08E8E678">
      <w:start w:val="1"/>
      <w:numFmt w:val="bullet"/>
      <w:lvlText w:val=""/>
      <w:lvlJc w:val="left"/>
      <w:pPr>
        <w:ind w:left="2160" w:hanging="360"/>
      </w:pPr>
      <w:rPr>
        <w:rFonts w:ascii="Wingdings" w:hAnsi="Wingdings" w:hint="default"/>
      </w:rPr>
    </w:lvl>
    <w:lvl w:ilvl="3" w:tplc="07A82B64">
      <w:start w:val="1"/>
      <w:numFmt w:val="bullet"/>
      <w:lvlText w:val=""/>
      <w:lvlJc w:val="left"/>
      <w:pPr>
        <w:ind w:left="2880" w:hanging="360"/>
      </w:pPr>
      <w:rPr>
        <w:rFonts w:ascii="Symbol" w:hAnsi="Symbol" w:hint="default"/>
      </w:rPr>
    </w:lvl>
    <w:lvl w:ilvl="4" w:tplc="E21C0554">
      <w:start w:val="1"/>
      <w:numFmt w:val="bullet"/>
      <w:lvlText w:val="o"/>
      <w:lvlJc w:val="left"/>
      <w:pPr>
        <w:ind w:left="3600" w:hanging="360"/>
      </w:pPr>
      <w:rPr>
        <w:rFonts w:ascii="Courier New" w:hAnsi="Courier New" w:hint="default"/>
      </w:rPr>
    </w:lvl>
    <w:lvl w:ilvl="5" w:tplc="B3D6B1F2">
      <w:start w:val="1"/>
      <w:numFmt w:val="bullet"/>
      <w:lvlText w:val=""/>
      <w:lvlJc w:val="left"/>
      <w:pPr>
        <w:ind w:left="4320" w:hanging="360"/>
      </w:pPr>
      <w:rPr>
        <w:rFonts w:ascii="Wingdings" w:hAnsi="Wingdings" w:hint="default"/>
      </w:rPr>
    </w:lvl>
    <w:lvl w:ilvl="6" w:tplc="0C464A88">
      <w:start w:val="1"/>
      <w:numFmt w:val="bullet"/>
      <w:lvlText w:val=""/>
      <w:lvlJc w:val="left"/>
      <w:pPr>
        <w:ind w:left="5040" w:hanging="360"/>
      </w:pPr>
      <w:rPr>
        <w:rFonts w:ascii="Symbol" w:hAnsi="Symbol" w:hint="default"/>
      </w:rPr>
    </w:lvl>
    <w:lvl w:ilvl="7" w:tplc="C35055CC">
      <w:start w:val="1"/>
      <w:numFmt w:val="bullet"/>
      <w:lvlText w:val="o"/>
      <w:lvlJc w:val="left"/>
      <w:pPr>
        <w:ind w:left="5760" w:hanging="360"/>
      </w:pPr>
      <w:rPr>
        <w:rFonts w:ascii="Courier New" w:hAnsi="Courier New" w:hint="default"/>
      </w:rPr>
    </w:lvl>
    <w:lvl w:ilvl="8" w:tplc="E73ED3B4">
      <w:start w:val="1"/>
      <w:numFmt w:val="bullet"/>
      <w:lvlText w:val=""/>
      <w:lvlJc w:val="left"/>
      <w:pPr>
        <w:ind w:left="6480" w:hanging="360"/>
      </w:pPr>
      <w:rPr>
        <w:rFonts w:ascii="Wingdings" w:hAnsi="Wingdings" w:hint="default"/>
      </w:rPr>
    </w:lvl>
  </w:abstractNum>
  <w:abstractNum w:abstractNumId="7"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1D33EE"/>
    <w:multiLevelType w:val="hybridMultilevel"/>
    <w:tmpl w:val="D14E4E3C"/>
    <w:lvl w:ilvl="0" w:tplc="B86EE01C">
      <w:start w:val="1"/>
      <w:numFmt w:val="bullet"/>
      <w:lvlText w:val=""/>
      <w:lvlJc w:val="left"/>
      <w:pPr>
        <w:ind w:left="720" w:hanging="360"/>
      </w:pPr>
      <w:rPr>
        <w:rFonts w:ascii="Symbol" w:hAnsi="Symbol" w:hint="default"/>
      </w:rPr>
    </w:lvl>
    <w:lvl w:ilvl="1" w:tplc="16D657BA">
      <w:start w:val="1"/>
      <w:numFmt w:val="bullet"/>
      <w:lvlText w:val=""/>
      <w:lvlJc w:val="left"/>
      <w:pPr>
        <w:ind w:left="1440" w:hanging="360"/>
      </w:pPr>
      <w:rPr>
        <w:rFonts w:ascii="Symbol" w:hAnsi="Symbol" w:hint="default"/>
      </w:rPr>
    </w:lvl>
    <w:lvl w:ilvl="2" w:tplc="E8745782">
      <w:start w:val="1"/>
      <w:numFmt w:val="bullet"/>
      <w:lvlText w:val=""/>
      <w:lvlJc w:val="left"/>
      <w:pPr>
        <w:ind w:left="2160" w:hanging="360"/>
      </w:pPr>
      <w:rPr>
        <w:rFonts w:ascii="Wingdings" w:hAnsi="Wingdings" w:hint="default"/>
      </w:rPr>
    </w:lvl>
    <w:lvl w:ilvl="3" w:tplc="95148AB0">
      <w:start w:val="1"/>
      <w:numFmt w:val="bullet"/>
      <w:lvlText w:val=""/>
      <w:lvlJc w:val="left"/>
      <w:pPr>
        <w:ind w:left="2880" w:hanging="360"/>
      </w:pPr>
      <w:rPr>
        <w:rFonts w:ascii="Symbol" w:hAnsi="Symbol" w:hint="default"/>
      </w:rPr>
    </w:lvl>
    <w:lvl w:ilvl="4" w:tplc="1570BE2C">
      <w:start w:val="1"/>
      <w:numFmt w:val="bullet"/>
      <w:lvlText w:val="o"/>
      <w:lvlJc w:val="left"/>
      <w:pPr>
        <w:ind w:left="3600" w:hanging="360"/>
      </w:pPr>
      <w:rPr>
        <w:rFonts w:ascii="Courier New" w:hAnsi="Courier New" w:hint="default"/>
      </w:rPr>
    </w:lvl>
    <w:lvl w:ilvl="5" w:tplc="53125B3C">
      <w:start w:val="1"/>
      <w:numFmt w:val="bullet"/>
      <w:lvlText w:val=""/>
      <w:lvlJc w:val="left"/>
      <w:pPr>
        <w:ind w:left="4320" w:hanging="360"/>
      </w:pPr>
      <w:rPr>
        <w:rFonts w:ascii="Wingdings" w:hAnsi="Wingdings" w:hint="default"/>
      </w:rPr>
    </w:lvl>
    <w:lvl w:ilvl="6" w:tplc="A9441504">
      <w:start w:val="1"/>
      <w:numFmt w:val="bullet"/>
      <w:lvlText w:val=""/>
      <w:lvlJc w:val="left"/>
      <w:pPr>
        <w:ind w:left="5040" w:hanging="360"/>
      </w:pPr>
      <w:rPr>
        <w:rFonts w:ascii="Symbol" w:hAnsi="Symbol" w:hint="default"/>
      </w:rPr>
    </w:lvl>
    <w:lvl w:ilvl="7" w:tplc="AA0882AC">
      <w:start w:val="1"/>
      <w:numFmt w:val="bullet"/>
      <w:lvlText w:val="o"/>
      <w:lvlJc w:val="left"/>
      <w:pPr>
        <w:ind w:left="5760" w:hanging="360"/>
      </w:pPr>
      <w:rPr>
        <w:rFonts w:ascii="Courier New" w:hAnsi="Courier New" w:hint="default"/>
      </w:rPr>
    </w:lvl>
    <w:lvl w:ilvl="8" w:tplc="6F9ADB52">
      <w:start w:val="1"/>
      <w:numFmt w:val="bullet"/>
      <w:lvlText w:val=""/>
      <w:lvlJc w:val="left"/>
      <w:pPr>
        <w:ind w:left="6480" w:hanging="360"/>
      </w:pPr>
      <w:rPr>
        <w:rFonts w:ascii="Wingdings" w:hAnsi="Wingdings" w:hint="default"/>
      </w:rPr>
    </w:lvl>
  </w:abstractNum>
  <w:abstractNum w:abstractNumId="10"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560"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7C0FD3"/>
    <w:multiLevelType w:val="hybridMultilevel"/>
    <w:tmpl w:val="745EC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2A42E05"/>
    <w:multiLevelType w:val="multilevel"/>
    <w:tmpl w:val="56AA431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A08CD9"/>
    <w:multiLevelType w:val="hybridMultilevel"/>
    <w:tmpl w:val="3954A548"/>
    <w:lvl w:ilvl="0" w:tplc="34447F7E">
      <w:start w:val="1"/>
      <w:numFmt w:val="bullet"/>
      <w:lvlText w:val=""/>
      <w:lvlJc w:val="left"/>
      <w:pPr>
        <w:ind w:left="720" w:hanging="360"/>
      </w:pPr>
      <w:rPr>
        <w:rFonts w:ascii="Symbol" w:hAnsi="Symbol" w:hint="default"/>
      </w:rPr>
    </w:lvl>
    <w:lvl w:ilvl="1" w:tplc="830AB65E">
      <w:start w:val="1"/>
      <w:numFmt w:val="bullet"/>
      <w:lvlText w:val=""/>
      <w:lvlJc w:val="left"/>
      <w:pPr>
        <w:ind w:left="1440" w:hanging="360"/>
      </w:pPr>
      <w:rPr>
        <w:rFonts w:ascii="Symbol" w:hAnsi="Symbol" w:hint="default"/>
      </w:rPr>
    </w:lvl>
    <w:lvl w:ilvl="2" w:tplc="D1426FA2">
      <w:start w:val="1"/>
      <w:numFmt w:val="bullet"/>
      <w:lvlText w:val=""/>
      <w:lvlJc w:val="left"/>
      <w:pPr>
        <w:ind w:left="2160" w:hanging="360"/>
      </w:pPr>
      <w:rPr>
        <w:rFonts w:ascii="Wingdings" w:hAnsi="Wingdings" w:hint="default"/>
      </w:rPr>
    </w:lvl>
    <w:lvl w:ilvl="3" w:tplc="140C4D0A">
      <w:start w:val="1"/>
      <w:numFmt w:val="bullet"/>
      <w:lvlText w:val=""/>
      <w:lvlJc w:val="left"/>
      <w:pPr>
        <w:ind w:left="2880" w:hanging="360"/>
      </w:pPr>
      <w:rPr>
        <w:rFonts w:ascii="Symbol" w:hAnsi="Symbol" w:hint="default"/>
      </w:rPr>
    </w:lvl>
    <w:lvl w:ilvl="4" w:tplc="C6DEDE42">
      <w:start w:val="1"/>
      <w:numFmt w:val="bullet"/>
      <w:lvlText w:val="o"/>
      <w:lvlJc w:val="left"/>
      <w:pPr>
        <w:ind w:left="3600" w:hanging="360"/>
      </w:pPr>
      <w:rPr>
        <w:rFonts w:ascii="Courier New" w:hAnsi="Courier New" w:hint="default"/>
      </w:rPr>
    </w:lvl>
    <w:lvl w:ilvl="5" w:tplc="45F05D70">
      <w:start w:val="1"/>
      <w:numFmt w:val="bullet"/>
      <w:lvlText w:val=""/>
      <w:lvlJc w:val="left"/>
      <w:pPr>
        <w:ind w:left="4320" w:hanging="360"/>
      </w:pPr>
      <w:rPr>
        <w:rFonts w:ascii="Wingdings" w:hAnsi="Wingdings" w:hint="default"/>
      </w:rPr>
    </w:lvl>
    <w:lvl w:ilvl="6" w:tplc="07C450A8">
      <w:start w:val="1"/>
      <w:numFmt w:val="bullet"/>
      <w:lvlText w:val=""/>
      <w:lvlJc w:val="left"/>
      <w:pPr>
        <w:ind w:left="5040" w:hanging="360"/>
      </w:pPr>
      <w:rPr>
        <w:rFonts w:ascii="Symbol" w:hAnsi="Symbol" w:hint="default"/>
      </w:rPr>
    </w:lvl>
    <w:lvl w:ilvl="7" w:tplc="BDE22FFC">
      <w:start w:val="1"/>
      <w:numFmt w:val="bullet"/>
      <w:lvlText w:val="o"/>
      <w:lvlJc w:val="left"/>
      <w:pPr>
        <w:ind w:left="5760" w:hanging="360"/>
      </w:pPr>
      <w:rPr>
        <w:rFonts w:ascii="Courier New" w:hAnsi="Courier New" w:hint="default"/>
      </w:rPr>
    </w:lvl>
    <w:lvl w:ilvl="8" w:tplc="5FB2AC74">
      <w:start w:val="1"/>
      <w:numFmt w:val="bullet"/>
      <w:lvlText w:val=""/>
      <w:lvlJc w:val="left"/>
      <w:pPr>
        <w:ind w:left="6480" w:hanging="360"/>
      </w:pPr>
      <w:rPr>
        <w:rFonts w:ascii="Wingdings" w:hAnsi="Wingdings" w:hint="default"/>
      </w:rPr>
    </w:lvl>
  </w:abstractNum>
  <w:abstractNum w:abstractNumId="16"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1329CA"/>
    <w:multiLevelType w:val="multilevel"/>
    <w:tmpl w:val="D39EF98E"/>
    <w:lvl w:ilvl="0">
      <w:start w:val="1"/>
      <w:numFmt w:val="decimal"/>
      <w:lvlText w:val="%1."/>
      <w:lvlJc w:val="left"/>
      <w:pPr>
        <w:ind w:left="1134" w:hanging="1134"/>
      </w:pPr>
      <w:rPr>
        <w:rFonts w:hint="default"/>
      </w:rPr>
    </w:lvl>
    <w:lvl w:ilvl="1">
      <w:start w:val="1"/>
      <w:numFmt w:val="decimal"/>
      <w:lvlText w:val="%1.%2."/>
      <w:lvlJc w:val="left"/>
      <w:pPr>
        <w:ind w:left="1276" w:hanging="1134"/>
      </w:pPr>
    </w:lvl>
    <w:lvl w:ilvl="2">
      <w:start w:val="1"/>
      <w:numFmt w:val="decimal"/>
      <w:lvlText w:val="%1.%2.%3."/>
      <w:lvlJc w:val="left"/>
      <w:pPr>
        <w:ind w:left="1134" w:hanging="1134"/>
      </w:p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A2B34D"/>
    <w:multiLevelType w:val="hybridMultilevel"/>
    <w:tmpl w:val="3086F3CA"/>
    <w:lvl w:ilvl="0" w:tplc="0BBC7E56">
      <w:start w:val="1"/>
      <w:numFmt w:val="bullet"/>
      <w:lvlText w:val=""/>
      <w:lvlJc w:val="left"/>
      <w:pPr>
        <w:ind w:left="720" w:hanging="360"/>
      </w:pPr>
      <w:rPr>
        <w:rFonts w:ascii="Symbol" w:hAnsi="Symbol" w:hint="default"/>
      </w:rPr>
    </w:lvl>
    <w:lvl w:ilvl="1" w:tplc="119E552E">
      <w:start w:val="1"/>
      <w:numFmt w:val="bullet"/>
      <w:lvlText w:val="o"/>
      <w:lvlJc w:val="left"/>
      <w:pPr>
        <w:ind w:left="1440" w:hanging="360"/>
      </w:pPr>
      <w:rPr>
        <w:rFonts w:ascii="Courier New" w:hAnsi="Courier New" w:hint="default"/>
      </w:rPr>
    </w:lvl>
    <w:lvl w:ilvl="2" w:tplc="1B7E2DDC">
      <w:start w:val="1"/>
      <w:numFmt w:val="bullet"/>
      <w:lvlText w:val=""/>
      <w:lvlJc w:val="left"/>
      <w:pPr>
        <w:ind w:left="2160" w:hanging="360"/>
      </w:pPr>
      <w:rPr>
        <w:rFonts w:ascii="Wingdings" w:hAnsi="Wingdings" w:hint="default"/>
      </w:rPr>
    </w:lvl>
    <w:lvl w:ilvl="3" w:tplc="D2327382">
      <w:start w:val="1"/>
      <w:numFmt w:val="bullet"/>
      <w:lvlText w:val=""/>
      <w:lvlJc w:val="left"/>
      <w:pPr>
        <w:ind w:left="2880" w:hanging="360"/>
      </w:pPr>
      <w:rPr>
        <w:rFonts w:ascii="Symbol" w:hAnsi="Symbol" w:hint="default"/>
      </w:rPr>
    </w:lvl>
    <w:lvl w:ilvl="4" w:tplc="CAACD18E">
      <w:start w:val="1"/>
      <w:numFmt w:val="bullet"/>
      <w:lvlText w:val="o"/>
      <w:lvlJc w:val="left"/>
      <w:pPr>
        <w:ind w:left="3600" w:hanging="360"/>
      </w:pPr>
      <w:rPr>
        <w:rFonts w:ascii="Courier New" w:hAnsi="Courier New" w:hint="default"/>
      </w:rPr>
    </w:lvl>
    <w:lvl w:ilvl="5" w:tplc="D6EC9940">
      <w:start w:val="1"/>
      <w:numFmt w:val="bullet"/>
      <w:lvlText w:val=""/>
      <w:lvlJc w:val="left"/>
      <w:pPr>
        <w:ind w:left="4320" w:hanging="360"/>
      </w:pPr>
      <w:rPr>
        <w:rFonts w:ascii="Wingdings" w:hAnsi="Wingdings" w:hint="default"/>
      </w:rPr>
    </w:lvl>
    <w:lvl w:ilvl="6" w:tplc="BDCE2FAE">
      <w:start w:val="1"/>
      <w:numFmt w:val="bullet"/>
      <w:lvlText w:val=""/>
      <w:lvlJc w:val="left"/>
      <w:pPr>
        <w:ind w:left="5040" w:hanging="360"/>
      </w:pPr>
      <w:rPr>
        <w:rFonts w:ascii="Symbol" w:hAnsi="Symbol" w:hint="default"/>
      </w:rPr>
    </w:lvl>
    <w:lvl w:ilvl="7" w:tplc="738E7A52">
      <w:start w:val="1"/>
      <w:numFmt w:val="bullet"/>
      <w:lvlText w:val="o"/>
      <w:lvlJc w:val="left"/>
      <w:pPr>
        <w:ind w:left="5760" w:hanging="360"/>
      </w:pPr>
      <w:rPr>
        <w:rFonts w:ascii="Courier New" w:hAnsi="Courier New" w:hint="default"/>
      </w:rPr>
    </w:lvl>
    <w:lvl w:ilvl="8" w:tplc="23FE44F4">
      <w:start w:val="1"/>
      <w:numFmt w:val="bullet"/>
      <w:lvlText w:val=""/>
      <w:lvlJc w:val="left"/>
      <w:pPr>
        <w:ind w:left="6480" w:hanging="360"/>
      </w:pPr>
      <w:rPr>
        <w:rFonts w:ascii="Wingdings" w:hAnsi="Wingdings" w:hint="default"/>
      </w:rPr>
    </w:lvl>
  </w:abstractNum>
  <w:abstractNum w:abstractNumId="20"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D93956"/>
    <w:multiLevelType w:val="hybridMultilevel"/>
    <w:tmpl w:val="18DC1EDE"/>
    <w:lvl w:ilvl="0" w:tplc="9A16C8F2">
      <w:start w:val="1"/>
      <w:numFmt w:val="bullet"/>
      <w:lvlText w:val=""/>
      <w:lvlJc w:val="left"/>
      <w:pPr>
        <w:ind w:left="720" w:hanging="360"/>
      </w:pPr>
      <w:rPr>
        <w:rFonts w:ascii="Symbol" w:hAnsi="Symbol" w:hint="default"/>
      </w:rPr>
    </w:lvl>
    <w:lvl w:ilvl="1" w:tplc="6518C836">
      <w:start w:val="1"/>
      <w:numFmt w:val="bullet"/>
      <w:lvlText w:val=""/>
      <w:lvlJc w:val="left"/>
      <w:pPr>
        <w:ind w:left="1440" w:hanging="360"/>
      </w:pPr>
      <w:rPr>
        <w:rFonts w:ascii="Symbol" w:hAnsi="Symbol" w:hint="default"/>
      </w:rPr>
    </w:lvl>
    <w:lvl w:ilvl="2" w:tplc="6F94241A">
      <w:start w:val="1"/>
      <w:numFmt w:val="bullet"/>
      <w:lvlText w:val=""/>
      <w:lvlJc w:val="left"/>
      <w:pPr>
        <w:ind w:left="2160" w:hanging="360"/>
      </w:pPr>
      <w:rPr>
        <w:rFonts w:ascii="Wingdings" w:hAnsi="Wingdings" w:hint="default"/>
      </w:rPr>
    </w:lvl>
    <w:lvl w:ilvl="3" w:tplc="6F44EE92">
      <w:start w:val="1"/>
      <w:numFmt w:val="bullet"/>
      <w:lvlText w:val=""/>
      <w:lvlJc w:val="left"/>
      <w:pPr>
        <w:ind w:left="2880" w:hanging="360"/>
      </w:pPr>
      <w:rPr>
        <w:rFonts w:ascii="Symbol" w:hAnsi="Symbol" w:hint="default"/>
      </w:rPr>
    </w:lvl>
    <w:lvl w:ilvl="4" w:tplc="102CBE24">
      <w:start w:val="1"/>
      <w:numFmt w:val="bullet"/>
      <w:lvlText w:val="o"/>
      <w:lvlJc w:val="left"/>
      <w:pPr>
        <w:ind w:left="3600" w:hanging="360"/>
      </w:pPr>
      <w:rPr>
        <w:rFonts w:ascii="Courier New" w:hAnsi="Courier New" w:hint="default"/>
      </w:rPr>
    </w:lvl>
    <w:lvl w:ilvl="5" w:tplc="DA9AE0B6">
      <w:start w:val="1"/>
      <w:numFmt w:val="bullet"/>
      <w:lvlText w:val=""/>
      <w:lvlJc w:val="left"/>
      <w:pPr>
        <w:ind w:left="4320" w:hanging="360"/>
      </w:pPr>
      <w:rPr>
        <w:rFonts w:ascii="Wingdings" w:hAnsi="Wingdings" w:hint="default"/>
      </w:rPr>
    </w:lvl>
    <w:lvl w:ilvl="6" w:tplc="5B647F00">
      <w:start w:val="1"/>
      <w:numFmt w:val="bullet"/>
      <w:lvlText w:val=""/>
      <w:lvlJc w:val="left"/>
      <w:pPr>
        <w:ind w:left="5040" w:hanging="360"/>
      </w:pPr>
      <w:rPr>
        <w:rFonts w:ascii="Symbol" w:hAnsi="Symbol" w:hint="default"/>
      </w:rPr>
    </w:lvl>
    <w:lvl w:ilvl="7" w:tplc="CA5A6136">
      <w:start w:val="1"/>
      <w:numFmt w:val="bullet"/>
      <w:lvlText w:val="o"/>
      <w:lvlJc w:val="left"/>
      <w:pPr>
        <w:ind w:left="5760" w:hanging="360"/>
      </w:pPr>
      <w:rPr>
        <w:rFonts w:ascii="Courier New" w:hAnsi="Courier New" w:hint="default"/>
      </w:rPr>
    </w:lvl>
    <w:lvl w:ilvl="8" w:tplc="D6B8E276">
      <w:start w:val="1"/>
      <w:numFmt w:val="bullet"/>
      <w:lvlText w:val=""/>
      <w:lvlJc w:val="left"/>
      <w:pPr>
        <w:ind w:left="6480" w:hanging="360"/>
      </w:pPr>
      <w:rPr>
        <w:rFonts w:ascii="Wingdings" w:hAnsi="Wingdings" w:hint="default"/>
      </w:rPr>
    </w:lvl>
  </w:abstractNum>
  <w:abstractNum w:abstractNumId="23" w15:restartNumberingAfterBreak="0">
    <w:nsid w:val="6C7AE6EB"/>
    <w:multiLevelType w:val="hybridMultilevel"/>
    <w:tmpl w:val="4740C13C"/>
    <w:lvl w:ilvl="0" w:tplc="D226B412">
      <w:start w:val="1"/>
      <w:numFmt w:val="bullet"/>
      <w:lvlText w:val=""/>
      <w:lvlJc w:val="left"/>
      <w:pPr>
        <w:ind w:left="720" w:hanging="360"/>
      </w:pPr>
      <w:rPr>
        <w:rFonts w:ascii="Symbol" w:hAnsi="Symbol" w:hint="default"/>
      </w:rPr>
    </w:lvl>
    <w:lvl w:ilvl="1" w:tplc="9E9656C2">
      <w:start w:val="1"/>
      <w:numFmt w:val="bullet"/>
      <w:lvlText w:val=""/>
      <w:lvlJc w:val="left"/>
      <w:pPr>
        <w:ind w:left="1440" w:hanging="360"/>
      </w:pPr>
      <w:rPr>
        <w:rFonts w:ascii="Symbol" w:hAnsi="Symbol" w:hint="default"/>
      </w:rPr>
    </w:lvl>
    <w:lvl w:ilvl="2" w:tplc="E2FA3E94">
      <w:start w:val="1"/>
      <w:numFmt w:val="bullet"/>
      <w:lvlText w:val=""/>
      <w:lvlJc w:val="left"/>
      <w:pPr>
        <w:ind w:left="2160" w:hanging="360"/>
      </w:pPr>
      <w:rPr>
        <w:rFonts w:ascii="Wingdings" w:hAnsi="Wingdings" w:hint="default"/>
      </w:rPr>
    </w:lvl>
    <w:lvl w:ilvl="3" w:tplc="02C455B4">
      <w:start w:val="1"/>
      <w:numFmt w:val="bullet"/>
      <w:lvlText w:val=""/>
      <w:lvlJc w:val="left"/>
      <w:pPr>
        <w:ind w:left="2880" w:hanging="360"/>
      </w:pPr>
      <w:rPr>
        <w:rFonts w:ascii="Symbol" w:hAnsi="Symbol" w:hint="default"/>
      </w:rPr>
    </w:lvl>
    <w:lvl w:ilvl="4" w:tplc="6E38E02A">
      <w:start w:val="1"/>
      <w:numFmt w:val="bullet"/>
      <w:lvlText w:val="o"/>
      <w:lvlJc w:val="left"/>
      <w:pPr>
        <w:ind w:left="3600" w:hanging="360"/>
      </w:pPr>
      <w:rPr>
        <w:rFonts w:ascii="Courier New" w:hAnsi="Courier New" w:hint="default"/>
      </w:rPr>
    </w:lvl>
    <w:lvl w:ilvl="5" w:tplc="48D2F658">
      <w:start w:val="1"/>
      <w:numFmt w:val="bullet"/>
      <w:lvlText w:val=""/>
      <w:lvlJc w:val="left"/>
      <w:pPr>
        <w:ind w:left="4320" w:hanging="360"/>
      </w:pPr>
      <w:rPr>
        <w:rFonts w:ascii="Wingdings" w:hAnsi="Wingdings" w:hint="default"/>
      </w:rPr>
    </w:lvl>
    <w:lvl w:ilvl="6" w:tplc="1D56DE7A">
      <w:start w:val="1"/>
      <w:numFmt w:val="bullet"/>
      <w:lvlText w:val=""/>
      <w:lvlJc w:val="left"/>
      <w:pPr>
        <w:ind w:left="5040" w:hanging="360"/>
      </w:pPr>
      <w:rPr>
        <w:rFonts w:ascii="Symbol" w:hAnsi="Symbol" w:hint="default"/>
      </w:rPr>
    </w:lvl>
    <w:lvl w:ilvl="7" w:tplc="7DA8FBA6">
      <w:start w:val="1"/>
      <w:numFmt w:val="bullet"/>
      <w:lvlText w:val="o"/>
      <w:lvlJc w:val="left"/>
      <w:pPr>
        <w:ind w:left="5760" w:hanging="360"/>
      </w:pPr>
      <w:rPr>
        <w:rFonts w:ascii="Courier New" w:hAnsi="Courier New" w:hint="default"/>
      </w:rPr>
    </w:lvl>
    <w:lvl w:ilvl="8" w:tplc="D36692B6">
      <w:start w:val="1"/>
      <w:numFmt w:val="bullet"/>
      <w:lvlText w:val=""/>
      <w:lvlJc w:val="left"/>
      <w:pPr>
        <w:ind w:left="6480" w:hanging="360"/>
      </w:pPr>
      <w:rPr>
        <w:rFonts w:ascii="Wingdings" w:hAnsi="Wingdings" w:hint="default"/>
      </w:rPr>
    </w:lvl>
  </w:abstractNum>
  <w:abstractNum w:abstractNumId="24" w15:restartNumberingAfterBreak="0">
    <w:nsid w:val="6E32DA70"/>
    <w:multiLevelType w:val="hybridMultilevel"/>
    <w:tmpl w:val="1ACC592E"/>
    <w:lvl w:ilvl="0" w:tplc="D08C11FC">
      <w:start w:val="1"/>
      <w:numFmt w:val="bullet"/>
      <w:lvlText w:val=""/>
      <w:lvlJc w:val="left"/>
      <w:pPr>
        <w:ind w:left="720" w:hanging="360"/>
      </w:pPr>
      <w:rPr>
        <w:rFonts w:ascii="Symbol" w:hAnsi="Symbol" w:hint="default"/>
      </w:rPr>
    </w:lvl>
    <w:lvl w:ilvl="1" w:tplc="57D6060C">
      <w:start w:val="1"/>
      <w:numFmt w:val="bullet"/>
      <w:lvlText w:val=""/>
      <w:lvlJc w:val="left"/>
      <w:pPr>
        <w:ind w:left="1440" w:hanging="360"/>
      </w:pPr>
      <w:rPr>
        <w:rFonts w:ascii="Symbol" w:hAnsi="Symbol" w:hint="default"/>
      </w:rPr>
    </w:lvl>
    <w:lvl w:ilvl="2" w:tplc="7016730A">
      <w:start w:val="1"/>
      <w:numFmt w:val="bullet"/>
      <w:lvlText w:val=""/>
      <w:lvlJc w:val="left"/>
      <w:pPr>
        <w:ind w:left="2160" w:hanging="360"/>
      </w:pPr>
      <w:rPr>
        <w:rFonts w:ascii="Wingdings" w:hAnsi="Wingdings" w:hint="default"/>
      </w:rPr>
    </w:lvl>
    <w:lvl w:ilvl="3" w:tplc="DE3C2B3E">
      <w:start w:val="1"/>
      <w:numFmt w:val="bullet"/>
      <w:lvlText w:val=""/>
      <w:lvlJc w:val="left"/>
      <w:pPr>
        <w:ind w:left="2880" w:hanging="360"/>
      </w:pPr>
      <w:rPr>
        <w:rFonts w:ascii="Symbol" w:hAnsi="Symbol" w:hint="default"/>
      </w:rPr>
    </w:lvl>
    <w:lvl w:ilvl="4" w:tplc="3B5A4C1A">
      <w:start w:val="1"/>
      <w:numFmt w:val="bullet"/>
      <w:lvlText w:val="o"/>
      <w:lvlJc w:val="left"/>
      <w:pPr>
        <w:ind w:left="3600" w:hanging="360"/>
      </w:pPr>
      <w:rPr>
        <w:rFonts w:ascii="Courier New" w:hAnsi="Courier New" w:hint="default"/>
      </w:rPr>
    </w:lvl>
    <w:lvl w:ilvl="5" w:tplc="E5DCCCD2">
      <w:start w:val="1"/>
      <w:numFmt w:val="bullet"/>
      <w:lvlText w:val=""/>
      <w:lvlJc w:val="left"/>
      <w:pPr>
        <w:ind w:left="4320" w:hanging="360"/>
      </w:pPr>
      <w:rPr>
        <w:rFonts w:ascii="Wingdings" w:hAnsi="Wingdings" w:hint="default"/>
      </w:rPr>
    </w:lvl>
    <w:lvl w:ilvl="6" w:tplc="4C3E3D80">
      <w:start w:val="1"/>
      <w:numFmt w:val="bullet"/>
      <w:lvlText w:val=""/>
      <w:lvlJc w:val="left"/>
      <w:pPr>
        <w:ind w:left="5040" w:hanging="360"/>
      </w:pPr>
      <w:rPr>
        <w:rFonts w:ascii="Symbol" w:hAnsi="Symbol" w:hint="default"/>
      </w:rPr>
    </w:lvl>
    <w:lvl w:ilvl="7" w:tplc="E26019F8">
      <w:start w:val="1"/>
      <w:numFmt w:val="bullet"/>
      <w:lvlText w:val="o"/>
      <w:lvlJc w:val="left"/>
      <w:pPr>
        <w:ind w:left="5760" w:hanging="360"/>
      </w:pPr>
      <w:rPr>
        <w:rFonts w:ascii="Courier New" w:hAnsi="Courier New" w:hint="default"/>
      </w:rPr>
    </w:lvl>
    <w:lvl w:ilvl="8" w:tplc="89F85CC2">
      <w:start w:val="1"/>
      <w:numFmt w:val="bullet"/>
      <w:lvlText w:val=""/>
      <w:lvlJc w:val="left"/>
      <w:pPr>
        <w:ind w:left="6480" w:hanging="360"/>
      </w:pPr>
      <w:rPr>
        <w:rFonts w:ascii="Wingdings" w:hAnsi="Wingdings" w:hint="default"/>
      </w:rPr>
    </w:lvl>
  </w:abstractNum>
  <w:abstractNum w:abstractNumId="25" w15:restartNumberingAfterBreak="0">
    <w:nsid w:val="714711E3"/>
    <w:multiLevelType w:val="multilevel"/>
    <w:tmpl w:val="92123F10"/>
    <w:lvl w:ilvl="0">
      <w:start w:val="1"/>
      <w:numFmt w:val="bullet"/>
      <w:lvlText w:val=""/>
      <w:lvlJc w:val="left"/>
      <w:pPr>
        <w:ind w:left="1134" w:hanging="1134"/>
      </w:pPr>
      <w:rPr>
        <w:rFonts w:ascii="Symbol" w:hAnsi="Symbol"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927962">
    <w:abstractNumId w:val="15"/>
  </w:num>
  <w:num w:numId="2" w16cid:durableId="830950974">
    <w:abstractNumId w:val="9"/>
  </w:num>
  <w:num w:numId="3" w16cid:durableId="1990818761">
    <w:abstractNumId w:val="19"/>
  </w:num>
  <w:num w:numId="4" w16cid:durableId="741803916">
    <w:abstractNumId w:val="24"/>
  </w:num>
  <w:num w:numId="5" w16cid:durableId="1171724291">
    <w:abstractNumId w:val="6"/>
  </w:num>
  <w:num w:numId="6" w16cid:durableId="1920407013">
    <w:abstractNumId w:val="23"/>
  </w:num>
  <w:num w:numId="7" w16cid:durableId="1373535418">
    <w:abstractNumId w:val="4"/>
  </w:num>
  <w:num w:numId="8" w16cid:durableId="239024710">
    <w:abstractNumId w:val="22"/>
  </w:num>
  <w:num w:numId="9" w16cid:durableId="1858737984">
    <w:abstractNumId w:val="1"/>
  </w:num>
  <w:num w:numId="10" w16cid:durableId="1670013685">
    <w:abstractNumId w:val="11"/>
  </w:num>
  <w:num w:numId="11" w16cid:durableId="227426317">
    <w:abstractNumId w:val="18"/>
  </w:num>
  <w:num w:numId="12" w16cid:durableId="799109092">
    <w:abstractNumId w:val="21"/>
  </w:num>
  <w:num w:numId="13" w16cid:durableId="34042008">
    <w:abstractNumId w:val="5"/>
  </w:num>
  <w:num w:numId="14" w16cid:durableId="506599239">
    <w:abstractNumId w:val="16"/>
  </w:num>
  <w:num w:numId="15" w16cid:durableId="1165827977">
    <w:abstractNumId w:val="20"/>
  </w:num>
  <w:num w:numId="16" w16cid:durableId="124855957">
    <w:abstractNumId w:val="8"/>
  </w:num>
  <w:num w:numId="17" w16cid:durableId="1462530335">
    <w:abstractNumId w:val="26"/>
  </w:num>
  <w:num w:numId="18" w16cid:durableId="585847984">
    <w:abstractNumId w:val="2"/>
  </w:num>
  <w:num w:numId="19" w16cid:durableId="1581987976">
    <w:abstractNumId w:val="12"/>
  </w:num>
  <w:num w:numId="20" w16cid:durableId="1233657306">
    <w:abstractNumId w:val="10"/>
  </w:num>
  <w:num w:numId="21" w16cid:durableId="1647971322">
    <w:abstractNumId w:val="7"/>
  </w:num>
  <w:num w:numId="22" w16cid:durableId="777485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7711263">
    <w:abstractNumId w:val="25"/>
  </w:num>
  <w:num w:numId="24" w16cid:durableId="1745371429">
    <w:abstractNumId w:val="3"/>
  </w:num>
  <w:num w:numId="25" w16cid:durableId="1736733032">
    <w:abstractNumId w:val="14"/>
  </w:num>
  <w:num w:numId="26" w16cid:durableId="1529757847">
    <w:abstractNumId w:val="17"/>
  </w:num>
  <w:num w:numId="27" w16cid:durableId="1904828672">
    <w:abstractNumId w:val="0"/>
  </w:num>
  <w:num w:numId="28" w16cid:durableId="153619251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72"/>
    <w:rsid w:val="000006DF"/>
    <w:rsid w:val="000014FA"/>
    <w:rsid w:val="00005E44"/>
    <w:rsid w:val="00011FE0"/>
    <w:rsid w:val="0002268F"/>
    <w:rsid w:val="0003023B"/>
    <w:rsid w:val="00032882"/>
    <w:rsid w:val="00033ADA"/>
    <w:rsid w:val="00036C5B"/>
    <w:rsid w:val="00041FA7"/>
    <w:rsid w:val="00046638"/>
    <w:rsid w:val="00053CDD"/>
    <w:rsid w:val="00057C00"/>
    <w:rsid w:val="00063BEB"/>
    <w:rsid w:val="000665B0"/>
    <w:rsid w:val="0006727F"/>
    <w:rsid w:val="00072E4C"/>
    <w:rsid w:val="00076346"/>
    <w:rsid w:val="00083850"/>
    <w:rsid w:val="00092315"/>
    <w:rsid w:val="00094FB7"/>
    <w:rsid w:val="000A511A"/>
    <w:rsid w:val="000B5CEA"/>
    <w:rsid w:val="000C33A1"/>
    <w:rsid w:val="000C486A"/>
    <w:rsid w:val="000D3262"/>
    <w:rsid w:val="000E05F8"/>
    <w:rsid w:val="000F1E25"/>
    <w:rsid w:val="000F560D"/>
    <w:rsid w:val="00120BC0"/>
    <w:rsid w:val="00124524"/>
    <w:rsid w:val="001246E2"/>
    <w:rsid w:val="00126ED8"/>
    <w:rsid w:val="001372BC"/>
    <w:rsid w:val="00137B4C"/>
    <w:rsid w:val="00144E5E"/>
    <w:rsid w:val="00147221"/>
    <w:rsid w:val="00161104"/>
    <w:rsid w:val="00162C05"/>
    <w:rsid w:val="0016665B"/>
    <w:rsid w:val="001737E3"/>
    <w:rsid w:val="00181364"/>
    <w:rsid w:val="00182901"/>
    <w:rsid w:val="00182A68"/>
    <w:rsid w:val="0018348A"/>
    <w:rsid w:val="00186694"/>
    <w:rsid w:val="00192DE8"/>
    <w:rsid w:val="001946F0"/>
    <w:rsid w:val="00194A33"/>
    <w:rsid w:val="001956C9"/>
    <w:rsid w:val="001A1D6D"/>
    <w:rsid w:val="001A6AAD"/>
    <w:rsid w:val="001B214F"/>
    <w:rsid w:val="001B2B01"/>
    <w:rsid w:val="001D1E17"/>
    <w:rsid w:val="001D1E1D"/>
    <w:rsid w:val="001D1E62"/>
    <w:rsid w:val="001D2701"/>
    <w:rsid w:val="001D4C52"/>
    <w:rsid w:val="001E685F"/>
    <w:rsid w:val="001F64C6"/>
    <w:rsid w:val="001F6DB2"/>
    <w:rsid w:val="00201DAA"/>
    <w:rsid w:val="00212ABE"/>
    <w:rsid w:val="002148F7"/>
    <w:rsid w:val="00225AB9"/>
    <w:rsid w:val="00235F20"/>
    <w:rsid w:val="00250FB0"/>
    <w:rsid w:val="00254FFE"/>
    <w:rsid w:val="002563B7"/>
    <w:rsid w:val="00262258"/>
    <w:rsid w:val="002667FF"/>
    <w:rsid w:val="0027114A"/>
    <w:rsid w:val="00283C05"/>
    <w:rsid w:val="00286C31"/>
    <w:rsid w:val="002870D0"/>
    <w:rsid w:val="00287C9C"/>
    <w:rsid w:val="00291B69"/>
    <w:rsid w:val="002A2630"/>
    <w:rsid w:val="002A4EB3"/>
    <w:rsid w:val="002B191D"/>
    <w:rsid w:val="002B46A8"/>
    <w:rsid w:val="002B4DA4"/>
    <w:rsid w:val="002D4AEC"/>
    <w:rsid w:val="002E1823"/>
    <w:rsid w:val="00300587"/>
    <w:rsid w:val="00303E6A"/>
    <w:rsid w:val="00306E7F"/>
    <w:rsid w:val="00312B06"/>
    <w:rsid w:val="00317C4C"/>
    <w:rsid w:val="00321289"/>
    <w:rsid w:val="00324D0B"/>
    <w:rsid w:val="00331F09"/>
    <w:rsid w:val="003357C9"/>
    <w:rsid w:val="00340B9F"/>
    <w:rsid w:val="00343A4F"/>
    <w:rsid w:val="003462F8"/>
    <w:rsid w:val="00350549"/>
    <w:rsid w:val="00364465"/>
    <w:rsid w:val="00364D55"/>
    <w:rsid w:val="00365837"/>
    <w:rsid w:val="00370B31"/>
    <w:rsid w:val="00371E25"/>
    <w:rsid w:val="00371FC0"/>
    <w:rsid w:val="00375DF6"/>
    <w:rsid w:val="003771EC"/>
    <w:rsid w:val="0039715A"/>
    <w:rsid w:val="003A0076"/>
    <w:rsid w:val="003A2222"/>
    <w:rsid w:val="003A663C"/>
    <w:rsid w:val="003A710C"/>
    <w:rsid w:val="003B0CB5"/>
    <w:rsid w:val="003C1DE7"/>
    <w:rsid w:val="003C5907"/>
    <w:rsid w:val="003C6732"/>
    <w:rsid w:val="003C6E42"/>
    <w:rsid w:val="003D0605"/>
    <w:rsid w:val="003E504C"/>
    <w:rsid w:val="003E5368"/>
    <w:rsid w:val="003F0D13"/>
    <w:rsid w:val="003F53C4"/>
    <w:rsid w:val="003F79ED"/>
    <w:rsid w:val="00403AEE"/>
    <w:rsid w:val="00404328"/>
    <w:rsid w:val="0042664F"/>
    <w:rsid w:val="004266CB"/>
    <w:rsid w:val="00431762"/>
    <w:rsid w:val="00441709"/>
    <w:rsid w:val="0044490F"/>
    <w:rsid w:val="004505B9"/>
    <w:rsid w:val="00462A78"/>
    <w:rsid w:val="00467CDE"/>
    <w:rsid w:val="00487074"/>
    <w:rsid w:val="00493305"/>
    <w:rsid w:val="00494C18"/>
    <w:rsid w:val="00497DA7"/>
    <w:rsid w:val="004A1ADD"/>
    <w:rsid w:val="004A2F47"/>
    <w:rsid w:val="004A4C30"/>
    <w:rsid w:val="004B1B88"/>
    <w:rsid w:val="004B7B93"/>
    <w:rsid w:val="004C7E1D"/>
    <w:rsid w:val="004D03E4"/>
    <w:rsid w:val="004D53BC"/>
    <w:rsid w:val="004D5CFA"/>
    <w:rsid w:val="004E1516"/>
    <w:rsid w:val="004E4165"/>
    <w:rsid w:val="004E5F32"/>
    <w:rsid w:val="004E6155"/>
    <w:rsid w:val="004F7124"/>
    <w:rsid w:val="00501FE2"/>
    <w:rsid w:val="00503018"/>
    <w:rsid w:val="00510EC1"/>
    <w:rsid w:val="005122D8"/>
    <w:rsid w:val="00514203"/>
    <w:rsid w:val="00515C23"/>
    <w:rsid w:val="0052404D"/>
    <w:rsid w:val="00534032"/>
    <w:rsid w:val="00546A28"/>
    <w:rsid w:val="00562866"/>
    <w:rsid w:val="00572229"/>
    <w:rsid w:val="005735E4"/>
    <w:rsid w:val="005748BF"/>
    <w:rsid w:val="005778B5"/>
    <w:rsid w:val="00580E78"/>
    <w:rsid w:val="00585F6A"/>
    <w:rsid w:val="0058768F"/>
    <w:rsid w:val="005A41BA"/>
    <w:rsid w:val="005A509A"/>
    <w:rsid w:val="005A5694"/>
    <w:rsid w:val="005B7469"/>
    <w:rsid w:val="005C3E1B"/>
    <w:rsid w:val="005C4B75"/>
    <w:rsid w:val="005E7EBB"/>
    <w:rsid w:val="005F2589"/>
    <w:rsid w:val="005F69CB"/>
    <w:rsid w:val="00603D72"/>
    <w:rsid w:val="00605EF9"/>
    <w:rsid w:val="006076E5"/>
    <w:rsid w:val="00610177"/>
    <w:rsid w:val="00611C7F"/>
    <w:rsid w:val="006134A1"/>
    <w:rsid w:val="00614661"/>
    <w:rsid w:val="00617719"/>
    <w:rsid w:val="00620E3A"/>
    <w:rsid w:val="00622448"/>
    <w:rsid w:val="00624373"/>
    <w:rsid w:val="00627E2F"/>
    <w:rsid w:val="00627F93"/>
    <w:rsid w:val="00630B6C"/>
    <w:rsid w:val="00632E79"/>
    <w:rsid w:val="00640BFB"/>
    <w:rsid w:val="0064357B"/>
    <w:rsid w:val="006601B2"/>
    <w:rsid w:val="006606C1"/>
    <w:rsid w:val="006609E6"/>
    <w:rsid w:val="00661C31"/>
    <w:rsid w:val="00664932"/>
    <w:rsid w:val="00664B3F"/>
    <w:rsid w:val="00674CD7"/>
    <w:rsid w:val="0068694C"/>
    <w:rsid w:val="00693169"/>
    <w:rsid w:val="006A3B30"/>
    <w:rsid w:val="006A3C8F"/>
    <w:rsid w:val="006B1CA6"/>
    <w:rsid w:val="006B3E9C"/>
    <w:rsid w:val="006B6127"/>
    <w:rsid w:val="006C12E4"/>
    <w:rsid w:val="006C3533"/>
    <w:rsid w:val="006C57AA"/>
    <w:rsid w:val="006D4218"/>
    <w:rsid w:val="006D752C"/>
    <w:rsid w:val="006E0A67"/>
    <w:rsid w:val="006F2D54"/>
    <w:rsid w:val="006F36FD"/>
    <w:rsid w:val="007032B3"/>
    <w:rsid w:val="00706434"/>
    <w:rsid w:val="007078B6"/>
    <w:rsid w:val="007159D8"/>
    <w:rsid w:val="00716D9A"/>
    <w:rsid w:val="007265F2"/>
    <w:rsid w:val="00732AFE"/>
    <w:rsid w:val="00737B7F"/>
    <w:rsid w:val="00741D9B"/>
    <w:rsid w:val="00754D3B"/>
    <w:rsid w:val="00761E32"/>
    <w:rsid w:val="00773CD8"/>
    <w:rsid w:val="0078017E"/>
    <w:rsid w:val="00781F15"/>
    <w:rsid w:val="00782A11"/>
    <w:rsid w:val="00786324"/>
    <w:rsid w:val="00786D48"/>
    <w:rsid w:val="007946F0"/>
    <w:rsid w:val="00795B02"/>
    <w:rsid w:val="00797453"/>
    <w:rsid w:val="007A081B"/>
    <w:rsid w:val="007A48B9"/>
    <w:rsid w:val="007A4D80"/>
    <w:rsid w:val="007A565A"/>
    <w:rsid w:val="007C0D55"/>
    <w:rsid w:val="007C6A90"/>
    <w:rsid w:val="007D3B7B"/>
    <w:rsid w:val="007EB34A"/>
    <w:rsid w:val="007F0002"/>
    <w:rsid w:val="007F19C8"/>
    <w:rsid w:val="007F2732"/>
    <w:rsid w:val="00800305"/>
    <w:rsid w:val="00800764"/>
    <w:rsid w:val="00807290"/>
    <w:rsid w:val="0081318F"/>
    <w:rsid w:val="008151B0"/>
    <w:rsid w:val="00817AA6"/>
    <w:rsid w:val="008252C1"/>
    <w:rsid w:val="00826D33"/>
    <w:rsid w:val="00830F9A"/>
    <w:rsid w:val="008344D6"/>
    <w:rsid w:val="0083453F"/>
    <w:rsid w:val="00843CF9"/>
    <w:rsid w:val="00844D34"/>
    <w:rsid w:val="008507F0"/>
    <w:rsid w:val="00850F61"/>
    <w:rsid w:val="008547E5"/>
    <w:rsid w:val="008627BD"/>
    <w:rsid w:val="00864CF8"/>
    <w:rsid w:val="00876E74"/>
    <w:rsid w:val="008855CA"/>
    <w:rsid w:val="008863AF"/>
    <w:rsid w:val="00886803"/>
    <w:rsid w:val="0088706A"/>
    <w:rsid w:val="008A18C2"/>
    <w:rsid w:val="008A53BB"/>
    <w:rsid w:val="008A5783"/>
    <w:rsid w:val="008A5B54"/>
    <w:rsid w:val="008B0894"/>
    <w:rsid w:val="008C597D"/>
    <w:rsid w:val="008D034C"/>
    <w:rsid w:val="008E10E9"/>
    <w:rsid w:val="008E4397"/>
    <w:rsid w:val="008F0DA0"/>
    <w:rsid w:val="008F24D5"/>
    <w:rsid w:val="008F68EC"/>
    <w:rsid w:val="008F6FFB"/>
    <w:rsid w:val="00904F3A"/>
    <w:rsid w:val="00905A42"/>
    <w:rsid w:val="009102C2"/>
    <w:rsid w:val="00911C7E"/>
    <w:rsid w:val="00916CC2"/>
    <w:rsid w:val="00917D57"/>
    <w:rsid w:val="00917DCF"/>
    <w:rsid w:val="00934644"/>
    <w:rsid w:val="00937326"/>
    <w:rsid w:val="0094127D"/>
    <w:rsid w:val="00941DB9"/>
    <w:rsid w:val="00943B65"/>
    <w:rsid w:val="00944F27"/>
    <w:rsid w:val="009459B8"/>
    <w:rsid w:val="009528F9"/>
    <w:rsid w:val="009639A8"/>
    <w:rsid w:val="0096475D"/>
    <w:rsid w:val="00967546"/>
    <w:rsid w:val="00983CD5"/>
    <w:rsid w:val="00986C01"/>
    <w:rsid w:val="00987273"/>
    <w:rsid w:val="00992545"/>
    <w:rsid w:val="00993538"/>
    <w:rsid w:val="00993E02"/>
    <w:rsid w:val="00994D9D"/>
    <w:rsid w:val="009A11E4"/>
    <w:rsid w:val="009A7716"/>
    <w:rsid w:val="009B1587"/>
    <w:rsid w:val="009B4B38"/>
    <w:rsid w:val="009B5B04"/>
    <w:rsid w:val="009B6373"/>
    <w:rsid w:val="009C506B"/>
    <w:rsid w:val="009C523D"/>
    <w:rsid w:val="009D0EC6"/>
    <w:rsid w:val="009D1227"/>
    <w:rsid w:val="009E00FB"/>
    <w:rsid w:val="009E133A"/>
    <w:rsid w:val="009E2E6D"/>
    <w:rsid w:val="009F1624"/>
    <w:rsid w:val="009F46DD"/>
    <w:rsid w:val="009F4C8F"/>
    <w:rsid w:val="009F76DB"/>
    <w:rsid w:val="00A12F26"/>
    <w:rsid w:val="00A147C7"/>
    <w:rsid w:val="00A159D7"/>
    <w:rsid w:val="00A16E5D"/>
    <w:rsid w:val="00A221F5"/>
    <w:rsid w:val="00A23003"/>
    <w:rsid w:val="00A25465"/>
    <w:rsid w:val="00A27A05"/>
    <w:rsid w:val="00A30EF8"/>
    <w:rsid w:val="00A31DC9"/>
    <w:rsid w:val="00A473DA"/>
    <w:rsid w:val="00A534D9"/>
    <w:rsid w:val="00A56FC0"/>
    <w:rsid w:val="00A6485C"/>
    <w:rsid w:val="00A64C39"/>
    <w:rsid w:val="00A657CC"/>
    <w:rsid w:val="00A704AF"/>
    <w:rsid w:val="00A83F22"/>
    <w:rsid w:val="00A86401"/>
    <w:rsid w:val="00A968EF"/>
    <w:rsid w:val="00AB3BE5"/>
    <w:rsid w:val="00AC071D"/>
    <w:rsid w:val="00AC0EF1"/>
    <w:rsid w:val="00AD0F90"/>
    <w:rsid w:val="00AD6FC0"/>
    <w:rsid w:val="00AD7C44"/>
    <w:rsid w:val="00AE017F"/>
    <w:rsid w:val="00AE3317"/>
    <w:rsid w:val="00AE6F8E"/>
    <w:rsid w:val="00AF218D"/>
    <w:rsid w:val="00AF31FA"/>
    <w:rsid w:val="00AF5E3B"/>
    <w:rsid w:val="00B02BFF"/>
    <w:rsid w:val="00B047A2"/>
    <w:rsid w:val="00B146EC"/>
    <w:rsid w:val="00B212B1"/>
    <w:rsid w:val="00B218EE"/>
    <w:rsid w:val="00B22071"/>
    <w:rsid w:val="00B260B5"/>
    <w:rsid w:val="00B278BF"/>
    <w:rsid w:val="00B30519"/>
    <w:rsid w:val="00B30C72"/>
    <w:rsid w:val="00B30ECD"/>
    <w:rsid w:val="00B31CD9"/>
    <w:rsid w:val="00B3606A"/>
    <w:rsid w:val="00B420E7"/>
    <w:rsid w:val="00B42E64"/>
    <w:rsid w:val="00B43DBA"/>
    <w:rsid w:val="00B61390"/>
    <w:rsid w:val="00B643B2"/>
    <w:rsid w:val="00B64BCD"/>
    <w:rsid w:val="00B74953"/>
    <w:rsid w:val="00B80EAE"/>
    <w:rsid w:val="00B86963"/>
    <w:rsid w:val="00B8713A"/>
    <w:rsid w:val="00B91996"/>
    <w:rsid w:val="00B93799"/>
    <w:rsid w:val="00B948DF"/>
    <w:rsid w:val="00BA36F4"/>
    <w:rsid w:val="00BB2109"/>
    <w:rsid w:val="00BB3325"/>
    <w:rsid w:val="00BD325D"/>
    <w:rsid w:val="00BD428E"/>
    <w:rsid w:val="00BD4AA7"/>
    <w:rsid w:val="00BE2B9A"/>
    <w:rsid w:val="00BF434B"/>
    <w:rsid w:val="00BF7DE9"/>
    <w:rsid w:val="00C00F87"/>
    <w:rsid w:val="00C05A06"/>
    <w:rsid w:val="00C0647A"/>
    <w:rsid w:val="00C12964"/>
    <w:rsid w:val="00C14525"/>
    <w:rsid w:val="00C176AF"/>
    <w:rsid w:val="00C235D8"/>
    <w:rsid w:val="00C256ED"/>
    <w:rsid w:val="00C25C54"/>
    <w:rsid w:val="00C31806"/>
    <w:rsid w:val="00C323F0"/>
    <w:rsid w:val="00C34E38"/>
    <w:rsid w:val="00C4088C"/>
    <w:rsid w:val="00C42D17"/>
    <w:rsid w:val="00C43E34"/>
    <w:rsid w:val="00C464A4"/>
    <w:rsid w:val="00C50CD9"/>
    <w:rsid w:val="00C51949"/>
    <w:rsid w:val="00C53BBD"/>
    <w:rsid w:val="00C54760"/>
    <w:rsid w:val="00C60E59"/>
    <w:rsid w:val="00C6779C"/>
    <w:rsid w:val="00C710B5"/>
    <w:rsid w:val="00C76692"/>
    <w:rsid w:val="00C81927"/>
    <w:rsid w:val="00C819CD"/>
    <w:rsid w:val="00C83D50"/>
    <w:rsid w:val="00C92FC9"/>
    <w:rsid w:val="00CA35E8"/>
    <w:rsid w:val="00CA72DD"/>
    <w:rsid w:val="00CB4ACF"/>
    <w:rsid w:val="00CB64D7"/>
    <w:rsid w:val="00CC0526"/>
    <w:rsid w:val="00CE238E"/>
    <w:rsid w:val="00CE3ECD"/>
    <w:rsid w:val="00CE6E78"/>
    <w:rsid w:val="00CF0A43"/>
    <w:rsid w:val="00CF0F3F"/>
    <w:rsid w:val="00CF54EA"/>
    <w:rsid w:val="00D12A2A"/>
    <w:rsid w:val="00D12C14"/>
    <w:rsid w:val="00D13E61"/>
    <w:rsid w:val="00D219AC"/>
    <w:rsid w:val="00D25A55"/>
    <w:rsid w:val="00D330FD"/>
    <w:rsid w:val="00D359CF"/>
    <w:rsid w:val="00D40308"/>
    <w:rsid w:val="00D40441"/>
    <w:rsid w:val="00D478CE"/>
    <w:rsid w:val="00D50A0A"/>
    <w:rsid w:val="00D51CD1"/>
    <w:rsid w:val="00D56158"/>
    <w:rsid w:val="00D56619"/>
    <w:rsid w:val="00D627A4"/>
    <w:rsid w:val="00D676C4"/>
    <w:rsid w:val="00D67F45"/>
    <w:rsid w:val="00D74D74"/>
    <w:rsid w:val="00D7588E"/>
    <w:rsid w:val="00D82320"/>
    <w:rsid w:val="00D83748"/>
    <w:rsid w:val="00D84432"/>
    <w:rsid w:val="00D85EC4"/>
    <w:rsid w:val="00D9038F"/>
    <w:rsid w:val="00D967F6"/>
    <w:rsid w:val="00DA1884"/>
    <w:rsid w:val="00DA1DBD"/>
    <w:rsid w:val="00DA58A2"/>
    <w:rsid w:val="00DA5F38"/>
    <w:rsid w:val="00DB1144"/>
    <w:rsid w:val="00DB12C2"/>
    <w:rsid w:val="00DB36E6"/>
    <w:rsid w:val="00DC0A6F"/>
    <w:rsid w:val="00DC187A"/>
    <w:rsid w:val="00DC2F69"/>
    <w:rsid w:val="00DD2028"/>
    <w:rsid w:val="00DD7B4B"/>
    <w:rsid w:val="00DE3EA0"/>
    <w:rsid w:val="00DE3EFB"/>
    <w:rsid w:val="00DF4950"/>
    <w:rsid w:val="00DF718E"/>
    <w:rsid w:val="00E0125C"/>
    <w:rsid w:val="00E037B1"/>
    <w:rsid w:val="00E0706F"/>
    <w:rsid w:val="00E1124D"/>
    <w:rsid w:val="00E13040"/>
    <w:rsid w:val="00E14976"/>
    <w:rsid w:val="00E16046"/>
    <w:rsid w:val="00E23D89"/>
    <w:rsid w:val="00E271FE"/>
    <w:rsid w:val="00E33765"/>
    <w:rsid w:val="00E426AF"/>
    <w:rsid w:val="00E4305C"/>
    <w:rsid w:val="00E475B2"/>
    <w:rsid w:val="00E635BD"/>
    <w:rsid w:val="00E6622E"/>
    <w:rsid w:val="00E730AD"/>
    <w:rsid w:val="00E73D07"/>
    <w:rsid w:val="00E74363"/>
    <w:rsid w:val="00E75FC3"/>
    <w:rsid w:val="00E83535"/>
    <w:rsid w:val="00E870B7"/>
    <w:rsid w:val="00E90CB2"/>
    <w:rsid w:val="00E91531"/>
    <w:rsid w:val="00EA1E54"/>
    <w:rsid w:val="00EB3F99"/>
    <w:rsid w:val="00EB44FF"/>
    <w:rsid w:val="00EB783D"/>
    <w:rsid w:val="00EC0CD5"/>
    <w:rsid w:val="00EC254F"/>
    <w:rsid w:val="00EC416B"/>
    <w:rsid w:val="00ED72D2"/>
    <w:rsid w:val="00EE589E"/>
    <w:rsid w:val="00EE6B0D"/>
    <w:rsid w:val="00EF1445"/>
    <w:rsid w:val="00EF6E33"/>
    <w:rsid w:val="00EF73D4"/>
    <w:rsid w:val="00F00FD8"/>
    <w:rsid w:val="00F023BE"/>
    <w:rsid w:val="00F05D1E"/>
    <w:rsid w:val="00F11229"/>
    <w:rsid w:val="00F14F7D"/>
    <w:rsid w:val="00F23D80"/>
    <w:rsid w:val="00F25D3B"/>
    <w:rsid w:val="00F40D75"/>
    <w:rsid w:val="00F45636"/>
    <w:rsid w:val="00F47089"/>
    <w:rsid w:val="00F47B97"/>
    <w:rsid w:val="00F5057D"/>
    <w:rsid w:val="00F5250A"/>
    <w:rsid w:val="00F57A84"/>
    <w:rsid w:val="00F61C69"/>
    <w:rsid w:val="00F6441F"/>
    <w:rsid w:val="00F735E6"/>
    <w:rsid w:val="00F843F0"/>
    <w:rsid w:val="00F90C82"/>
    <w:rsid w:val="00F913CD"/>
    <w:rsid w:val="00FA1188"/>
    <w:rsid w:val="00FA2C14"/>
    <w:rsid w:val="00FA52CE"/>
    <w:rsid w:val="00FA6FD2"/>
    <w:rsid w:val="00FB0D7A"/>
    <w:rsid w:val="00FB10CD"/>
    <w:rsid w:val="00FB3C48"/>
    <w:rsid w:val="00FB5878"/>
    <w:rsid w:val="00FC0D06"/>
    <w:rsid w:val="00FC4346"/>
    <w:rsid w:val="00FC5E3F"/>
    <w:rsid w:val="00FC7C60"/>
    <w:rsid w:val="00FC7DC5"/>
    <w:rsid w:val="00FD0A24"/>
    <w:rsid w:val="00FD2B5D"/>
    <w:rsid w:val="00FD3475"/>
    <w:rsid w:val="00FE7039"/>
    <w:rsid w:val="00FF0A59"/>
    <w:rsid w:val="00FF2D45"/>
    <w:rsid w:val="00FF7F26"/>
    <w:rsid w:val="01B13DD4"/>
    <w:rsid w:val="026B2D5C"/>
    <w:rsid w:val="026D59A6"/>
    <w:rsid w:val="027FA8AC"/>
    <w:rsid w:val="02BC6AFC"/>
    <w:rsid w:val="02C6FFDA"/>
    <w:rsid w:val="02D0AC11"/>
    <w:rsid w:val="02FC0FF5"/>
    <w:rsid w:val="0370AF7A"/>
    <w:rsid w:val="03841DBA"/>
    <w:rsid w:val="039C1AA8"/>
    <w:rsid w:val="03C3C803"/>
    <w:rsid w:val="0453A619"/>
    <w:rsid w:val="046A7295"/>
    <w:rsid w:val="0573CED7"/>
    <w:rsid w:val="059DCEA7"/>
    <w:rsid w:val="06213B10"/>
    <w:rsid w:val="06D3BB6A"/>
    <w:rsid w:val="06FB68C5"/>
    <w:rsid w:val="07399F08"/>
    <w:rsid w:val="07706B6B"/>
    <w:rsid w:val="078BBA95"/>
    <w:rsid w:val="07C23DB3"/>
    <w:rsid w:val="086F8BCB"/>
    <w:rsid w:val="08F39A44"/>
    <w:rsid w:val="092B5FFC"/>
    <w:rsid w:val="0978CF71"/>
    <w:rsid w:val="09FAE719"/>
    <w:rsid w:val="0A713FCA"/>
    <w:rsid w:val="0AB67C18"/>
    <w:rsid w:val="0BA5D51C"/>
    <w:rsid w:val="0BA72C8D"/>
    <w:rsid w:val="0BDA653B"/>
    <w:rsid w:val="0C1DE2AA"/>
    <w:rsid w:val="0C5E65FA"/>
    <w:rsid w:val="0CCEB1BF"/>
    <w:rsid w:val="0D8D91C1"/>
    <w:rsid w:val="0D939494"/>
    <w:rsid w:val="0ED6FBB7"/>
    <w:rsid w:val="0F56EFE1"/>
    <w:rsid w:val="0F9BB735"/>
    <w:rsid w:val="102654CB"/>
    <w:rsid w:val="10649A79"/>
    <w:rsid w:val="11E1D211"/>
    <w:rsid w:val="12D4BC2D"/>
    <w:rsid w:val="14088C26"/>
    <w:rsid w:val="141A4C33"/>
    <w:rsid w:val="148CF4F6"/>
    <w:rsid w:val="15D25920"/>
    <w:rsid w:val="15F5502A"/>
    <w:rsid w:val="162184F2"/>
    <w:rsid w:val="1662EB34"/>
    <w:rsid w:val="16D03F06"/>
    <w:rsid w:val="179B5725"/>
    <w:rsid w:val="18568B2F"/>
    <w:rsid w:val="18CD75B9"/>
    <w:rsid w:val="194D2084"/>
    <w:rsid w:val="1986C638"/>
    <w:rsid w:val="19A2DC8C"/>
    <w:rsid w:val="19BF486B"/>
    <w:rsid w:val="1A8E3380"/>
    <w:rsid w:val="1AAC41BA"/>
    <w:rsid w:val="1BA3C30B"/>
    <w:rsid w:val="1BCA7279"/>
    <w:rsid w:val="1BF1A2A4"/>
    <w:rsid w:val="1C2DA31E"/>
    <w:rsid w:val="1C50611A"/>
    <w:rsid w:val="1C53D688"/>
    <w:rsid w:val="1C559FEB"/>
    <w:rsid w:val="1CAB165C"/>
    <w:rsid w:val="1D7BE441"/>
    <w:rsid w:val="1D93FECA"/>
    <w:rsid w:val="1DF8F6B1"/>
    <w:rsid w:val="1E943340"/>
    <w:rsid w:val="1F237DE4"/>
    <w:rsid w:val="1F7D5DED"/>
    <w:rsid w:val="1FC444DD"/>
    <w:rsid w:val="1FC9AC4A"/>
    <w:rsid w:val="203BDA30"/>
    <w:rsid w:val="207FB122"/>
    <w:rsid w:val="20A5D122"/>
    <w:rsid w:val="21921C8C"/>
    <w:rsid w:val="22020458"/>
    <w:rsid w:val="2284369F"/>
    <w:rsid w:val="22A0EB6C"/>
    <w:rsid w:val="22D504DB"/>
    <w:rsid w:val="22EB6411"/>
    <w:rsid w:val="22F6ED71"/>
    <w:rsid w:val="22FE9C08"/>
    <w:rsid w:val="23FAD727"/>
    <w:rsid w:val="241696A0"/>
    <w:rsid w:val="2477B49F"/>
    <w:rsid w:val="25CE2AB2"/>
    <w:rsid w:val="26CAE84C"/>
    <w:rsid w:val="273008B7"/>
    <w:rsid w:val="275EF5E8"/>
    <w:rsid w:val="2773C060"/>
    <w:rsid w:val="27937EA7"/>
    <w:rsid w:val="27EBF650"/>
    <w:rsid w:val="2858968D"/>
    <w:rsid w:val="28689ABC"/>
    <w:rsid w:val="28691DB6"/>
    <w:rsid w:val="28A8C268"/>
    <w:rsid w:val="292927EA"/>
    <w:rsid w:val="2937ADF1"/>
    <w:rsid w:val="29E43F19"/>
    <w:rsid w:val="2A8FA686"/>
    <w:rsid w:val="2AE16527"/>
    <w:rsid w:val="2B626727"/>
    <w:rsid w:val="2C02063D"/>
    <w:rsid w:val="2D1BDFDB"/>
    <w:rsid w:val="2D84542A"/>
    <w:rsid w:val="2DB21B22"/>
    <w:rsid w:val="2E1CCB9B"/>
    <w:rsid w:val="2E44EFEA"/>
    <w:rsid w:val="2E7979F9"/>
    <w:rsid w:val="2EB9AD48"/>
    <w:rsid w:val="2F2F0D3C"/>
    <w:rsid w:val="30154A5A"/>
    <w:rsid w:val="30385369"/>
    <w:rsid w:val="3053809D"/>
    <w:rsid w:val="30BC07C8"/>
    <w:rsid w:val="313A60ED"/>
    <w:rsid w:val="319038A9"/>
    <w:rsid w:val="31A7B10D"/>
    <w:rsid w:val="31EF50FE"/>
    <w:rsid w:val="3250AC01"/>
    <w:rsid w:val="33F395AE"/>
    <w:rsid w:val="346F6EA0"/>
    <w:rsid w:val="347BD225"/>
    <w:rsid w:val="34CE3044"/>
    <w:rsid w:val="3617A286"/>
    <w:rsid w:val="361AB7AB"/>
    <w:rsid w:val="36617AFE"/>
    <w:rsid w:val="37120E13"/>
    <w:rsid w:val="374A4C7C"/>
    <w:rsid w:val="37D61A6B"/>
    <w:rsid w:val="38205C3F"/>
    <w:rsid w:val="385BF385"/>
    <w:rsid w:val="38ACA4C2"/>
    <w:rsid w:val="395025CF"/>
    <w:rsid w:val="3A86193F"/>
    <w:rsid w:val="3B510984"/>
    <w:rsid w:val="3B662FD2"/>
    <w:rsid w:val="3B737BCE"/>
    <w:rsid w:val="3B7F5447"/>
    <w:rsid w:val="3B98D7FB"/>
    <w:rsid w:val="3BBB47D7"/>
    <w:rsid w:val="3C8208B1"/>
    <w:rsid w:val="3C9A9408"/>
    <w:rsid w:val="3CF55261"/>
    <w:rsid w:val="3D03507A"/>
    <w:rsid w:val="3EF79988"/>
    <w:rsid w:val="3F1F29D5"/>
    <w:rsid w:val="3F8EC098"/>
    <w:rsid w:val="40783FB9"/>
    <w:rsid w:val="41DB4CA9"/>
    <w:rsid w:val="42FEC582"/>
    <w:rsid w:val="43E4366F"/>
    <w:rsid w:val="4495081C"/>
    <w:rsid w:val="44DAE83D"/>
    <w:rsid w:val="44EABA7A"/>
    <w:rsid w:val="4612A5B5"/>
    <w:rsid w:val="463D971E"/>
    <w:rsid w:val="46B3AACB"/>
    <w:rsid w:val="47B38081"/>
    <w:rsid w:val="47C6A85E"/>
    <w:rsid w:val="47C914CF"/>
    <w:rsid w:val="483E21BB"/>
    <w:rsid w:val="48C0E1CD"/>
    <w:rsid w:val="48FB1183"/>
    <w:rsid w:val="49A35374"/>
    <w:rsid w:val="49B2EC9C"/>
    <w:rsid w:val="49D8B645"/>
    <w:rsid w:val="4A0D8EBF"/>
    <w:rsid w:val="4A59813A"/>
    <w:rsid w:val="4AE774D6"/>
    <w:rsid w:val="4B4583FF"/>
    <w:rsid w:val="4BDEC304"/>
    <w:rsid w:val="4C48BB61"/>
    <w:rsid w:val="4C8FEA9C"/>
    <w:rsid w:val="4CD4C63A"/>
    <w:rsid w:val="4CF46A92"/>
    <w:rsid w:val="4D421552"/>
    <w:rsid w:val="4EAE7861"/>
    <w:rsid w:val="4EF079F8"/>
    <w:rsid w:val="4F503B08"/>
    <w:rsid w:val="4FC1EC65"/>
    <w:rsid w:val="4FC67FEC"/>
    <w:rsid w:val="50B02A02"/>
    <w:rsid w:val="50B0B72A"/>
    <w:rsid w:val="50D86485"/>
    <w:rsid w:val="51032FF1"/>
    <w:rsid w:val="511CBC89"/>
    <w:rsid w:val="5138DD5D"/>
    <w:rsid w:val="519748DF"/>
    <w:rsid w:val="52281ABA"/>
    <w:rsid w:val="52AE2661"/>
    <w:rsid w:val="52B7FCE5"/>
    <w:rsid w:val="52CBB0B2"/>
    <w:rsid w:val="52D1EE90"/>
    <w:rsid w:val="53457F1A"/>
    <w:rsid w:val="53865DD4"/>
    <w:rsid w:val="5394CE5F"/>
    <w:rsid w:val="55D43B47"/>
    <w:rsid w:val="55EF9DA7"/>
    <w:rsid w:val="5635C170"/>
    <w:rsid w:val="563B0AEE"/>
    <w:rsid w:val="56684D9E"/>
    <w:rsid w:val="569F989B"/>
    <w:rsid w:val="5739633C"/>
    <w:rsid w:val="574A9850"/>
    <w:rsid w:val="57D172A1"/>
    <w:rsid w:val="58207821"/>
    <w:rsid w:val="5820DDC3"/>
    <w:rsid w:val="584D05EB"/>
    <w:rsid w:val="59303BA5"/>
    <w:rsid w:val="5976060A"/>
    <w:rsid w:val="598EB282"/>
    <w:rsid w:val="5ACAFC50"/>
    <w:rsid w:val="5B1251E3"/>
    <w:rsid w:val="5B587E85"/>
    <w:rsid w:val="5C1E0973"/>
    <w:rsid w:val="5C3FB58B"/>
    <w:rsid w:val="5C4453F2"/>
    <w:rsid w:val="5C7133A4"/>
    <w:rsid w:val="5C7846E7"/>
    <w:rsid w:val="5C8E6A4D"/>
    <w:rsid w:val="5CA7973D"/>
    <w:rsid w:val="5CD783EC"/>
    <w:rsid w:val="5CED0760"/>
    <w:rsid w:val="5D72A599"/>
    <w:rsid w:val="5D72BAE7"/>
    <w:rsid w:val="5D7ABAE4"/>
    <w:rsid w:val="5DD2D7AE"/>
    <w:rsid w:val="5DDB85EC"/>
    <w:rsid w:val="5E4BBE8D"/>
    <w:rsid w:val="5ED418D4"/>
    <w:rsid w:val="5EEAD74B"/>
    <w:rsid w:val="5F0E8B48"/>
    <w:rsid w:val="5F40FB55"/>
    <w:rsid w:val="5F55AA35"/>
    <w:rsid w:val="5FE80E68"/>
    <w:rsid w:val="60D14E48"/>
    <w:rsid w:val="610C1803"/>
    <w:rsid w:val="617E51A3"/>
    <w:rsid w:val="61A2F287"/>
    <w:rsid w:val="61A8B403"/>
    <w:rsid w:val="61D213E2"/>
    <w:rsid w:val="61E95856"/>
    <w:rsid w:val="625EB9DE"/>
    <w:rsid w:val="62A9E23B"/>
    <w:rsid w:val="62AFC896"/>
    <w:rsid w:val="633DE8E0"/>
    <w:rsid w:val="63985F40"/>
    <w:rsid w:val="63BA9468"/>
    <w:rsid w:val="64539446"/>
    <w:rsid w:val="6496EC7C"/>
    <w:rsid w:val="64D6537D"/>
    <w:rsid w:val="652694AA"/>
    <w:rsid w:val="657DCCCC"/>
    <w:rsid w:val="6604E8BA"/>
    <w:rsid w:val="6630FD42"/>
    <w:rsid w:val="665C29F5"/>
    <w:rsid w:val="665D027D"/>
    <w:rsid w:val="669EECD1"/>
    <w:rsid w:val="67016FA7"/>
    <w:rsid w:val="6812340B"/>
    <w:rsid w:val="691EB365"/>
    <w:rsid w:val="694D59B1"/>
    <w:rsid w:val="694D991C"/>
    <w:rsid w:val="69955CCD"/>
    <w:rsid w:val="69C09209"/>
    <w:rsid w:val="6A94DE4A"/>
    <w:rsid w:val="6B034B28"/>
    <w:rsid w:val="6B065FB1"/>
    <w:rsid w:val="6B0CE45F"/>
    <w:rsid w:val="6B2CD7D3"/>
    <w:rsid w:val="6BD8DE21"/>
    <w:rsid w:val="6BF4A824"/>
    <w:rsid w:val="6C493CE5"/>
    <w:rsid w:val="6CFD2E18"/>
    <w:rsid w:val="6D1803E2"/>
    <w:rsid w:val="6F06321A"/>
    <w:rsid w:val="6F24AF12"/>
    <w:rsid w:val="6F80DDA7"/>
    <w:rsid w:val="6FA0204C"/>
    <w:rsid w:val="70DF9D0E"/>
    <w:rsid w:val="70EF48A1"/>
    <w:rsid w:val="71936E37"/>
    <w:rsid w:val="71938F74"/>
    <w:rsid w:val="7209673F"/>
    <w:rsid w:val="7232C2F1"/>
    <w:rsid w:val="7448A9A5"/>
    <w:rsid w:val="745E3891"/>
    <w:rsid w:val="746EDA03"/>
    <w:rsid w:val="75F01F2B"/>
    <w:rsid w:val="76108297"/>
    <w:rsid w:val="762E9AB0"/>
    <w:rsid w:val="76B42808"/>
    <w:rsid w:val="7716989A"/>
    <w:rsid w:val="77185F02"/>
    <w:rsid w:val="77237B3D"/>
    <w:rsid w:val="78B42F63"/>
    <w:rsid w:val="79DB6B59"/>
    <w:rsid w:val="79F37366"/>
    <w:rsid w:val="7A34E371"/>
    <w:rsid w:val="7AC3904E"/>
    <w:rsid w:val="7AF56E42"/>
    <w:rsid w:val="7B41FC4F"/>
    <w:rsid w:val="7B5A20C6"/>
    <w:rsid w:val="7B782F24"/>
    <w:rsid w:val="7B99A024"/>
    <w:rsid w:val="7BBFBADF"/>
    <w:rsid w:val="7BEBD025"/>
    <w:rsid w:val="7C706B38"/>
    <w:rsid w:val="7CAC4EFF"/>
    <w:rsid w:val="7D3223BB"/>
    <w:rsid w:val="7DAE89D5"/>
    <w:rsid w:val="7DE51584"/>
    <w:rsid w:val="7E04C272"/>
    <w:rsid w:val="7E28484B"/>
    <w:rsid w:val="7E9D2479"/>
    <w:rsid w:val="7EBE4836"/>
    <w:rsid w:val="7EDA97C1"/>
    <w:rsid w:val="7EE23B68"/>
    <w:rsid w:val="7F2370E7"/>
    <w:rsid w:val="7F4A5A36"/>
    <w:rsid w:val="7F918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30B00"/>
  <w15:docId w15:val="{4DD3462C-4FC1-44AE-ADAA-3ED4D6A3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A23003"/>
    <w:pPr>
      <w:keepNext/>
      <w:keepLines/>
      <w:numPr>
        <w:numId w:val="10"/>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0"/>
      </w:numPr>
      <w:spacing w:before="360" w:after="100"/>
      <w:ind w:left="1134"/>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nhideWhenUsed/>
    <w:rsid w:val="001D2701"/>
    <w:pPr>
      <w:spacing w:after="120"/>
    </w:pPr>
  </w:style>
  <w:style w:type="character" w:customStyle="1" w:styleId="BodyTextChar">
    <w:name w:val="Body Text Char"/>
    <w:basedOn w:val="DefaultParagraphFont"/>
    <w:link w:val="BodyText"/>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C76692"/>
    <w:pPr>
      <w:numPr>
        <w:ilvl w:val="2"/>
        <w:numId w:val="10"/>
      </w:numPr>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1"/>
      </w:numPr>
    </w:pPr>
  </w:style>
  <w:style w:type="numbering" w:customStyle="1" w:styleId="CurrentList2">
    <w:name w:val="Current List2"/>
    <w:uiPriority w:val="99"/>
    <w:rsid w:val="00254FFE"/>
    <w:pPr>
      <w:numPr>
        <w:numId w:val="12"/>
      </w:numPr>
    </w:pPr>
  </w:style>
  <w:style w:type="numbering" w:customStyle="1" w:styleId="CurrentList3">
    <w:name w:val="Current List3"/>
    <w:uiPriority w:val="99"/>
    <w:rsid w:val="00254FFE"/>
    <w:pPr>
      <w:numPr>
        <w:numId w:val="13"/>
      </w:numPr>
    </w:pPr>
  </w:style>
  <w:style w:type="numbering" w:customStyle="1" w:styleId="CurrentList4">
    <w:name w:val="Current List4"/>
    <w:uiPriority w:val="99"/>
    <w:rsid w:val="00B31CD9"/>
    <w:pPr>
      <w:numPr>
        <w:numId w:val="14"/>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E870B7"/>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15"/>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3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17"/>
      </w:numPr>
      <w:contextualSpacing/>
    </w:pPr>
    <w:rPr>
      <w:rFonts w:cs="Times New Roman (Body CS)"/>
    </w:rPr>
  </w:style>
  <w:style w:type="paragraph" w:customStyle="1" w:styleId="Style1">
    <w:name w:val="Style1"/>
    <w:basedOn w:val="Heading3"/>
    <w:link w:val="Style1Char"/>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16"/>
      </w:numPr>
    </w:pPr>
  </w:style>
  <w:style w:type="numbering" w:customStyle="1" w:styleId="CurrentList7">
    <w:name w:val="Current List7"/>
    <w:uiPriority w:val="99"/>
    <w:rsid w:val="006B3E9C"/>
    <w:pPr>
      <w:numPr>
        <w:numId w:val="18"/>
      </w:numPr>
    </w:pPr>
  </w:style>
  <w:style w:type="numbering" w:customStyle="1" w:styleId="CurrentList8">
    <w:name w:val="Current List8"/>
    <w:uiPriority w:val="99"/>
    <w:rsid w:val="006B3E9C"/>
    <w:pPr>
      <w:numPr>
        <w:numId w:val="19"/>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table" w:customStyle="1" w:styleId="TableGrid1">
    <w:name w:val="Table Grid1"/>
    <w:basedOn w:val="TableNormal"/>
    <w:next w:val="TableGrid"/>
    <w:uiPriority w:val="59"/>
    <w:rsid w:val="00F4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3C8F"/>
    <w:pPr>
      <w:spacing w:before="100" w:beforeAutospacing="1" w:after="100" w:afterAutospacing="1"/>
      <w:ind w:left="0"/>
    </w:pPr>
    <w:rPr>
      <w:rFonts w:ascii="Times New Roman" w:eastAsia="Times New Roman" w:hAnsi="Times New Roman" w:cs="Times New Roman"/>
      <w:color w:val="auto"/>
      <w:lang w:eastAsia="en-GB"/>
    </w:rPr>
  </w:style>
  <w:style w:type="character" w:customStyle="1" w:styleId="Style1Char">
    <w:name w:val="Style1 Char"/>
    <w:basedOn w:val="Heading3Char"/>
    <w:link w:val="Style1"/>
    <w:rsid w:val="00DC187A"/>
    <w:rPr>
      <w:rFonts w:asciiTheme="majorHAnsi" w:eastAsiaTheme="majorEastAsia" w:hAnsiTheme="majorHAnsi" w:cstheme="majorBidi"/>
      <w:b w:val="0"/>
      <w:color w:val="231F20" w:themeColor="text1"/>
    </w:rPr>
  </w:style>
  <w:style w:type="paragraph" w:styleId="BalloonText">
    <w:name w:val="Balloon Text"/>
    <w:basedOn w:val="Normal"/>
    <w:link w:val="BalloonTextChar"/>
    <w:uiPriority w:val="99"/>
    <w:semiHidden/>
    <w:unhideWhenUsed/>
    <w:rsid w:val="00EC254F"/>
    <w:pPr>
      <w:spacing w:before="0" w:after="0"/>
      <w:ind w:left="0"/>
    </w:pPr>
    <w:rPr>
      <w:rFonts w:ascii="Tahoma" w:eastAsia="Times New Roman" w:hAnsi="Tahoma" w:cs="Tahoma"/>
      <w:color w:val="auto"/>
      <w:sz w:val="16"/>
      <w:szCs w:val="16"/>
      <w:lang w:eastAsia="en-GB"/>
    </w:rPr>
  </w:style>
  <w:style w:type="character" w:customStyle="1" w:styleId="BalloonTextChar">
    <w:name w:val="Balloon Text Char"/>
    <w:basedOn w:val="DefaultParagraphFont"/>
    <w:link w:val="BalloonText"/>
    <w:uiPriority w:val="99"/>
    <w:semiHidden/>
    <w:rsid w:val="00EC254F"/>
    <w:rPr>
      <w:rFonts w:ascii="Tahoma" w:eastAsia="Times New Roman" w:hAnsi="Tahoma" w:cs="Tahoma"/>
      <w:sz w:val="16"/>
      <w:szCs w:val="16"/>
      <w:lang w:eastAsia="en-GB"/>
    </w:rPr>
  </w:style>
  <w:style w:type="paragraph" w:customStyle="1" w:styleId="Default">
    <w:name w:val="Default"/>
    <w:rsid w:val="00EC254F"/>
    <w:pPr>
      <w:autoSpaceDE w:val="0"/>
      <w:autoSpaceDN w:val="0"/>
      <w:adjustRightInd w:val="0"/>
    </w:pPr>
    <w:rPr>
      <w:rFonts w:ascii="Arial" w:eastAsia="Times New Roman" w:hAnsi="Arial" w:cs="Arial"/>
      <w:color w:val="000000"/>
      <w:lang w:eastAsia="en-GB"/>
    </w:rPr>
  </w:style>
  <w:style w:type="character" w:styleId="FollowedHyperlink">
    <w:name w:val="FollowedHyperlink"/>
    <w:basedOn w:val="DefaultParagraphFont"/>
    <w:uiPriority w:val="99"/>
    <w:semiHidden/>
    <w:unhideWhenUsed/>
    <w:rsid w:val="00EC254F"/>
    <w:rPr>
      <w:color w:val="00A399" w:themeColor="followedHyperlink"/>
      <w:u w:val="single"/>
    </w:rPr>
  </w:style>
  <w:style w:type="paragraph" w:styleId="BodyTextIndent">
    <w:name w:val="Body Text Indent"/>
    <w:basedOn w:val="Normal"/>
    <w:link w:val="BodyTextIndentChar"/>
    <w:uiPriority w:val="99"/>
    <w:semiHidden/>
    <w:unhideWhenUsed/>
    <w:rsid w:val="00EC254F"/>
    <w:pPr>
      <w:spacing w:before="0" w:after="120"/>
      <w:ind w:left="283"/>
    </w:pPr>
    <w:rPr>
      <w:rFonts w:ascii="Times New Roman" w:eastAsia="Times New Roman" w:hAnsi="Times New Roman" w:cs="Times New Roman"/>
      <w:color w:val="auto"/>
      <w:lang w:eastAsia="en-GB"/>
    </w:rPr>
  </w:style>
  <w:style w:type="character" w:customStyle="1" w:styleId="BodyTextIndentChar">
    <w:name w:val="Body Text Indent Char"/>
    <w:basedOn w:val="DefaultParagraphFont"/>
    <w:link w:val="BodyTextIndent"/>
    <w:uiPriority w:val="99"/>
    <w:semiHidden/>
    <w:rsid w:val="00EC254F"/>
    <w:rPr>
      <w:rFonts w:ascii="Times New Roman" w:eastAsia="Times New Roman" w:hAnsi="Times New Roman" w:cs="Times New Roman"/>
      <w:lang w:eastAsia="en-GB"/>
    </w:rPr>
  </w:style>
  <w:style w:type="character" w:customStyle="1" w:styleId="prod-title2">
    <w:name w:val="prod-title2"/>
    <w:basedOn w:val="DefaultParagraphFont"/>
    <w:rsid w:val="00EC254F"/>
  </w:style>
  <w:style w:type="character" w:customStyle="1" w:styleId="published-date4">
    <w:name w:val="published-date4"/>
    <w:basedOn w:val="DefaultParagraphFont"/>
    <w:rsid w:val="00EC254F"/>
  </w:style>
  <w:style w:type="table" w:customStyle="1" w:styleId="TableGrid2">
    <w:name w:val="Table Grid2"/>
    <w:basedOn w:val="TableNormal"/>
    <w:next w:val="TableGrid"/>
    <w:uiPriority w:val="59"/>
    <w:rsid w:val="00EC25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C254F"/>
    <w:rPr>
      <w:i/>
      <w:iCs/>
    </w:rPr>
  </w:style>
  <w:style w:type="character" w:styleId="Strong">
    <w:name w:val="Strong"/>
    <w:basedOn w:val="DefaultParagraphFont"/>
    <w:uiPriority w:val="22"/>
    <w:qFormat/>
    <w:rsid w:val="00EC254F"/>
    <w:rPr>
      <w:b/>
      <w:bCs/>
    </w:rPr>
  </w:style>
  <w:style w:type="paragraph" w:styleId="ListBullet">
    <w:name w:val="List Bullet"/>
    <w:basedOn w:val="Normal"/>
    <w:uiPriority w:val="99"/>
    <w:semiHidden/>
    <w:unhideWhenUsed/>
    <w:rsid w:val="00EC254F"/>
    <w:pPr>
      <w:numPr>
        <w:numId w:val="27"/>
      </w:numPr>
      <w:spacing w:before="0" w:after="0"/>
      <w:contextualSpacing/>
    </w:pPr>
    <w:rPr>
      <w:rFonts w:ascii="Times New Roman" w:eastAsia="Times New Roman" w:hAnsi="Times New Roman" w:cs="Times New Roman"/>
      <w:color w:val="auto"/>
      <w:lang w:eastAsia="en-GB"/>
    </w:rPr>
  </w:style>
  <w:style w:type="table" w:customStyle="1" w:styleId="TableGrid3">
    <w:name w:val="Table Grid3"/>
    <w:basedOn w:val="TableNormal"/>
    <w:next w:val="TableGrid"/>
    <w:uiPriority w:val="59"/>
    <w:rsid w:val="00EC25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C25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254F"/>
    <w:rPr>
      <w:rFonts w:ascii="Times New Roman" w:eastAsia="Times New Roman" w:hAnsi="Times New Roman" w:cs="Times New Roman"/>
      <w:lang w:eastAsia="en-GB"/>
    </w:rPr>
  </w:style>
  <w:style w:type="table" w:customStyle="1" w:styleId="TableGrid5">
    <w:name w:val="Table Grid5"/>
    <w:basedOn w:val="TableNormal"/>
    <w:next w:val="TableGrid"/>
    <w:uiPriority w:val="59"/>
    <w:rsid w:val="00EC25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C25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25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79596">
      <w:bodyDiv w:val="1"/>
      <w:marLeft w:val="0"/>
      <w:marRight w:val="0"/>
      <w:marTop w:val="0"/>
      <w:marBottom w:val="0"/>
      <w:divBdr>
        <w:top w:val="none" w:sz="0" w:space="0" w:color="auto"/>
        <w:left w:val="none" w:sz="0" w:space="0" w:color="auto"/>
        <w:bottom w:val="none" w:sz="0" w:space="0" w:color="auto"/>
        <w:right w:val="none" w:sz="0" w:space="0" w:color="auto"/>
      </w:divBdr>
    </w:div>
    <w:div w:id="717584074">
      <w:bodyDiv w:val="1"/>
      <w:marLeft w:val="0"/>
      <w:marRight w:val="0"/>
      <w:marTop w:val="0"/>
      <w:marBottom w:val="0"/>
      <w:divBdr>
        <w:top w:val="none" w:sz="0" w:space="0" w:color="auto"/>
        <w:left w:val="none" w:sz="0" w:space="0" w:color="auto"/>
        <w:bottom w:val="none" w:sz="0" w:space="0" w:color="auto"/>
        <w:right w:val="none" w:sz="0" w:space="0" w:color="auto"/>
      </w:divBdr>
    </w:div>
    <w:div w:id="1354722792">
      <w:bodyDiv w:val="1"/>
      <w:marLeft w:val="0"/>
      <w:marRight w:val="0"/>
      <w:marTop w:val="0"/>
      <w:marBottom w:val="0"/>
      <w:divBdr>
        <w:top w:val="none" w:sz="0" w:space="0" w:color="auto"/>
        <w:left w:val="none" w:sz="0" w:space="0" w:color="auto"/>
        <w:bottom w:val="none" w:sz="0" w:space="0" w:color="auto"/>
        <w:right w:val="none" w:sz="0" w:space="0" w:color="auto"/>
      </w:divBdr>
    </w:div>
    <w:div w:id="1416393336">
      <w:bodyDiv w:val="1"/>
      <w:marLeft w:val="0"/>
      <w:marRight w:val="0"/>
      <w:marTop w:val="0"/>
      <w:marBottom w:val="0"/>
      <w:divBdr>
        <w:top w:val="none" w:sz="0" w:space="0" w:color="auto"/>
        <w:left w:val="none" w:sz="0" w:space="0" w:color="auto"/>
        <w:bottom w:val="none" w:sz="0" w:space="0" w:color="auto"/>
        <w:right w:val="none" w:sz="0" w:space="0" w:color="auto"/>
      </w:divBdr>
    </w:div>
    <w:div w:id="1476332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idandsouthessex.ics.nhs.uk/publications/?publications_category=icb-poli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andsouthessex.ics.nhs.uk/health/personalised-care/individual-funding-requests/individual-funding-request-polic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Downloads\MSE%20ICS%20Policy%20Template.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BFD99E-5BE5-459D-B60C-D94E69F8672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d29783-592e-45e1-a5e7-a4cc332c453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DF0DA6C0F3BD4CA9077A53137BE103" ma:contentTypeVersion="14" ma:contentTypeDescription="Create a new document." ma:contentTypeScope="" ma:versionID="a0e87b3bdcdf6c4336926b3bad09781b">
  <xsd:schema xmlns:xsd="http://www.w3.org/2001/XMLSchema" xmlns:xs="http://www.w3.org/2001/XMLSchema" xmlns:p="http://schemas.microsoft.com/office/2006/metadata/properties" xmlns:ns1="http://schemas.microsoft.com/sharepoint/v3" xmlns:ns2="b4d29783-592e-45e1-a5e7-a4cc332c4538" xmlns:ns3="e3fc3ca9-e203-43ea-a695-56a88757746a" targetNamespace="http://schemas.microsoft.com/office/2006/metadata/properties" ma:root="true" ma:fieldsID="c6697adf4faba2df2b4e34d827842c6e" ns1:_="" ns2:_="" ns3:_="">
    <xsd:import namespace="http://schemas.microsoft.com/sharepoint/v3"/>
    <xsd:import namespace="b4d29783-592e-45e1-a5e7-a4cc332c4538"/>
    <xsd:import namespace="e3fc3ca9-e203-43ea-a695-56a8875774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29783-592e-45e1-a5e7-a4cc332c4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c3ca9-e203-43ea-a695-56a8875774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6038553A-3C5B-4689-AD5B-A36A1E4981CB}">
  <ds:schemaRefs>
    <ds:schemaRef ds:uri="http://schemas.microsoft.com/office/2006/metadata/properties"/>
    <ds:schemaRef ds:uri="http://schemas.microsoft.com/office/infopath/2007/PartnerControls"/>
    <ds:schemaRef ds:uri="b4d29783-592e-45e1-a5e7-a4cc332c4538"/>
    <ds:schemaRef ds:uri="http://schemas.microsoft.com/sharepoint/v3"/>
  </ds:schemaRefs>
</ds:datastoreItem>
</file>

<file path=customXml/itemProps3.xml><?xml version="1.0" encoding="utf-8"?>
<ds:datastoreItem xmlns:ds="http://schemas.openxmlformats.org/officeDocument/2006/customXml" ds:itemID="{5EF15EFC-837F-4B4E-AAF7-26EE637C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d29783-592e-45e1-a5e7-a4cc332c4538"/>
    <ds:schemaRef ds:uri="e3fc3ca9-e203-43ea-a695-56a887577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3DECA-87C2-4269-B3D9-F1FB0978E7B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Template>
  <TotalTime>1954</TotalTime>
  <Pages>20</Pages>
  <Words>5222</Words>
  <Characters>29770</Characters>
  <Application>Microsoft Office Word</Application>
  <DocSecurity>0</DocSecurity>
  <Lines>248</Lines>
  <Paragraphs>69</Paragraphs>
  <ScaleCrop>false</ScaleCrop>
  <Manager/>
  <Company/>
  <LinksUpToDate>false</LinksUpToDate>
  <CharactersWithSpaces>34923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Adams Nicola (07G) Thurrock CCG</dc:creator>
  <cp:keywords/>
  <dc:description/>
  <cp:lastModifiedBy>WILKINSON, Paula (NHS MID AND SOUTH ESSEX ICB - 06Q)</cp:lastModifiedBy>
  <cp:revision>75</cp:revision>
  <cp:lastPrinted>2021-12-03T14:01:00Z</cp:lastPrinted>
  <dcterms:created xsi:type="dcterms:W3CDTF">2024-02-21T21:58:00Z</dcterms:created>
  <dcterms:modified xsi:type="dcterms:W3CDTF">2025-09-08T12:45:00Z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0x010100AADF0DA6C0F3BD4CA9077A53137BE103</vt:lpwstr>
  </property>
  <property fmtid="{D5CDD505-2E9C-101B-9397-08002B2CF9AE}" pid="4" name="IntranetKeywords">
    <vt:lpwstr>6;#MSE|e2a38f45-20b0-427a-808a-97dee85b2f9f</vt:lpwstr>
  </property>
</Properties>
</file>