
<file path=[Content_Types].xml><?xml version="1.0" encoding="utf-8"?>
<Types xmlns="http://schemas.openxmlformats.org/package/2006/content-types">
  <Default Extension="emf" ContentType="image/x-emf"/>
  <Default Extension="jpeg" ContentType="image/jpeg"/>
  <Default Extension="jpg" ContentType="image/jp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8E0E41" w14:textId="0EC1605F" w:rsidR="00963260" w:rsidRPr="00EB271C" w:rsidRDefault="00190EC5" w:rsidP="00963260">
      <w:pPr>
        <w:rPr>
          <w:rFonts w:cs="Arial"/>
          <w:b/>
          <w:bCs/>
          <w:szCs w:val="24"/>
          <w:u w:val="single"/>
        </w:rPr>
      </w:pPr>
      <w:r w:rsidRPr="00190EC5">
        <w:rPr>
          <w:rFonts w:eastAsia="Arial" w:cs="Times New Roman"/>
          <w:b/>
          <w:bCs/>
          <w:noProof/>
          <w:color w:val="FFFFFF"/>
          <w:spacing w:val="-8"/>
          <w:sz w:val="44"/>
          <w:szCs w:val="44"/>
        </w:rPr>
        <w:drawing>
          <wp:anchor distT="0" distB="0" distL="114300" distR="114300" simplePos="0" relativeHeight="251658241" behindDoc="1" locked="0" layoutInCell="1" allowOverlap="1" wp14:anchorId="2B9AD66F" wp14:editId="054370D4">
            <wp:simplePos x="0" y="0"/>
            <wp:positionH relativeFrom="page">
              <wp:align>left</wp:align>
            </wp:positionH>
            <wp:positionV relativeFrom="paragraph">
              <wp:posOffset>-629393</wp:posOffset>
            </wp:positionV>
            <wp:extent cx="7598739" cy="10740402"/>
            <wp:effectExtent l="0" t="0" r="2540" b="3810"/>
            <wp:wrapNone/>
            <wp:docPr id="501810645" name="Picture 5018106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10645" name="Picture 1">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98739" cy="10740402"/>
                    </a:xfrm>
                    <a:prstGeom prst="rect">
                      <a:avLst/>
                    </a:prstGeom>
                  </pic:spPr>
                </pic:pic>
              </a:graphicData>
            </a:graphic>
            <wp14:sizeRelH relativeFrom="page">
              <wp14:pctWidth>0</wp14:pctWidth>
            </wp14:sizeRelH>
            <wp14:sizeRelV relativeFrom="page">
              <wp14:pctHeight>0</wp14:pctHeight>
            </wp14:sizeRelV>
          </wp:anchor>
        </w:drawing>
      </w:r>
    </w:p>
    <w:p w14:paraId="4AC592C7" w14:textId="77777777" w:rsidR="00963260" w:rsidRPr="00EB271C" w:rsidRDefault="00963260" w:rsidP="00963260">
      <w:pPr>
        <w:rPr>
          <w:rFonts w:cs="Arial"/>
          <w:b/>
          <w:bCs/>
          <w:szCs w:val="24"/>
          <w:u w:val="single"/>
        </w:rPr>
      </w:pPr>
    </w:p>
    <w:p w14:paraId="189CBADB" w14:textId="77777777" w:rsidR="00963260" w:rsidRPr="00EB271C" w:rsidRDefault="00963260" w:rsidP="00963260">
      <w:pPr>
        <w:rPr>
          <w:rFonts w:cs="Arial"/>
          <w:b/>
          <w:bCs/>
          <w:szCs w:val="24"/>
          <w:u w:val="single"/>
        </w:rPr>
      </w:pPr>
    </w:p>
    <w:p w14:paraId="4FB91FE0" w14:textId="77777777" w:rsidR="00963260" w:rsidRPr="00EB271C" w:rsidRDefault="00963260" w:rsidP="00963260">
      <w:pPr>
        <w:rPr>
          <w:rFonts w:cs="Arial"/>
          <w:b/>
          <w:bCs/>
          <w:szCs w:val="24"/>
          <w:u w:val="single"/>
        </w:rPr>
      </w:pPr>
    </w:p>
    <w:p w14:paraId="0C08B6AF" w14:textId="77777777" w:rsidR="00963260" w:rsidRPr="00EB271C" w:rsidRDefault="00963260" w:rsidP="00963260">
      <w:pPr>
        <w:rPr>
          <w:rFonts w:cs="Arial"/>
          <w:b/>
          <w:bCs/>
          <w:szCs w:val="24"/>
          <w:u w:val="single"/>
        </w:rPr>
      </w:pPr>
    </w:p>
    <w:p w14:paraId="4555170A" w14:textId="77777777" w:rsidR="00963260" w:rsidRPr="00EB271C" w:rsidRDefault="00963260" w:rsidP="00963260">
      <w:pPr>
        <w:rPr>
          <w:rFonts w:cs="Arial"/>
          <w:b/>
          <w:bCs/>
          <w:szCs w:val="24"/>
          <w:u w:val="single"/>
        </w:rPr>
      </w:pPr>
    </w:p>
    <w:p w14:paraId="6C61AEB3" w14:textId="77777777" w:rsidR="00963260" w:rsidRPr="0020395D" w:rsidRDefault="00963260" w:rsidP="00963260">
      <w:pPr>
        <w:rPr>
          <w:rFonts w:cs="Arial"/>
          <w:b/>
          <w:bCs/>
          <w:color w:val="FFFFFF"/>
          <w:sz w:val="56"/>
          <w:szCs w:val="56"/>
        </w:rPr>
      </w:pPr>
    </w:p>
    <w:p w14:paraId="725986E7" w14:textId="77777777" w:rsidR="00190EC5" w:rsidRPr="0020395D" w:rsidRDefault="00190EC5" w:rsidP="00963260">
      <w:pPr>
        <w:pStyle w:val="Title"/>
        <w:rPr>
          <w:color w:val="FFFFFF"/>
          <w:sz w:val="44"/>
          <w:szCs w:val="44"/>
        </w:rPr>
      </w:pPr>
    </w:p>
    <w:p w14:paraId="627B0783" w14:textId="77777777" w:rsidR="00190EC5" w:rsidRPr="0020395D" w:rsidRDefault="00190EC5" w:rsidP="00963260">
      <w:pPr>
        <w:pStyle w:val="Title"/>
        <w:rPr>
          <w:color w:val="FFFFFF"/>
          <w:sz w:val="44"/>
          <w:szCs w:val="44"/>
        </w:rPr>
      </w:pPr>
    </w:p>
    <w:p w14:paraId="7A780195" w14:textId="6F992DB2" w:rsidR="00963260" w:rsidRPr="0020395D" w:rsidRDefault="00963260" w:rsidP="00963260">
      <w:pPr>
        <w:pStyle w:val="Title"/>
        <w:rPr>
          <w:color w:val="FFFFFF"/>
          <w:sz w:val="44"/>
          <w:szCs w:val="44"/>
        </w:rPr>
      </w:pPr>
      <w:r w:rsidRPr="0020395D">
        <w:rPr>
          <w:color w:val="FFFFFF"/>
          <w:sz w:val="44"/>
          <w:szCs w:val="44"/>
        </w:rPr>
        <w:t xml:space="preserve">Mid and South Essex </w:t>
      </w:r>
      <w:r w:rsidRPr="0020395D">
        <w:rPr>
          <w:color w:val="FFFFFF"/>
          <w:sz w:val="44"/>
          <w:szCs w:val="44"/>
        </w:rPr>
        <w:br/>
        <w:t>Integrated Care Board</w:t>
      </w:r>
    </w:p>
    <w:p w14:paraId="68E1BB5F" w14:textId="77777777" w:rsidR="00963260" w:rsidRPr="0020395D" w:rsidRDefault="00963260" w:rsidP="00422C87">
      <w:pPr>
        <w:pStyle w:val="Title"/>
        <w:spacing w:before="120"/>
        <w:contextualSpacing w:val="0"/>
        <w:rPr>
          <w:color w:val="FFFFFF"/>
          <w:sz w:val="96"/>
          <w:szCs w:val="96"/>
        </w:rPr>
      </w:pPr>
      <w:r w:rsidRPr="0020395D">
        <w:rPr>
          <w:color w:val="FFFFFF"/>
          <w:sz w:val="96"/>
          <w:szCs w:val="96"/>
        </w:rPr>
        <w:t>Annual Report:</w:t>
      </w:r>
    </w:p>
    <w:p w14:paraId="02677F53" w14:textId="1936BBE4" w:rsidR="00963260" w:rsidRDefault="00AD7406" w:rsidP="006A243B">
      <w:pPr>
        <w:pStyle w:val="Title"/>
        <w:spacing w:before="240"/>
        <w:contextualSpacing w:val="0"/>
        <w:rPr>
          <w:b w:val="0"/>
          <w:bCs w:val="0"/>
          <w:szCs w:val="24"/>
          <w:u w:val="single"/>
        </w:rPr>
      </w:pPr>
      <w:r w:rsidRPr="0020395D">
        <w:rPr>
          <w:color w:val="FFFFFF"/>
          <w:sz w:val="50"/>
          <w:szCs w:val="50"/>
        </w:rPr>
        <w:t xml:space="preserve">April </w:t>
      </w:r>
      <w:r w:rsidR="00963260" w:rsidRPr="0020395D">
        <w:rPr>
          <w:color w:val="FFFFFF"/>
          <w:sz w:val="50"/>
          <w:szCs w:val="50"/>
        </w:rPr>
        <w:t>202</w:t>
      </w:r>
      <w:r w:rsidRPr="0020395D">
        <w:rPr>
          <w:color w:val="FFFFFF"/>
          <w:sz w:val="50"/>
          <w:szCs w:val="50"/>
        </w:rPr>
        <w:t>3</w:t>
      </w:r>
      <w:r w:rsidR="00963260" w:rsidRPr="0020395D">
        <w:rPr>
          <w:color w:val="FFFFFF"/>
          <w:sz w:val="50"/>
          <w:szCs w:val="50"/>
        </w:rPr>
        <w:t xml:space="preserve"> – March 202</w:t>
      </w:r>
      <w:r w:rsidRPr="0020395D">
        <w:rPr>
          <w:color w:val="FFFFFF"/>
          <w:sz w:val="50"/>
          <w:szCs w:val="50"/>
        </w:rPr>
        <w:t>4</w:t>
      </w:r>
    </w:p>
    <w:p w14:paraId="578C53D0" w14:textId="77777777" w:rsidR="00963260" w:rsidRDefault="00963260" w:rsidP="00963260">
      <w:pPr>
        <w:rPr>
          <w:rFonts w:cs="Arial"/>
          <w:b/>
          <w:bCs/>
          <w:szCs w:val="24"/>
          <w:u w:val="single"/>
        </w:rPr>
      </w:pPr>
    </w:p>
    <w:p w14:paraId="3D784967" w14:textId="77777777" w:rsidR="00963260" w:rsidRDefault="00963260" w:rsidP="00963260">
      <w:pPr>
        <w:rPr>
          <w:rFonts w:cs="Arial"/>
          <w:b/>
          <w:bCs/>
          <w:szCs w:val="24"/>
          <w:u w:val="single"/>
        </w:rPr>
      </w:pPr>
    </w:p>
    <w:p w14:paraId="4AA4C20B" w14:textId="77777777" w:rsidR="00963260" w:rsidRDefault="00963260" w:rsidP="00963260">
      <w:pPr>
        <w:rPr>
          <w:rFonts w:cs="Arial"/>
          <w:b/>
          <w:bCs/>
          <w:szCs w:val="24"/>
          <w:u w:val="single"/>
        </w:rPr>
      </w:pPr>
    </w:p>
    <w:p w14:paraId="2DB500BB" w14:textId="77777777" w:rsidR="00963260" w:rsidRDefault="00963260" w:rsidP="00963260">
      <w:pPr>
        <w:rPr>
          <w:rFonts w:cs="Arial"/>
          <w:b/>
          <w:bCs/>
          <w:szCs w:val="24"/>
          <w:u w:val="single"/>
        </w:rPr>
      </w:pPr>
    </w:p>
    <w:p w14:paraId="13E9CC85" w14:textId="77777777" w:rsidR="00963260" w:rsidRDefault="00963260" w:rsidP="00963260">
      <w:pPr>
        <w:rPr>
          <w:rFonts w:cs="Arial"/>
          <w:b/>
          <w:bCs/>
          <w:szCs w:val="24"/>
          <w:u w:val="single"/>
        </w:rPr>
      </w:pPr>
    </w:p>
    <w:p w14:paraId="0B57C1D8" w14:textId="77777777" w:rsidR="00963260" w:rsidRDefault="00963260" w:rsidP="00963260">
      <w:pPr>
        <w:rPr>
          <w:rFonts w:cs="Arial"/>
          <w:b/>
          <w:bCs/>
          <w:szCs w:val="24"/>
          <w:u w:val="single"/>
        </w:rPr>
      </w:pPr>
    </w:p>
    <w:p w14:paraId="40B41F6F" w14:textId="77777777" w:rsidR="00963260" w:rsidRDefault="00963260" w:rsidP="00963260">
      <w:pPr>
        <w:rPr>
          <w:rFonts w:cs="Arial"/>
          <w:b/>
          <w:bCs/>
          <w:szCs w:val="24"/>
          <w:u w:val="single"/>
        </w:rPr>
      </w:pPr>
    </w:p>
    <w:p w14:paraId="5926C65B" w14:textId="77777777" w:rsidR="00963260" w:rsidRDefault="00963260" w:rsidP="00963260">
      <w:pPr>
        <w:rPr>
          <w:rFonts w:cs="Arial"/>
          <w:b/>
          <w:bCs/>
          <w:szCs w:val="24"/>
          <w:u w:val="single"/>
        </w:rPr>
      </w:pPr>
    </w:p>
    <w:p w14:paraId="3F947384" w14:textId="77777777" w:rsidR="00963260" w:rsidRDefault="00963260" w:rsidP="00963260">
      <w:pPr>
        <w:rPr>
          <w:rFonts w:cs="Arial"/>
          <w:b/>
          <w:bCs/>
          <w:szCs w:val="24"/>
          <w:u w:val="single"/>
        </w:rPr>
      </w:pPr>
    </w:p>
    <w:p w14:paraId="3D205C5B" w14:textId="77777777" w:rsidR="00963260" w:rsidRDefault="00963260" w:rsidP="00963260">
      <w:pPr>
        <w:rPr>
          <w:rFonts w:cs="Arial"/>
          <w:b/>
          <w:bCs/>
          <w:szCs w:val="24"/>
          <w:u w:val="single"/>
        </w:rPr>
      </w:pPr>
    </w:p>
    <w:p w14:paraId="1D83DAE3" w14:textId="77777777" w:rsidR="00963260" w:rsidRDefault="00963260" w:rsidP="00963260">
      <w:pPr>
        <w:rPr>
          <w:rFonts w:cs="Arial"/>
          <w:b/>
          <w:bCs/>
          <w:szCs w:val="24"/>
          <w:u w:val="single"/>
        </w:rPr>
      </w:pPr>
    </w:p>
    <w:p w14:paraId="276091C3" w14:textId="5AD85C25" w:rsidR="00C45BE7" w:rsidRPr="00401F95" w:rsidRDefault="00963260" w:rsidP="00401F95">
      <w:pPr>
        <w:rPr>
          <w:rFonts w:cs="Arial"/>
          <w:b/>
          <w:color w:val="FF0000"/>
          <w:szCs w:val="24"/>
        </w:rPr>
      </w:pPr>
      <w:r w:rsidRPr="00143A81">
        <w:rPr>
          <w:b/>
          <w:bCs/>
          <w:noProof/>
          <w:sz w:val="36"/>
          <w:szCs w:val="36"/>
        </w:rPr>
        <mc:AlternateContent>
          <mc:Choice Requires="wps">
            <w:drawing>
              <wp:anchor distT="0" distB="0" distL="114300" distR="114300" simplePos="0" relativeHeight="251658240" behindDoc="0" locked="0" layoutInCell="1" allowOverlap="1" wp14:anchorId="13FCAA79" wp14:editId="59B5C84C">
                <wp:simplePos x="0" y="0"/>
                <wp:positionH relativeFrom="column">
                  <wp:posOffset>-609600</wp:posOffset>
                </wp:positionH>
                <wp:positionV relativeFrom="paragraph">
                  <wp:posOffset>1853862</wp:posOffset>
                </wp:positionV>
                <wp:extent cx="9068400" cy="421200"/>
                <wp:effectExtent l="0" t="0" r="0" b="0"/>
                <wp:wrapNone/>
                <wp:docPr id="1399153846" name="Text Box 13991538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9068400" cy="421200"/>
                        </a:xfrm>
                        <a:prstGeom prst="rect">
                          <a:avLst/>
                        </a:prstGeom>
                        <a:noFill/>
                        <a:ln w="6350">
                          <a:noFill/>
                        </a:ln>
                      </wps:spPr>
                      <wps:txbx>
                        <w:txbxContent>
                          <w:p w14:paraId="47A38103" w14:textId="77777777" w:rsidR="00963260" w:rsidRPr="002D7ED4" w:rsidRDefault="00963260" w:rsidP="00963260">
                            <w:pPr>
                              <w:jc w:val="both"/>
                              <w:rPr>
                                <w:rFonts w:cs="Arial"/>
                                <w:color w:val="FFFFFF" w:themeColor="background1"/>
                                <w:sz w:val="28"/>
                                <w:szCs w:val="28"/>
                              </w:rPr>
                            </w:pPr>
                            <w:r>
                              <w:rPr>
                                <w:rFonts w:cs="Arial"/>
                                <w:b/>
                                <w:bCs/>
                                <w:color w:val="FFFFFF" w:themeColor="background1"/>
                                <w:sz w:val="28"/>
                                <w:szCs w:val="28"/>
                              </w:rPr>
                              <w:t>Title and</w:t>
                            </w:r>
                            <w:r w:rsidRPr="002D7ED4">
                              <w:rPr>
                                <w:rFonts w:cs="Arial"/>
                                <w:b/>
                                <w:bCs/>
                                <w:color w:val="FFFFFF" w:themeColor="background1"/>
                                <w:sz w:val="28"/>
                                <w:szCs w:val="28"/>
                              </w:rPr>
                              <w:t xml:space="preserve"> Draft </w:t>
                            </w:r>
                            <w:r>
                              <w:rPr>
                                <w:rFonts w:cs="Arial"/>
                                <w:b/>
                                <w:bCs/>
                                <w:color w:val="FFFFFF" w:themeColor="background1"/>
                                <w:sz w:val="28"/>
                                <w:szCs w:val="28"/>
                              </w:rPr>
                              <w:t>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3FCAA79" id="_x0000_t202" coordsize="21600,21600" o:spt="202" path="m,l,21600r21600,l21600,xe">
                <v:stroke joinstyle="miter"/>
                <v:path gradientshapeok="t" o:connecttype="rect"/>
              </v:shapetype>
              <v:shape id="Text Box 1399153846" o:spid="_x0000_s1026" type="#_x0000_t202" alt="&quot;&quot;" style="position:absolute;margin-left:-48pt;margin-top:145.95pt;width:714.05pt;height:33.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" filled="f" stroked="f" strokeweight=".5pt">
                <v:textbox style="mso-fit-shape-to-text:t">
                  <w:txbxContent>
                    <w:p w14:paraId="47A38103" w14:textId="77777777" w:rsidR="00963260" w:rsidRPr="002D7ED4" w:rsidRDefault="00963260" w:rsidP="00963260">
                      <w:pPr>
                        <w:jc w:val="both"/>
                        <w:rPr>
                          <w:rFonts w:cs="Arial"/>
                          <w:color w:val="FFFFFF" w:themeColor="background1"/>
                          <w:sz w:val="28"/>
                          <w:szCs w:val="28"/>
                        </w:rPr>
                      </w:pPr>
                      <w:r>
                        <w:rPr>
                          <w:rFonts w:cs="Arial"/>
                          <w:b/>
                          <w:bCs/>
                          <w:color w:val="FFFFFF" w:themeColor="background1"/>
                          <w:sz w:val="28"/>
                          <w:szCs w:val="28"/>
                        </w:rPr>
                        <w:t>Title and</w:t>
                      </w:r>
                      <w:r w:rsidRPr="002D7ED4">
                        <w:rPr>
                          <w:rFonts w:cs="Arial"/>
                          <w:b/>
                          <w:bCs/>
                          <w:color w:val="FFFFFF" w:themeColor="background1"/>
                          <w:sz w:val="28"/>
                          <w:szCs w:val="28"/>
                        </w:rPr>
                        <w:t xml:space="preserve"> Draft </w:t>
                      </w:r>
                      <w:r>
                        <w:rPr>
                          <w:rFonts w:cs="Arial"/>
                          <w:b/>
                          <w:bCs/>
                          <w:color w:val="FFFFFF" w:themeColor="background1"/>
                          <w:sz w:val="28"/>
                          <w:szCs w:val="28"/>
                        </w:rPr>
                        <w:t>number</w:t>
                      </w:r>
                    </w:p>
                  </w:txbxContent>
                </v:textbox>
              </v:shape>
            </w:pict>
          </mc:Fallback>
        </mc:AlternateContent>
      </w:r>
      <w:r w:rsidR="00744C8A">
        <w:rPr>
          <w:rFonts w:cs="Arial"/>
          <w:b/>
          <w:sz w:val="40"/>
          <w:szCs w:val="40"/>
        </w:rPr>
        <w:br w:type="page"/>
      </w:r>
    </w:p>
    <w:sdt>
      <w:sdtPr>
        <w:rPr>
          <w:rFonts w:asciiTheme="minorHAnsi" w:eastAsiaTheme="minorEastAsia" w:hAnsiTheme="minorHAnsi" w:cstheme="minorBidi"/>
          <w:bCs/>
          <w:noProof/>
          <w:color w:val="auto"/>
          <w:sz w:val="24"/>
          <w:szCs w:val="24"/>
          <w:lang w:val="en-GB" w:eastAsia="en-US"/>
        </w:rPr>
        <w:id w:val="-1001588411"/>
        <w:docPartObj>
          <w:docPartGallery w:val="Table of Contents"/>
          <w:docPartUnique/>
        </w:docPartObj>
      </w:sdtPr>
      <w:sdtEndPr>
        <w:rPr>
          <w:rFonts w:ascii="Arial" w:eastAsiaTheme="majorEastAsia" w:hAnsi="Arial" w:cs="Arial"/>
        </w:rPr>
      </w:sdtEndPr>
      <w:sdtContent>
        <w:p w14:paraId="52071E0D" w14:textId="77777777" w:rsidR="001C0486" w:rsidRPr="00EC3A5D" w:rsidRDefault="001C0486" w:rsidP="00BE314A">
          <w:pPr>
            <w:pStyle w:val="TOCHeading"/>
            <w:tabs>
              <w:tab w:val="right" w:pos="9498"/>
            </w:tabs>
            <w:spacing w:after="240"/>
            <w:rPr>
              <w:b/>
              <w:bCs/>
            </w:rPr>
          </w:pPr>
          <w:r w:rsidRPr="6ECE6615">
            <w:rPr>
              <w:b/>
              <w:bCs/>
            </w:rPr>
            <w:t>Contents</w:t>
          </w:r>
        </w:p>
        <w:p w14:paraId="467FE314" w14:textId="1B116C2C" w:rsidR="00D72DA8" w:rsidRDefault="001C0486" w:rsidP="00B33BF1">
          <w:pPr>
            <w:pStyle w:val="TOC1"/>
            <w:rPr>
              <w:rFonts w:asciiTheme="minorHAnsi" w:eastAsiaTheme="minorEastAsia" w:hAnsiTheme="minorHAnsi" w:cstheme="minorBidi"/>
              <w:kern w:val="2"/>
              <w:sz w:val="22"/>
              <w:lang w:eastAsia="en-GB"/>
              <w14:ligatures w14:val="standardContextual"/>
            </w:rPr>
          </w:pPr>
          <w:r>
            <w:fldChar w:fldCharType="begin"/>
          </w:r>
          <w:r w:rsidRPr="006E59DB">
            <w:instrText xml:space="preserve"> TOC \o "1-3" \h \z \u </w:instrText>
          </w:r>
          <w:r>
            <w:fldChar w:fldCharType="separate"/>
          </w:r>
          <w:hyperlink w:anchor="_Toc164814868" w:history="1">
            <w:r w:rsidR="00D72DA8" w:rsidRPr="00D015DA">
              <w:rPr>
                <w:rStyle w:val="Hyperlink"/>
              </w:rPr>
              <w:t>Chair’s Foreword</w:t>
            </w:r>
            <w:r w:rsidR="00D72DA8">
              <w:rPr>
                <w:webHidden/>
              </w:rPr>
              <w:tab/>
            </w:r>
            <w:r w:rsidR="00D72DA8">
              <w:rPr>
                <w:webHidden/>
              </w:rPr>
              <w:fldChar w:fldCharType="begin"/>
            </w:r>
            <w:r w:rsidR="00D72DA8">
              <w:rPr>
                <w:webHidden/>
              </w:rPr>
              <w:instrText xml:space="preserve"> PAGEREF _Toc164814868 \h </w:instrText>
            </w:r>
            <w:r w:rsidR="00D72DA8">
              <w:rPr>
                <w:webHidden/>
              </w:rPr>
            </w:r>
            <w:r w:rsidR="00D72DA8">
              <w:rPr>
                <w:webHidden/>
              </w:rPr>
              <w:fldChar w:fldCharType="separate"/>
            </w:r>
            <w:r w:rsidR="00057959">
              <w:rPr>
                <w:webHidden/>
              </w:rPr>
              <w:t>4</w:t>
            </w:r>
            <w:r w:rsidR="00D72DA8">
              <w:rPr>
                <w:webHidden/>
              </w:rPr>
              <w:fldChar w:fldCharType="end"/>
            </w:r>
          </w:hyperlink>
        </w:p>
        <w:p w14:paraId="33373FB2" w14:textId="7EC0D624" w:rsidR="00D72DA8" w:rsidRDefault="00AA177A" w:rsidP="00B33BF1">
          <w:pPr>
            <w:pStyle w:val="TOC1"/>
            <w:rPr>
              <w:rFonts w:asciiTheme="minorHAnsi" w:eastAsiaTheme="minorEastAsia" w:hAnsiTheme="minorHAnsi" w:cstheme="minorBidi"/>
              <w:kern w:val="2"/>
              <w:sz w:val="22"/>
              <w:lang w:eastAsia="en-GB"/>
              <w14:ligatures w14:val="standardContextual"/>
            </w:rPr>
          </w:pPr>
          <w:hyperlink w:anchor="_Toc164814869" w:history="1">
            <w:r w:rsidR="00D72DA8" w:rsidRPr="00D015DA">
              <w:rPr>
                <w:rStyle w:val="Hyperlink"/>
              </w:rPr>
              <w:t>P</w:t>
            </w:r>
            <w:r w:rsidR="002C13E9">
              <w:rPr>
                <w:rStyle w:val="Hyperlink"/>
              </w:rPr>
              <w:t>erformance Report</w:t>
            </w:r>
            <w:r w:rsidR="00D72DA8">
              <w:rPr>
                <w:webHidden/>
              </w:rPr>
              <w:tab/>
            </w:r>
            <w:r w:rsidR="00D72DA8">
              <w:rPr>
                <w:webHidden/>
              </w:rPr>
              <w:fldChar w:fldCharType="begin"/>
            </w:r>
            <w:r w:rsidR="00D72DA8">
              <w:rPr>
                <w:webHidden/>
              </w:rPr>
              <w:instrText xml:space="preserve"> PAGEREF _Toc164814869 \h </w:instrText>
            </w:r>
            <w:r w:rsidR="00D72DA8">
              <w:rPr>
                <w:webHidden/>
              </w:rPr>
            </w:r>
            <w:r w:rsidR="00D72DA8">
              <w:rPr>
                <w:webHidden/>
              </w:rPr>
              <w:fldChar w:fldCharType="separate"/>
            </w:r>
            <w:r w:rsidR="00057959">
              <w:rPr>
                <w:webHidden/>
              </w:rPr>
              <w:t>6</w:t>
            </w:r>
            <w:r w:rsidR="00D72DA8">
              <w:rPr>
                <w:webHidden/>
              </w:rPr>
              <w:fldChar w:fldCharType="end"/>
            </w:r>
          </w:hyperlink>
        </w:p>
        <w:p w14:paraId="699369CD" w14:textId="37FF605B" w:rsidR="00D72DA8" w:rsidRDefault="00AA177A">
          <w:pPr>
            <w:pStyle w:val="TOC2"/>
            <w:rPr>
              <w:rFonts w:asciiTheme="minorHAnsi" w:hAnsiTheme="minorHAnsi"/>
              <w:noProof/>
              <w:kern w:val="2"/>
              <w:sz w:val="22"/>
              <w:lang w:val="en-GB" w:eastAsia="en-GB"/>
              <w14:ligatures w14:val="standardContextual"/>
            </w:rPr>
          </w:pPr>
          <w:hyperlink w:anchor="_Toc164814870" w:history="1">
            <w:r w:rsidR="00D72DA8" w:rsidRPr="00D015DA">
              <w:rPr>
                <w:rStyle w:val="Hyperlink"/>
                <w:noProof/>
              </w:rPr>
              <w:t>Introduction with Tracy Dowling</w:t>
            </w:r>
            <w:r w:rsidR="00D72DA8">
              <w:rPr>
                <w:noProof/>
                <w:webHidden/>
              </w:rPr>
              <w:tab/>
            </w:r>
            <w:r w:rsidR="00D72DA8">
              <w:rPr>
                <w:noProof/>
                <w:webHidden/>
              </w:rPr>
              <w:fldChar w:fldCharType="begin"/>
            </w:r>
            <w:r w:rsidR="00D72DA8">
              <w:rPr>
                <w:noProof/>
                <w:webHidden/>
              </w:rPr>
              <w:instrText xml:space="preserve"> PAGEREF _Toc164814870 \h </w:instrText>
            </w:r>
            <w:r w:rsidR="00D72DA8">
              <w:rPr>
                <w:noProof/>
                <w:webHidden/>
              </w:rPr>
            </w:r>
            <w:r w:rsidR="00D72DA8">
              <w:rPr>
                <w:noProof/>
                <w:webHidden/>
              </w:rPr>
              <w:fldChar w:fldCharType="separate"/>
            </w:r>
            <w:r w:rsidR="00057959">
              <w:rPr>
                <w:noProof/>
                <w:webHidden/>
              </w:rPr>
              <w:t>6</w:t>
            </w:r>
            <w:r w:rsidR="00D72DA8">
              <w:rPr>
                <w:noProof/>
                <w:webHidden/>
              </w:rPr>
              <w:fldChar w:fldCharType="end"/>
            </w:r>
          </w:hyperlink>
        </w:p>
        <w:p w14:paraId="574ECB04" w14:textId="7FD000CE" w:rsidR="00D72DA8" w:rsidRDefault="00AA177A" w:rsidP="00B33BF1">
          <w:pPr>
            <w:pStyle w:val="TOC1"/>
            <w:rPr>
              <w:rFonts w:asciiTheme="minorHAnsi" w:eastAsiaTheme="minorEastAsia" w:hAnsiTheme="minorHAnsi" w:cstheme="minorBidi"/>
              <w:kern w:val="2"/>
              <w:sz w:val="22"/>
              <w:lang w:eastAsia="en-GB"/>
              <w14:ligatures w14:val="standardContextual"/>
            </w:rPr>
          </w:pPr>
          <w:hyperlink w:anchor="_Toc164814871" w:history="1">
            <w:r w:rsidR="00D72DA8" w:rsidRPr="00D015DA">
              <w:rPr>
                <w:rStyle w:val="Hyperlink"/>
              </w:rPr>
              <w:t>Performance Overview</w:t>
            </w:r>
            <w:r w:rsidR="00D72DA8">
              <w:rPr>
                <w:webHidden/>
              </w:rPr>
              <w:tab/>
            </w:r>
            <w:r w:rsidR="00D72DA8">
              <w:rPr>
                <w:webHidden/>
              </w:rPr>
              <w:fldChar w:fldCharType="begin"/>
            </w:r>
            <w:r w:rsidR="00D72DA8">
              <w:rPr>
                <w:webHidden/>
              </w:rPr>
              <w:instrText xml:space="preserve"> PAGEREF _Toc164814871 \h </w:instrText>
            </w:r>
            <w:r w:rsidR="00D72DA8">
              <w:rPr>
                <w:webHidden/>
              </w:rPr>
            </w:r>
            <w:r w:rsidR="00D72DA8">
              <w:rPr>
                <w:webHidden/>
              </w:rPr>
              <w:fldChar w:fldCharType="separate"/>
            </w:r>
            <w:r w:rsidR="00057959">
              <w:rPr>
                <w:webHidden/>
              </w:rPr>
              <w:t>8</w:t>
            </w:r>
            <w:r w:rsidR="00D72DA8">
              <w:rPr>
                <w:webHidden/>
              </w:rPr>
              <w:fldChar w:fldCharType="end"/>
            </w:r>
          </w:hyperlink>
        </w:p>
        <w:p w14:paraId="04CF47BA" w14:textId="687F27C2" w:rsidR="00D72DA8" w:rsidRDefault="00AA177A">
          <w:pPr>
            <w:pStyle w:val="TOC2"/>
            <w:rPr>
              <w:rFonts w:asciiTheme="minorHAnsi" w:hAnsiTheme="minorHAnsi"/>
              <w:noProof/>
              <w:kern w:val="2"/>
              <w:sz w:val="22"/>
              <w:lang w:val="en-GB" w:eastAsia="en-GB"/>
              <w14:ligatures w14:val="standardContextual"/>
            </w:rPr>
          </w:pPr>
          <w:hyperlink w:anchor="_Toc164814872" w:history="1">
            <w:r w:rsidR="00D72DA8" w:rsidRPr="00D015DA">
              <w:rPr>
                <w:rStyle w:val="Hyperlink"/>
                <w:noProof/>
              </w:rPr>
              <w:t>What we do</w:t>
            </w:r>
            <w:r w:rsidR="00D72DA8">
              <w:rPr>
                <w:noProof/>
                <w:webHidden/>
              </w:rPr>
              <w:tab/>
            </w:r>
            <w:r w:rsidR="00D72DA8">
              <w:rPr>
                <w:noProof/>
                <w:webHidden/>
              </w:rPr>
              <w:fldChar w:fldCharType="begin"/>
            </w:r>
            <w:r w:rsidR="00D72DA8">
              <w:rPr>
                <w:noProof/>
                <w:webHidden/>
              </w:rPr>
              <w:instrText xml:space="preserve"> PAGEREF _Toc164814872 \h </w:instrText>
            </w:r>
            <w:r w:rsidR="00D72DA8">
              <w:rPr>
                <w:noProof/>
                <w:webHidden/>
              </w:rPr>
            </w:r>
            <w:r w:rsidR="00D72DA8">
              <w:rPr>
                <w:noProof/>
                <w:webHidden/>
              </w:rPr>
              <w:fldChar w:fldCharType="separate"/>
            </w:r>
            <w:r w:rsidR="00057959">
              <w:rPr>
                <w:noProof/>
                <w:webHidden/>
              </w:rPr>
              <w:t>8</w:t>
            </w:r>
            <w:r w:rsidR="00D72DA8">
              <w:rPr>
                <w:noProof/>
                <w:webHidden/>
              </w:rPr>
              <w:fldChar w:fldCharType="end"/>
            </w:r>
          </w:hyperlink>
        </w:p>
        <w:p w14:paraId="1EFF53EF" w14:textId="3A40CA77" w:rsidR="00D72DA8" w:rsidRDefault="00AA177A">
          <w:pPr>
            <w:pStyle w:val="TOC2"/>
            <w:rPr>
              <w:rFonts w:asciiTheme="minorHAnsi" w:hAnsiTheme="minorHAnsi"/>
              <w:noProof/>
              <w:kern w:val="2"/>
              <w:sz w:val="22"/>
              <w:lang w:val="en-GB" w:eastAsia="en-GB"/>
              <w14:ligatures w14:val="standardContextual"/>
            </w:rPr>
          </w:pPr>
          <w:hyperlink w:anchor="_Toc164814873" w:history="1">
            <w:r w:rsidR="00D72DA8" w:rsidRPr="00D015DA">
              <w:rPr>
                <w:rStyle w:val="Hyperlink"/>
                <w:noProof/>
              </w:rPr>
              <w:t>Our Vision and Journey</w:t>
            </w:r>
            <w:r w:rsidR="00D72DA8">
              <w:rPr>
                <w:noProof/>
                <w:webHidden/>
              </w:rPr>
              <w:tab/>
            </w:r>
            <w:r w:rsidR="00D72DA8">
              <w:rPr>
                <w:noProof/>
                <w:webHidden/>
              </w:rPr>
              <w:fldChar w:fldCharType="begin"/>
            </w:r>
            <w:r w:rsidR="00D72DA8">
              <w:rPr>
                <w:noProof/>
                <w:webHidden/>
              </w:rPr>
              <w:instrText xml:space="preserve"> PAGEREF _Toc164814873 \h </w:instrText>
            </w:r>
            <w:r w:rsidR="00D72DA8">
              <w:rPr>
                <w:noProof/>
                <w:webHidden/>
              </w:rPr>
            </w:r>
            <w:r w:rsidR="00D72DA8">
              <w:rPr>
                <w:noProof/>
                <w:webHidden/>
              </w:rPr>
              <w:fldChar w:fldCharType="separate"/>
            </w:r>
            <w:r w:rsidR="00057959">
              <w:rPr>
                <w:noProof/>
                <w:webHidden/>
              </w:rPr>
              <w:t>10</w:t>
            </w:r>
            <w:r w:rsidR="00D72DA8">
              <w:rPr>
                <w:noProof/>
                <w:webHidden/>
              </w:rPr>
              <w:fldChar w:fldCharType="end"/>
            </w:r>
          </w:hyperlink>
        </w:p>
        <w:p w14:paraId="4443B57E" w14:textId="49A3030F" w:rsidR="00D72DA8" w:rsidRDefault="00AA177A">
          <w:pPr>
            <w:pStyle w:val="TOC2"/>
            <w:rPr>
              <w:rFonts w:asciiTheme="minorHAnsi" w:hAnsiTheme="minorHAnsi"/>
              <w:noProof/>
              <w:kern w:val="2"/>
              <w:sz w:val="22"/>
              <w:lang w:val="en-GB" w:eastAsia="en-GB"/>
              <w14:ligatures w14:val="standardContextual"/>
            </w:rPr>
          </w:pPr>
          <w:hyperlink w:anchor="_Toc164814874" w:history="1">
            <w:r w:rsidR="00D72DA8" w:rsidRPr="00D015DA">
              <w:rPr>
                <w:rStyle w:val="Hyperlink"/>
                <w:noProof/>
              </w:rPr>
              <w:t>Our Common Endeavour</w:t>
            </w:r>
            <w:r w:rsidR="00D72DA8">
              <w:rPr>
                <w:noProof/>
                <w:webHidden/>
              </w:rPr>
              <w:tab/>
            </w:r>
            <w:r w:rsidR="00D72DA8">
              <w:rPr>
                <w:noProof/>
                <w:webHidden/>
              </w:rPr>
              <w:fldChar w:fldCharType="begin"/>
            </w:r>
            <w:r w:rsidR="00D72DA8">
              <w:rPr>
                <w:noProof/>
                <w:webHidden/>
              </w:rPr>
              <w:instrText xml:space="preserve"> PAGEREF _Toc164814874 \h </w:instrText>
            </w:r>
            <w:r w:rsidR="00D72DA8">
              <w:rPr>
                <w:noProof/>
                <w:webHidden/>
              </w:rPr>
            </w:r>
            <w:r w:rsidR="00D72DA8">
              <w:rPr>
                <w:noProof/>
                <w:webHidden/>
              </w:rPr>
              <w:fldChar w:fldCharType="separate"/>
            </w:r>
            <w:r w:rsidR="00057959">
              <w:rPr>
                <w:noProof/>
                <w:webHidden/>
              </w:rPr>
              <w:t>11</w:t>
            </w:r>
            <w:r w:rsidR="00D72DA8">
              <w:rPr>
                <w:noProof/>
                <w:webHidden/>
              </w:rPr>
              <w:fldChar w:fldCharType="end"/>
            </w:r>
          </w:hyperlink>
        </w:p>
        <w:p w14:paraId="7496690E" w14:textId="136A64F9" w:rsidR="00D72DA8" w:rsidRDefault="00AA177A">
          <w:pPr>
            <w:pStyle w:val="TOC2"/>
            <w:rPr>
              <w:rFonts w:asciiTheme="minorHAnsi" w:hAnsiTheme="minorHAnsi"/>
              <w:noProof/>
              <w:kern w:val="2"/>
              <w:sz w:val="22"/>
              <w:lang w:val="en-GB" w:eastAsia="en-GB"/>
              <w14:ligatures w14:val="standardContextual"/>
            </w:rPr>
          </w:pPr>
          <w:hyperlink w:anchor="_Toc164814875" w:history="1">
            <w:r w:rsidR="00D72DA8" w:rsidRPr="00D015DA">
              <w:rPr>
                <w:rStyle w:val="Hyperlink"/>
                <w:noProof/>
              </w:rPr>
              <w:t>Review and learning from 2023/24</w:t>
            </w:r>
            <w:r w:rsidR="00D72DA8">
              <w:rPr>
                <w:noProof/>
                <w:webHidden/>
              </w:rPr>
              <w:tab/>
            </w:r>
            <w:r w:rsidR="00D72DA8">
              <w:rPr>
                <w:noProof/>
                <w:webHidden/>
              </w:rPr>
              <w:fldChar w:fldCharType="begin"/>
            </w:r>
            <w:r w:rsidR="00D72DA8">
              <w:rPr>
                <w:noProof/>
                <w:webHidden/>
              </w:rPr>
              <w:instrText xml:space="preserve"> PAGEREF _Toc164814875 \h </w:instrText>
            </w:r>
            <w:r w:rsidR="00D72DA8">
              <w:rPr>
                <w:noProof/>
                <w:webHidden/>
              </w:rPr>
            </w:r>
            <w:r w:rsidR="00D72DA8">
              <w:rPr>
                <w:noProof/>
                <w:webHidden/>
              </w:rPr>
              <w:fldChar w:fldCharType="separate"/>
            </w:r>
            <w:r w:rsidR="00057959">
              <w:rPr>
                <w:noProof/>
                <w:webHidden/>
              </w:rPr>
              <w:t>12</w:t>
            </w:r>
            <w:r w:rsidR="00D72DA8">
              <w:rPr>
                <w:noProof/>
                <w:webHidden/>
              </w:rPr>
              <w:fldChar w:fldCharType="end"/>
            </w:r>
          </w:hyperlink>
        </w:p>
        <w:p w14:paraId="49492676" w14:textId="50E4E994" w:rsidR="00D72DA8" w:rsidRDefault="00AA177A" w:rsidP="00B33BF1">
          <w:pPr>
            <w:pStyle w:val="TOC1"/>
            <w:rPr>
              <w:rFonts w:asciiTheme="minorHAnsi" w:eastAsiaTheme="minorEastAsia" w:hAnsiTheme="minorHAnsi" w:cstheme="minorBidi"/>
              <w:kern w:val="2"/>
              <w:sz w:val="22"/>
              <w:lang w:eastAsia="en-GB"/>
              <w14:ligatures w14:val="standardContextual"/>
            </w:rPr>
          </w:pPr>
          <w:hyperlink w:anchor="_Toc164814876" w:history="1">
            <w:r w:rsidR="00D72DA8" w:rsidRPr="00D015DA">
              <w:rPr>
                <w:rStyle w:val="Hyperlink"/>
              </w:rPr>
              <w:t>Performance Analysis</w:t>
            </w:r>
            <w:r w:rsidR="00D72DA8">
              <w:rPr>
                <w:webHidden/>
              </w:rPr>
              <w:tab/>
            </w:r>
            <w:r w:rsidR="00D72DA8">
              <w:rPr>
                <w:webHidden/>
              </w:rPr>
              <w:fldChar w:fldCharType="begin"/>
            </w:r>
            <w:r w:rsidR="00D72DA8">
              <w:rPr>
                <w:webHidden/>
              </w:rPr>
              <w:instrText xml:space="preserve"> PAGEREF _Toc164814876 \h </w:instrText>
            </w:r>
            <w:r w:rsidR="00D72DA8">
              <w:rPr>
                <w:webHidden/>
              </w:rPr>
            </w:r>
            <w:r w:rsidR="00D72DA8">
              <w:rPr>
                <w:webHidden/>
              </w:rPr>
              <w:fldChar w:fldCharType="separate"/>
            </w:r>
            <w:r w:rsidR="00057959">
              <w:rPr>
                <w:webHidden/>
              </w:rPr>
              <w:t>13</w:t>
            </w:r>
            <w:r w:rsidR="00D72DA8">
              <w:rPr>
                <w:webHidden/>
              </w:rPr>
              <w:fldChar w:fldCharType="end"/>
            </w:r>
          </w:hyperlink>
        </w:p>
        <w:p w14:paraId="165557C2" w14:textId="0736EA7F" w:rsidR="00D72DA8" w:rsidRDefault="00AA177A">
          <w:pPr>
            <w:pStyle w:val="TOC2"/>
            <w:rPr>
              <w:rFonts w:asciiTheme="minorHAnsi" w:hAnsiTheme="minorHAnsi"/>
              <w:noProof/>
              <w:kern w:val="2"/>
              <w:sz w:val="22"/>
              <w:lang w:val="en-GB" w:eastAsia="en-GB"/>
              <w14:ligatures w14:val="standardContextual"/>
            </w:rPr>
          </w:pPr>
          <w:hyperlink w:anchor="_Toc164814877" w:history="1">
            <w:r w:rsidR="00D72DA8" w:rsidRPr="00D015DA">
              <w:rPr>
                <w:rStyle w:val="Hyperlink"/>
                <w:noProof/>
              </w:rPr>
              <w:t>Introduction</w:t>
            </w:r>
            <w:r w:rsidR="00D72DA8">
              <w:rPr>
                <w:noProof/>
                <w:webHidden/>
              </w:rPr>
              <w:tab/>
            </w:r>
            <w:r w:rsidR="00D72DA8">
              <w:rPr>
                <w:noProof/>
                <w:webHidden/>
              </w:rPr>
              <w:fldChar w:fldCharType="begin"/>
            </w:r>
            <w:r w:rsidR="00D72DA8">
              <w:rPr>
                <w:noProof/>
                <w:webHidden/>
              </w:rPr>
              <w:instrText xml:space="preserve"> PAGEREF _Toc164814877 \h </w:instrText>
            </w:r>
            <w:r w:rsidR="00D72DA8">
              <w:rPr>
                <w:noProof/>
                <w:webHidden/>
              </w:rPr>
            </w:r>
            <w:r w:rsidR="00D72DA8">
              <w:rPr>
                <w:noProof/>
                <w:webHidden/>
              </w:rPr>
              <w:fldChar w:fldCharType="separate"/>
            </w:r>
            <w:r w:rsidR="00057959">
              <w:rPr>
                <w:noProof/>
                <w:webHidden/>
              </w:rPr>
              <w:t>13</w:t>
            </w:r>
            <w:r w:rsidR="00D72DA8">
              <w:rPr>
                <w:noProof/>
                <w:webHidden/>
              </w:rPr>
              <w:fldChar w:fldCharType="end"/>
            </w:r>
          </w:hyperlink>
        </w:p>
        <w:p w14:paraId="63146D9D" w14:textId="792CE099" w:rsidR="00D72DA8" w:rsidRDefault="00AA177A">
          <w:pPr>
            <w:pStyle w:val="TOC2"/>
            <w:rPr>
              <w:rFonts w:asciiTheme="minorHAnsi" w:hAnsiTheme="minorHAnsi"/>
              <w:noProof/>
              <w:kern w:val="2"/>
              <w:sz w:val="22"/>
              <w:lang w:val="en-GB" w:eastAsia="en-GB"/>
              <w14:ligatures w14:val="standardContextual"/>
            </w:rPr>
          </w:pPr>
          <w:hyperlink w:anchor="_Toc164814878" w:history="1">
            <w:r w:rsidR="00D72DA8" w:rsidRPr="00D015DA">
              <w:rPr>
                <w:rStyle w:val="Hyperlink"/>
                <w:noProof/>
              </w:rPr>
              <w:t>Mental health</w:t>
            </w:r>
            <w:r w:rsidR="00D72DA8">
              <w:rPr>
                <w:noProof/>
                <w:webHidden/>
              </w:rPr>
              <w:tab/>
            </w:r>
            <w:r w:rsidR="00D72DA8">
              <w:rPr>
                <w:noProof/>
                <w:webHidden/>
              </w:rPr>
              <w:fldChar w:fldCharType="begin"/>
            </w:r>
            <w:r w:rsidR="00D72DA8">
              <w:rPr>
                <w:noProof/>
                <w:webHidden/>
              </w:rPr>
              <w:instrText xml:space="preserve"> PAGEREF _Toc164814878 \h </w:instrText>
            </w:r>
            <w:r w:rsidR="00D72DA8">
              <w:rPr>
                <w:noProof/>
                <w:webHidden/>
              </w:rPr>
            </w:r>
            <w:r w:rsidR="00D72DA8">
              <w:rPr>
                <w:noProof/>
                <w:webHidden/>
              </w:rPr>
              <w:fldChar w:fldCharType="separate"/>
            </w:r>
            <w:r w:rsidR="00057959">
              <w:rPr>
                <w:noProof/>
                <w:webHidden/>
              </w:rPr>
              <w:t>18</w:t>
            </w:r>
            <w:r w:rsidR="00D72DA8">
              <w:rPr>
                <w:noProof/>
                <w:webHidden/>
              </w:rPr>
              <w:fldChar w:fldCharType="end"/>
            </w:r>
          </w:hyperlink>
        </w:p>
        <w:p w14:paraId="21BE0C75" w14:textId="2F10CBA7" w:rsidR="00D72DA8" w:rsidRDefault="00AA177A">
          <w:pPr>
            <w:pStyle w:val="TOC2"/>
            <w:rPr>
              <w:rFonts w:asciiTheme="minorHAnsi" w:hAnsiTheme="minorHAnsi"/>
              <w:noProof/>
              <w:kern w:val="2"/>
              <w:sz w:val="22"/>
              <w:lang w:val="en-GB" w:eastAsia="en-GB"/>
              <w14:ligatures w14:val="standardContextual"/>
            </w:rPr>
          </w:pPr>
          <w:hyperlink w:anchor="_Toc164814879" w:history="1">
            <w:r w:rsidR="00D72DA8" w:rsidRPr="00D015DA">
              <w:rPr>
                <w:rStyle w:val="Hyperlink"/>
                <w:noProof/>
              </w:rPr>
              <w:t>Primary care – general practice, pharmacy, optometry and dentistry</w:t>
            </w:r>
            <w:r w:rsidR="00D72DA8">
              <w:rPr>
                <w:noProof/>
                <w:webHidden/>
              </w:rPr>
              <w:tab/>
            </w:r>
            <w:r w:rsidR="00D72DA8">
              <w:rPr>
                <w:noProof/>
                <w:webHidden/>
              </w:rPr>
              <w:fldChar w:fldCharType="begin"/>
            </w:r>
            <w:r w:rsidR="00D72DA8">
              <w:rPr>
                <w:noProof/>
                <w:webHidden/>
              </w:rPr>
              <w:instrText xml:space="preserve"> PAGEREF _Toc164814879 \h </w:instrText>
            </w:r>
            <w:r w:rsidR="00D72DA8">
              <w:rPr>
                <w:noProof/>
                <w:webHidden/>
              </w:rPr>
            </w:r>
            <w:r w:rsidR="00D72DA8">
              <w:rPr>
                <w:noProof/>
                <w:webHidden/>
              </w:rPr>
              <w:fldChar w:fldCharType="separate"/>
            </w:r>
            <w:r w:rsidR="00057959">
              <w:rPr>
                <w:noProof/>
                <w:webHidden/>
              </w:rPr>
              <w:t>19</w:t>
            </w:r>
            <w:r w:rsidR="00D72DA8">
              <w:rPr>
                <w:noProof/>
                <w:webHidden/>
              </w:rPr>
              <w:fldChar w:fldCharType="end"/>
            </w:r>
          </w:hyperlink>
        </w:p>
        <w:p w14:paraId="12F0B7FA" w14:textId="62401D4A" w:rsidR="00D72DA8" w:rsidRDefault="00AA177A">
          <w:pPr>
            <w:pStyle w:val="TOC2"/>
            <w:rPr>
              <w:rFonts w:asciiTheme="minorHAnsi" w:hAnsiTheme="minorHAnsi"/>
              <w:noProof/>
              <w:kern w:val="2"/>
              <w:sz w:val="22"/>
              <w:lang w:val="en-GB" w:eastAsia="en-GB"/>
              <w14:ligatures w14:val="standardContextual"/>
            </w:rPr>
          </w:pPr>
          <w:hyperlink w:anchor="_Toc164814880" w:history="1">
            <w:r w:rsidR="00D72DA8" w:rsidRPr="00D015DA">
              <w:rPr>
                <w:rStyle w:val="Hyperlink"/>
                <w:noProof/>
              </w:rPr>
              <w:t>Place based alliances</w:t>
            </w:r>
            <w:r w:rsidR="00D72DA8">
              <w:rPr>
                <w:noProof/>
                <w:webHidden/>
              </w:rPr>
              <w:tab/>
            </w:r>
            <w:r w:rsidR="00D72DA8">
              <w:rPr>
                <w:noProof/>
                <w:webHidden/>
              </w:rPr>
              <w:fldChar w:fldCharType="begin"/>
            </w:r>
            <w:r w:rsidR="00D72DA8">
              <w:rPr>
                <w:noProof/>
                <w:webHidden/>
              </w:rPr>
              <w:instrText xml:space="preserve"> PAGEREF _Toc164814880 \h </w:instrText>
            </w:r>
            <w:r w:rsidR="00D72DA8">
              <w:rPr>
                <w:noProof/>
                <w:webHidden/>
              </w:rPr>
            </w:r>
            <w:r w:rsidR="00D72DA8">
              <w:rPr>
                <w:noProof/>
                <w:webHidden/>
              </w:rPr>
              <w:fldChar w:fldCharType="separate"/>
            </w:r>
            <w:r w:rsidR="00057959">
              <w:rPr>
                <w:noProof/>
                <w:webHidden/>
              </w:rPr>
              <w:t>21</w:t>
            </w:r>
            <w:r w:rsidR="00D72DA8">
              <w:rPr>
                <w:noProof/>
                <w:webHidden/>
              </w:rPr>
              <w:fldChar w:fldCharType="end"/>
            </w:r>
          </w:hyperlink>
        </w:p>
        <w:p w14:paraId="37CEB2A2" w14:textId="2136F1F8" w:rsidR="00D72DA8" w:rsidRDefault="00AA177A">
          <w:pPr>
            <w:pStyle w:val="TOC2"/>
            <w:rPr>
              <w:rFonts w:asciiTheme="minorHAnsi" w:hAnsiTheme="minorHAnsi"/>
              <w:noProof/>
              <w:kern w:val="2"/>
              <w:sz w:val="22"/>
              <w:lang w:val="en-GB" w:eastAsia="en-GB"/>
              <w14:ligatures w14:val="standardContextual"/>
            </w:rPr>
          </w:pPr>
          <w:hyperlink w:anchor="_Toc164814881" w:history="1">
            <w:r w:rsidR="00D72DA8" w:rsidRPr="00D015DA">
              <w:rPr>
                <w:rStyle w:val="Hyperlink"/>
                <w:noProof/>
              </w:rPr>
              <w:t>Digital, data, technology, and business intelligence</w:t>
            </w:r>
            <w:r w:rsidR="00D72DA8">
              <w:rPr>
                <w:noProof/>
                <w:webHidden/>
              </w:rPr>
              <w:tab/>
            </w:r>
            <w:r w:rsidR="00D72DA8">
              <w:rPr>
                <w:noProof/>
                <w:webHidden/>
              </w:rPr>
              <w:fldChar w:fldCharType="begin"/>
            </w:r>
            <w:r w:rsidR="00D72DA8">
              <w:rPr>
                <w:noProof/>
                <w:webHidden/>
              </w:rPr>
              <w:instrText xml:space="preserve"> PAGEREF _Toc164814881 \h </w:instrText>
            </w:r>
            <w:r w:rsidR="00D72DA8">
              <w:rPr>
                <w:noProof/>
                <w:webHidden/>
              </w:rPr>
            </w:r>
            <w:r w:rsidR="00D72DA8">
              <w:rPr>
                <w:noProof/>
                <w:webHidden/>
              </w:rPr>
              <w:fldChar w:fldCharType="separate"/>
            </w:r>
            <w:r w:rsidR="00057959">
              <w:rPr>
                <w:noProof/>
                <w:webHidden/>
              </w:rPr>
              <w:t>24</w:t>
            </w:r>
            <w:r w:rsidR="00D72DA8">
              <w:rPr>
                <w:noProof/>
                <w:webHidden/>
              </w:rPr>
              <w:fldChar w:fldCharType="end"/>
            </w:r>
          </w:hyperlink>
        </w:p>
        <w:p w14:paraId="0FA7CF44" w14:textId="5B065C32" w:rsidR="00D72DA8" w:rsidRDefault="00AA177A">
          <w:pPr>
            <w:pStyle w:val="TOC2"/>
            <w:rPr>
              <w:rFonts w:asciiTheme="minorHAnsi" w:hAnsiTheme="minorHAnsi"/>
              <w:noProof/>
              <w:kern w:val="2"/>
              <w:sz w:val="22"/>
              <w:lang w:val="en-GB" w:eastAsia="en-GB"/>
              <w14:ligatures w14:val="standardContextual"/>
            </w:rPr>
          </w:pPr>
          <w:hyperlink w:anchor="_Toc164814882" w:history="1">
            <w:r w:rsidR="00D72DA8" w:rsidRPr="00D015DA">
              <w:rPr>
                <w:rStyle w:val="Hyperlink"/>
                <w:noProof/>
              </w:rPr>
              <w:t>Improve quality</w:t>
            </w:r>
            <w:r w:rsidR="00D72DA8">
              <w:rPr>
                <w:noProof/>
                <w:webHidden/>
              </w:rPr>
              <w:tab/>
            </w:r>
            <w:r w:rsidR="00D72DA8">
              <w:rPr>
                <w:noProof/>
                <w:webHidden/>
              </w:rPr>
              <w:fldChar w:fldCharType="begin"/>
            </w:r>
            <w:r w:rsidR="00D72DA8">
              <w:rPr>
                <w:noProof/>
                <w:webHidden/>
              </w:rPr>
              <w:instrText xml:space="preserve"> PAGEREF _Toc164814882 \h </w:instrText>
            </w:r>
            <w:r w:rsidR="00D72DA8">
              <w:rPr>
                <w:noProof/>
                <w:webHidden/>
              </w:rPr>
            </w:r>
            <w:r w:rsidR="00D72DA8">
              <w:rPr>
                <w:noProof/>
                <w:webHidden/>
              </w:rPr>
              <w:fldChar w:fldCharType="separate"/>
            </w:r>
            <w:r w:rsidR="00057959">
              <w:rPr>
                <w:noProof/>
                <w:webHidden/>
              </w:rPr>
              <w:t>25</w:t>
            </w:r>
            <w:r w:rsidR="00D72DA8">
              <w:rPr>
                <w:noProof/>
                <w:webHidden/>
              </w:rPr>
              <w:fldChar w:fldCharType="end"/>
            </w:r>
          </w:hyperlink>
        </w:p>
        <w:p w14:paraId="33C71216" w14:textId="44AD4910" w:rsidR="00D72DA8" w:rsidRDefault="00AA177A">
          <w:pPr>
            <w:pStyle w:val="TOC2"/>
            <w:rPr>
              <w:rFonts w:asciiTheme="minorHAnsi" w:hAnsiTheme="minorHAnsi"/>
              <w:noProof/>
              <w:kern w:val="2"/>
              <w:sz w:val="22"/>
              <w:lang w:val="en-GB" w:eastAsia="en-GB"/>
              <w14:ligatures w14:val="standardContextual"/>
            </w:rPr>
          </w:pPr>
          <w:hyperlink w:anchor="_Toc164814883" w:history="1">
            <w:r w:rsidR="00D72DA8" w:rsidRPr="00D015DA">
              <w:rPr>
                <w:rStyle w:val="Hyperlink"/>
                <w:noProof/>
              </w:rPr>
              <w:t>Children and young people (CYP) safeguarding</w:t>
            </w:r>
            <w:r w:rsidR="00D72DA8">
              <w:rPr>
                <w:noProof/>
                <w:webHidden/>
              </w:rPr>
              <w:tab/>
            </w:r>
            <w:r w:rsidR="00D72DA8">
              <w:rPr>
                <w:noProof/>
                <w:webHidden/>
              </w:rPr>
              <w:fldChar w:fldCharType="begin"/>
            </w:r>
            <w:r w:rsidR="00D72DA8">
              <w:rPr>
                <w:noProof/>
                <w:webHidden/>
              </w:rPr>
              <w:instrText xml:space="preserve"> PAGEREF _Toc164814883 \h </w:instrText>
            </w:r>
            <w:r w:rsidR="00D72DA8">
              <w:rPr>
                <w:noProof/>
                <w:webHidden/>
              </w:rPr>
            </w:r>
            <w:r w:rsidR="00D72DA8">
              <w:rPr>
                <w:noProof/>
                <w:webHidden/>
              </w:rPr>
              <w:fldChar w:fldCharType="separate"/>
            </w:r>
            <w:r w:rsidR="00057959">
              <w:rPr>
                <w:noProof/>
                <w:webHidden/>
              </w:rPr>
              <w:t>28</w:t>
            </w:r>
            <w:r w:rsidR="00D72DA8">
              <w:rPr>
                <w:noProof/>
                <w:webHidden/>
              </w:rPr>
              <w:fldChar w:fldCharType="end"/>
            </w:r>
          </w:hyperlink>
        </w:p>
        <w:p w14:paraId="770D9A2D" w14:textId="02370C4A" w:rsidR="00D72DA8" w:rsidRDefault="00AA177A">
          <w:pPr>
            <w:pStyle w:val="TOC2"/>
            <w:rPr>
              <w:rFonts w:asciiTheme="minorHAnsi" w:hAnsiTheme="minorHAnsi"/>
              <w:noProof/>
              <w:kern w:val="2"/>
              <w:sz w:val="22"/>
              <w:lang w:val="en-GB" w:eastAsia="en-GB"/>
              <w14:ligatures w14:val="standardContextual"/>
            </w:rPr>
          </w:pPr>
          <w:hyperlink w:anchor="_Toc164814884" w:history="1">
            <w:r w:rsidR="00D72DA8" w:rsidRPr="00D015DA">
              <w:rPr>
                <w:rStyle w:val="Hyperlink"/>
                <w:noProof/>
              </w:rPr>
              <w:t>Reducing health inequalities</w:t>
            </w:r>
            <w:r w:rsidR="00D72DA8">
              <w:rPr>
                <w:noProof/>
                <w:webHidden/>
              </w:rPr>
              <w:tab/>
            </w:r>
            <w:r w:rsidR="00D72DA8">
              <w:rPr>
                <w:noProof/>
                <w:webHidden/>
              </w:rPr>
              <w:fldChar w:fldCharType="begin"/>
            </w:r>
            <w:r w:rsidR="00D72DA8">
              <w:rPr>
                <w:noProof/>
                <w:webHidden/>
              </w:rPr>
              <w:instrText xml:space="preserve"> PAGEREF _Toc164814884 \h </w:instrText>
            </w:r>
            <w:r w:rsidR="00D72DA8">
              <w:rPr>
                <w:noProof/>
                <w:webHidden/>
              </w:rPr>
            </w:r>
            <w:r w:rsidR="00D72DA8">
              <w:rPr>
                <w:noProof/>
                <w:webHidden/>
              </w:rPr>
              <w:fldChar w:fldCharType="separate"/>
            </w:r>
            <w:r w:rsidR="00057959">
              <w:rPr>
                <w:noProof/>
                <w:webHidden/>
              </w:rPr>
              <w:t>30</w:t>
            </w:r>
            <w:r w:rsidR="00D72DA8">
              <w:rPr>
                <w:noProof/>
                <w:webHidden/>
              </w:rPr>
              <w:fldChar w:fldCharType="end"/>
            </w:r>
          </w:hyperlink>
        </w:p>
        <w:p w14:paraId="5FE0956D" w14:textId="4D0F28C8" w:rsidR="00D72DA8" w:rsidRDefault="00AA177A">
          <w:pPr>
            <w:pStyle w:val="TOC2"/>
            <w:rPr>
              <w:rFonts w:asciiTheme="minorHAnsi" w:hAnsiTheme="minorHAnsi"/>
              <w:noProof/>
              <w:kern w:val="2"/>
              <w:sz w:val="22"/>
              <w:lang w:val="en-GB" w:eastAsia="en-GB"/>
              <w14:ligatures w14:val="standardContextual"/>
            </w:rPr>
          </w:pPr>
          <w:hyperlink w:anchor="_Toc164814885" w:history="1">
            <w:r w:rsidR="00D72DA8" w:rsidRPr="00D015DA">
              <w:rPr>
                <w:rStyle w:val="Hyperlink"/>
                <w:noProof/>
              </w:rPr>
              <w:t>Health and wellbeing strategy</w:t>
            </w:r>
            <w:r w:rsidR="00D72DA8">
              <w:rPr>
                <w:noProof/>
                <w:webHidden/>
              </w:rPr>
              <w:tab/>
            </w:r>
            <w:r w:rsidR="00D72DA8">
              <w:rPr>
                <w:noProof/>
                <w:webHidden/>
              </w:rPr>
              <w:fldChar w:fldCharType="begin"/>
            </w:r>
            <w:r w:rsidR="00D72DA8">
              <w:rPr>
                <w:noProof/>
                <w:webHidden/>
              </w:rPr>
              <w:instrText xml:space="preserve"> PAGEREF _Toc164814885 \h </w:instrText>
            </w:r>
            <w:r w:rsidR="00D72DA8">
              <w:rPr>
                <w:noProof/>
                <w:webHidden/>
              </w:rPr>
            </w:r>
            <w:r w:rsidR="00D72DA8">
              <w:rPr>
                <w:noProof/>
                <w:webHidden/>
              </w:rPr>
              <w:fldChar w:fldCharType="separate"/>
            </w:r>
            <w:r w:rsidR="00057959">
              <w:rPr>
                <w:noProof/>
                <w:webHidden/>
              </w:rPr>
              <w:t>33</w:t>
            </w:r>
            <w:r w:rsidR="00D72DA8">
              <w:rPr>
                <w:noProof/>
                <w:webHidden/>
              </w:rPr>
              <w:fldChar w:fldCharType="end"/>
            </w:r>
          </w:hyperlink>
        </w:p>
        <w:p w14:paraId="45D151C9" w14:textId="5DBE9204" w:rsidR="00D72DA8" w:rsidRDefault="00AA177A">
          <w:pPr>
            <w:pStyle w:val="TOC2"/>
            <w:rPr>
              <w:rFonts w:asciiTheme="minorHAnsi" w:hAnsiTheme="minorHAnsi"/>
              <w:noProof/>
              <w:kern w:val="2"/>
              <w:sz w:val="22"/>
              <w:lang w:val="en-GB" w:eastAsia="en-GB"/>
              <w14:ligatures w14:val="standardContextual"/>
            </w:rPr>
          </w:pPr>
          <w:hyperlink w:anchor="_Toc164814886" w:history="1">
            <w:r w:rsidR="00D72DA8" w:rsidRPr="00D015DA">
              <w:rPr>
                <w:rStyle w:val="Hyperlink"/>
                <w:noProof/>
              </w:rPr>
              <w:t>Engaging people and communities</w:t>
            </w:r>
            <w:r w:rsidR="00D72DA8">
              <w:rPr>
                <w:noProof/>
                <w:webHidden/>
              </w:rPr>
              <w:tab/>
            </w:r>
            <w:r w:rsidR="00D72DA8">
              <w:rPr>
                <w:noProof/>
                <w:webHidden/>
              </w:rPr>
              <w:fldChar w:fldCharType="begin"/>
            </w:r>
            <w:r w:rsidR="00D72DA8">
              <w:rPr>
                <w:noProof/>
                <w:webHidden/>
              </w:rPr>
              <w:instrText xml:space="preserve"> PAGEREF _Toc164814886 \h </w:instrText>
            </w:r>
            <w:r w:rsidR="00D72DA8">
              <w:rPr>
                <w:noProof/>
                <w:webHidden/>
              </w:rPr>
            </w:r>
            <w:r w:rsidR="00D72DA8">
              <w:rPr>
                <w:noProof/>
                <w:webHidden/>
              </w:rPr>
              <w:fldChar w:fldCharType="separate"/>
            </w:r>
            <w:r w:rsidR="00057959">
              <w:rPr>
                <w:noProof/>
                <w:webHidden/>
              </w:rPr>
              <w:t>34</w:t>
            </w:r>
            <w:r w:rsidR="00D72DA8">
              <w:rPr>
                <w:noProof/>
                <w:webHidden/>
              </w:rPr>
              <w:fldChar w:fldCharType="end"/>
            </w:r>
          </w:hyperlink>
        </w:p>
        <w:p w14:paraId="0A3B6809" w14:textId="294C2E59" w:rsidR="00D72DA8" w:rsidRDefault="00AA177A">
          <w:pPr>
            <w:pStyle w:val="TOC2"/>
            <w:rPr>
              <w:rFonts w:asciiTheme="minorHAnsi" w:hAnsiTheme="minorHAnsi"/>
              <w:noProof/>
              <w:kern w:val="2"/>
              <w:sz w:val="22"/>
              <w:lang w:val="en-GB" w:eastAsia="en-GB"/>
              <w14:ligatures w14:val="standardContextual"/>
            </w:rPr>
          </w:pPr>
          <w:hyperlink w:anchor="_Toc164814887" w:history="1">
            <w:r w:rsidR="00D72DA8" w:rsidRPr="00D015DA">
              <w:rPr>
                <w:rStyle w:val="Hyperlink"/>
                <w:noProof/>
              </w:rPr>
              <w:t>Supporting our workforce and social value</w:t>
            </w:r>
            <w:r w:rsidR="00D72DA8">
              <w:rPr>
                <w:noProof/>
                <w:webHidden/>
              </w:rPr>
              <w:tab/>
            </w:r>
            <w:r w:rsidR="00D72DA8">
              <w:rPr>
                <w:noProof/>
                <w:webHidden/>
              </w:rPr>
              <w:fldChar w:fldCharType="begin"/>
            </w:r>
            <w:r w:rsidR="00D72DA8">
              <w:rPr>
                <w:noProof/>
                <w:webHidden/>
              </w:rPr>
              <w:instrText xml:space="preserve"> PAGEREF _Toc164814887 \h </w:instrText>
            </w:r>
            <w:r w:rsidR="00D72DA8">
              <w:rPr>
                <w:noProof/>
                <w:webHidden/>
              </w:rPr>
            </w:r>
            <w:r w:rsidR="00D72DA8">
              <w:rPr>
                <w:noProof/>
                <w:webHidden/>
              </w:rPr>
              <w:fldChar w:fldCharType="separate"/>
            </w:r>
            <w:r w:rsidR="00057959">
              <w:rPr>
                <w:noProof/>
                <w:webHidden/>
              </w:rPr>
              <w:t>36</w:t>
            </w:r>
            <w:r w:rsidR="00D72DA8">
              <w:rPr>
                <w:noProof/>
                <w:webHidden/>
              </w:rPr>
              <w:fldChar w:fldCharType="end"/>
            </w:r>
          </w:hyperlink>
        </w:p>
        <w:p w14:paraId="2412D6D8" w14:textId="53B67512" w:rsidR="00D72DA8" w:rsidRDefault="00AA177A">
          <w:pPr>
            <w:pStyle w:val="TOC2"/>
            <w:rPr>
              <w:rFonts w:asciiTheme="minorHAnsi" w:hAnsiTheme="minorHAnsi"/>
              <w:noProof/>
              <w:kern w:val="2"/>
              <w:sz w:val="22"/>
              <w:lang w:val="en-GB" w:eastAsia="en-GB"/>
              <w14:ligatures w14:val="standardContextual"/>
            </w:rPr>
          </w:pPr>
          <w:hyperlink w:anchor="_Toc164814888" w:history="1">
            <w:r w:rsidR="00D72DA8" w:rsidRPr="00D015DA">
              <w:rPr>
                <w:rStyle w:val="Hyperlink"/>
                <w:noProof/>
              </w:rPr>
              <w:t>ICB corporate review</w:t>
            </w:r>
            <w:r w:rsidR="00D72DA8">
              <w:rPr>
                <w:noProof/>
                <w:webHidden/>
              </w:rPr>
              <w:tab/>
            </w:r>
            <w:r w:rsidR="00D72DA8">
              <w:rPr>
                <w:noProof/>
                <w:webHidden/>
              </w:rPr>
              <w:fldChar w:fldCharType="begin"/>
            </w:r>
            <w:r w:rsidR="00D72DA8">
              <w:rPr>
                <w:noProof/>
                <w:webHidden/>
              </w:rPr>
              <w:instrText xml:space="preserve"> PAGEREF _Toc164814888 \h </w:instrText>
            </w:r>
            <w:r w:rsidR="00D72DA8">
              <w:rPr>
                <w:noProof/>
                <w:webHidden/>
              </w:rPr>
            </w:r>
            <w:r w:rsidR="00D72DA8">
              <w:rPr>
                <w:noProof/>
                <w:webHidden/>
              </w:rPr>
              <w:fldChar w:fldCharType="separate"/>
            </w:r>
            <w:r w:rsidR="00057959">
              <w:rPr>
                <w:noProof/>
                <w:webHidden/>
              </w:rPr>
              <w:t>36</w:t>
            </w:r>
            <w:r w:rsidR="00D72DA8">
              <w:rPr>
                <w:noProof/>
                <w:webHidden/>
              </w:rPr>
              <w:fldChar w:fldCharType="end"/>
            </w:r>
          </w:hyperlink>
        </w:p>
        <w:p w14:paraId="01C8F171" w14:textId="77405E83" w:rsidR="00D72DA8" w:rsidRDefault="00AA177A">
          <w:pPr>
            <w:pStyle w:val="TOC2"/>
            <w:rPr>
              <w:rFonts w:asciiTheme="minorHAnsi" w:hAnsiTheme="minorHAnsi"/>
              <w:noProof/>
              <w:kern w:val="2"/>
              <w:sz w:val="22"/>
              <w:lang w:val="en-GB" w:eastAsia="en-GB"/>
              <w14:ligatures w14:val="standardContextual"/>
            </w:rPr>
          </w:pPr>
          <w:hyperlink w:anchor="_Toc164814889" w:history="1">
            <w:r w:rsidR="00D72DA8" w:rsidRPr="00D015DA">
              <w:rPr>
                <w:rStyle w:val="Hyperlink"/>
                <w:noProof/>
              </w:rPr>
              <w:t>Clinical and professional leadership - stewardship</w:t>
            </w:r>
            <w:r w:rsidR="00D72DA8">
              <w:rPr>
                <w:noProof/>
                <w:webHidden/>
              </w:rPr>
              <w:tab/>
            </w:r>
            <w:r w:rsidR="00D72DA8">
              <w:rPr>
                <w:noProof/>
                <w:webHidden/>
              </w:rPr>
              <w:fldChar w:fldCharType="begin"/>
            </w:r>
            <w:r w:rsidR="00D72DA8">
              <w:rPr>
                <w:noProof/>
                <w:webHidden/>
              </w:rPr>
              <w:instrText xml:space="preserve"> PAGEREF _Toc164814889 \h </w:instrText>
            </w:r>
            <w:r w:rsidR="00D72DA8">
              <w:rPr>
                <w:noProof/>
                <w:webHidden/>
              </w:rPr>
            </w:r>
            <w:r w:rsidR="00D72DA8">
              <w:rPr>
                <w:noProof/>
                <w:webHidden/>
              </w:rPr>
              <w:fldChar w:fldCharType="separate"/>
            </w:r>
            <w:r w:rsidR="00057959">
              <w:rPr>
                <w:noProof/>
                <w:webHidden/>
              </w:rPr>
              <w:t>37</w:t>
            </w:r>
            <w:r w:rsidR="00D72DA8">
              <w:rPr>
                <w:noProof/>
                <w:webHidden/>
              </w:rPr>
              <w:fldChar w:fldCharType="end"/>
            </w:r>
          </w:hyperlink>
        </w:p>
        <w:p w14:paraId="14E32EC8" w14:textId="15B095F2" w:rsidR="00D72DA8" w:rsidRDefault="00AA177A">
          <w:pPr>
            <w:pStyle w:val="TOC2"/>
            <w:rPr>
              <w:rFonts w:asciiTheme="minorHAnsi" w:hAnsiTheme="minorHAnsi"/>
              <w:noProof/>
              <w:kern w:val="2"/>
              <w:sz w:val="22"/>
              <w:lang w:val="en-GB" w:eastAsia="en-GB"/>
              <w14:ligatures w14:val="standardContextual"/>
            </w:rPr>
          </w:pPr>
          <w:hyperlink w:anchor="_Toc164814890" w:history="1">
            <w:r w:rsidR="00D72DA8" w:rsidRPr="00D015DA">
              <w:rPr>
                <w:rStyle w:val="Hyperlink"/>
                <w:noProof/>
              </w:rPr>
              <w:t>Environmental matters (sustainability)</w:t>
            </w:r>
            <w:r w:rsidR="00D72DA8">
              <w:rPr>
                <w:noProof/>
                <w:webHidden/>
              </w:rPr>
              <w:tab/>
            </w:r>
            <w:r w:rsidR="00D72DA8">
              <w:rPr>
                <w:noProof/>
                <w:webHidden/>
              </w:rPr>
              <w:fldChar w:fldCharType="begin"/>
            </w:r>
            <w:r w:rsidR="00D72DA8">
              <w:rPr>
                <w:noProof/>
                <w:webHidden/>
              </w:rPr>
              <w:instrText xml:space="preserve"> PAGEREF _Toc164814890 \h </w:instrText>
            </w:r>
            <w:r w:rsidR="00D72DA8">
              <w:rPr>
                <w:noProof/>
                <w:webHidden/>
              </w:rPr>
            </w:r>
            <w:r w:rsidR="00D72DA8">
              <w:rPr>
                <w:noProof/>
                <w:webHidden/>
              </w:rPr>
              <w:fldChar w:fldCharType="separate"/>
            </w:r>
            <w:r w:rsidR="00057959">
              <w:rPr>
                <w:noProof/>
                <w:webHidden/>
              </w:rPr>
              <w:t>39</w:t>
            </w:r>
            <w:r w:rsidR="00D72DA8">
              <w:rPr>
                <w:noProof/>
                <w:webHidden/>
              </w:rPr>
              <w:fldChar w:fldCharType="end"/>
            </w:r>
          </w:hyperlink>
        </w:p>
        <w:p w14:paraId="6A866102" w14:textId="532F6F3D" w:rsidR="00D72DA8" w:rsidRDefault="00AA177A">
          <w:pPr>
            <w:pStyle w:val="TOC2"/>
            <w:rPr>
              <w:rFonts w:asciiTheme="minorHAnsi" w:hAnsiTheme="minorHAnsi"/>
              <w:noProof/>
              <w:kern w:val="2"/>
              <w:sz w:val="22"/>
              <w:lang w:val="en-GB" w:eastAsia="en-GB"/>
              <w14:ligatures w14:val="standardContextual"/>
            </w:rPr>
          </w:pPr>
          <w:hyperlink w:anchor="_Toc164814891" w:history="1">
            <w:r w:rsidR="00D72DA8" w:rsidRPr="00D015DA">
              <w:rPr>
                <w:rStyle w:val="Hyperlink"/>
                <w:noProof/>
              </w:rPr>
              <w:t>Financial review</w:t>
            </w:r>
            <w:r w:rsidR="00D72DA8">
              <w:rPr>
                <w:noProof/>
                <w:webHidden/>
              </w:rPr>
              <w:tab/>
            </w:r>
            <w:r w:rsidR="00D72DA8">
              <w:rPr>
                <w:noProof/>
                <w:webHidden/>
              </w:rPr>
              <w:fldChar w:fldCharType="begin"/>
            </w:r>
            <w:r w:rsidR="00D72DA8">
              <w:rPr>
                <w:noProof/>
                <w:webHidden/>
              </w:rPr>
              <w:instrText xml:space="preserve"> PAGEREF _Toc164814891 \h </w:instrText>
            </w:r>
            <w:r w:rsidR="00D72DA8">
              <w:rPr>
                <w:noProof/>
                <w:webHidden/>
              </w:rPr>
            </w:r>
            <w:r w:rsidR="00D72DA8">
              <w:rPr>
                <w:noProof/>
                <w:webHidden/>
              </w:rPr>
              <w:fldChar w:fldCharType="separate"/>
            </w:r>
            <w:r w:rsidR="00057959">
              <w:rPr>
                <w:noProof/>
                <w:webHidden/>
              </w:rPr>
              <w:t>41</w:t>
            </w:r>
            <w:r w:rsidR="00D72DA8">
              <w:rPr>
                <w:noProof/>
                <w:webHidden/>
              </w:rPr>
              <w:fldChar w:fldCharType="end"/>
            </w:r>
          </w:hyperlink>
        </w:p>
        <w:p w14:paraId="1E7AF782" w14:textId="5C67F93D" w:rsidR="00D72DA8" w:rsidRDefault="00AA177A" w:rsidP="00B33BF1">
          <w:pPr>
            <w:pStyle w:val="TOC1"/>
            <w:rPr>
              <w:rFonts w:asciiTheme="minorHAnsi" w:eastAsiaTheme="minorEastAsia" w:hAnsiTheme="minorHAnsi" w:cstheme="minorBidi"/>
              <w:kern w:val="2"/>
              <w:sz w:val="22"/>
              <w:lang w:eastAsia="en-GB"/>
              <w14:ligatures w14:val="standardContextual"/>
            </w:rPr>
          </w:pPr>
          <w:hyperlink w:anchor="_Toc164814893" w:history="1">
            <w:r w:rsidR="00D72DA8" w:rsidRPr="00D015DA">
              <w:rPr>
                <w:rStyle w:val="Hyperlink"/>
              </w:rPr>
              <w:t>Accountability Report</w:t>
            </w:r>
            <w:r w:rsidR="00D72DA8">
              <w:rPr>
                <w:webHidden/>
              </w:rPr>
              <w:tab/>
            </w:r>
            <w:r w:rsidR="00D72DA8">
              <w:rPr>
                <w:webHidden/>
              </w:rPr>
              <w:fldChar w:fldCharType="begin"/>
            </w:r>
            <w:r w:rsidR="00D72DA8">
              <w:rPr>
                <w:webHidden/>
              </w:rPr>
              <w:instrText xml:space="preserve"> PAGEREF _Toc164814893 \h </w:instrText>
            </w:r>
            <w:r w:rsidR="00D72DA8">
              <w:rPr>
                <w:webHidden/>
              </w:rPr>
            </w:r>
            <w:r w:rsidR="00D72DA8">
              <w:rPr>
                <w:webHidden/>
              </w:rPr>
              <w:fldChar w:fldCharType="separate"/>
            </w:r>
            <w:r w:rsidR="00057959">
              <w:rPr>
                <w:webHidden/>
              </w:rPr>
              <w:t>45</w:t>
            </w:r>
            <w:r w:rsidR="00D72DA8">
              <w:rPr>
                <w:webHidden/>
              </w:rPr>
              <w:fldChar w:fldCharType="end"/>
            </w:r>
          </w:hyperlink>
        </w:p>
        <w:p w14:paraId="6E75FFA7" w14:textId="4FF2F91E" w:rsidR="00D72DA8" w:rsidRDefault="00AA177A" w:rsidP="00B33BF1">
          <w:pPr>
            <w:pStyle w:val="TOC1"/>
            <w:rPr>
              <w:rFonts w:asciiTheme="minorHAnsi" w:eastAsiaTheme="minorEastAsia" w:hAnsiTheme="minorHAnsi" w:cstheme="minorBidi"/>
              <w:kern w:val="2"/>
              <w:sz w:val="22"/>
              <w:lang w:eastAsia="en-GB"/>
              <w14:ligatures w14:val="standardContextual"/>
            </w:rPr>
          </w:pPr>
          <w:hyperlink w:anchor="_Toc164814894" w:history="1">
            <w:r w:rsidR="00D72DA8" w:rsidRPr="00D015DA">
              <w:rPr>
                <w:rStyle w:val="Hyperlink"/>
              </w:rPr>
              <w:t>Corporate Governance Report</w:t>
            </w:r>
            <w:r w:rsidR="00D72DA8">
              <w:rPr>
                <w:webHidden/>
              </w:rPr>
              <w:tab/>
            </w:r>
            <w:r w:rsidR="00D72DA8">
              <w:rPr>
                <w:webHidden/>
              </w:rPr>
              <w:fldChar w:fldCharType="begin"/>
            </w:r>
            <w:r w:rsidR="00D72DA8">
              <w:rPr>
                <w:webHidden/>
              </w:rPr>
              <w:instrText xml:space="preserve"> PAGEREF _Toc164814894 \h </w:instrText>
            </w:r>
            <w:r w:rsidR="00D72DA8">
              <w:rPr>
                <w:webHidden/>
              </w:rPr>
            </w:r>
            <w:r w:rsidR="00D72DA8">
              <w:rPr>
                <w:webHidden/>
              </w:rPr>
              <w:fldChar w:fldCharType="separate"/>
            </w:r>
            <w:r w:rsidR="00057959">
              <w:rPr>
                <w:webHidden/>
              </w:rPr>
              <w:t>45</w:t>
            </w:r>
            <w:r w:rsidR="00D72DA8">
              <w:rPr>
                <w:webHidden/>
              </w:rPr>
              <w:fldChar w:fldCharType="end"/>
            </w:r>
          </w:hyperlink>
        </w:p>
        <w:p w14:paraId="3FDDAA2C" w14:textId="70D8EC13" w:rsidR="00D72DA8" w:rsidRDefault="00AA177A">
          <w:pPr>
            <w:pStyle w:val="TOC2"/>
            <w:rPr>
              <w:rFonts w:asciiTheme="minorHAnsi" w:hAnsiTheme="minorHAnsi"/>
              <w:noProof/>
              <w:kern w:val="2"/>
              <w:sz w:val="22"/>
              <w:lang w:val="en-GB" w:eastAsia="en-GB"/>
              <w14:ligatures w14:val="standardContextual"/>
            </w:rPr>
          </w:pPr>
          <w:hyperlink w:anchor="_Toc164814895" w:history="1">
            <w:r w:rsidR="00D72DA8" w:rsidRPr="00D015DA">
              <w:rPr>
                <w:rStyle w:val="Hyperlink"/>
                <w:noProof/>
              </w:rPr>
              <w:t>Members Report</w:t>
            </w:r>
            <w:r w:rsidR="00D72DA8">
              <w:rPr>
                <w:noProof/>
                <w:webHidden/>
              </w:rPr>
              <w:tab/>
            </w:r>
            <w:r w:rsidR="00D72DA8">
              <w:rPr>
                <w:noProof/>
                <w:webHidden/>
              </w:rPr>
              <w:fldChar w:fldCharType="begin"/>
            </w:r>
            <w:r w:rsidR="00D72DA8">
              <w:rPr>
                <w:noProof/>
                <w:webHidden/>
              </w:rPr>
              <w:instrText xml:space="preserve"> PAGEREF _Toc164814895 \h </w:instrText>
            </w:r>
            <w:r w:rsidR="00D72DA8">
              <w:rPr>
                <w:noProof/>
                <w:webHidden/>
              </w:rPr>
            </w:r>
            <w:r w:rsidR="00D72DA8">
              <w:rPr>
                <w:noProof/>
                <w:webHidden/>
              </w:rPr>
              <w:fldChar w:fldCharType="separate"/>
            </w:r>
            <w:r w:rsidR="00057959">
              <w:rPr>
                <w:noProof/>
                <w:webHidden/>
              </w:rPr>
              <w:t>45</w:t>
            </w:r>
            <w:r w:rsidR="00D72DA8">
              <w:rPr>
                <w:noProof/>
                <w:webHidden/>
              </w:rPr>
              <w:fldChar w:fldCharType="end"/>
            </w:r>
          </w:hyperlink>
        </w:p>
        <w:p w14:paraId="35D6213E" w14:textId="1A2F3141" w:rsidR="00D72DA8" w:rsidRDefault="00AA177A">
          <w:pPr>
            <w:pStyle w:val="TOC2"/>
            <w:rPr>
              <w:rFonts w:asciiTheme="minorHAnsi" w:hAnsiTheme="minorHAnsi"/>
              <w:noProof/>
              <w:kern w:val="2"/>
              <w:sz w:val="22"/>
              <w:lang w:val="en-GB" w:eastAsia="en-GB"/>
              <w14:ligatures w14:val="standardContextual"/>
            </w:rPr>
          </w:pPr>
          <w:hyperlink w:anchor="_Toc164814896" w:history="1">
            <w:r w:rsidR="00D72DA8" w:rsidRPr="00D015DA">
              <w:rPr>
                <w:rStyle w:val="Hyperlink"/>
                <w:noProof/>
              </w:rPr>
              <w:t>Statement of Accountable Officer’s responsibilities</w:t>
            </w:r>
            <w:r w:rsidR="00D72DA8">
              <w:rPr>
                <w:noProof/>
                <w:webHidden/>
              </w:rPr>
              <w:tab/>
            </w:r>
            <w:r w:rsidR="00D72DA8">
              <w:rPr>
                <w:noProof/>
                <w:webHidden/>
              </w:rPr>
              <w:fldChar w:fldCharType="begin"/>
            </w:r>
            <w:r w:rsidR="00D72DA8">
              <w:rPr>
                <w:noProof/>
                <w:webHidden/>
              </w:rPr>
              <w:instrText xml:space="preserve"> PAGEREF _Toc164814896 \h </w:instrText>
            </w:r>
            <w:r w:rsidR="00D72DA8">
              <w:rPr>
                <w:noProof/>
                <w:webHidden/>
              </w:rPr>
            </w:r>
            <w:r w:rsidR="00D72DA8">
              <w:rPr>
                <w:noProof/>
                <w:webHidden/>
              </w:rPr>
              <w:fldChar w:fldCharType="separate"/>
            </w:r>
            <w:r w:rsidR="00057959">
              <w:rPr>
                <w:noProof/>
                <w:webHidden/>
              </w:rPr>
              <w:t>47</w:t>
            </w:r>
            <w:r w:rsidR="00D72DA8">
              <w:rPr>
                <w:noProof/>
                <w:webHidden/>
              </w:rPr>
              <w:fldChar w:fldCharType="end"/>
            </w:r>
          </w:hyperlink>
        </w:p>
        <w:p w14:paraId="72C61765" w14:textId="3DD2D789" w:rsidR="00D72DA8" w:rsidRDefault="00AA177A">
          <w:pPr>
            <w:pStyle w:val="TOC2"/>
            <w:rPr>
              <w:rFonts w:asciiTheme="minorHAnsi" w:hAnsiTheme="minorHAnsi"/>
              <w:noProof/>
              <w:kern w:val="2"/>
              <w:sz w:val="22"/>
              <w:lang w:val="en-GB" w:eastAsia="en-GB"/>
              <w14:ligatures w14:val="standardContextual"/>
            </w:rPr>
          </w:pPr>
          <w:hyperlink w:anchor="_Toc164814897" w:history="1">
            <w:r w:rsidR="00D72DA8" w:rsidRPr="00D015DA">
              <w:rPr>
                <w:rStyle w:val="Hyperlink"/>
                <w:noProof/>
              </w:rPr>
              <w:t>Governance Statement</w:t>
            </w:r>
            <w:r w:rsidR="00D72DA8">
              <w:rPr>
                <w:noProof/>
                <w:webHidden/>
              </w:rPr>
              <w:tab/>
            </w:r>
            <w:r w:rsidR="00D72DA8">
              <w:rPr>
                <w:noProof/>
                <w:webHidden/>
              </w:rPr>
              <w:fldChar w:fldCharType="begin"/>
            </w:r>
            <w:r w:rsidR="00D72DA8">
              <w:rPr>
                <w:noProof/>
                <w:webHidden/>
              </w:rPr>
              <w:instrText xml:space="preserve"> PAGEREF _Toc164814897 \h </w:instrText>
            </w:r>
            <w:r w:rsidR="00D72DA8">
              <w:rPr>
                <w:noProof/>
                <w:webHidden/>
              </w:rPr>
            </w:r>
            <w:r w:rsidR="00D72DA8">
              <w:rPr>
                <w:noProof/>
                <w:webHidden/>
              </w:rPr>
              <w:fldChar w:fldCharType="separate"/>
            </w:r>
            <w:r w:rsidR="00057959">
              <w:rPr>
                <w:noProof/>
                <w:webHidden/>
              </w:rPr>
              <w:t>48</w:t>
            </w:r>
            <w:r w:rsidR="00D72DA8">
              <w:rPr>
                <w:noProof/>
                <w:webHidden/>
              </w:rPr>
              <w:fldChar w:fldCharType="end"/>
            </w:r>
          </w:hyperlink>
        </w:p>
        <w:p w14:paraId="347C6FA9" w14:textId="04CB370D" w:rsidR="00D72DA8" w:rsidRDefault="00AA177A">
          <w:pPr>
            <w:pStyle w:val="TOC2"/>
            <w:rPr>
              <w:rFonts w:asciiTheme="minorHAnsi" w:hAnsiTheme="minorHAnsi"/>
              <w:noProof/>
              <w:kern w:val="2"/>
              <w:sz w:val="22"/>
              <w:lang w:val="en-GB" w:eastAsia="en-GB"/>
              <w14:ligatures w14:val="standardContextual"/>
            </w:rPr>
          </w:pPr>
          <w:hyperlink w:anchor="_Toc164814898" w:history="1">
            <w:r w:rsidR="00D72DA8" w:rsidRPr="00D015DA">
              <w:rPr>
                <w:rStyle w:val="Hyperlink"/>
                <w:noProof/>
              </w:rPr>
              <w:t>Other sources of assurance</w:t>
            </w:r>
            <w:r w:rsidR="00D72DA8">
              <w:rPr>
                <w:noProof/>
                <w:webHidden/>
              </w:rPr>
              <w:tab/>
            </w:r>
            <w:r w:rsidR="00D72DA8">
              <w:rPr>
                <w:noProof/>
                <w:webHidden/>
              </w:rPr>
              <w:fldChar w:fldCharType="begin"/>
            </w:r>
            <w:r w:rsidR="00D72DA8">
              <w:rPr>
                <w:noProof/>
                <w:webHidden/>
              </w:rPr>
              <w:instrText xml:space="preserve"> PAGEREF _Toc164814898 \h </w:instrText>
            </w:r>
            <w:r w:rsidR="00D72DA8">
              <w:rPr>
                <w:noProof/>
                <w:webHidden/>
              </w:rPr>
            </w:r>
            <w:r w:rsidR="00D72DA8">
              <w:rPr>
                <w:noProof/>
                <w:webHidden/>
              </w:rPr>
              <w:fldChar w:fldCharType="separate"/>
            </w:r>
            <w:r w:rsidR="00057959">
              <w:rPr>
                <w:noProof/>
                <w:webHidden/>
              </w:rPr>
              <w:t>58</w:t>
            </w:r>
            <w:r w:rsidR="00D72DA8">
              <w:rPr>
                <w:noProof/>
                <w:webHidden/>
              </w:rPr>
              <w:fldChar w:fldCharType="end"/>
            </w:r>
          </w:hyperlink>
        </w:p>
        <w:p w14:paraId="24D46483" w14:textId="6D5CB3EB" w:rsidR="00D72DA8" w:rsidRDefault="00AA177A" w:rsidP="00B33BF1">
          <w:pPr>
            <w:pStyle w:val="TOC1"/>
            <w:rPr>
              <w:rFonts w:asciiTheme="minorHAnsi" w:eastAsiaTheme="minorEastAsia" w:hAnsiTheme="minorHAnsi" w:cstheme="minorBidi"/>
              <w:kern w:val="2"/>
              <w:sz w:val="22"/>
              <w:lang w:eastAsia="en-GB"/>
              <w14:ligatures w14:val="standardContextual"/>
            </w:rPr>
          </w:pPr>
          <w:hyperlink w:anchor="_Toc164814899" w:history="1">
            <w:r w:rsidR="00D72DA8" w:rsidRPr="00D015DA">
              <w:rPr>
                <w:rStyle w:val="Hyperlink"/>
              </w:rPr>
              <w:t>Remuneration and Staff Report [to be submitted separately]</w:t>
            </w:r>
            <w:r w:rsidR="00D72DA8">
              <w:rPr>
                <w:webHidden/>
              </w:rPr>
              <w:tab/>
            </w:r>
            <w:r w:rsidR="00D72DA8">
              <w:rPr>
                <w:webHidden/>
              </w:rPr>
              <w:fldChar w:fldCharType="begin"/>
            </w:r>
            <w:r w:rsidR="00D72DA8">
              <w:rPr>
                <w:webHidden/>
              </w:rPr>
              <w:instrText xml:space="preserve"> PAGEREF _Toc164814899 \h </w:instrText>
            </w:r>
            <w:r w:rsidR="00D72DA8">
              <w:rPr>
                <w:webHidden/>
              </w:rPr>
            </w:r>
            <w:r w:rsidR="00D72DA8">
              <w:rPr>
                <w:webHidden/>
              </w:rPr>
              <w:fldChar w:fldCharType="separate"/>
            </w:r>
            <w:r w:rsidR="00057959">
              <w:rPr>
                <w:webHidden/>
              </w:rPr>
              <w:t>67</w:t>
            </w:r>
            <w:r w:rsidR="00D72DA8">
              <w:rPr>
                <w:webHidden/>
              </w:rPr>
              <w:fldChar w:fldCharType="end"/>
            </w:r>
          </w:hyperlink>
        </w:p>
        <w:p w14:paraId="75C773D2" w14:textId="79F50D5F" w:rsidR="00D72DA8" w:rsidRDefault="00AA177A" w:rsidP="00B33BF1">
          <w:pPr>
            <w:pStyle w:val="TOC1"/>
            <w:rPr>
              <w:rFonts w:asciiTheme="minorHAnsi" w:eastAsiaTheme="minorEastAsia" w:hAnsiTheme="minorHAnsi" w:cstheme="minorBidi"/>
              <w:kern w:val="2"/>
              <w:sz w:val="22"/>
              <w:lang w:eastAsia="en-GB"/>
              <w14:ligatures w14:val="standardContextual"/>
            </w:rPr>
          </w:pPr>
          <w:hyperlink w:anchor="_Toc164814921" w:history="1">
            <w:r w:rsidR="00D72DA8" w:rsidRPr="00D015DA">
              <w:rPr>
                <w:rStyle w:val="Hyperlink"/>
                <w:b/>
              </w:rPr>
              <w:t>Parliamentary Accountability and Audit Report</w:t>
            </w:r>
            <w:r w:rsidR="00D72DA8">
              <w:rPr>
                <w:webHidden/>
              </w:rPr>
              <w:tab/>
            </w:r>
            <w:r w:rsidR="00D72DA8">
              <w:rPr>
                <w:webHidden/>
              </w:rPr>
              <w:fldChar w:fldCharType="begin"/>
            </w:r>
            <w:r w:rsidR="00D72DA8">
              <w:rPr>
                <w:webHidden/>
              </w:rPr>
              <w:instrText xml:space="preserve"> PAGEREF _Toc164814921 \h </w:instrText>
            </w:r>
            <w:r w:rsidR="00D72DA8">
              <w:rPr>
                <w:webHidden/>
              </w:rPr>
            </w:r>
            <w:r w:rsidR="00D72DA8">
              <w:rPr>
                <w:webHidden/>
              </w:rPr>
              <w:fldChar w:fldCharType="separate"/>
            </w:r>
            <w:r w:rsidR="00057959">
              <w:rPr>
                <w:webHidden/>
              </w:rPr>
              <w:t>87</w:t>
            </w:r>
            <w:r w:rsidR="00D72DA8">
              <w:rPr>
                <w:webHidden/>
              </w:rPr>
              <w:fldChar w:fldCharType="end"/>
            </w:r>
          </w:hyperlink>
        </w:p>
        <w:p w14:paraId="22866E9B" w14:textId="7C9002B1" w:rsidR="001C0486" w:rsidRPr="007A08F6" w:rsidRDefault="001C0486" w:rsidP="00B33BF1">
          <w:pPr>
            <w:pStyle w:val="TOC1"/>
            <w:rPr>
              <w:kern w:val="2"/>
              <w:sz w:val="22"/>
              <w:lang w:eastAsia="en-GB"/>
              <w14:ligatures w14:val="standardContextual"/>
            </w:rPr>
          </w:pPr>
          <w:r>
            <w:fldChar w:fldCharType="end"/>
          </w:r>
          <w:r w:rsidR="00B24841">
            <w:rPr>
              <w:b/>
              <w:bCs w:val="0"/>
            </w:rPr>
            <w:t xml:space="preserve">Annual </w:t>
          </w:r>
          <w:r w:rsidR="00B24841" w:rsidRPr="00B24841">
            <w:rPr>
              <w:b/>
              <w:bCs w:val="0"/>
            </w:rPr>
            <w:t>Accounts</w:t>
          </w:r>
          <w:r w:rsidR="00B24841">
            <w:t>……………………………………………………………………………88</w:t>
          </w:r>
        </w:p>
      </w:sdtContent>
    </w:sdt>
    <w:p w14:paraId="1A4E056E" w14:textId="77777777" w:rsidR="001C0486" w:rsidRDefault="001C0486" w:rsidP="001C0486">
      <w:pPr>
        <w:spacing w:before="0" w:after="0"/>
      </w:pPr>
      <w:r>
        <w:br w:type="page"/>
      </w:r>
    </w:p>
    <w:p w14:paraId="17C08921" w14:textId="2A54F860" w:rsidR="003C5748" w:rsidRDefault="003C5748" w:rsidP="00086798">
      <w:pPr>
        <w:pStyle w:val="Subtitle"/>
      </w:pPr>
      <w:bookmarkStart w:id="0" w:name="_Toc164814807"/>
      <w:bookmarkStart w:id="1" w:name="_Toc164814868"/>
      <w:r>
        <w:lastRenderedPageBreak/>
        <w:t xml:space="preserve">Chair’s </w:t>
      </w:r>
      <w:r w:rsidR="00B55B22">
        <w:t>Foreword</w:t>
      </w:r>
      <w:bookmarkEnd w:id="0"/>
      <w:bookmarkEnd w:id="1"/>
    </w:p>
    <w:p w14:paraId="4F785D13" w14:textId="77777777" w:rsidR="00D365FA" w:rsidRDefault="00D365FA" w:rsidP="00D365FA">
      <w:r>
        <w:t xml:space="preserve">As we draw the curtain on another year at NHS Mid and South Essex, it gives me pleasure to reflect upon our journey together. </w:t>
      </w:r>
    </w:p>
    <w:p w14:paraId="579774D9" w14:textId="77777777" w:rsidR="00D365FA" w:rsidRDefault="00D365FA" w:rsidP="00D365FA">
      <w:r>
        <w:t>The year that has unfolded was, without a doubt, punctuated by familiar and unprecedented challenges, yet it was also rich with moments of triumph, innovation, and unwavering dedication.</w:t>
      </w:r>
    </w:p>
    <w:p w14:paraId="686A8597" w14:textId="77777777" w:rsidR="00D365FA" w:rsidRDefault="00D365FA" w:rsidP="00D365FA">
      <w:r>
        <w:t xml:space="preserve">Over the past year, I have witnessed the evolution of our healthcare system, adapting to the needs of our community, and embracing advancements in medical science and technology. </w:t>
      </w:r>
    </w:p>
    <w:p w14:paraId="5993ED1C" w14:textId="77777777" w:rsidR="00D365FA" w:rsidRDefault="00D365FA" w:rsidP="00D365FA">
      <w:r>
        <w:t>Our staff, from clinicians to administrative teams, have demonstrated resilience and adaptability ensuring the delivery of healthcare services for our communities.</w:t>
      </w:r>
    </w:p>
    <w:p w14:paraId="1AFC43A9" w14:textId="2114E649" w:rsidR="00D365FA" w:rsidRDefault="00D365FA" w:rsidP="00D365FA">
      <w:r>
        <w:t xml:space="preserve">With immense pride, I acknowledge the hard work, empathy, and professionalism displayed by every member of our NHS family. </w:t>
      </w:r>
    </w:p>
    <w:p w14:paraId="5ABC60DE" w14:textId="713F1AE1" w:rsidR="00D365FA" w:rsidRDefault="00D365FA" w:rsidP="00D365FA">
      <w:r>
        <w:t xml:space="preserve">Innovation has been a cornerstone of our approach and not least our flagship </w:t>
      </w:r>
      <w:r w:rsidRPr="008E65FF">
        <w:t xml:space="preserve">Stewardship </w:t>
      </w:r>
      <w:r w:rsidR="0096150B">
        <w:t>p</w:t>
      </w:r>
      <w:r w:rsidRPr="008E65FF">
        <w:t>rogram</w:t>
      </w:r>
      <w:r w:rsidRPr="00A86969">
        <w:t>me</w:t>
      </w:r>
      <w:r>
        <w:t xml:space="preserve"> continues to put our clinical leaders at the heart of transforming how we meet the needs of our residents for the future.</w:t>
      </w:r>
    </w:p>
    <w:p w14:paraId="07DD0084" w14:textId="155CD4F8" w:rsidR="00D365FA" w:rsidRPr="00E11430" w:rsidRDefault="00D365FA" w:rsidP="00D365FA">
      <w:pPr>
        <w:rPr>
          <w:color w:val="FF0000"/>
        </w:rPr>
      </w:pPr>
      <w:r>
        <w:t>This year, we embraced new technologies and methodologies that have not only enhanced our capacity to treat patients but have also improved their experience within our system. This includes</w:t>
      </w:r>
      <w:r w:rsidR="00076A3B">
        <w:t xml:space="preserve"> our virtual hospital programme highlight</w:t>
      </w:r>
      <w:r w:rsidR="009354E2">
        <w:t>ed</w:t>
      </w:r>
      <w:r w:rsidR="00076A3B">
        <w:t xml:space="preserve"> in this report.</w:t>
      </w:r>
    </w:p>
    <w:p w14:paraId="44696F97" w14:textId="77777777" w:rsidR="00D365FA" w:rsidRDefault="00D365FA" w:rsidP="00D365FA">
      <w:r>
        <w:t>The past year has not been without change. We have said goodbye to some key personnel during this time who were founding members of our Integrated Care System, not least with the retirement of outgoing CEO Anthony “Mac” McKeever.</w:t>
      </w:r>
    </w:p>
    <w:p w14:paraId="1BEAD112" w14:textId="77777777" w:rsidR="00D365FA" w:rsidRDefault="00D365FA" w:rsidP="00D365FA">
      <w:r>
        <w:t>Mac led us through the pandemic and the creation of our organisation, and we are indebted to his vision and leadership which set us on course from the outset.</w:t>
      </w:r>
    </w:p>
    <w:p w14:paraId="1A635185" w14:textId="77777777" w:rsidR="00D365FA" w:rsidRDefault="00D365FA" w:rsidP="00D365FA">
      <w:r>
        <w:t>We have also faced the task set nationally of making a 30 per cent cut to our running costs, a tough ask for any organisation but more so given our recent formation.</w:t>
      </w:r>
    </w:p>
    <w:p w14:paraId="6F3B14B5" w14:textId="5B191AF9" w:rsidR="00D365FA" w:rsidRDefault="00D365FA" w:rsidP="00D365FA">
      <w:r>
        <w:t xml:space="preserve">I am grateful for our teams who have led and sustained us through the difficult process of change. </w:t>
      </w:r>
      <w:r w:rsidRPr="007E44B6">
        <w:t xml:space="preserve">As we turn the page, let us carry forward the lessons learned and the sense of purpose that drives us. Together, we will continue to make a difference </w:t>
      </w:r>
      <w:r w:rsidR="00CF3D63">
        <w:t>to</w:t>
      </w:r>
      <w:r w:rsidRPr="007E44B6">
        <w:t xml:space="preserve"> the lives of those we serve, navigating challenges and embracing opportunities.</w:t>
      </w:r>
    </w:p>
    <w:p w14:paraId="48966933" w14:textId="77777777" w:rsidR="00D365FA" w:rsidRDefault="00D365FA" w:rsidP="00D365FA">
      <w:r>
        <w:t xml:space="preserve">As we look to the future, our focus remains steadfast on improving health outcomes with and for our community, driven by evidence-based practices and a commitment to excellence. </w:t>
      </w:r>
    </w:p>
    <w:p w14:paraId="4D4EB6B3" w14:textId="25FDD36B" w:rsidR="00D365FA" w:rsidRDefault="00D365FA" w:rsidP="00D365FA">
      <w:r w:rsidRPr="003015E3">
        <w:t xml:space="preserve">Our Integrated Care Partnership continues to flourish, bringing together the energy of our wider colleagues in </w:t>
      </w:r>
      <w:r>
        <w:t xml:space="preserve">upper tier, </w:t>
      </w:r>
      <w:r w:rsidRPr="003015E3">
        <w:t>district and borough councils, higher education, and the voluntary and community sector</w:t>
      </w:r>
      <w:r>
        <w:t>, who crucially support delivery on the ground in our communities.</w:t>
      </w:r>
      <w:r w:rsidR="00076A3B" w:rsidRPr="00076A3B">
        <w:t xml:space="preserve"> </w:t>
      </w:r>
      <w:r w:rsidR="00076A3B">
        <w:t xml:space="preserve"> No NHS body is an island, and we must acknowledge the sterling support of our local authorities and in particular Essex County Council, Southend City Council and Thurrock Council.</w:t>
      </w:r>
    </w:p>
    <w:p w14:paraId="5FC3BD74" w14:textId="77777777" w:rsidR="00D365FA" w:rsidRDefault="00D365FA" w:rsidP="00D365FA">
      <w:r>
        <w:lastRenderedPageBreak/>
        <w:t>Our three Healthwatch organisations have continued their constructive support and we thank them for their commitment to collaboration.</w:t>
      </w:r>
    </w:p>
    <w:p w14:paraId="7347EF78" w14:textId="4B0B3677" w:rsidR="00D365FA" w:rsidRDefault="00D365FA" w:rsidP="00D365FA">
      <w:r>
        <w:t xml:space="preserve">As a </w:t>
      </w:r>
      <w:r w:rsidR="02A31353">
        <w:t>pa</w:t>
      </w:r>
      <w:r>
        <w:t>rtnership, we</w:t>
      </w:r>
      <w:r w:rsidRPr="003E48D3">
        <w:t xml:space="preserve"> are poised to embrac</w:t>
      </w:r>
      <w:r>
        <w:t>e greater</w:t>
      </w:r>
      <w:r w:rsidRPr="003E48D3">
        <w:t xml:space="preserve"> digital health solutions,</w:t>
      </w:r>
      <w:r>
        <w:t xml:space="preserve"> focus efforts on key drivers of health inequity,</w:t>
      </w:r>
      <w:r w:rsidRPr="003E48D3">
        <w:t xml:space="preserve"> and </w:t>
      </w:r>
      <w:r>
        <w:t>maintain our</w:t>
      </w:r>
      <w:r w:rsidRPr="003E48D3">
        <w:t xml:space="preserve"> culture of continuous improvement. These efforts are crucial in our mission to provide</w:t>
      </w:r>
      <w:r>
        <w:t xml:space="preserve"> more personalised</w:t>
      </w:r>
      <w:r w:rsidRPr="003E48D3">
        <w:t xml:space="preserve"> care for every</w:t>
      </w:r>
      <w:r>
        <w:t>one</w:t>
      </w:r>
      <w:r w:rsidRPr="003E48D3">
        <w:t xml:space="preserve"> in our community.</w:t>
      </w:r>
    </w:p>
    <w:p w14:paraId="29BAB0C0" w14:textId="77777777" w:rsidR="00D365FA" w:rsidRDefault="00D365FA" w:rsidP="00D365FA">
      <w:r>
        <w:t xml:space="preserve">In closing, I extend my heartfelt gratitude to all – our staff, our partners, and to the community we serve. </w:t>
      </w:r>
    </w:p>
    <w:p w14:paraId="7A1B8DCA" w14:textId="018F698F" w:rsidR="00D365FA" w:rsidRDefault="00D365FA" w:rsidP="00D365FA">
      <w:r>
        <w:t>May we continue to advance, innovate, and inspire, united in our mission to support healthy lives together.</w:t>
      </w:r>
      <w:r w:rsidR="00CD2299">
        <w:t xml:space="preserve">  We know we face even tougher financial and performance targets this coming year, but I am confident that if everyone in </w:t>
      </w:r>
      <w:r w:rsidR="002C5D8A">
        <w:t xml:space="preserve">the </w:t>
      </w:r>
      <w:r w:rsidR="5E7726AC">
        <w:t>m</w:t>
      </w:r>
      <w:r w:rsidR="002C5D8A">
        <w:t xml:space="preserve">id and </w:t>
      </w:r>
      <w:r w:rsidR="226670FA">
        <w:t>s</w:t>
      </w:r>
      <w:r w:rsidR="002C5D8A">
        <w:t>outh Essex system pulls together, we have the skills to overcome our challenges.</w:t>
      </w:r>
    </w:p>
    <w:p w14:paraId="0E1B68A2" w14:textId="77777777" w:rsidR="00D365FA" w:rsidRDefault="00D365FA" w:rsidP="00D365FA"/>
    <w:p w14:paraId="4D5BCEA6" w14:textId="77777777" w:rsidR="004D5C81" w:rsidRDefault="004D5C81" w:rsidP="0090777B">
      <w:pPr>
        <w:pStyle w:val="BodyText"/>
      </w:pPr>
    </w:p>
    <w:p w14:paraId="024D5D2E" w14:textId="77777777" w:rsidR="00FD7877" w:rsidRDefault="00FD7877" w:rsidP="0090777B">
      <w:pPr>
        <w:pStyle w:val="BodyText"/>
        <w:rPr>
          <w:rFonts w:ascii="Helvetica" w:hAnsi="Helvetica" w:cs="Helvetica"/>
          <w:sz w:val="20"/>
          <w:szCs w:val="20"/>
        </w:rPr>
      </w:pPr>
    </w:p>
    <w:p w14:paraId="1E991C84" w14:textId="77777777" w:rsidR="0090777B" w:rsidRDefault="0090777B" w:rsidP="0090777B">
      <w:pPr>
        <w:pStyle w:val="BodyText"/>
        <w:rPr>
          <w:rFonts w:eastAsia="Arial"/>
        </w:rPr>
      </w:pPr>
      <w:r>
        <w:rPr>
          <w:b/>
          <w:bCs/>
        </w:rPr>
        <w:t>Professor Michael Thorne CBE</w:t>
      </w:r>
      <w:r>
        <w:rPr>
          <w:b/>
          <w:bCs/>
        </w:rPr>
        <w:br/>
      </w:r>
      <w:r>
        <w:rPr>
          <w:rFonts w:eastAsia="Arial"/>
        </w:rPr>
        <w:t>Chair, NHS Mid and South Essex Integrated Care Board</w:t>
      </w:r>
    </w:p>
    <w:p w14:paraId="09B3B5DF" w14:textId="34B011A4" w:rsidR="006328AF" w:rsidRPr="00FD7877" w:rsidRDefault="00E57AFE" w:rsidP="00FD7877">
      <w:pPr>
        <w:pStyle w:val="BodyText"/>
        <w:rPr>
          <w:b/>
        </w:rPr>
      </w:pPr>
      <w:r>
        <w:t>24 June</w:t>
      </w:r>
      <w:r w:rsidR="00D87BA6">
        <w:t xml:space="preserve"> </w:t>
      </w:r>
      <w:r w:rsidR="00DA5284" w:rsidRPr="00FD7877">
        <w:t>202</w:t>
      </w:r>
      <w:r w:rsidR="00D87BA6">
        <w:t>4</w:t>
      </w:r>
    </w:p>
    <w:p w14:paraId="7156FA25" w14:textId="77777777" w:rsidR="000B7A68" w:rsidRDefault="000B7A68">
      <w:pPr>
        <w:spacing w:before="0" w:after="200" w:line="276" w:lineRule="auto"/>
        <w:rPr>
          <w:rFonts w:eastAsia="Times" w:cs="Times New Roman"/>
          <w:b/>
          <w:bCs/>
          <w:color w:val="000000" w:themeColor="text1"/>
          <w:sz w:val="48"/>
          <w:szCs w:val="48"/>
        </w:rPr>
      </w:pPr>
      <w:r>
        <w:br w:type="page"/>
      </w:r>
    </w:p>
    <w:p w14:paraId="3E330DA0" w14:textId="1B24E44C" w:rsidR="001C0486" w:rsidRPr="00EC3A5D" w:rsidRDefault="001C0486" w:rsidP="00177B70">
      <w:pPr>
        <w:pStyle w:val="Subtitle"/>
      </w:pPr>
      <w:bookmarkStart w:id="2" w:name="_Toc164814808"/>
      <w:bookmarkStart w:id="3" w:name="_Toc164814869"/>
      <w:r w:rsidRPr="00EC3A5D">
        <w:lastRenderedPageBreak/>
        <w:t>PERFORMANCE REPORT</w:t>
      </w:r>
      <w:bookmarkEnd w:id="2"/>
      <w:bookmarkEnd w:id="3"/>
    </w:p>
    <w:p w14:paraId="465B9CA0" w14:textId="6C537EE5" w:rsidR="00A17D7C" w:rsidRDefault="00A17D7C" w:rsidP="004E3526">
      <w:pPr>
        <w:pStyle w:val="Heading2"/>
      </w:pPr>
      <w:bookmarkStart w:id="4" w:name="_Toc164814809"/>
      <w:bookmarkStart w:id="5" w:name="_Toc164814870"/>
      <w:r>
        <w:t xml:space="preserve">Introduction with </w:t>
      </w:r>
      <w:r w:rsidR="00F40826">
        <w:t>Tracy Dowling</w:t>
      </w:r>
      <w:bookmarkEnd w:id="4"/>
      <w:bookmarkEnd w:id="5"/>
    </w:p>
    <w:p w14:paraId="3F18AD39" w14:textId="01005F7B" w:rsidR="000620FF" w:rsidRDefault="000620FF" w:rsidP="000620FF">
      <w:r>
        <w:t>As the interim C</w:t>
      </w:r>
      <w:r w:rsidR="00FB016C">
        <w:t>hief Executive Officer (C</w:t>
      </w:r>
      <w:r>
        <w:t>EO</w:t>
      </w:r>
      <w:r w:rsidR="00FB016C">
        <w:t>)</w:t>
      </w:r>
      <w:r>
        <w:t xml:space="preserve"> of NHS Mid and South Essex</w:t>
      </w:r>
      <w:r w:rsidR="00A417A3">
        <w:t xml:space="preserve"> ICB</w:t>
      </w:r>
      <w:r>
        <w:t>, it's with a blend of humility and pride that I pen this for</w:t>
      </w:r>
      <w:r w:rsidR="00373F5F">
        <w:t>e</w:t>
      </w:r>
      <w:r>
        <w:t>w</w:t>
      </w:r>
      <w:r w:rsidR="00373F5F">
        <w:t>o</w:t>
      </w:r>
      <w:r>
        <w:t xml:space="preserve">rd to our annual report. </w:t>
      </w:r>
    </w:p>
    <w:p w14:paraId="30BA3CA6" w14:textId="1CBA8084" w:rsidR="000620FF" w:rsidRDefault="000620FF" w:rsidP="000620FF">
      <w:r>
        <w:t xml:space="preserve">Reflecting on the </w:t>
      </w:r>
      <w:r w:rsidR="005C79FC">
        <w:t xml:space="preserve">financial </w:t>
      </w:r>
      <w:r>
        <w:t>year 2023/24, I am struck by both the enduring challenges we face and the remarkable strides we have made under immense pressure.</w:t>
      </w:r>
    </w:p>
    <w:p w14:paraId="73B57715" w14:textId="77777777" w:rsidR="000620FF" w:rsidRDefault="000620FF" w:rsidP="000620FF">
      <w:r>
        <w:t xml:space="preserve">This past year, the lingering effects of the COVID-19 pandemic continued to exacerbate health inequalities within our community, highlighting vulnerabilities that require our urgent attention. </w:t>
      </w:r>
    </w:p>
    <w:p w14:paraId="13A6451C" w14:textId="76936BC5" w:rsidR="000620FF" w:rsidRDefault="000620FF" w:rsidP="000620FF">
      <w:r>
        <w:t xml:space="preserve">Our primary care services </w:t>
      </w:r>
      <w:r w:rsidR="00E1342A">
        <w:t>have responded to the significant demands made of them by increasing activity by over 8%. W</w:t>
      </w:r>
      <w:r>
        <w:t>e continue to face significant demands on our mental health, urgent, and emergency services</w:t>
      </w:r>
      <w:r w:rsidR="004B3466">
        <w:t>, and again have continued to improve performance significantly over 2023/24</w:t>
      </w:r>
      <w:r>
        <w:t xml:space="preserve">. </w:t>
      </w:r>
    </w:p>
    <w:p w14:paraId="6CB60CF9" w14:textId="109A6406" w:rsidR="000620FF" w:rsidRDefault="000620FF" w:rsidP="000620FF">
      <w:r>
        <w:t xml:space="preserve">Notably, we have experienced long waits for planned treatments and are </w:t>
      </w:r>
      <w:r w:rsidR="005A31E6">
        <w:t>still working to recover performance levels in cancer services, and over 2023/24 we have made significant inroads into clearing treatment backlogs</w:t>
      </w:r>
      <w:r w:rsidR="00E46EB2">
        <w:t xml:space="preserve"> and reducing wait times and waiting lists.</w:t>
      </w:r>
      <w:r>
        <w:t xml:space="preserve"> </w:t>
      </w:r>
    </w:p>
    <w:p w14:paraId="1F1CA971" w14:textId="520CD207" w:rsidR="000620FF" w:rsidRDefault="000620FF" w:rsidP="000620FF">
      <w:r>
        <w:t xml:space="preserve">Our </w:t>
      </w:r>
      <w:r w:rsidR="00325D59">
        <w:t xml:space="preserve">system </w:t>
      </w:r>
      <w:r>
        <w:t xml:space="preserve">workforce challenges, characterised by high vacancies and a heavy reliance on bank and agency staff, can affect the quality of care we </w:t>
      </w:r>
      <w:r w:rsidR="001F2912">
        <w:t>provide,</w:t>
      </w:r>
      <w:r>
        <w:t xml:space="preserve"> and our focus remain</w:t>
      </w:r>
      <w:r w:rsidR="7C03B7E3">
        <w:t>s</w:t>
      </w:r>
      <w:r>
        <w:t xml:space="preserve"> relentlessly on achieving high quality care for all. </w:t>
      </w:r>
      <w:r w:rsidR="00E46EB2">
        <w:t xml:space="preserve"> Over this last year in</w:t>
      </w:r>
      <w:r w:rsidR="004342C6">
        <w:t xml:space="preserve"> the</w:t>
      </w:r>
      <w:r w:rsidR="00E46EB2">
        <w:t xml:space="preserve"> mid and south Essex</w:t>
      </w:r>
      <w:r w:rsidR="004342C6">
        <w:t xml:space="preserve"> system</w:t>
      </w:r>
      <w:r w:rsidR="00E46EB2">
        <w:t>, we have seen vacancy rates reduce;</w:t>
      </w:r>
      <w:r w:rsidR="004C7464">
        <w:t xml:space="preserve"> staff turnover rates </w:t>
      </w:r>
      <w:r w:rsidR="00FF618A">
        <w:t>improve,</w:t>
      </w:r>
      <w:r w:rsidR="004C7464">
        <w:t xml:space="preserve"> and we have seen reductions in sickness absence.  We are focussed this year on significantly reduced temporary staff use given the successes in recruitment and retention.</w:t>
      </w:r>
    </w:p>
    <w:p w14:paraId="299D06A1" w14:textId="6D2CAE93" w:rsidR="000620FF" w:rsidRDefault="000620FF" w:rsidP="000620FF">
      <w:r>
        <w:t>Financially, we face a significant deficit that has prevented us from meeting our planned financial positions</w:t>
      </w:r>
      <w:r w:rsidR="00FF618A">
        <w:t>.  R</w:t>
      </w:r>
      <w:r>
        <w:t>ecovering this will dominate our actions in 2024/25.</w:t>
      </w:r>
    </w:p>
    <w:p w14:paraId="08141945" w14:textId="77777777" w:rsidR="000620FF" w:rsidRDefault="000620FF" w:rsidP="000620FF">
      <w:r>
        <w:t xml:space="preserve">Despite these formidable challenges, our ambitions remain high, and our achievements this year are testament to the dedication of our staff and the resilience of our system. </w:t>
      </w:r>
    </w:p>
    <w:p w14:paraId="34D116CE" w14:textId="587D2EE0" w:rsidR="000620FF" w:rsidRDefault="0088256A" w:rsidP="000620FF">
      <w:r>
        <w:t xml:space="preserve">The </w:t>
      </w:r>
      <w:r w:rsidR="000620FF">
        <w:t xml:space="preserve">improvements </w:t>
      </w:r>
      <w:r>
        <w:t xml:space="preserve">we have delivered </w:t>
      </w:r>
      <w:r w:rsidR="000620FF">
        <w:t>have not only impacted our community positively but have also gained national recognition.</w:t>
      </w:r>
      <w:r>
        <w:t xml:space="preserve">  </w:t>
      </w:r>
      <w:r w:rsidR="000620FF">
        <w:t xml:space="preserve">Innovations like our </w:t>
      </w:r>
      <w:r w:rsidR="0048710A">
        <w:t>a</w:t>
      </w:r>
      <w:r w:rsidR="000620FF">
        <w:t xml:space="preserve">nchor </w:t>
      </w:r>
      <w:r w:rsidR="00125826">
        <w:t>p</w:t>
      </w:r>
      <w:r w:rsidR="000620FF">
        <w:t xml:space="preserve">rogramme, our virtual hospital initiatives, and advancements in </w:t>
      </w:r>
      <w:r w:rsidR="000202C5">
        <w:t>t</w:t>
      </w:r>
      <w:r w:rsidR="000620FF">
        <w:t xml:space="preserve">eledermatology </w:t>
      </w:r>
      <w:r w:rsidR="00AC6583">
        <w:t xml:space="preserve">to reduce urgent suspected skin cancer wait times, </w:t>
      </w:r>
      <w:r w:rsidR="000620FF">
        <w:t xml:space="preserve">highlight our commitment to technological integration and improved patient outcomes. </w:t>
      </w:r>
    </w:p>
    <w:p w14:paraId="5464AC7C" w14:textId="16F62270" w:rsidR="000620FF" w:rsidRDefault="000620FF" w:rsidP="000620FF">
      <w:r w:rsidRPr="00F80CA8">
        <w:t xml:space="preserve">Our </w:t>
      </w:r>
      <w:r w:rsidR="006716B2" w:rsidRPr="00F80CA8">
        <w:t>h</w:t>
      </w:r>
      <w:r w:rsidRPr="00F80CA8">
        <w:t xml:space="preserve">appy </w:t>
      </w:r>
      <w:r w:rsidR="006716B2" w:rsidRPr="00F80CA8">
        <w:t>h</w:t>
      </w:r>
      <w:r w:rsidRPr="00F80CA8">
        <w:t>ubs and wellbeing cafes ha</w:t>
      </w:r>
      <w:r>
        <w:t>ve been pivotal in creating accessible wellness centres within the community, directly addressing the holistic needs of our residents.</w:t>
      </w:r>
    </w:p>
    <w:p w14:paraId="3539EE1C" w14:textId="6C0E1487" w:rsidR="000620FF" w:rsidRDefault="000620FF" w:rsidP="000620FF">
      <w:r>
        <w:t xml:space="preserve">In December 2023 alone, primary care delivered over </w:t>
      </w:r>
      <w:r w:rsidR="00F65745">
        <w:t>7%</w:t>
      </w:r>
      <w:r>
        <w:t xml:space="preserve"> more consultations than in the previous year, an achievement supported by the introduction of new roles, enhanced technology, and self-referral pathways that empower our residents to access the best possible care for their needs.</w:t>
      </w:r>
    </w:p>
    <w:p w14:paraId="0A707294" w14:textId="77777777" w:rsidR="000620FF" w:rsidRDefault="000620FF" w:rsidP="000620FF">
      <w:r>
        <w:lastRenderedPageBreak/>
        <w:t>The introduction of integrated neighbourhood teams and transfer of care hubs are both helping our patients to receive the help and support they need in the most timely and appropriate locations.</w:t>
      </w:r>
    </w:p>
    <w:p w14:paraId="16E85968" w14:textId="520B03D3" w:rsidR="000620FF" w:rsidRDefault="000620FF" w:rsidP="000620FF">
      <w:r>
        <w:t xml:space="preserve">Our focus continues to be on reducing health inequalities and improving the overall health and wellbeing of the population we serve. </w:t>
      </w:r>
      <w:r w:rsidRPr="00362B69">
        <w:t xml:space="preserve">Looking forward, </w:t>
      </w:r>
      <w:r w:rsidR="449AA4A2">
        <w:t>we remain</w:t>
      </w:r>
      <w:r w:rsidRPr="00362B69">
        <w:t xml:space="preserve"> steadfast on enhancing patient care and health outcomes. </w:t>
      </w:r>
    </w:p>
    <w:p w14:paraId="6ABAA2C0" w14:textId="77777777" w:rsidR="000620FF" w:rsidRDefault="000620FF" w:rsidP="000620FF">
      <w:r>
        <w:t>This will require continued innovation, enhanced collaboration across all levels of our system, and a strengthened resolve to overcome the financial and operational challenges we face.</w:t>
      </w:r>
    </w:p>
    <w:p w14:paraId="150293E4" w14:textId="77777777" w:rsidR="000620FF" w:rsidRDefault="000620FF" w:rsidP="000620FF">
      <w:r>
        <w:t>I extend my deepest gratitude to our dedicated staff, whose commitment has been nothing short of inspiring. To our partners and stakeholders, thank you for your unwavering support and collaboration. And to our community, thank you for entrusting us with your health and wellbeing.</w:t>
      </w:r>
    </w:p>
    <w:p w14:paraId="1EF05A23" w14:textId="00640EA2" w:rsidR="000620FF" w:rsidRDefault="000620FF" w:rsidP="000620FF">
      <w:r w:rsidRPr="007C7CDA">
        <w:t>The landscape of healthcare is ever evolving, marked by shifts in policy, emerging health needs, and the ongoing quest for sustainability. These challenges call for a continued commitment to excellence, innovation</w:t>
      </w:r>
      <w:r w:rsidR="00017EFE">
        <w:t xml:space="preserve"> </w:t>
      </w:r>
      <w:r w:rsidRPr="007C7CDA">
        <w:t>and, above all, compassion.</w:t>
      </w:r>
    </w:p>
    <w:p w14:paraId="5A41D07C" w14:textId="77777777" w:rsidR="004D5C81" w:rsidRDefault="004D5C81" w:rsidP="004E3526">
      <w:pPr>
        <w:pStyle w:val="BodyText"/>
      </w:pPr>
    </w:p>
    <w:p w14:paraId="518CA235" w14:textId="77777777" w:rsidR="001F2912" w:rsidRDefault="001F2912" w:rsidP="004E3526">
      <w:pPr>
        <w:pStyle w:val="BodyText"/>
      </w:pPr>
    </w:p>
    <w:p w14:paraId="43F89688" w14:textId="77777777" w:rsidR="001F2912" w:rsidRDefault="001F2912" w:rsidP="004E3526">
      <w:pPr>
        <w:pStyle w:val="BodyText"/>
      </w:pPr>
    </w:p>
    <w:p w14:paraId="1DA63EC6" w14:textId="13D94FBC" w:rsidR="00A17D7C" w:rsidRPr="0027019A" w:rsidRDefault="00F40826" w:rsidP="004E3526">
      <w:pPr>
        <w:pStyle w:val="BodyText"/>
      </w:pPr>
      <w:r>
        <w:rPr>
          <w:b/>
          <w:bCs/>
        </w:rPr>
        <w:t>Tracy Dowling</w:t>
      </w:r>
      <w:r w:rsidR="00A17D7C">
        <w:br/>
      </w:r>
      <w:r>
        <w:t xml:space="preserve">Interim </w:t>
      </w:r>
      <w:r w:rsidR="00913B3A">
        <w:t xml:space="preserve">Chief Executive </w:t>
      </w:r>
      <w:r w:rsidR="00D03247">
        <w:t xml:space="preserve">Officer </w:t>
      </w:r>
      <w:r w:rsidR="00913B3A">
        <w:t>of</w:t>
      </w:r>
      <w:r w:rsidR="00A17D7C">
        <w:t xml:space="preserve"> NHS Mid and South Essex Integrated Care Board</w:t>
      </w:r>
    </w:p>
    <w:p w14:paraId="4B0DE5F6" w14:textId="77777777" w:rsidR="00E57AFE" w:rsidRPr="00FD7877" w:rsidRDefault="00E57AFE" w:rsidP="00E57AFE">
      <w:pPr>
        <w:pStyle w:val="BodyText"/>
        <w:rPr>
          <w:b/>
        </w:rPr>
      </w:pPr>
      <w:r>
        <w:t xml:space="preserve">24 June </w:t>
      </w:r>
      <w:r w:rsidRPr="00FD7877">
        <w:t>202</w:t>
      </w:r>
      <w:r>
        <w:t>4</w:t>
      </w:r>
    </w:p>
    <w:p w14:paraId="0EC8D9BB" w14:textId="77777777" w:rsidR="001C0486" w:rsidRPr="008C21BB" w:rsidRDefault="001C0486" w:rsidP="004E3526">
      <w:pPr>
        <w:pStyle w:val="BodyText"/>
      </w:pPr>
      <w:r w:rsidRPr="004E6D85">
        <w:br w:type="page"/>
      </w:r>
    </w:p>
    <w:p w14:paraId="4A558545" w14:textId="77777777" w:rsidR="001C0486" w:rsidRPr="00253891" w:rsidRDefault="001C0486" w:rsidP="00E666CF">
      <w:pPr>
        <w:pStyle w:val="Heading1"/>
        <w:rPr>
          <w:b/>
        </w:rPr>
      </w:pPr>
      <w:bookmarkStart w:id="6" w:name="_Toc164814810"/>
      <w:bookmarkStart w:id="7" w:name="_Toc164814871"/>
      <w:r w:rsidRPr="00253891">
        <w:lastRenderedPageBreak/>
        <w:t>Performance Overview</w:t>
      </w:r>
      <w:bookmarkEnd w:id="6"/>
      <w:bookmarkEnd w:id="7"/>
    </w:p>
    <w:p w14:paraId="2A5A2FD9" w14:textId="5CF3C633" w:rsidR="00AA03E8" w:rsidRDefault="004B6247" w:rsidP="004D7E5D">
      <w:pPr>
        <w:pStyle w:val="Heading2"/>
      </w:pPr>
      <w:bookmarkStart w:id="8" w:name="_Toc164814811"/>
      <w:bookmarkStart w:id="9" w:name="_Toc164814872"/>
      <w:r>
        <w:t>What we do</w:t>
      </w:r>
      <w:bookmarkEnd w:id="8"/>
      <w:bookmarkEnd w:id="9"/>
    </w:p>
    <w:p w14:paraId="6386C951" w14:textId="3D81831E" w:rsidR="006E6946" w:rsidRPr="0078549E" w:rsidRDefault="006E6946" w:rsidP="006E6946">
      <w:pPr>
        <w:pStyle w:val="BodyText"/>
      </w:pPr>
      <w:r w:rsidRPr="0078549E">
        <w:t>Integrated Care Systems (ICSs) are partnerships of organisations that come together to plan and deliver joined up health and care services and to improve the lives of people who live and work in their area.</w:t>
      </w:r>
    </w:p>
    <w:p w14:paraId="44E60D94" w14:textId="03433527" w:rsidR="006E6946" w:rsidRPr="0078549E" w:rsidRDefault="006E6946" w:rsidP="006E6946">
      <w:pPr>
        <w:pStyle w:val="BodyText"/>
      </w:pPr>
      <w:r w:rsidRPr="0078549E">
        <w:t xml:space="preserve">Following several years of locally led development, recommendations from NHS England </w:t>
      </w:r>
      <w:r w:rsidR="00F46054">
        <w:t xml:space="preserve">(NHSE) </w:t>
      </w:r>
      <w:r w:rsidRPr="0078549E">
        <w:t xml:space="preserve">and the passage of the Health and Care Act (2022), forty-two ICSs were established across England on a statutory basis on 1July 2022. The ICS is made up of two main </w:t>
      </w:r>
      <w:r w:rsidR="00471C4B">
        <w:t>Boards/</w:t>
      </w:r>
      <w:r w:rsidRPr="0078549E">
        <w:t>committees:</w:t>
      </w:r>
    </w:p>
    <w:p w14:paraId="48A3C8D9" w14:textId="73367161" w:rsidR="006E6946" w:rsidRPr="0078549E" w:rsidRDefault="006E6946" w:rsidP="006E6946">
      <w:pPr>
        <w:pStyle w:val="BodyText"/>
      </w:pPr>
      <w:r w:rsidRPr="0078549E">
        <w:rPr>
          <w:b/>
          <w:iCs/>
        </w:rPr>
        <w:t>Integrated Care Board (ICB</w:t>
      </w:r>
      <w:r w:rsidRPr="0078549E">
        <w:rPr>
          <w:b/>
          <w:i/>
        </w:rPr>
        <w:t>):</w:t>
      </w:r>
      <w:r w:rsidRPr="0078549E">
        <w:rPr>
          <w:i/>
        </w:rPr>
        <w:t xml:space="preserve"> </w:t>
      </w:r>
      <w:r w:rsidRPr="0078549E">
        <w:t xml:space="preserve">A statutory NHS organisation responsible for developing a plan for meeting the health needs of the population, managing the NHS budget, and arranging for the provision of health services in the </w:t>
      </w:r>
      <w:r w:rsidR="00471C4B">
        <w:t>ICS</w:t>
      </w:r>
      <w:r w:rsidRPr="0078549E">
        <w:t xml:space="preserve"> area. </w:t>
      </w:r>
    </w:p>
    <w:p w14:paraId="0CD12DF8" w14:textId="3336DA3C" w:rsidR="001437A2" w:rsidRPr="0078549E" w:rsidRDefault="006E6946" w:rsidP="006E6946">
      <w:pPr>
        <w:pStyle w:val="BodyText"/>
      </w:pPr>
      <w:bookmarkStart w:id="10" w:name="_3znysh7"/>
      <w:bookmarkEnd w:id="10"/>
      <w:r w:rsidRPr="6ECE6615">
        <w:rPr>
          <w:b/>
          <w:bCs/>
        </w:rPr>
        <w:t>Integrated Care Partnership (ICP):</w:t>
      </w:r>
      <w:r w:rsidRPr="6ECE6615">
        <w:rPr>
          <w:b/>
          <w:bCs/>
          <w:i/>
          <w:iCs/>
        </w:rPr>
        <w:t xml:space="preserve"> </w:t>
      </w:r>
      <w:r>
        <w:t xml:space="preserve">A statutory committee jointly formed between the NHS ICB and all upper-tier local authorities (councils with responsibility for children’s and adult social care and public health) </w:t>
      </w:r>
      <w:r w:rsidR="00C5693C">
        <w:t>that fall within the ICS’s area</w:t>
      </w:r>
      <w:r w:rsidR="0045437F">
        <w:t>.</w:t>
      </w:r>
      <w:r w:rsidR="00C5693C">
        <w:t xml:space="preserve"> </w:t>
      </w:r>
      <w:r>
        <w:t>The ICP bring</w:t>
      </w:r>
      <w:r w:rsidR="19915888">
        <w:t>s</w:t>
      </w:r>
      <w:r>
        <w:t xml:space="preserve"> together a broad alliance of partners concerned with improving the care, health, and wellbeing of the population, with membership determined locally. The ICP is responsible for producing an Integrated Care Strategy on how to meet the health and wellbeing needs of the population in the</w:t>
      </w:r>
      <w:r w:rsidR="008C4802">
        <w:t xml:space="preserve"> ICS</w:t>
      </w:r>
      <w:r>
        <w:t xml:space="preserve"> area</w:t>
      </w:r>
      <w:r w:rsidR="00473D06">
        <w:t>.</w:t>
      </w:r>
      <w:r w:rsidR="00B53C0A">
        <w:t xml:space="preserve">  The ICB is committed to delivering the vision and objectives set out within the strategy from a health perspective.</w:t>
      </w:r>
    </w:p>
    <w:p w14:paraId="607FB58B" w14:textId="255CC17F" w:rsidR="006E6946" w:rsidRDefault="006E6946" w:rsidP="006E6946">
      <w:pPr>
        <w:pStyle w:val="BodyText"/>
      </w:pPr>
      <w:r w:rsidRPr="00175C42">
        <w:t xml:space="preserve">In </w:t>
      </w:r>
      <w:r w:rsidR="13AEF446">
        <w:t>m</w:t>
      </w:r>
      <w:r w:rsidRPr="00175C42">
        <w:t xml:space="preserve">id and </w:t>
      </w:r>
      <w:r w:rsidR="0D825435">
        <w:t>s</w:t>
      </w:r>
      <w:r w:rsidRPr="00175C42">
        <w:t>outh Essex</w:t>
      </w:r>
      <w:r w:rsidR="00471C4B">
        <w:t xml:space="preserve"> (MSE)</w:t>
      </w:r>
      <w:r w:rsidRPr="00175C42">
        <w:t>, our ICS is made up of a wide range of partners, supporting our population of 1.</w:t>
      </w:r>
      <w:r w:rsidRPr="00067DE1">
        <w:t>2</w:t>
      </w:r>
      <w:r w:rsidR="005138AC" w:rsidRPr="00067DE1">
        <w:t xml:space="preserve"> </w:t>
      </w:r>
      <w:r w:rsidRPr="00067DE1">
        <w:t>m</w:t>
      </w:r>
      <w:r w:rsidR="005138AC" w:rsidRPr="00067DE1">
        <w:t>il</w:t>
      </w:r>
      <w:r w:rsidR="005138AC">
        <w:t>lion</w:t>
      </w:r>
      <w:r w:rsidRPr="00175C42">
        <w:t xml:space="preserve"> people. We operate at several levels, ensuring we always organise our work and deliver services at the most local appropriate level and closest to the residents we serve</w:t>
      </w:r>
      <w:r w:rsidR="00237552">
        <w:t>.</w:t>
      </w:r>
    </w:p>
    <w:p w14:paraId="043C5A5D" w14:textId="42F379FF" w:rsidR="003708D7" w:rsidRDefault="003708D7" w:rsidP="006E6946">
      <w:pPr>
        <w:pStyle w:val="BodyText"/>
      </w:pPr>
      <w:r w:rsidRPr="00291877">
        <w:t xml:space="preserve">The diagram below shows the shape of our </w:t>
      </w:r>
      <w:r w:rsidR="0003342F">
        <w:t>p</w:t>
      </w:r>
      <w:r w:rsidRPr="00291877">
        <w:t>artnership</w:t>
      </w:r>
      <w:r>
        <w:t>, explained further overleaf</w:t>
      </w:r>
      <w:r w:rsidRPr="00291877">
        <w:t>:</w:t>
      </w:r>
    </w:p>
    <w:p w14:paraId="61AA7949" w14:textId="232263ED" w:rsidR="00F46B8C" w:rsidRDefault="00F46B8C" w:rsidP="006E6946">
      <w:pPr>
        <w:pStyle w:val="BodyText"/>
      </w:pPr>
      <w:r>
        <w:rPr>
          <w:noProof/>
        </w:rPr>
        <w:drawing>
          <wp:inline distT="0" distB="0" distL="0" distR="0" wp14:anchorId="4BE91C50" wp14:editId="12101A45">
            <wp:extent cx="6063549" cy="3286125"/>
            <wp:effectExtent l="0" t="0" r="0" b="0"/>
            <wp:docPr id="2" name="Picture 2" descr="Pictograms showing the key statistics for our area explained further below.  Plus a map of the ICB geographic area split to Alliance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ictograms showing the key statistics for our area explained further below.  Plus a map of the ICB geographic area split to Alliance level."/>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16121" cy="3314616"/>
                    </a:xfrm>
                    <a:prstGeom prst="rect">
                      <a:avLst/>
                    </a:prstGeom>
                    <a:noFill/>
                  </pic:spPr>
                </pic:pic>
              </a:graphicData>
            </a:graphic>
          </wp:inline>
        </w:drawing>
      </w:r>
    </w:p>
    <w:p w14:paraId="4E27E43A" w14:textId="77777777" w:rsidR="00F46B8C" w:rsidRPr="00175C42" w:rsidRDefault="00F46B8C" w:rsidP="006E6946">
      <w:pPr>
        <w:pStyle w:val="BodyText"/>
      </w:pPr>
    </w:p>
    <w:p w14:paraId="1E648CEF" w14:textId="1C42119E" w:rsidR="006E6946" w:rsidRPr="00175C42" w:rsidRDefault="006E6946" w:rsidP="6ECE6615">
      <w:pPr>
        <w:pStyle w:val="BodyText"/>
      </w:pPr>
      <w:r w:rsidRPr="6ECE6615">
        <w:rPr>
          <w:b/>
          <w:bCs/>
        </w:rPr>
        <w:t>Neighbourhoods</w:t>
      </w:r>
      <w:r w:rsidRPr="6ECE6615">
        <w:rPr>
          <w:b/>
          <w:bCs/>
          <w:i/>
          <w:iCs/>
        </w:rPr>
        <w:t xml:space="preserve">: </w:t>
      </w:r>
      <w:r>
        <w:t xml:space="preserve">The areas covered by our </w:t>
      </w:r>
      <w:r w:rsidRPr="6ECE6615">
        <w:rPr>
          <w:color w:val="000000" w:themeColor="text1"/>
        </w:rPr>
        <w:t>2</w:t>
      </w:r>
      <w:r w:rsidR="00F46B8C">
        <w:rPr>
          <w:color w:val="000000" w:themeColor="text1"/>
        </w:rPr>
        <w:t>6</w:t>
      </w:r>
      <w:r w:rsidRPr="6ECE6615">
        <w:rPr>
          <w:color w:val="000000" w:themeColor="text1"/>
        </w:rPr>
        <w:t xml:space="preserve"> Primary Care Networks</w:t>
      </w:r>
      <w:r w:rsidR="00EA090F">
        <w:rPr>
          <w:color w:val="000000" w:themeColor="text1"/>
        </w:rPr>
        <w:t xml:space="preserve"> (PCNs)</w:t>
      </w:r>
      <w:r w:rsidRPr="6ECE6615">
        <w:rPr>
          <w:color w:val="000000" w:themeColor="text1"/>
        </w:rPr>
        <w:t xml:space="preserve">, </w:t>
      </w:r>
      <w:r>
        <w:t>and local neighbourhood teams</w:t>
      </w:r>
      <w:r w:rsidR="003C67D1">
        <w:t xml:space="preserve"> (INTs)</w:t>
      </w:r>
      <w:r w:rsidR="00F46B8C">
        <w:t>.</w:t>
      </w:r>
    </w:p>
    <w:p w14:paraId="127F74D5" w14:textId="16847D25" w:rsidR="006E6946" w:rsidRPr="00175C42" w:rsidRDefault="006E6946" w:rsidP="006E6946">
      <w:pPr>
        <w:pStyle w:val="BodyText"/>
      </w:pPr>
      <w:r w:rsidRPr="6ECE6615">
        <w:rPr>
          <w:b/>
          <w:bCs/>
        </w:rPr>
        <w:t>Places:</w:t>
      </w:r>
      <w:r w:rsidRPr="6ECE6615">
        <w:rPr>
          <w:i/>
          <w:iCs/>
        </w:rPr>
        <w:t xml:space="preserve"> </w:t>
      </w:r>
      <w:r>
        <w:t xml:space="preserve">The areas covered by our four </w:t>
      </w:r>
      <w:r w:rsidR="16A59FB5">
        <w:t>a</w:t>
      </w:r>
      <w:r>
        <w:t xml:space="preserve">lliances, covering </w:t>
      </w:r>
      <w:r w:rsidR="0E29F3BD">
        <w:t>m</w:t>
      </w:r>
      <w:r>
        <w:t xml:space="preserve">id Essex, Basildon and Brentwood, Thurrock and </w:t>
      </w:r>
      <w:r w:rsidR="4409C775">
        <w:t>s</w:t>
      </w:r>
      <w:r>
        <w:t xml:space="preserve">outh </w:t>
      </w:r>
      <w:r w:rsidR="08FB58A6">
        <w:t>e</w:t>
      </w:r>
      <w:r>
        <w:t>ast Essex.</w:t>
      </w:r>
    </w:p>
    <w:p w14:paraId="3EB1D836" w14:textId="3707F12B" w:rsidR="006E6946" w:rsidRPr="00175C42" w:rsidRDefault="006E6946" w:rsidP="006E6946">
      <w:pPr>
        <w:pStyle w:val="BodyText"/>
        <w:rPr>
          <w:bCs/>
          <w:iCs/>
        </w:rPr>
      </w:pPr>
      <w:r w:rsidRPr="00175C42">
        <w:rPr>
          <w:b/>
          <w:iCs/>
        </w:rPr>
        <w:t>System:</w:t>
      </w:r>
      <w:r w:rsidRPr="00175C42">
        <w:rPr>
          <w:b/>
          <w:i/>
        </w:rPr>
        <w:t xml:space="preserve"> </w:t>
      </w:r>
      <w:r w:rsidRPr="00175C42">
        <w:rPr>
          <w:bCs/>
          <w:iCs/>
        </w:rPr>
        <w:t xml:space="preserve">The whole of </w:t>
      </w:r>
      <w:r w:rsidR="00471C4B">
        <w:t>MSE</w:t>
      </w:r>
      <w:r w:rsidRPr="00175C42">
        <w:rPr>
          <w:bCs/>
          <w:iCs/>
        </w:rPr>
        <w:t>.</w:t>
      </w:r>
    </w:p>
    <w:p w14:paraId="47C0585F" w14:textId="3FCD2DED" w:rsidR="006E6946" w:rsidRPr="00175C42" w:rsidRDefault="006E6946" w:rsidP="006E6946">
      <w:pPr>
        <w:pStyle w:val="BodyText"/>
      </w:pPr>
      <w:r w:rsidRPr="00175C42">
        <w:t xml:space="preserve">Our </w:t>
      </w:r>
      <w:r w:rsidR="47624C26">
        <w:t>p</w:t>
      </w:r>
      <w:r w:rsidRPr="00175C42">
        <w:t>artnership includes</w:t>
      </w:r>
      <w:r w:rsidR="006830BC" w:rsidRPr="00175C42">
        <w:t>:</w:t>
      </w:r>
    </w:p>
    <w:p w14:paraId="390B1CAA" w14:textId="77777777" w:rsidR="006E6946" w:rsidRPr="00175C42" w:rsidRDefault="006E6946" w:rsidP="006E6946">
      <w:pPr>
        <w:pStyle w:val="BodyText"/>
        <w:rPr>
          <w:b/>
          <w:i/>
        </w:rPr>
      </w:pPr>
      <w:r w:rsidRPr="00175C42">
        <w:rPr>
          <w:b/>
          <w:iCs/>
        </w:rPr>
        <w:t>Three upper tier local authorities</w:t>
      </w:r>
      <w:r w:rsidRPr="00175C42">
        <w:rPr>
          <w:b/>
          <w:i/>
        </w:rPr>
        <w:t xml:space="preserve">: </w:t>
      </w:r>
      <w:r w:rsidRPr="00175C42">
        <w:t>Essex County Council, Southend-on-Sea City Council (unitary), and Thurrock Council (unitary).</w:t>
      </w:r>
    </w:p>
    <w:p w14:paraId="7A576BAA" w14:textId="77777777" w:rsidR="006E6946" w:rsidRPr="00175C42" w:rsidRDefault="006E6946" w:rsidP="006E6946">
      <w:pPr>
        <w:pStyle w:val="BodyText"/>
        <w:rPr>
          <w:b/>
          <w:i/>
        </w:rPr>
      </w:pPr>
      <w:r w:rsidRPr="00175C42">
        <w:rPr>
          <w:b/>
          <w:iCs/>
        </w:rPr>
        <w:t>Seven district councils:</w:t>
      </w:r>
      <w:r w:rsidRPr="00175C42">
        <w:rPr>
          <w:b/>
          <w:i/>
        </w:rPr>
        <w:t xml:space="preserve"> </w:t>
      </w:r>
      <w:r w:rsidRPr="00175C42">
        <w:t>Basildon Borough Council, Braintree District Council, Brentwood Borough Council, Castle Point Borough Council, Chelmsford City Council, Maldon District Council, Rochford District Council.</w:t>
      </w:r>
    </w:p>
    <w:p w14:paraId="06CA44A9" w14:textId="46E9768D" w:rsidR="006E6946" w:rsidRPr="00175C42" w:rsidRDefault="006E6946" w:rsidP="006E6946">
      <w:pPr>
        <w:pStyle w:val="BodyText"/>
        <w:rPr>
          <w:b/>
          <w:i/>
        </w:rPr>
      </w:pPr>
      <w:r w:rsidRPr="00175C42">
        <w:rPr>
          <w:b/>
          <w:iCs/>
        </w:rPr>
        <w:t>One acute hospital provider:</w:t>
      </w:r>
      <w:r w:rsidRPr="00175C42">
        <w:rPr>
          <w:b/>
          <w:i/>
        </w:rPr>
        <w:t xml:space="preserve"> </w:t>
      </w:r>
      <w:r w:rsidRPr="00175C42">
        <w:t>Mid and South Essex NHS Foundation Trust (MSEFT)</w:t>
      </w:r>
      <w:r w:rsidR="00F46B8C">
        <w:t xml:space="preserve">, with main sites in Southend, </w:t>
      </w:r>
      <w:r w:rsidR="003708D7">
        <w:t>Basildon,</w:t>
      </w:r>
      <w:r w:rsidR="00F46B8C">
        <w:t xml:space="preserve"> and Chelmsford</w:t>
      </w:r>
      <w:r w:rsidRPr="00175C42">
        <w:t>.</w:t>
      </w:r>
    </w:p>
    <w:p w14:paraId="7198BB48" w14:textId="6F0902FA" w:rsidR="008F0C68" w:rsidRPr="008F0C68" w:rsidRDefault="008F0C68" w:rsidP="008F0C68">
      <w:pPr>
        <w:spacing w:before="100" w:beforeAutospacing="1" w:after="100" w:afterAutospacing="1"/>
      </w:pPr>
      <w:r w:rsidRPr="008F0C68">
        <w:rPr>
          <w:b/>
          <w:bCs/>
        </w:rPr>
        <w:t>Three main community and mental health service providers: </w:t>
      </w:r>
      <w:r w:rsidRPr="008F0C68">
        <w:t xml:space="preserve"> Essex Partnership University NHS Foundation Trust (EPUT) delivers community and mental health services</w:t>
      </w:r>
      <w:r w:rsidR="00E35168">
        <w:t>;</w:t>
      </w:r>
      <w:r w:rsidRPr="008F0C68">
        <w:t xml:space="preserve"> North East London NHS Foundation Trust (NELFT) delivers community and </w:t>
      </w:r>
      <w:r w:rsidR="46F02D93">
        <w:t>the</w:t>
      </w:r>
      <w:r>
        <w:t xml:space="preserve"> </w:t>
      </w:r>
      <w:r w:rsidRPr="008F0C68">
        <w:t>Child and Adolescents Mental Health Service (CAMHS)</w:t>
      </w:r>
      <w:r w:rsidR="007E226D">
        <w:t>;</w:t>
      </w:r>
      <w:r w:rsidR="00067DE1">
        <w:t xml:space="preserve"> </w:t>
      </w:r>
      <w:r w:rsidRPr="008F0C68">
        <w:t xml:space="preserve">Provide Community Interest Company (CIC) </w:t>
      </w:r>
      <w:r>
        <w:t>deliver</w:t>
      </w:r>
      <w:r w:rsidR="52205187">
        <w:t>s</w:t>
      </w:r>
      <w:r w:rsidRPr="008F0C68">
        <w:t xml:space="preserve"> community services.</w:t>
      </w:r>
    </w:p>
    <w:p w14:paraId="0B559B77" w14:textId="0922194E" w:rsidR="008F0C68" w:rsidRPr="008F0C68" w:rsidRDefault="008F0C68" w:rsidP="008F0C68">
      <w:pPr>
        <w:spacing w:before="100" w:beforeAutospacing="1" w:after="100" w:afterAutospacing="1"/>
      </w:pPr>
      <w:r w:rsidRPr="008F0C68">
        <w:t>The</w:t>
      </w:r>
      <w:r w:rsidR="002224EF">
        <w:t>se</w:t>
      </w:r>
      <w:r w:rsidRPr="008F0C68">
        <w:t xml:space="preserve"> three </w:t>
      </w:r>
      <w:r>
        <w:t>provide</w:t>
      </w:r>
      <w:r w:rsidR="4AAB992D">
        <w:t>r</w:t>
      </w:r>
      <w:r>
        <w:t>s</w:t>
      </w:r>
      <w:r w:rsidRPr="008F0C68">
        <w:t xml:space="preserve"> work together in the delivery of community services (physical health) as the Mid and South Essex Community Collaborative.</w:t>
      </w:r>
    </w:p>
    <w:p w14:paraId="7F61EBA6" w14:textId="77777777" w:rsidR="006E6946" w:rsidRPr="00291877" w:rsidRDefault="006E6946" w:rsidP="006E6946">
      <w:pPr>
        <w:pStyle w:val="BodyText"/>
        <w:rPr>
          <w:b/>
          <w:i/>
        </w:rPr>
      </w:pPr>
      <w:r w:rsidRPr="00291877">
        <w:rPr>
          <w:b/>
          <w:iCs/>
        </w:rPr>
        <w:t>One ambulance service provider:</w:t>
      </w:r>
      <w:r w:rsidRPr="00291877">
        <w:rPr>
          <w:b/>
          <w:i/>
        </w:rPr>
        <w:t xml:space="preserve"> </w:t>
      </w:r>
      <w:r w:rsidRPr="00291877">
        <w:t>East of England Ambulance Service NHS Foundation Trust (EEAST).</w:t>
      </w:r>
    </w:p>
    <w:p w14:paraId="6A9A4174" w14:textId="11AB1DA3" w:rsidR="006E6946" w:rsidRPr="00291877" w:rsidRDefault="006E6946" w:rsidP="006E6946">
      <w:pPr>
        <w:pStyle w:val="BodyText"/>
        <w:rPr>
          <w:bCs/>
          <w:iCs/>
        </w:rPr>
      </w:pPr>
      <w:r w:rsidRPr="00291877">
        <w:rPr>
          <w:b/>
          <w:iCs/>
        </w:rPr>
        <w:t>Primary care:</w:t>
      </w:r>
      <w:r w:rsidRPr="00291877">
        <w:rPr>
          <w:bCs/>
          <w:iCs/>
        </w:rPr>
        <w:t xml:space="preserve"> 2</w:t>
      </w:r>
      <w:r w:rsidR="00E1124F">
        <w:rPr>
          <w:bCs/>
          <w:iCs/>
        </w:rPr>
        <w:t>6</w:t>
      </w:r>
      <w:r w:rsidRPr="00291877">
        <w:rPr>
          <w:bCs/>
          <w:iCs/>
        </w:rPr>
        <w:t xml:space="preserve"> Primary Care Networks (</w:t>
      </w:r>
      <w:r>
        <w:t>PCN</w:t>
      </w:r>
      <w:r w:rsidR="5152DC8A">
        <w:t>s</w:t>
      </w:r>
      <w:r w:rsidRPr="00291877">
        <w:rPr>
          <w:bCs/>
          <w:iCs/>
        </w:rPr>
        <w:t xml:space="preserve">) covering </w:t>
      </w:r>
      <w:r w:rsidR="00E1124F">
        <w:rPr>
          <w:bCs/>
          <w:iCs/>
        </w:rPr>
        <w:t>144</w:t>
      </w:r>
      <w:r w:rsidR="00E1124F" w:rsidRPr="00291877">
        <w:rPr>
          <w:bCs/>
          <w:iCs/>
        </w:rPr>
        <w:t xml:space="preserve"> </w:t>
      </w:r>
      <w:r w:rsidRPr="00291877">
        <w:rPr>
          <w:bCs/>
          <w:iCs/>
        </w:rPr>
        <w:t>GP Practices.</w:t>
      </w:r>
    </w:p>
    <w:p w14:paraId="3ACDEC9D" w14:textId="77777777" w:rsidR="006E6946" w:rsidRPr="00291877" w:rsidRDefault="006E6946" w:rsidP="006E6946">
      <w:pPr>
        <w:pStyle w:val="BodyText"/>
        <w:rPr>
          <w:b/>
          <w:i/>
        </w:rPr>
      </w:pPr>
      <w:r w:rsidRPr="00291877">
        <w:rPr>
          <w:b/>
          <w:iCs/>
        </w:rPr>
        <w:t>Three local independent watchdog bodies:</w:t>
      </w:r>
      <w:r w:rsidRPr="00291877">
        <w:rPr>
          <w:b/>
          <w:i/>
        </w:rPr>
        <w:t xml:space="preserve"> </w:t>
      </w:r>
      <w:r w:rsidRPr="00291877">
        <w:t>Healthwatch Essex, Healthwatch Southend and Healthwatch Thurrock.</w:t>
      </w:r>
    </w:p>
    <w:p w14:paraId="08FB04FA" w14:textId="02C64DEF" w:rsidR="006E6946" w:rsidRPr="00291877" w:rsidRDefault="006E6946" w:rsidP="006E6946">
      <w:pPr>
        <w:pStyle w:val="BodyText"/>
        <w:rPr>
          <w:b/>
          <w:i/>
        </w:rPr>
      </w:pPr>
      <w:r w:rsidRPr="00291877">
        <w:rPr>
          <w:b/>
          <w:iCs/>
        </w:rPr>
        <w:t xml:space="preserve">Nine voluntary </w:t>
      </w:r>
      <w:r w:rsidR="003708D7" w:rsidRPr="00291877">
        <w:rPr>
          <w:b/>
          <w:iCs/>
        </w:rPr>
        <w:t xml:space="preserve">and community </w:t>
      </w:r>
      <w:r w:rsidRPr="00291877">
        <w:rPr>
          <w:b/>
          <w:iCs/>
        </w:rPr>
        <w:t>sector associations:</w:t>
      </w:r>
      <w:r w:rsidRPr="00291877">
        <w:t xml:space="preserve"> Basildon, Billericay and Wickford </w:t>
      </w:r>
      <w:r w:rsidR="00E56697">
        <w:t>Community and Voluntary Service (</w:t>
      </w:r>
      <w:r w:rsidRPr="00291877">
        <w:t>CVS</w:t>
      </w:r>
      <w:r w:rsidR="00E56697">
        <w:t>)</w:t>
      </w:r>
      <w:r w:rsidRPr="00291877">
        <w:t xml:space="preserve">, Brentwood CVS, Castle Point Association of Voluntary Services, Chelmsford CVS, Community 360 (covering the Braintree District), Maldon and District CVS, Rayleigh, </w:t>
      </w:r>
      <w:r w:rsidR="008959E4" w:rsidRPr="00291877">
        <w:t>Rochford,</w:t>
      </w:r>
      <w:r w:rsidRPr="00291877">
        <w:t xml:space="preserve"> and District Association for Voluntary Service, Southend Association of Voluntary Services and Thurrock CVS.</w:t>
      </w:r>
    </w:p>
    <w:p w14:paraId="7CF89930" w14:textId="39492409" w:rsidR="006C5A07" w:rsidRPr="00291877" w:rsidRDefault="006E6946" w:rsidP="006C5A07">
      <w:pPr>
        <w:pStyle w:val="BodyText"/>
      </w:pPr>
      <w:r w:rsidRPr="00291877">
        <w:rPr>
          <w:b/>
          <w:iCs/>
        </w:rPr>
        <w:t>Other partners</w:t>
      </w:r>
      <w:r w:rsidR="009C5013" w:rsidRPr="00291877">
        <w:rPr>
          <w:b/>
          <w:iCs/>
        </w:rPr>
        <w:t>:</w:t>
      </w:r>
      <w:r w:rsidRPr="00291877">
        <w:rPr>
          <w:b/>
          <w:i/>
        </w:rPr>
        <w:t xml:space="preserve"> </w:t>
      </w:r>
      <w:r w:rsidRPr="00291877">
        <w:t xml:space="preserve">Essex Police, Essex County Fire and Rescue Service, parish and town councils, the Local Medical Committee, local universities and colleges, </w:t>
      </w:r>
      <w:r w:rsidR="008F6C6A" w:rsidRPr="00291877">
        <w:t xml:space="preserve">hospice providers, </w:t>
      </w:r>
      <w:r w:rsidRPr="00291877">
        <w:t>and community and faith organisations.</w:t>
      </w:r>
    </w:p>
    <w:p w14:paraId="02F60792" w14:textId="1C7D3F82" w:rsidR="00342C84" w:rsidRPr="00257963" w:rsidRDefault="00342C84" w:rsidP="00257963">
      <w:pPr>
        <w:jc w:val="center"/>
        <w:rPr>
          <w:i/>
          <w:iCs/>
        </w:rPr>
      </w:pPr>
      <w:bookmarkStart w:id="11" w:name="_Toc122602899"/>
      <w:r w:rsidRPr="00257963">
        <w:rPr>
          <w:i/>
          <w:iCs/>
        </w:rPr>
        <w:t>“We will know what success looks like with a clear set of outcome measures and adapt our plans in line with what matters to local people and partners”</w:t>
      </w:r>
    </w:p>
    <w:p w14:paraId="338D23A3" w14:textId="46BBC295" w:rsidR="00342C84" w:rsidRPr="00DD7CB0" w:rsidRDefault="00342C84" w:rsidP="00342C84">
      <w:pPr>
        <w:pStyle w:val="BodyText"/>
        <w:jc w:val="right"/>
        <w:rPr>
          <w:i/>
          <w:sz w:val="20"/>
          <w:szCs w:val="20"/>
        </w:rPr>
      </w:pPr>
      <w:r w:rsidRPr="1433F3B3">
        <w:rPr>
          <w:i/>
          <w:sz w:val="20"/>
          <w:szCs w:val="20"/>
        </w:rPr>
        <w:t xml:space="preserve">Commitment from ICS </w:t>
      </w:r>
      <w:r w:rsidR="2D24197A" w:rsidRPr="1433F3B3">
        <w:rPr>
          <w:i/>
          <w:iCs/>
          <w:sz w:val="20"/>
          <w:szCs w:val="20"/>
        </w:rPr>
        <w:t>p</w:t>
      </w:r>
      <w:r w:rsidRPr="1433F3B3">
        <w:rPr>
          <w:i/>
          <w:sz w:val="20"/>
          <w:szCs w:val="20"/>
        </w:rPr>
        <w:t>artner</w:t>
      </w:r>
      <w:r w:rsidR="00D7397F" w:rsidRPr="1433F3B3">
        <w:rPr>
          <w:i/>
          <w:sz w:val="20"/>
          <w:szCs w:val="20"/>
        </w:rPr>
        <w:t>s</w:t>
      </w:r>
      <w:r w:rsidRPr="1433F3B3">
        <w:rPr>
          <w:i/>
          <w:sz w:val="20"/>
          <w:szCs w:val="20"/>
        </w:rPr>
        <w:t xml:space="preserve"> made during the </w:t>
      </w:r>
      <w:r w:rsidR="00471C4B">
        <w:rPr>
          <w:i/>
          <w:sz w:val="20"/>
          <w:szCs w:val="20"/>
        </w:rPr>
        <w:t>ICP</w:t>
      </w:r>
      <w:r w:rsidRPr="1433F3B3">
        <w:rPr>
          <w:i/>
          <w:sz w:val="20"/>
          <w:szCs w:val="20"/>
        </w:rPr>
        <w:t xml:space="preserve"> </w:t>
      </w:r>
      <w:r w:rsidR="29C75A33" w:rsidRPr="1D580B58">
        <w:rPr>
          <w:i/>
          <w:iCs/>
          <w:sz w:val="20"/>
          <w:szCs w:val="20"/>
        </w:rPr>
        <w:t>s</w:t>
      </w:r>
      <w:r w:rsidRPr="1433F3B3">
        <w:rPr>
          <w:i/>
          <w:sz w:val="20"/>
          <w:szCs w:val="20"/>
        </w:rPr>
        <w:t>trategy design</w:t>
      </w:r>
      <w:r w:rsidR="7E350A8C" w:rsidRPr="1D580B58">
        <w:rPr>
          <w:i/>
          <w:iCs/>
          <w:sz w:val="20"/>
          <w:szCs w:val="20"/>
        </w:rPr>
        <w:t xml:space="preserve"> process</w:t>
      </w:r>
    </w:p>
    <w:p w14:paraId="576CBE26" w14:textId="17AD8837" w:rsidR="008324AA" w:rsidRDefault="008324AA" w:rsidP="00DC05CF">
      <w:pPr>
        <w:pStyle w:val="Heading2"/>
      </w:pPr>
      <w:bookmarkStart w:id="12" w:name="_Toc164814812"/>
      <w:bookmarkStart w:id="13" w:name="_Toc164814873"/>
      <w:r>
        <w:lastRenderedPageBreak/>
        <w:t xml:space="preserve">Our </w:t>
      </w:r>
      <w:r w:rsidR="00A850C5">
        <w:t>Vision and Journey</w:t>
      </w:r>
      <w:bookmarkEnd w:id="11"/>
      <w:bookmarkEnd w:id="12"/>
      <w:bookmarkEnd w:id="13"/>
    </w:p>
    <w:p w14:paraId="575A29F4" w14:textId="272B2AB3" w:rsidR="00A850C5" w:rsidRDefault="00071168" w:rsidP="008324AA">
      <w:pPr>
        <w:pStyle w:val="BodyText"/>
        <w:rPr>
          <w:szCs w:val="24"/>
        </w:rPr>
      </w:pPr>
      <w:r w:rsidRPr="00C46565">
        <w:rPr>
          <w:szCs w:val="24"/>
        </w:rPr>
        <w:t>In e</w:t>
      </w:r>
      <w:r w:rsidR="004849B3" w:rsidRPr="00C46565">
        <w:rPr>
          <w:szCs w:val="24"/>
        </w:rPr>
        <w:t xml:space="preserve">stablishing </w:t>
      </w:r>
      <w:r w:rsidR="0022346A">
        <w:rPr>
          <w:szCs w:val="24"/>
        </w:rPr>
        <w:t>the</w:t>
      </w:r>
      <w:r w:rsidR="009278A2" w:rsidRPr="00C46565">
        <w:rPr>
          <w:szCs w:val="24"/>
        </w:rPr>
        <w:t xml:space="preserve"> I</w:t>
      </w:r>
      <w:r w:rsidR="00F31506">
        <w:rPr>
          <w:szCs w:val="24"/>
        </w:rPr>
        <w:t>CS</w:t>
      </w:r>
      <w:r w:rsidR="0022346A">
        <w:rPr>
          <w:szCs w:val="24"/>
        </w:rPr>
        <w:t>,</w:t>
      </w:r>
      <w:r w:rsidR="009278A2" w:rsidRPr="00C46565">
        <w:rPr>
          <w:szCs w:val="24"/>
        </w:rPr>
        <w:t xml:space="preserve"> the ICB</w:t>
      </w:r>
      <w:r w:rsidR="00B0047F" w:rsidRPr="00C46565">
        <w:rPr>
          <w:szCs w:val="24"/>
        </w:rPr>
        <w:t xml:space="preserve"> builds</w:t>
      </w:r>
      <w:r w:rsidR="009278A2" w:rsidRPr="00C46565">
        <w:rPr>
          <w:szCs w:val="24"/>
        </w:rPr>
        <w:t xml:space="preserve"> on long standing relationship</w:t>
      </w:r>
      <w:r w:rsidR="007C0F07" w:rsidRPr="00C46565">
        <w:rPr>
          <w:szCs w:val="24"/>
        </w:rPr>
        <w:t xml:space="preserve">s with its partners in </w:t>
      </w:r>
      <w:r w:rsidR="00471C4B">
        <w:rPr>
          <w:szCs w:val="24"/>
        </w:rPr>
        <w:t>MSE</w:t>
      </w:r>
      <w:r w:rsidR="007C0F07" w:rsidRPr="00C46565">
        <w:rPr>
          <w:szCs w:val="24"/>
        </w:rPr>
        <w:t xml:space="preserve"> who agreed our ambition </w:t>
      </w:r>
      <w:r w:rsidR="00963451" w:rsidRPr="00020B32">
        <w:rPr>
          <w:szCs w:val="24"/>
        </w:rPr>
        <w:t>to</w:t>
      </w:r>
      <w:r w:rsidR="0019364F" w:rsidRPr="00020B32">
        <w:rPr>
          <w:szCs w:val="24"/>
        </w:rPr>
        <w:t xml:space="preserve"> ‘up our game</w:t>
      </w:r>
      <w:r w:rsidR="000A4AC7" w:rsidRPr="00020B32">
        <w:rPr>
          <w:szCs w:val="24"/>
        </w:rPr>
        <w:t>’.</w:t>
      </w:r>
      <w:r w:rsidR="000A4AC7">
        <w:rPr>
          <w:szCs w:val="24"/>
        </w:rPr>
        <w:t xml:space="preserve">  We want people to live longer, healthy lives, to be able to access the best of care and to experience the best clinical outcomes, and for us to be exceptionally able to attract good people to work with us, reco</w:t>
      </w:r>
      <w:r w:rsidR="00FC4977">
        <w:rPr>
          <w:szCs w:val="24"/>
        </w:rPr>
        <w:t>gnising we offer meaningful careers.</w:t>
      </w:r>
    </w:p>
    <w:p w14:paraId="246B7527" w14:textId="3E11D94A" w:rsidR="00EC2F98" w:rsidRDefault="00B228F5" w:rsidP="008324AA">
      <w:pPr>
        <w:pStyle w:val="BodyText"/>
      </w:pPr>
      <w:r>
        <w:t xml:space="preserve">The ICB is committed to the delivery </w:t>
      </w:r>
      <w:r w:rsidR="007D0CCB">
        <w:t xml:space="preserve">of the Integrated Care Strategy, co-developed with partners through our </w:t>
      </w:r>
      <w:r w:rsidR="00D95CC0">
        <w:t>ICP</w:t>
      </w:r>
      <w:r w:rsidR="007D0CCB">
        <w:t xml:space="preserve">.  The strategy draws </w:t>
      </w:r>
      <w:r w:rsidR="00342372">
        <w:t>heavily upon the joint health and wellbeing strategies of our upper tier local authorit</w:t>
      </w:r>
      <w:r w:rsidR="00353A3C">
        <w:t xml:space="preserve">ies, and our plans will contribute to the delivery of those strategies through our </w:t>
      </w:r>
      <w:r w:rsidR="205AEABB">
        <w:t>n</w:t>
      </w:r>
      <w:r w:rsidR="00353A3C">
        <w:t>etworks and neighbourhoods, the alliances and (where appropri</w:t>
      </w:r>
      <w:r w:rsidR="00F67100">
        <w:t xml:space="preserve">ate) across the </w:t>
      </w:r>
      <w:r w:rsidR="00471C4B">
        <w:t>MSE</w:t>
      </w:r>
      <w:r w:rsidR="00F67100">
        <w:t xml:space="preserve"> system.</w:t>
      </w:r>
    </w:p>
    <w:p w14:paraId="1403D1A2" w14:textId="4DADDEAB" w:rsidR="00A03FEE" w:rsidRDefault="00EB00AF" w:rsidP="008324AA">
      <w:pPr>
        <w:pStyle w:val="BodyText"/>
      </w:pPr>
      <w:r>
        <w:t>The ICB published its first</w:t>
      </w:r>
      <w:r w:rsidR="00AB3F65">
        <w:t xml:space="preserve"> Joint Forward Plan </w:t>
      </w:r>
      <w:r w:rsidR="000F206C">
        <w:t xml:space="preserve">(JFP) for 2023-2029 </w:t>
      </w:r>
      <w:r w:rsidR="00AB3F65">
        <w:t>in Ju</w:t>
      </w:r>
      <w:r w:rsidR="004234C5">
        <w:t>ne</w:t>
      </w:r>
      <w:r w:rsidR="00AB3F65">
        <w:t xml:space="preserve"> 2023</w:t>
      </w:r>
      <w:r w:rsidR="000F206C">
        <w:t>.  The</w:t>
      </w:r>
      <w:r w:rsidR="008E70CD">
        <w:t> </w:t>
      </w:r>
      <w:r w:rsidR="000F206C">
        <w:t>JFP outlined a set of shared ambitions for the system, drawing on priorities from within the NHS as well as ou</w:t>
      </w:r>
      <w:r w:rsidR="76657573">
        <w:t>r</w:t>
      </w:r>
      <w:r w:rsidR="000F206C">
        <w:t xml:space="preserve"> local government partners as set out in </w:t>
      </w:r>
      <w:r w:rsidR="5AE021EF">
        <w:t>j</w:t>
      </w:r>
      <w:r w:rsidR="000F206C">
        <w:t>oin</w:t>
      </w:r>
      <w:r w:rsidR="00E80D79">
        <w:t>t</w:t>
      </w:r>
      <w:r w:rsidR="000F206C">
        <w:t xml:space="preserve"> </w:t>
      </w:r>
      <w:r w:rsidR="182B8C41">
        <w:t>l</w:t>
      </w:r>
      <w:r w:rsidR="000F206C">
        <w:t xml:space="preserve">ocal </w:t>
      </w:r>
      <w:r w:rsidR="21A1AEA9">
        <w:t>h</w:t>
      </w:r>
      <w:r w:rsidR="000F206C">
        <w:t xml:space="preserve">ealth and </w:t>
      </w:r>
      <w:r w:rsidR="56D38D94">
        <w:t>w</w:t>
      </w:r>
      <w:r w:rsidR="000F206C">
        <w:t xml:space="preserve">ellbeing </w:t>
      </w:r>
      <w:r w:rsidR="7B059368">
        <w:t>s</w:t>
      </w:r>
      <w:r w:rsidR="000F206C">
        <w:t xml:space="preserve">trategies.  The JFP provides a five-year framework for how we want to deliver and improve services for people living in </w:t>
      </w:r>
      <w:r w:rsidR="00471C4B">
        <w:t>MSE</w:t>
      </w:r>
      <w:r w:rsidR="000F206C">
        <w:t xml:space="preserve">, which will be reviewed each year in line with </w:t>
      </w:r>
      <w:r w:rsidR="00F46054">
        <w:t>NHSE</w:t>
      </w:r>
      <w:r w:rsidR="000F206C">
        <w:t xml:space="preserve"> guidance.  The full JFP is published on the ICB website</w:t>
      </w:r>
      <w:r w:rsidR="006B1D11">
        <w:t>, alongside the updated 2024-2029 version</w:t>
      </w:r>
      <w:r w:rsidR="000F206C">
        <w:t>.</w:t>
      </w:r>
      <w:r w:rsidR="00EB2933">
        <w:t xml:space="preserve"> </w:t>
      </w:r>
      <w:r w:rsidR="00746331" w:rsidRPr="00746331">
        <w:t xml:space="preserve"> </w:t>
      </w:r>
      <w:hyperlink r:id="rId13" w:history="1">
        <w:r w:rsidR="00746331">
          <w:rPr>
            <w:rStyle w:val="Hyperlink"/>
          </w:rPr>
          <w:t>Joint Forward Plan - Mid and South Essex Integrated Care System (ics.nhs.uk)</w:t>
        </w:r>
      </w:hyperlink>
      <w:r w:rsidR="00E41507" w:rsidRPr="00B516D8">
        <w:rPr>
          <w:rStyle w:val="Hyperlink"/>
        </w:rPr>
        <w:t>[hyperlinks]</w:t>
      </w:r>
      <w:r w:rsidR="00B55301" w:rsidRPr="00B516D8">
        <w:rPr>
          <w:rStyle w:val="Hyperlink"/>
        </w:rPr>
        <w:t xml:space="preserve">  </w:t>
      </w:r>
    </w:p>
    <w:p w14:paraId="52B04B3F" w14:textId="4779EEBC" w:rsidR="00326126" w:rsidRDefault="00326126" w:rsidP="00326126">
      <w:pPr>
        <w:pStyle w:val="BodyText"/>
      </w:pPr>
      <w:r>
        <w:t xml:space="preserve">Within the 2023-29 JFP, the ICB, including its partner NHS organisations, committed to a set of </w:t>
      </w:r>
      <w:r w:rsidR="538ED08A">
        <w:t>s</w:t>
      </w:r>
      <w:r>
        <w:t xml:space="preserve">trategic </w:t>
      </w:r>
      <w:r w:rsidR="39B8D057">
        <w:t>a</w:t>
      </w:r>
      <w:r>
        <w:t xml:space="preserve">mbitions that have guided the system’s work.  These ambitions are: </w:t>
      </w:r>
    </w:p>
    <w:p w14:paraId="504385AE" w14:textId="77777777" w:rsidR="00326126" w:rsidRDefault="00326126" w:rsidP="00326126">
      <w:pPr>
        <w:pStyle w:val="BodyText"/>
        <w:rPr>
          <w:szCs w:val="24"/>
        </w:rPr>
      </w:pPr>
      <w:r>
        <w:rPr>
          <w:noProof/>
        </w:rPr>
        <w:drawing>
          <wp:inline distT="0" distB="0" distL="0" distR="0" wp14:anchorId="5875ABD1" wp14:editId="4E4064FC">
            <wp:extent cx="5925820" cy="1938020"/>
            <wp:effectExtent l="0" t="0" r="0" b="5080"/>
            <wp:docPr id="7" name="Picture 7" descr="Picture showing the 21 strategic ambitions within our Joint Forward Plan of:&#10;Let staff lead, mobilising and supporting communities, further developing our system, improve oversight framework rating, improve quality, reduce health inequalities, population health improvement, operational delivery, supporting our workforce, data - digital - technology, financial sustainability, and research and inno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icture showing the 21 strategic ambitions within our Joint Forward Plan of:&#10;Let staff lead, mobilising and supporting communities, further developing our system, improve oversight framework rating, improve quality, reduce health inequalities, population health improvement, operational delivery, supporting our workforce, data - digital - technology, financial sustainability, and research and innovation."/>
                    <pic:cNvPicPr/>
                  </pic:nvPicPr>
                  <pic:blipFill>
                    <a:blip r:embed="rId14"/>
                    <a:stretch>
                      <a:fillRect/>
                    </a:stretch>
                  </pic:blipFill>
                  <pic:spPr>
                    <a:xfrm>
                      <a:off x="0" y="0"/>
                      <a:ext cx="5925820" cy="1938020"/>
                    </a:xfrm>
                    <a:prstGeom prst="rect">
                      <a:avLst/>
                    </a:prstGeom>
                  </pic:spPr>
                </pic:pic>
              </a:graphicData>
            </a:graphic>
          </wp:inline>
        </w:drawing>
      </w:r>
    </w:p>
    <w:p w14:paraId="101DDA57" w14:textId="17180A2A" w:rsidR="0025762E" w:rsidRDefault="00326126" w:rsidP="008324AA">
      <w:pPr>
        <w:pStyle w:val="BodyText"/>
        <w:rPr>
          <w:szCs w:val="24"/>
        </w:rPr>
      </w:pPr>
      <w:r>
        <w:t xml:space="preserve">In support of these </w:t>
      </w:r>
      <w:r w:rsidR="28A710BF">
        <w:t>s</w:t>
      </w:r>
      <w:r>
        <w:t xml:space="preserve">trategic </w:t>
      </w:r>
      <w:r w:rsidR="3F2A3DC9">
        <w:t>a</w:t>
      </w:r>
      <w:r>
        <w:t xml:space="preserve">mbitions, the ICB made </w:t>
      </w:r>
      <w:r w:rsidR="003708D7">
        <w:t>several</w:t>
      </w:r>
      <w:r>
        <w:t xml:space="preserve"> commitments that have directed its work in 2023/24:</w:t>
      </w:r>
    </w:p>
    <w:p w14:paraId="56617939" w14:textId="3B0A9E8B" w:rsidR="000B38B5" w:rsidRDefault="000B38B5" w:rsidP="001315F7">
      <w:pPr>
        <w:pStyle w:val="BodyText"/>
        <w:numPr>
          <w:ilvl w:val="0"/>
          <w:numId w:val="39"/>
        </w:numPr>
        <w:rPr>
          <w:szCs w:val="24"/>
        </w:rPr>
      </w:pPr>
      <w:r>
        <w:rPr>
          <w:szCs w:val="24"/>
        </w:rPr>
        <w:t xml:space="preserve">Focus on reducing </w:t>
      </w:r>
      <w:r w:rsidRPr="006913EB">
        <w:rPr>
          <w:b/>
          <w:bCs/>
          <w:szCs w:val="24"/>
        </w:rPr>
        <w:t>health inequalities</w:t>
      </w:r>
      <w:r>
        <w:rPr>
          <w:szCs w:val="24"/>
        </w:rPr>
        <w:t xml:space="preserve">, delivering against the </w:t>
      </w:r>
      <w:hyperlink r:id="rId15" w:history="1">
        <w:r w:rsidRPr="00B17E8E">
          <w:rPr>
            <w:rStyle w:val="Hyperlink"/>
            <w:szCs w:val="24"/>
          </w:rPr>
          <w:t>Core20PLUS5</w:t>
        </w:r>
      </w:hyperlink>
      <w:r>
        <w:rPr>
          <w:szCs w:val="24"/>
        </w:rPr>
        <w:t xml:space="preserve"> frameworks</w:t>
      </w:r>
      <w:r w:rsidR="00734554">
        <w:rPr>
          <w:szCs w:val="24"/>
        </w:rPr>
        <w:t>.</w:t>
      </w:r>
    </w:p>
    <w:p w14:paraId="2890F22E" w14:textId="6F392009" w:rsidR="00734554" w:rsidRDefault="00734554" w:rsidP="001315F7">
      <w:pPr>
        <w:pStyle w:val="BodyText"/>
        <w:numPr>
          <w:ilvl w:val="0"/>
          <w:numId w:val="39"/>
        </w:numPr>
        <w:rPr>
          <w:szCs w:val="24"/>
        </w:rPr>
      </w:pPr>
      <w:r>
        <w:rPr>
          <w:szCs w:val="24"/>
        </w:rPr>
        <w:t xml:space="preserve">Delivery of local, personalised, coordinated services through </w:t>
      </w:r>
      <w:r w:rsidRPr="006913EB">
        <w:rPr>
          <w:b/>
          <w:bCs/>
          <w:szCs w:val="24"/>
        </w:rPr>
        <w:t>integrated neighbourhood teams.</w:t>
      </w:r>
    </w:p>
    <w:p w14:paraId="7195223C" w14:textId="0BCBA99D" w:rsidR="00734554" w:rsidRDefault="00CF2A0C" w:rsidP="001315F7">
      <w:pPr>
        <w:pStyle w:val="BodyText"/>
        <w:numPr>
          <w:ilvl w:val="0"/>
          <w:numId w:val="39"/>
        </w:numPr>
        <w:rPr>
          <w:szCs w:val="24"/>
        </w:rPr>
      </w:pPr>
      <w:r>
        <w:rPr>
          <w:szCs w:val="24"/>
        </w:rPr>
        <w:t xml:space="preserve">Making progress on reducing avoidable mortality in </w:t>
      </w:r>
      <w:r w:rsidRPr="006913EB">
        <w:rPr>
          <w:b/>
          <w:bCs/>
          <w:szCs w:val="24"/>
        </w:rPr>
        <w:t>cancer, cardiovascular disease and respiratory conditions</w:t>
      </w:r>
      <w:r>
        <w:rPr>
          <w:szCs w:val="24"/>
        </w:rPr>
        <w:t>.</w:t>
      </w:r>
    </w:p>
    <w:p w14:paraId="0DAC151A" w14:textId="0E01431A" w:rsidR="00CF2A0C" w:rsidRDefault="009E2D22" w:rsidP="001315F7">
      <w:pPr>
        <w:pStyle w:val="BodyText"/>
        <w:numPr>
          <w:ilvl w:val="0"/>
          <w:numId w:val="39"/>
        </w:numPr>
        <w:rPr>
          <w:szCs w:val="24"/>
        </w:rPr>
      </w:pPr>
      <w:r>
        <w:rPr>
          <w:szCs w:val="24"/>
        </w:rPr>
        <w:t xml:space="preserve">Increasing </w:t>
      </w:r>
      <w:r w:rsidRPr="006913EB">
        <w:rPr>
          <w:b/>
          <w:bCs/>
          <w:szCs w:val="24"/>
        </w:rPr>
        <w:t>preventative activit</w:t>
      </w:r>
      <w:r w:rsidR="00155958" w:rsidRPr="006913EB">
        <w:rPr>
          <w:b/>
          <w:bCs/>
          <w:szCs w:val="24"/>
        </w:rPr>
        <w:t>i</w:t>
      </w:r>
      <w:r w:rsidRPr="006913EB">
        <w:rPr>
          <w:b/>
          <w:bCs/>
          <w:szCs w:val="24"/>
        </w:rPr>
        <w:t>es</w:t>
      </w:r>
      <w:r>
        <w:rPr>
          <w:szCs w:val="24"/>
        </w:rPr>
        <w:t xml:space="preserve"> for tobacco cessation, healthy weight</w:t>
      </w:r>
      <w:r w:rsidR="00E761D6">
        <w:rPr>
          <w:szCs w:val="24"/>
        </w:rPr>
        <w:t>,</w:t>
      </w:r>
      <w:r>
        <w:rPr>
          <w:szCs w:val="24"/>
        </w:rPr>
        <w:t xml:space="preserve"> and physical activity.</w:t>
      </w:r>
    </w:p>
    <w:p w14:paraId="386281E3" w14:textId="53621C51" w:rsidR="009E2D22" w:rsidRDefault="00345237" w:rsidP="001315F7">
      <w:pPr>
        <w:pStyle w:val="BodyText"/>
        <w:numPr>
          <w:ilvl w:val="0"/>
          <w:numId w:val="39"/>
        </w:numPr>
        <w:rPr>
          <w:szCs w:val="24"/>
        </w:rPr>
      </w:pPr>
      <w:r>
        <w:rPr>
          <w:szCs w:val="24"/>
        </w:rPr>
        <w:lastRenderedPageBreak/>
        <w:t xml:space="preserve">Amplifying </w:t>
      </w:r>
      <w:r w:rsidRPr="006913EB">
        <w:rPr>
          <w:b/>
          <w:bCs/>
          <w:szCs w:val="24"/>
        </w:rPr>
        <w:t>clinical and professional leadership</w:t>
      </w:r>
      <w:r>
        <w:rPr>
          <w:szCs w:val="24"/>
        </w:rPr>
        <w:t xml:space="preserve"> using the Stewardship programme.</w:t>
      </w:r>
    </w:p>
    <w:p w14:paraId="754FD1A5" w14:textId="5F4C633A" w:rsidR="00345237" w:rsidRDefault="00AE35C2" w:rsidP="001315F7">
      <w:pPr>
        <w:pStyle w:val="BodyText"/>
        <w:numPr>
          <w:ilvl w:val="0"/>
          <w:numId w:val="39"/>
        </w:numPr>
        <w:rPr>
          <w:szCs w:val="24"/>
        </w:rPr>
      </w:pPr>
      <w:r>
        <w:rPr>
          <w:szCs w:val="24"/>
        </w:rPr>
        <w:t xml:space="preserve">Investing ‘up-stream’ in evidenced-based </w:t>
      </w:r>
      <w:r w:rsidRPr="006913EB">
        <w:rPr>
          <w:b/>
          <w:bCs/>
          <w:szCs w:val="24"/>
        </w:rPr>
        <w:t>interventions and preventative activities</w:t>
      </w:r>
      <w:r>
        <w:rPr>
          <w:szCs w:val="24"/>
        </w:rPr>
        <w:t xml:space="preserve"> taking place closer to home.</w:t>
      </w:r>
    </w:p>
    <w:p w14:paraId="3C137C59" w14:textId="1FE5A7E2" w:rsidR="00AE35C2" w:rsidRDefault="00B762EE" w:rsidP="001315F7">
      <w:pPr>
        <w:pStyle w:val="BodyText"/>
        <w:numPr>
          <w:ilvl w:val="0"/>
          <w:numId w:val="39"/>
        </w:numPr>
        <w:rPr>
          <w:szCs w:val="24"/>
        </w:rPr>
      </w:pPr>
      <w:r>
        <w:rPr>
          <w:szCs w:val="24"/>
        </w:rPr>
        <w:t xml:space="preserve">Using </w:t>
      </w:r>
      <w:r w:rsidRPr="006913EB">
        <w:rPr>
          <w:b/>
          <w:bCs/>
          <w:szCs w:val="24"/>
        </w:rPr>
        <w:t>population health management</w:t>
      </w:r>
      <w:r>
        <w:rPr>
          <w:szCs w:val="24"/>
        </w:rPr>
        <w:t xml:space="preserve"> to support </w:t>
      </w:r>
      <w:r w:rsidR="00711002">
        <w:rPr>
          <w:szCs w:val="24"/>
        </w:rPr>
        <w:t xml:space="preserve">the </w:t>
      </w:r>
      <w:r w:rsidR="001A242C">
        <w:rPr>
          <w:szCs w:val="24"/>
        </w:rPr>
        <w:t xml:space="preserve">targeting and </w:t>
      </w:r>
      <w:r>
        <w:rPr>
          <w:szCs w:val="24"/>
        </w:rPr>
        <w:t xml:space="preserve">setting </w:t>
      </w:r>
      <w:r w:rsidR="00711002">
        <w:rPr>
          <w:szCs w:val="24"/>
        </w:rPr>
        <w:t xml:space="preserve">of </w:t>
      </w:r>
      <w:r>
        <w:rPr>
          <w:szCs w:val="24"/>
        </w:rPr>
        <w:t xml:space="preserve">ambitious </w:t>
      </w:r>
      <w:r w:rsidR="00EB50B2">
        <w:rPr>
          <w:szCs w:val="24"/>
        </w:rPr>
        <w:t>targets for prevention investment.</w:t>
      </w:r>
    </w:p>
    <w:p w14:paraId="61ACCBA7" w14:textId="64360879" w:rsidR="00EB50B2" w:rsidRDefault="00355AA2" w:rsidP="001315F7">
      <w:pPr>
        <w:pStyle w:val="BodyText"/>
        <w:numPr>
          <w:ilvl w:val="0"/>
          <w:numId w:val="39"/>
        </w:numPr>
      </w:pPr>
      <w:r>
        <w:t xml:space="preserve">Developing </w:t>
      </w:r>
      <w:r w:rsidRPr="006913EB">
        <w:rPr>
          <w:b/>
          <w:bCs/>
        </w:rPr>
        <w:t>demand and capacity models</w:t>
      </w:r>
      <w:r>
        <w:t xml:space="preserve"> underpinning integrated operational decision-making that is organisationally agnostic and focused to meet needs.</w:t>
      </w:r>
    </w:p>
    <w:p w14:paraId="4A75A054" w14:textId="3B872C04" w:rsidR="006913EB" w:rsidRDefault="009911E2" w:rsidP="001315F7">
      <w:pPr>
        <w:pStyle w:val="BodyText"/>
        <w:numPr>
          <w:ilvl w:val="0"/>
          <w:numId w:val="39"/>
        </w:numPr>
        <w:rPr>
          <w:szCs w:val="24"/>
        </w:rPr>
      </w:pPr>
      <w:r w:rsidRPr="006913EB">
        <w:rPr>
          <w:szCs w:val="24"/>
        </w:rPr>
        <w:t>Investing strategically in voluntary</w:t>
      </w:r>
      <w:r w:rsidR="00E63AED">
        <w:rPr>
          <w:szCs w:val="24"/>
        </w:rPr>
        <w:t xml:space="preserve">, </w:t>
      </w:r>
      <w:r w:rsidRPr="006913EB">
        <w:rPr>
          <w:szCs w:val="24"/>
        </w:rPr>
        <w:t>community, faith and social enterprise</w:t>
      </w:r>
      <w:r w:rsidR="00C526CF" w:rsidRPr="006913EB">
        <w:rPr>
          <w:szCs w:val="24"/>
        </w:rPr>
        <w:t xml:space="preserve"> </w:t>
      </w:r>
      <w:r w:rsidR="006913EB" w:rsidRPr="006913EB">
        <w:rPr>
          <w:szCs w:val="24"/>
        </w:rPr>
        <w:t>(</w:t>
      </w:r>
      <w:r w:rsidR="006913EB" w:rsidRPr="006913EB">
        <w:rPr>
          <w:b/>
          <w:bCs/>
          <w:szCs w:val="24"/>
        </w:rPr>
        <w:t>VCFSE</w:t>
      </w:r>
      <w:r w:rsidR="006913EB" w:rsidRPr="006913EB">
        <w:rPr>
          <w:szCs w:val="24"/>
        </w:rPr>
        <w:t>)</w:t>
      </w:r>
      <w:r w:rsidR="00E63AED">
        <w:rPr>
          <w:szCs w:val="24"/>
        </w:rPr>
        <w:t xml:space="preserve"> organisations</w:t>
      </w:r>
      <w:r w:rsidR="006913EB" w:rsidRPr="006913EB">
        <w:rPr>
          <w:szCs w:val="24"/>
        </w:rPr>
        <w:t xml:space="preserve"> </w:t>
      </w:r>
      <w:r w:rsidR="00C526CF" w:rsidRPr="006913EB">
        <w:rPr>
          <w:szCs w:val="24"/>
        </w:rPr>
        <w:t>to support wellbeing, prevention and early intervention.</w:t>
      </w:r>
    </w:p>
    <w:p w14:paraId="6ECE1E1E" w14:textId="67E1548D" w:rsidR="00C526CF" w:rsidRPr="006913EB" w:rsidRDefault="00C526CF" w:rsidP="001315F7">
      <w:pPr>
        <w:pStyle w:val="BodyText"/>
        <w:numPr>
          <w:ilvl w:val="0"/>
          <w:numId w:val="39"/>
        </w:numPr>
        <w:rPr>
          <w:szCs w:val="24"/>
        </w:rPr>
      </w:pPr>
      <w:r w:rsidRPr="006913EB">
        <w:rPr>
          <w:szCs w:val="24"/>
        </w:rPr>
        <w:t xml:space="preserve">Evolving our </w:t>
      </w:r>
      <w:r w:rsidRPr="006913EB">
        <w:rPr>
          <w:b/>
          <w:bCs/>
          <w:szCs w:val="24"/>
        </w:rPr>
        <w:t>relationship with communities</w:t>
      </w:r>
      <w:r w:rsidRPr="006913EB">
        <w:rPr>
          <w:szCs w:val="24"/>
        </w:rPr>
        <w:t>.</w:t>
      </w:r>
    </w:p>
    <w:p w14:paraId="7C0DED15" w14:textId="3697BD97" w:rsidR="00A75193" w:rsidRDefault="00A75193" w:rsidP="001315F7">
      <w:pPr>
        <w:pStyle w:val="BodyText"/>
        <w:numPr>
          <w:ilvl w:val="0"/>
          <w:numId w:val="39"/>
        </w:numPr>
        <w:rPr>
          <w:szCs w:val="24"/>
        </w:rPr>
      </w:pPr>
      <w:r>
        <w:rPr>
          <w:szCs w:val="24"/>
        </w:rPr>
        <w:t xml:space="preserve">Emphasising </w:t>
      </w:r>
      <w:r w:rsidRPr="006913EB">
        <w:rPr>
          <w:b/>
          <w:bCs/>
          <w:szCs w:val="24"/>
        </w:rPr>
        <w:t>equality, diversity and inclusion</w:t>
      </w:r>
      <w:r>
        <w:rPr>
          <w:szCs w:val="24"/>
        </w:rPr>
        <w:t xml:space="preserve"> for our workforce and our patients.</w:t>
      </w:r>
    </w:p>
    <w:p w14:paraId="20F5DF4C" w14:textId="681F1F99" w:rsidR="00A75193" w:rsidRDefault="00A61E30" w:rsidP="001315F7">
      <w:pPr>
        <w:pStyle w:val="BodyText"/>
        <w:numPr>
          <w:ilvl w:val="0"/>
          <w:numId w:val="39"/>
        </w:numPr>
        <w:rPr>
          <w:szCs w:val="24"/>
        </w:rPr>
      </w:pPr>
      <w:r w:rsidRPr="006913EB">
        <w:rPr>
          <w:b/>
          <w:bCs/>
          <w:szCs w:val="24"/>
        </w:rPr>
        <w:t>Lea</w:t>
      </w:r>
      <w:r w:rsidR="00765817" w:rsidRPr="006913EB">
        <w:rPr>
          <w:b/>
          <w:bCs/>
          <w:szCs w:val="24"/>
        </w:rPr>
        <w:t>rning</w:t>
      </w:r>
      <w:r w:rsidR="00765817">
        <w:rPr>
          <w:szCs w:val="24"/>
        </w:rPr>
        <w:t xml:space="preserve"> and building on </w:t>
      </w:r>
      <w:r w:rsidR="00765817" w:rsidRPr="006913EB">
        <w:rPr>
          <w:b/>
          <w:bCs/>
          <w:szCs w:val="24"/>
        </w:rPr>
        <w:t>innovative</w:t>
      </w:r>
      <w:r w:rsidR="00765817">
        <w:rPr>
          <w:szCs w:val="24"/>
        </w:rPr>
        <w:t xml:space="preserve"> practice.</w:t>
      </w:r>
    </w:p>
    <w:p w14:paraId="2479A612" w14:textId="4AB8C145" w:rsidR="00765817" w:rsidRDefault="00765817" w:rsidP="001315F7">
      <w:pPr>
        <w:pStyle w:val="BodyText"/>
        <w:numPr>
          <w:ilvl w:val="0"/>
          <w:numId w:val="39"/>
        </w:numPr>
        <w:rPr>
          <w:szCs w:val="24"/>
        </w:rPr>
      </w:pPr>
      <w:r>
        <w:rPr>
          <w:szCs w:val="24"/>
        </w:rPr>
        <w:t xml:space="preserve">Considering </w:t>
      </w:r>
      <w:r w:rsidRPr="006913EB">
        <w:rPr>
          <w:b/>
          <w:bCs/>
          <w:szCs w:val="24"/>
        </w:rPr>
        <w:t>social value</w:t>
      </w:r>
      <w:r>
        <w:rPr>
          <w:szCs w:val="24"/>
        </w:rPr>
        <w:t xml:space="preserve"> in our approach, linking to our Anchor </w:t>
      </w:r>
      <w:r w:rsidR="002F725E">
        <w:rPr>
          <w:szCs w:val="24"/>
        </w:rPr>
        <w:t xml:space="preserve">Programme </w:t>
      </w:r>
      <w:r w:rsidR="00F35659">
        <w:rPr>
          <w:szCs w:val="24"/>
        </w:rPr>
        <w:t>(explained further below)</w:t>
      </w:r>
      <w:r>
        <w:rPr>
          <w:szCs w:val="24"/>
        </w:rPr>
        <w:t>.</w:t>
      </w:r>
    </w:p>
    <w:p w14:paraId="2050884D" w14:textId="29E159AC" w:rsidR="00FB49C5" w:rsidRPr="00FB49C5" w:rsidRDefault="00471C4B" w:rsidP="006913EB">
      <w:pPr>
        <w:pStyle w:val="BodyText"/>
      </w:pPr>
      <w:r>
        <w:t>MSE</w:t>
      </w:r>
      <w:r w:rsidR="00FB49C5">
        <w:t xml:space="preserve"> </w:t>
      </w:r>
      <w:r>
        <w:t>ICS</w:t>
      </w:r>
      <w:r w:rsidR="00FB49C5">
        <w:t xml:space="preserve"> publishes a </w:t>
      </w:r>
      <w:hyperlink r:id="rId16">
        <w:r w:rsidR="0061154E">
          <w:rPr>
            <w:rStyle w:val="Hyperlink"/>
          </w:rPr>
          <w:t>Joint Capital Resource Plan</w:t>
        </w:r>
        <w:r w:rsidR="000D1FC6">
          <w:rPr>
            <w:rStyle w:val="Hyperlink"/>
          </w:rPr>
          <w:t xml:space="preserve"> [hyperlinks]</w:t>
        </w:r>
        <w:r w:rsidR="0061154E">
          <w:rPr>
            <w:rStyle w:val="Hyperlink"/>
          </w:rPr>
          <w:t xml:space="preserve"> </w:t>
        </w:r>
      </w:hyperlink>
      <w:r w:rsidR="00FB49C5">
        <w:t xml:space="preserve"> which details our plan for capital spend</w:t>
      </w:r>
      <w:r w:rsidR="6650A7A6">
        <w:t>ing</w:t>
      </w:r>
      <w:r w:rsidR="00FB49C5">
        <w:t xml:space="preserve"> for the next financial year, along with details of any risks and mitigations</w:t>
      </w:r>
      <w:r w:rsidR="2124ACE5">
        <w:t>.</w:t>
      </w:r>
      <w:r w:rsidR="00FB49C5">
        <w:t xml:space="preserve"> </w:t>
      </w:r>
    </w:p>
    <w:p w14:paraId="72162F64" w14:textId="3FD2C6AD" w:rsidR="0051795B" w:rsidRDefault="00AF5D82" w:rsidP="0051795B">
      <w:pPr>
        <w:pStyle w:val="Heading2"/>
      </w:pPr>
      <w:bookmarkStart w:id="14" w:name="_Toc164814813"/>
      <w:bookmarkStart w:id="15" w:name="_Toc164814874"/>
      <w:r>
        <w:t>Our Common Endeavour</w:t>
      </w:r>
      <w:bookmarkEnd w:id="14"/>
      <w:bookmarkEnd w:id="15"/>
    </w:p>
    <w:p w14:paraId="5D98E958" w14:textId="368C5D5F" w:rsidR="00AF5D82" w:rsidRPr="00682F4E" w:rsidRDefault="00C5161E" w:rsidP="00AF5D82">
      <w:pPr>
        <w:pStyle w:val="BodyText"/>
      </w:pPr>
      <w:r w:rsidRPr="00682F4E">
        <w:t>The</w:t>
      </w:r>
      <w:r w:rsidR="00AF5D82" w:rsidRPr="00682F4E">
        <w:t xml:space="preserve"> 10-year Integrated Care Strategy describes our shared priorities across our ICS:  </w:t>
      </w:r>
    </w:p>
    <w:p w14:paraId="5F2C778B" w14:textId="38A03FB0" w:rsidR="00682F4E" w:rsidRDefault="002138F2" w:rsidP="000D7D75">
      <w:pPr>
        <w:rPr>
          <w:highlight w:val="green"/>
        </w:rPr>
      </w:pPr>
      <w:r w:rsidRPr="002138F2">
        <w:rPr>
          <w:noProof/>
          <w:highlight w:val="green"/>
        </w:rPr>
        <w:drawing>
          <wp:inline distT="0" distB="0" distL="0" distR="0" wp14:anchorId="5C1AFE12" wp14:editId="01674F3B">
            <wp:extent cx="4608363" cy="3590925"/>
            <wp:effectExtent l="0" t="0" r="1905" b="0"/>
            <wp:docPr id="17" name="Picture 17" descr="Diagram of the Integrated Care Partnership 10 year strategy, plan on a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 of the Integrated Care Partnership 10 year strategy, plan on a page."/>
                    <pic:cNvPicPr>
                      <a:picLocks noChangeAspect="1" noChangeArrowheads="1"/>
                    </pic:cNvPicPr>
                  </pic:nvPicPr>
                  <pic:blipFill rotWithShape="1">
                    <a:blip r:embed="rId17">
                      <a:extLst>
                        <a:ext uri="{28A0092B-C50C-407E-A947-70E740481C1C}">
                          <a14:useLocalDpi xmlns:a14="http://schemas.microsoft.com/office/drawing/2010/main" val="0"/>
                        </a:ext>
                      </a:extLst>
                    </a:blip>
                    <a:srcRect r="541" b="1455"/>
                    <a:stretch/>
                  </pic:blipFill>
                  <pic:spPr bwMode="auto">
                    <a:xfrm>
                      <a:off x="0" y="0"/>
                      <a:ext cx="4608363" cy="3590925"/>
                    </a:xfrm>
                    <a:prstGeom prst="rect">
                      <a:avLst/>
                    </a:prstGeom>
                    <a:noFill/>
                    <a:ln>
                      <a:noFill/>
                    </a:ln>
                    <a:extLst>
                      <a:ext uri="{53640926-AAD7-44D8-BBD7-CCE9431645EC}">
                        <a14:shadowObscured xmlns:a14="http://schemas.microsoft.com/office/drawing/2010/main"/>
                      </a:ext>
                    </a:extLst>
                  </pic:spPr>
                </pic:pic>
              </a:graphicData>
            </a:graphic>
          </wp:inline>
        </w:drawing>
      </w:r>
    </w:p>
    <w:p w14:paraId="71D24C6D" w14:textId="0BD25AA4" w:rsidR="00F56D99" w:rsidRPr="002138F2" w:rsidRDefault="00F56D99" w:rsidP="00F56D99">
      <w:pPr>
        <w:pStyle w:val="BodyText"/>
        <w:rPr>
          <w:szCs w:val="24"/>
        </w:rPr>
      </w:pPr>
      <w:r w:rsidRPr="002138F2">
        <w:rPr>
          <w:szCs w:val="24"/>
        </w:rPr>
        <w:lastRenderedPageBreak/>
        <w:t xml:space="preserve">In preparing the Integrated Care Strategy, we have also had regard for the regulatory and statutory requirements, particularly the four key aims </w:t>
      </w:r>
      <w:r w:rsidR="00D059D2">
        <w:rPr>
          <w:szCs w:val="24"/>
        </w:rPr>
        <w:t>set nationally</w:t>
      </w:r>
      <w:r w:rsidRPr="002138F2">
        <w:rPr>
          <w:szCs w:val="24"/>
        </w:rPr>
        <w:t xml:space="preserve"> for </w:t>
      </w:r>
      <w:r w:rsidR="002F4C03" w:rsidRPr="002138F2">
        <w:rPr>
          <w:szCs w:val="24"/>
        </w:rPr>
        <w:t xml:space="preserve">the </w:t>
      </w:r>
      <w:r w:rsidRPr="002138F2">
        <w:rPr>
          <w:szCs w:val="24"/>
        </w:rPr>
        <w:t>ICS</w:t>
      </w:r>
      <w:r w:rsidR="009F2BC2">
        <w:rPr>
          <w:szCs w:val="24"/>
        </w:rPr>
        <w:t>, these being</w:t>
      </w:r>
      <w:r w:rsidRPr="002138F2">
        <w:rPr>
          <w:szCs w:val="24"/>
        </w:rPr>
        <w:t>:</w:t>
      </w:r>
    </w:p>
    <w:p w14:paraId="2BCAE19E" w14:textId="77777777" w:rsidR="00F56D99" w:rsidRPr="002138F2" w:rsidRDefault="00F56D99" w:rsidP="00A24DCF">
      <w:pPr>
        <w:pStyle w:val="ListParagraph"/>
        <w:numPr>
          <w:ilvl w:val="0"/>
          <w:numId w:val="13"/>
        </w:numPr>
        <w:spacing w:before="120" w:after="120"/>
        <w:ind w:left="357" w:hanging="357"/>
        <w:contextualSpacing w:val="0"/>
      </w:pPr>
      <w:r w:rsidRPr="002138F2">
        <w:t>Improving outcomes in population health and health care.</w:t>
      </w:r>
    </w:p>
    <w:p w14:paraId="213E3328" w14:textId="77777777" w:rsidR="00F56D99" w:rsidRPr="002138F2" w:rsidRDefault="00F56D99" w:rsidP="00A24DCF">
      <w:pPr>
        <w:pStyle w:val="ListParagraph"/>
        <w:numPr>
          <w:ilvl w:val="0"/>
          <w:numId w:val="13"/>
        </w:numPr>
        <w:spacing w:before="120" w:after="120"/>
        <w:ind w:left="357" w:hanging="357"/>
        <w:contextualSpacing w:val="0"/>
      </w:pPr>
      <w:r w:rsidRPr="002138F2">
        <w:t>Tackling inequalities in outcomes, experience, and access.</w:t>
      </w:r>
    </w:p>
    <w:p w14:paraId="6A3D4751" w14:textId="77777777" w:rsidR="00F56D99" w:rsidRPr="002138F2" w:rsidRDefault="00F56D99" w:rsidP="00A24DCF">
      <w:pPr>
        <w:pStyle w:val="ListParagraph"/>
        <w:numPr>
          <w:ilvl w:val="0"/>
          <w:numId w:val="13"/>
        </w:numPr>
        <w:spacing w:before="120" w:after="120"/>
        <w:ind w:left="357" w:hanging="357"/>
        <w:contextualSpacing w:val="0"/>
      </w:pPr>
      <w:r w:rsidRPr="002138F2">
        <w:t>Enhancing productivity and value for money.</w:t>
      </w:r>
    </w:p>
    <w:p w14:paraId="4BE5DAB2" w14:textId="77777777" w:rsidR="00F56D99" w:rsidRPr="002138F2" w:rsidRDefault="00F56D99" w:rsidP="00A24DCF">
      <w:pPr>
        <w:pStyle w:val="ListParagraph"/>
        <w:numPr>
          <w:ilvl w:val="0"/>
          <w:numId w:val="13"/>
        </w:numPr>
        <w:spacing w:before="120" w:after="120"/>
        <w:ind w:left="357" w:hanging="357"/>
        <w:contextualSpacing w:val="0"/>
      </w:pPr>
      <w:r w:rsidRPr="002138F2">
        <w:t>Supporting broader social and economic development.</w:t>
      </w:r>
    </w:p>
    <w:p w14:paraId="4C03CA8F" w14:textId="77777777" w:rsidR="00F56D99" w:rsidRPr="002138F2" w:rsidRDefault="00F56D99" w:rsidP="00F56D99">
      <w:pPr>
        <w:pStyle w:val="BodyText"/>
        <w:rPr>
          <w:szCs w:val="24"/>
        </w:rPr>
      </w:pPr>
      <w:r w:rsidRPr="002138F2">
        <w:rPr>
          <w:szCs w:val="24"/>
        </w:rPr>
        <w:t>We have also had regard for the ‘Triple Aim’ established for NHS bodies that plan and commission services, which requires them to consider the effects of decisions on:</w:t>
      </w:r>
    </w:p>
    <w:p w14:paraId="487EBF5E" w14:textId="77777777" w:rsidR="00F56D99" w:rsidRPr="002138F2" w:rsidRDefault="00F56D99" w:rsidP="00A24DCF">
      <w:pPr>
        <w:pStyle w:val="BodyText"/>
        <w:numPr>
          <w:ilvl w:val="0"/>
          <w:numId w:val="14"/>
        </w:numPr>
        <w:spacing w:before="120" w:after="120"/>
        <w:ind w:left="357" w:hanging="357"/>
        <w:rPr>
          <w:szCs w:val="24"/>
        </w:rPr>
      </w:pPr>
      <w:r w:rsidRPr="002138F2">
        <w:rPr>
          <w:szCs w:val="24"/>
        </w:rPr>
        <w:t>The health and wellbeing of the people of England (including inequalities in that health and wellbeing).</w:t>
      </w:r>
    </w:p>
    <w:p w14:paraId="2DD450F6" w14:textId="77777777" w:rsidR="000507B4" w:rsidRPr="002138F2" w:rsidRDefault="00F56D99" w:rsidP="00A24DCF">
      <w:pPr>
        <w:pStyle w:val="BodyText"/>
        <w:numPr>
          <w:ilvl w:val="0"/>
          <w:numId w:val="14"/>
        </w:numPr>
        <w:spacing w:before="120" w:after="120"/>
        <w:ind w:left="357" w:hanging="357"/>
      </w:pPr>
      <w:r w:rsidRPr="002138F2">
        <w:rPr>
          <w:szCs w:val="24"/>
        </w:rPr>
        <w:t>The quality of services provided or arranged by both them and other relevant bodies (including inequalities in benefits from those services).</w:t>
      </w:r>
      <w:r w:rsidR="000507B4" w:rsidRPr="002138F2">
        <w:rPr>
          <w:szCs w:val="24"/>
        </w:rPr>
        <w:t xml:space="preserve">  </w:t>
      </w:r>
    </w:p>
    <w:p w14:paraId="1F4FE16D" w14:textId="00D53A28" w:rsidR="00287CD6" w:rsidRPr="002138F2" w:rsidRDefault="00F56D99" w:rsidP="00A24DCF">
      <w:pPr>
        <w:pStyle w:val="BodyText"/>
        <w:numPr>
          <w:ilvl w:val="0"/>
          <w:numId w:val="14"/>
        </w:numPr>
        <w:spacing w:before="120" w:after="120"/>
        <w:ind w:left="357" w:hanging="357"/>
      </w:pPr>
      <w:r w:rsidRPr="002138F2">
        <w:rPr>
          <w:szCs w:val="24"/>
        </w:rPr>
        <w:t>The sustainable and efficient use of resources by themselves and other relevant bodies.</w:t>
      </w:r>
    </w:p>
    <w:p w14:paraId="53452D57" w14:textId="77777777" w:rsidR="00F22A85" w:rsidRDefault="00F22A85" w:rsidP="00F22A85">
      <w:pPr>
        <w:pStyle w:val="Heading2"/>
      </w:pPr>
      <w:bookmarkStart w:id="16" w:name="_Toc164814814"/>
      <w:bookmarkStart w:id="17" w:name="_Toc164814875"/>
      <w:bookmarkStart w:id="18" w:name="_Toc126572828"/>
      <w:r>
        <w:t>Review and learning from 2023/24</w:t>
      </w:r>
      <w:bookmarkEnd w:id="16"/>
      <w:bookmarkEnd w:id="17"/>
    </w:p>
    <w:p w14:paraId="74B3C8A2" w14:textId="383F8465" w:rsidR="00D13F85" w:rsidRPr="00113865" w:rsidRDefault="00AC3D7E" w:rsidP="00113865">
      <w:pPr>
        <w:pStyle w:val="BodyText"/>
        <w:rPr>
          <w:szCs w:val="24"/>
        </w:rPr>
      </w:pPr>
      <w:r w:rsidRPr="00113865">
        <w:rPr>
          <w:szCs w:val="24"/>
        </w:rPr>
        <w:t>The analysis section below describes in more detail the ICB</w:t>
      </w:r>
      <w:r w:rsidR="00981525">
        <w:rPr>
          <w:szCs w:val="24"/>
        </w:rPr>
        <w:t>’</w:t>
      </w:r>
      <w:r w:rsidRPr="00113865">
        <w:rPr>
          <w:szCs w:val="24"/>
        </w:rPr>
        <w:t>s performance against the NHS Oversight Framework</w:t>
      </w:r>
      <w:r w:rsidR="0021145E" w:rsidRPr="00113865">
        <w:rPr>
          <w:szCs w:val="24"/>
        </w:rPr>
        <w:t xml:space="preserve"> </w:t>
      </w:r>
      <w:r w:rsidR="00D13F85" w:rsidRPr="00113865">
        <w:rPr>
          <w:szCs w:val="24"/>
        </w:rPr>
        <w:t>and the commitments made in the</w:t>
      </w:r>
      <w:r w:rsidR="000D1FC6">
        <w:rPr>
          <w:szCs w:val="24"/>
        </w:rPr>
        <w:t xml:space="preserve"> </w:t>
      </w:r>
      <w:r w:rsidR="0055505B">
        <w:rPr>
          <w:szCs w:val="24"/>
        </w:rPr>
        <w:t>JFP</w:t>
      </w:r>
      <w:r w:rsidR="00D13F85" w:rsidRPr="00113865">
        <w:rPr>
          <w:szCs w:val="24"/>
        </w:rPr>
        <w:t>.</w:t>
      </w:r>
    </w:p>
    <w:p w14:paraId="5E5E47E3" w14:textId="77C6E4B0" w:rsidR="00D13F85" w:rsidRPr="00113865" w:rsidRDefault="0021145E" w:rsidP="00113865">
      <w:pPr>
        <w:pStyle w:val="BodyText"/>
        <w:rPr>
          <w:szCs w:val="24"/>
        </w:rPr>
      </w:pPr>
      <w:r w:rsidRPr="00113865">
        <w:rPr>
          <w:szCs w:val="24"/>
        </w:rPr>
        <w:t>Notwithstanding</w:t>
      </w:r>
      <w:r w:rsidR="00D13F85" w:rsidRPr="00113865">
        <w:rPr>
          <w:szCs w:val="24"/>
        </w:rPr>
        <w:t xml:space="preserve"> industrial action</w:t>
      </w:r>
      <w:r w:rsidRPr="00113865">
        <w:rPr>
          <w:szCs w:val="24"/>
        </w:rPr>
        <w:t>,</w:t>
      </w:r>
      <w:r w:rsidR="00D13F85" w:rsidRPr="00113865">
        <w:rPr>
          <w:szCs w:val="24"/>
        </w:rPr>
        <w:t xml:space="preserve"> </w:t>
      </w:r>
      <w:r w:rsidR="00E645CE" w:rsidRPr="00113865">
        <w:rPr>
          <w:szCs w:val="24"/>
        </w:rPr>
        <w:t xml:space="preserve">in most areas </w:t>
      </w:r>
      <w:r w:rsidR="00D13F85" w:rsidRPr="00113865">
        <w:rPr>
          <w:szCs w:val="24"/>
        </w:rPr>
        <w:t>the ICB has improved performance</w:t>
      </w:r>
      <w:r w:rsidR="00727F8B" w:rsidRPr="00113865">
        <w:rPr>
          <w:szCs w:val="24"/>
        </w:rPr>
        <w:t xml:space="preserve"> from</w:t>
      </w:r>
      <w:r w:rsidRPr="00113865">
        <w:rPr>
          <w:szCs w:val="24"/>
        </w:rPr>
        <w:t xml:space="preserve"> the </w:t>
      </w:r>
      <w:r w:rsidR="00D13F85" w:rsidRPr="00113865">
        <w:rPr>
          <w:szCs w:val="24"/>
        </w:rPr>
        <w:t xml:space="preserve">levels </w:t>
      </w:r>
      <w:r w:rsidRPr="00113865">
        <w:rPr>
          <w:szCs w:val="24"/>
        </w:rPr>
        <w:t xml:space="preserve">achieved </w:t>
      </w:r>
      <w:r w:rsidR="00D13F85" w:rsidRPr="00113865">
        <w:rPr>
          <w:szCs w:val="24"/>
        </w:rPr>
        <w:t xml:space="preserve">in 2022/23, although there is still </w:t>
      </w:r>
      <w:r w:rsidRPr="00113865">
        <w:rPr>
          <w:szCs w:val="24"/>
        </w:rPr>
        <w:t>more to be done</w:t>
      </w:r>
      <w:r w:rsidR="00D13F85" w:rsidRPr="00113865">
        <w:rPr>
          <w:szCs w:val="24"/>
        </w:rPr>
        <w:t xml:space="preserve"> to achieve the performance levels </w:t>
      </w:r>
      <w:r w:rsidR="00727F8B" w:rsidRPr="00113865">
        <w:rPr>
          <w:szCs w:val="24"/>
        </w:rPr>
        <w:t xml:space="preserve">expected and to which </w:t>
      </w:r>
      <w:r w:rsidR="00D13F85" w:rsidRPr="00113865">
        <w:rPr>
          <w:szCs w:val="24"/>
        </w:rPr>
        <w:t xml:space="preserve">we aspire.  The sections below describe how we have redesigned emergency care and some cancer pathways to </w:t>
      </w:r>
      <w:r w:rsidR="00BF1768">
        <w:rPr>
          <w:szCs w:val="24"/>
        </w:rPr>
        <w:t>improve</w:t>
      </w:r>
      <w:r w:rsidR="00D13F85" w:rsidRPr="00113865">
        <w:rPr>
          <w:szCs w:val="24"/>
        </w:rPr>
        <w:t xml:space="preserve"> our performance, as well as invest</w:t>
      </w:r>
      <w:r w:rsidR="005F3506">
        <w:rPr>
          <w:szCs w:val="24"/>
        </w:rPr>
        <w:t>ing</w:t>
      </w:r>
      <w:r w:rsidR="00D13F85" w:rsidRPr="00113865">
        <w:rPr>
          <w:szCs w:val="24"/>
        </w:rPr>
        <w:t xml:space="preserve"> in place-based initiatives </w:t>
      </w:r>
      <w:r w:rsidR="009C67F1">
        <w:rPr>
          <w:szCs w:val="24"/>
        </w:rPr>
        <w:t>as part of</w:t>
      </w:r>
      <w:r w:rsidR="009C67F1" w:rsidRPr="00113865">
        <w:rPr>
          <w:szCs w:val="24"/>
        </w:rPr>
        <w:t xml:space="preserve"> </w:t>
      </w:r>
      <w:r w:rsidR="00D13F85" w:rsidRPr="00113865">
        <w:rPr>
          <w:szCs w:val="24"/>
        </w:rPr>
        <w:t xml:space="preserve">our overarching approach to addressing inequalities.  Investment in mental health, dentistry and primary care has been fundamental to delivering increased activity, acknowledging that delivery of performance </w:t>
      </w:r>
      <w:r w:rsidR="007E6740">
        <w:rPr>
          <w:szCs w:val="24"/>
        </w:rPr>
        <w:t xml:space="preserve">often </w:t>
      </w:r>
      <w:r w:rsidR="00A72854">
        <w:rPr>
          <w:szCs w:val="24"/>
        </w:rPr>
        <w:t>comes with</w:t>
      </w:r>
      <w:r w:rsidR="00D13F85" w:rsidRPr="00113865">
        <w:rPr>
          <w:szCs w:val="24"/>
        </w:rPr>
        <w:t xml:space="preserve"> premium cost</w:t>
      </w:r>
      <w:r w:rsidR="007A095C">
        <w:rPr>
          <w:szCs w:val="24"/>
        </w:rPr>
        <w:t>s</w:t>
      </w:r>
      <w:r w:rsidR="00D13F85" w:rsidRPr="00113865">
        <w:rPr>
          <w:szCs w:val="24"/>
        </w:rPr>
        <w:t>.</w:t>
      </w:r>
    </w:p>
    <w:p w14:paraId="20396FDC" w14:textId="57A58F71" w:rsidR="0021145E" w:rsidRPr="00113865" w:rsidRDefault="00D13F85" w:rsidP="00113865">
      <w:pPr>
        <w:pStyle w:val="BodyText"/>
        <w:rPr>
          <w:szCs w:val="24"/>
        </w:rPr>
      </w:pPr>
      <w:r w:rsidRPr="00113865">
        <w:rPr>
          <w:szCs w:val="24"/>
        </w:rPr>
        <w:t xml:space="preserve">The ICB managed its </w:t>
      </w:r>
      <w:r w:rsidR="0055293C">
        <w:rPr>
          <w:szCs w:val="24"/>
        </w:rPr>
        <w:t xml:space="preserve">own </w:t>
      </w:r>
      <w:r w:rsidRPr="00113865">
        <w:rPr>
          <w:szCs w:val="24"/>
        </w:rPr>
        <w:t>financial performance in line with the orig</w:t>
      </w:r>
      <w:r w:rsidRPr="00643DDB">
        <w:rPr>
          <w:szCs w:val="24"/>
        </w:rPr>
        <w:t>inal plan, a</w:t>
      </w:r>
      <w:r w:rsidRPr="00113865">
        <w:rPr>
          <w:szCs w:val="24"/>
        </w:rPr>
        <w:t>s set out within the finance and accounts sections below</w:t>
      </w:r>
      <w:r w:rsidR="00327D89">
        <w:rPr>
          <w:szCs w:val="24"/>
        </w:rPr>
        <w:t xml:space="preserve">. The </w:t>
      </w:r>
      <w:r w:rsidR="00471C4B">
        <w:rPr>
          <w:szCs w:val="24"/>
        </w:rPr>
        <w:t>ICS</w:t>
      </w:r>
      <w:r w:rsidRPr="00113865">
        <w:rPr>
          <w:szCs w:val="24"/>
        </w:rPr>
        <w:t xml:space="preserve"> </w:t>
      </w:r>
      <w:r w:rsidR="00E25408" w:rsidRPr="00113865">
        <w:rPr>
          <w:szCs w:val="24"/>
        </w:rPr>
        <w:t>deliver</w:t>
      </w:r>
      <w:r w:rsidR="00E25408">
        <w:rPr>
          <w:szCs w:val="24"/>
        </w:rPr>
        <w:t>ed against</w:t>
      </w:r>
      <w:r w:rsidR="002B6DD0">
        <w:rPr>
          <w:szCs w:val="24"/>
        </w:rPr>
        <w:t xml:space="preserve"> </w:t>
      </w:r>
      <w:r w:rsidRPr="00113865">
        <w:rPr>
          <w:szCs w:val="24"/>
        </w:rPr>
        <w:t>a revised deficit pla</w:t>
      </w:r>
      <w:r w:rsidR="003C1222">
        <w:rPr>
          <w:szCs w:val="24"/>
        </w:rPr>
        <w:t>n</w:t>
      </w:r>
      <w:r w:rsidR="00327D89">
        <w:rPr>
          <w:szCs w:val="24"/>
        </w:rPr>
        <w:t xml:space="preserve"> following renegotiation in year with </w:t>
      </w:r>
      <w:r w:rsidR="00F46054">
        <w:rPr>
          <w:szCs w:val="24"/>
        </w:rPr>
        <w:t>NHSE</w:t>
      </w:r>
      <w:r w:rsidR="00327D89">
        <w:rPr>
          <w:szCs w:val="24"/>
        </w:rPr>
        <w:t xml:space="preserve">. The outturn position for the system was a deficit of </w:t>
      </w:r>
      <w:r w:rsidR="00152987">
        <w:rPr>
          <w:szCs w:val="24"/>
        </w:rPr>
        <w:t>£29m.</w:t>
      </w:r>
      <w:r w:rsidR="0021145E" w:rsidRPr="00113865">
        <w:rPr>
          <w:szCs w:val="24"/>
        </w:rPr>
        <w:t xml:space="preserve">  Financial grip, control and accountability will therefore be a </w:t>
      </w:r>
      <w:r w:rsidR="00F35659" w:rsidRPr="00113865">
        <w:rPr>
          <w:szCs w:val="24"/>
        </w:rPr>
        <w:t xml:space="preserve">priority </w:t>
      </w:r>
      <w:r w:rsidR="00406AF3">
        <w:rPr>
          <w:szCs w:val="24"/>
        </w:rPr>
        <w:t>during</w:t>
      </w:r>
      <w:r w:rsidR="00406AF3" w:rsidRPr="00113865">
        <w:rPr>
          <w:szCs w:val="24"/>
        </w:rPr>
        <w:t xml:space="preserve"> </w:t>
      </w:r>
      <w:r w:rsidR="0021145E" w:rsidRPr="00113865">
        <w:rPr>
          <w:szCs w:val="24"/>
        </w:rPr>
        <w:t>the year ahead.</w:t>
      </w:r>
    </w:p>
    <w:p w14:paraId="7589686B" w14:textId="56C1087D" w:rsidR="00E720ED" w:rsidRPr="00113865" w:rsidRDefault="0021145E" w:rsidP="00113865">
      <w:pPr>
        <w:pStyle w:val="BodyText"/>
        <w:rPr>
          <w:szCs w:val="24"/>
        </w:rPr>
      </w:pPr>
      <w:r w:rsidRPr="00113865">
        <w:rPr>
          <w:szCs w:val="24"/>
        </w:rPr>
        <w:t xml:space="preserve">Appointment of a joint </w:t>
      </w:r>
      <w:r w:rsidR="00AD118D">
        <w:rPr>
          <w:szCs w:val="24"/>
        </w:rPr>
        <w:t xml:space="preserve">Executive </w:t>
      </w:r>
      <w:r w:rsidR="008F77EC" w:rsidRPr="00113865">
        <w:rPr>
          <w:szCs w:val="24"/>
        </w:rPr>
        <w:t xml:space="preserve">Director </w:t>
      </w:r>
      <w:r w:rsidR="008F77EC">
        <w:rPr>
          <w:szCs w:val="24"/>
        </w:rPr>
        <w:t xml:space="preserve">of </w:t>
      </w:r>
      <w:r w:rsidRPr="00113865">
        <w:rPr>
          <w:szCs w:val="24"/>
        </w:rPr>
        <w:t xml:space="preserve">System Recovery and continued leadership through both the Chief Executive Officers Forum and the sovereign </w:t>
      </w:r>
      <w:r w:rsidR="00A64C2E" w:rsidRPr="00113865">
        <w:rPr>
          <w:szCs w:val="24"/>
        </w:rPr>
        <w:t>organisations</w:t>
      </w:r>
      <w:r w:rsidRPr="00113865">
        <w:rPr>
          <w:szCs w:val="24"/>
        </w:rPr>
        <w:t xml:space="preserve"> provides clarity of purpose and focus on delivery </w:t>
      </w:r>
      <w:r w:rsidR="00F2022F">
        <w:rPr>
          <w:szCs w:val="24"/>
        </w:rPr>
        <w:t>of our finance and performance recovery plan</w:t>
      </w:r>
      <w:r w:rsidRPr="00113865">
        <w:rPr>
          <w:szCs w:val="24"/>
        </w:rPr>
        <w:t>.</w:t>
      </w:r>
    </w:p>
    <w:p w14:paraId="49BB0D0E" w14:textId="6E6E8A38" w:rsidR="001D5FC2" w:rsidRDefault="00A64661" w:rsidP="00113865">
      <w:pPr>
        <w:pStyle w:val="BodyText"/>
        <w:rPr>
          <w:rFonts w:eastAsia="Times" w:cs="Times New Roman"/>
          <w:b/>
          <w:bCs/>
          <w:color w:val="000000" w:themeColor="text1"/>
          <w:sz w:val="48"/>
          <w:szCs w:val="48"/>
        </w:rPr>
      </w:pPr>
      <w:r>
        <w:rPr>
          <w:szCs w:val="24"/>
        </w:rPr>
        <w:t>T</w:t>
      </w:r>
      <w:r w:rsidR="0021145E" w:rsidRPr="00113865">
        <w:rPr>
          <w:szCs w:val="24"/>
        </w:rPr>
        <w:t>he results of the ICB</w:t>
      </w:r>
      <w:r w:rsidR="000D1FC6">
        <w:rPr>
          <w:szCs w:val="24"/>
        </w:rPr>
        <w:t xml:space="preserve"> </w:t>
      </w:r>
      <w:r w:rsidR="00990D86">
        <w:rPr>
          <w:szCs w:val="24"/>
        </w:rPr>
        <w:t>S</w:t>
      </w:r>
      <w:r w:rsidR="0021145E" w:rsidRPr="00113865">
        <w:rPr>
          <w:szCs w:val="24"/>
        </w:rPr>
        <w:t xml:space="preserve">taff </w:t>
      </w:r>
      <w:r w:rsidR="001E3622">
        <w:rPr>
          <w:szCs w:val="24"/>
        </w:rPr>
        <w:t>S</w:t>
      </w:r>
      <w:r w:rsidR="0021145E" w:rsidRPr="00113865">
        <w:rPr>
          <w:szCs w:val="24"/>
        </w:rPr>
        <w:t xml:space="preserve">urvey were disappointing, but not surprising given the significant organisational change programme during 2023/24.  </w:t>
      </w:r>
      <w:r w:rsidR="00A46580">
        <w:rPr>
          <w:szCs w:val="24"/>
        </w:rPr>
        <w:t>Our w</w:t>
      </w:r>
      <w:r w:rsidR="00727F8B" w:rsidRPr="00113865">
        <w:rPr>
          <w:szCs w:val="24"/>
        </w:rPr>
        <w:t xml:space="preserve">orkforce will therefore also be an area of focus both for the ICB, and the wider system, while partners align workforce requirements to the needs of our population </w:t>
      </w:r>
      <w:r w:rsidR="0041487E">
        <w:rPr>
          <w:szCs w:val="24"/>
        </w:rPr>
        <w:t xml:space="preserve">and our </w:t>
      </w:r>
      <w:r w:rsidR="00AF06A1">
        <w:rPr>
          <w:szCs w:val="24"/>
        </w:rPr>
        <w:t>resources and</w:t>
      </w:r>
      <w:r w:rsidR="00727F8B" w:rsidRPr="00113865">
        <w:rPr>
          <w:szCs w:val="24"/>
        </w:rPr>
        <w:t xml:space="preserve"> shift away from high numbers of temporary staff.</w:t>
      </w:r>
      <w:r w:rsidR="001D5FC2">
        <w:br w:type="page"/>
      </w:r>
    </w:p>
    <w:p w14:paraId="359EE239" w14:textId="5C0F1590" w:rsidR="001C0486" w:rsidRPr="00D11029" w:rsidRDefault="001C0486" w:rsidP="0035747E">
      <w:pPr>
        <w:pStyle w:val="Subtitle"/>
      </w:pPr>
      <w:bookmarkStart w:id="19" w:name="_Toc164814815"/>
      <w:bookmarkStart w:id="20" w:name="_Toc164814876"/>
      <w:r w:rsidRPr="00DB127F">
        <w:lastRenderedPageBreak/>
        <w:t xml:space="preserve">Performance </w:t>
      </w:r>
      <w:r w:rsidR="003D6233" w:rsidRPr="00DB127F">
        <w:t>A</w:t>
      </w:r>
      <w:r w:rsidRPr="00DB127F">
        <w:t>nalysis</w:t>
      </w:r>
      <w:bookmarkEnd w:id="18"/>
      <w:bookmarkEnd w:id="19"/>
      <w:bookmarkEnd w:id="20"/>
    </w:p>
    <w:p w14:paraId="23535897" w14:textId="77777777" w:rsidR="0007374F" w:rsidRDefault="0007374F" w:rsidP="0007374F">
      <w:pPr>
        <w:pStyle w:val="Heading2"/>
      </w:pPr>
      <w:bookmarkStart w:id="21" w:name="_Toc164814816"/>
      <w:bookmarkStart w:id="22" w:name="_Toc164814877"/>
      <w:r>
        <w:t>Introduction</w:t>
      </w:r>
      <w:bookmarkEnd w:id="21"/>
      <w:bookmarkEnd w:id="22"/>
    </w:p>
    <w:p w14:paraId="1FB66ECC" w14:textId="76ABD743" w:rsidR="00BE4D30" w:rsidRDefault="00BE4D30" w:rsidP="00BE4D30">
      <w:pPr>
        <w:rPr>
          <w:rFonts w:cs="Arial"/>
        </w:rPr>
      </w:pPr>
      <w:r w:rsidRPr="30356819">
        <w:rPr>
          <w:rFonts w:cs="Arial"/>
        </w:rPr>
        <w:t>Mid and South Essex Integrated Care Board (MSE ICB</w:t>
      </w:r>
      <w:r w:rsidR="001F06B2">
        <w:rPr>
          <w:rFonts w:cs="Arial"/>
        </w:rPr>
        <w:t xml:space="preserve"> or ‘ICB’</w:t>
      </w:r>
      <w:r w:rsidRPr="30356819">
        <w:rPr>
          <w:rFonts w:cs="Arial"/>
        </w:rPr>
        <w:t>) is responsible for reporting against the NHS Oversight Framework</w:t>
      </w:r>
      <w:r w:rsidRPr="30356819">
        <w:rPr>
          <w:rStyle w:val="FootnoteReference"/>
          <w:rFonts w:cs="Arial"/>
        </w:rPr>
        <w:footnoteReference w:id="2"/>
      </w:r>
      <w:r w:rsidRPr="30356819">
        <w:rPr>
          <w:rFonts w:cs="Arial"/>
        </w:rPr>
        <w:t xml:space="preserve">. </w:t>
      </w:r>
      <w:r w:rsidRPr="46C04EEA">
        <w:rPr>
          <w:rFonts w:cs="Arial"/>
        </w:rPr>
        <w:t xml:space="preserve">This </w:t>
      </w:r>
      <w:r w:rsidR="05EC4828" w:rsidRPr="46C04EEA">
        <w:rPr>
          <w:rFonts w:cs="Arial"/>
        </w:rPr>
        <w:t>f</w:t>
      </w:r>
      <w:r w:rsidRPr="46C04EEA">
        <w:rPr>
          <w:rFonts w:cs="Arial"/>
        </w:rPr>
        <w:t>ramework</w:t>
      </w:r>
      <w:r w:rsidRPr="30356819">
        <w:rPr>
          <w:rFonts w:cs="Arial"/>
        </w:rPr>
        <w:t xml:space="preserve"> provides the structure for the ICB to ensure oversight and performance of NHS </w:t>
      </w:r>
      <w:r w:rsidR="18DFA61B" w:rsidRPr="46C04EEA">
        <w:rPr>
          <w:rFonts w:cs="Arial"/>
        </w:rPr>
        <w:t>c</w:t>
      </w:r>
      <w:r w:rsidRPr="46C04EEA">
        <w:rPr>
          <w:rFonts w:cs="Arial"/>
        </w:rPr>
        <w:t xml:space="preserve">onstitutional </w:t>
      </w:r>
      <w:r w:rsidR="42A3E930" w:rsidRPr="46C04EEA">
        <w:rPr>
          <w:rFonts w:cs="Arial"/>
        </w:rPr>
        <w:t>s</w:t>
      </w:r>
      <w:r w:rsidRPr="30356819">
        <w:rPr>
          <w:rFonts w:cs="Arial"/>
        </w:rPr>
        <w:t xml:space="preserve">tandards for its population. </w:t>
      </w:r>
    </w:p>
    <w:p w14:paraId="34C54B52" w14:textId="51742543" w:rsidR="00BE4D30" w:rsidRDefault="00BE4D30" w:rsidP="00BE4D30">
      <w:pPr>
        <w:rPr>
          <w:rFonts w:cs="Arial"/>
        </w:rPr>
      </w:pPr>
      <w:r w:rsidRPr="0CD75227">
        <w:rPr>
          <w:rFonts w:cs="Arial"/>
        </w:rPr>
        <w:t>During 2023/24 the ICB, with partners, focused on recovery of performance and delivery of plans commenced in 2022/23 post C</w:t>
      </w:r>
      <w:r w:rsidR="603738A4" w:rsidRPr="0CD75227">
        <w:rPr>
          <w:rFonts w:cs="Arial"/>
        </w:rPr>
        <w:t>OVID</w:t>
      </w:r>
      <w:r w:rsidRPr="0CD75227">
        <w:rPr>
          <w:rFonts w:cs="Arial"/>
        </w:rPr>
        <w:t xml:space="preserve">-19 pandemic. The below outlines the 2023/24 achievement and delivery for </w:t>
      </w:r>
      <w:r w:rsidR="00A80479">
        <w:rPr>
          <w:rFonts w:cs="Arial"/>
        </w:rPr>
        <w:t xml:space="preserve">MSE </w:t>
      </w:r>
      <w:r w:rsidR="00EB4182" w:rsidRPr="0CD75227">
        <w:rPr>
          <w:rFonts w:cs="Arial"/>
        </w:rPr>
        <w:t>and incorporates case studies to demonstrate how the ICB has work</w:t>
      </w:r>
      <w:r w:rsidR="00A41398">
        <w:rPr>
          <w:rFonts w:cs="Arial"/>
        </w:rPr>
        <w:t>ed</w:t>
      </w:r>
      <w:r w:rsidR="00EB4182" w:rsidRPr="0CD75227">
        <w:rPr>
          <w:rFonts w:cs="Arial"/>
        </w:rPr>
        <w:t xml:space="preserve"> to improve performance and patient care</w:t>
      </w:r>
      <w:r w:rsidRPr="0CD75227">
        <w:rPr>
          <w:rFonts w:cs="Arial"/>
        </w:rPr>
        <w:t>.</w:t>
      </w:r>
    </w:p>
    <w:p w14:paraId="0FE76002" w14:textId="374FFB95" w:rsidR="00BE4D30" w:rsidRPr="00436D04" w:rsidRDefault="00BE4D30" w:rsidP="00BE4D30">
      <w:pPr>
        <w:rPr>
          <w:rFonts w:cs="Arial"/>
          <w:b/>
        </w:rPr>
      </w:pPr>
      <w:r w:rsidRPr="3B11DA3E">
        <w:rPr>
          <w:rFonts w:cs="Arial"/>
          <w:b/>
        </w:rPr>
        <w:t xml:space="preserve">Urgent and </w:t>
      </w:r>
      <w:r w:rsidRPr="3B11DA3E">
        <w:rPr>
          <w:rFonts w:cs="Arial"/>
          <w:b/>
          <w:bCs/>
        </w:rPr>
        <w:t xml:space="preserve">Emergency </w:t>
      </w:r>
      <w:r w:rsidRPr="3B11DA3E">
        <w:rPr>
          <w:rFonts w:cs="Arial"/>
          <w:b/>
        </w:rPr>
        <w:t>Care (UEC)</w:t>
      </w:r>
    </w:p>
    <w:p w14:paraId="06137CA3" w14:textId="01B89E6D" w:rsidR="00153167" w:rsidRPr="0018638A" w:rsidRDefault="00153167" w:rsidP="00153167">
      <w:pPr>
        <w:pStyle w:val="BodyText"/>
      </w:pPr>
      <w:r w:rsidRPr="0018638A">
        <w:t xml:space="preserve">In 2023/24 </w:t>
      </w:r>
      <w:r w:rsidR="005C0751">
        <w:t xml:space="preserve">UEC </w:t>
      </w:r>
      <w:r w:rsidR="00DA0330">
        <w:t>planning for the</w:t>
      </w:r>
      <w:r w:rsidR="00FB5A89">
        <w:t xml:space="preserve"> </w:t>
      </w:r>
      <w:r w:rsidR="008F7517">
        <w:t>e</w:t>
      </w:r>
      <w:r w:rsidRPr="0018638A">
        <w:t xml:space="preserve">mergency </w:t>
      </w:r>
      <w:r w:rsidR="008F7517">
        <w:t>d</w:t>
      </w:r>
      <w:r w:rsidRPr="0018638A">
        <w:t xml:space="preserve">epartment </w:t>
      </w:r>
      <w:r w:rsidR="005D2A07">
        <w:t>f</w:t>
      </w:r>
      <w:r w:rsidR="005D2A07" w:rsidRPr="0018638A">
        <w:t>our-hour</w:t>
      </w:r>
      <w:r w:rsidRPr="0018638A">
        <w:t xml:space="preserve"> </w:t>
      </w:r>
      <w:r w:rsidR="008F7517">
        <w:t>s</w:t>
      </w:r>
      <w:r w:rsidRPr="0018638A">
        <w:t xml:space="preserve">tandard (arrival to admission, transfer, or discharge) reflected the </w:t>
      </w:r>
      <w:r w:rsidR="00114EE1">
        <w:t>n</w:t>
      </w:r>
      <w:r w:rsidRPr="0018638A">
        <w:t xml:space="preserve">ational </w:t>
      </w:r>
      <w:r w:rsidR="00114EE1">
        <w:t>o</w:t>
      </w:r>
      <w:r w:rsidRPr="0018638A">
        <w:t xml:space="preserve">perational </w:t>
      </w:r>
      <w:r w:rsidR="00114EE1">
        <w:t>p</w:t>
      </w:r>
      <w:r w:rsidRPr="0018638A">
        <w:t>lanning ask to achieve 76%</w:t>
      </w:r>
      <w:r w:rsidR="00FB5A89">
        <w:t xml:space="preserve"> during March 2024</w:t>
      </w:r>
      <w:r w:rsidRPr="0018638A">
        <w:t xml:space="preserve">. Recognising that </w:t>
      </w:r>
      <w:r>
        <w:t>the</w:t>
      </w:r>
      <w:r w:rsidRPr="0018638A">
        <w:t xml:space="preserve"> ICB uses other providers</w:t>
      </w:r>
      <w:r>
        <w:t>,</w:t>
      </w:r>
      <w:r w:rsidRPr="0018638A">
        <w:t xml:space="preserve"> the focus on </w:t>
      </w:r>
      <w:r w:rsidR="006F11E5">
        <w:t>Mid and South Essex NHS Foundation Trust (</w:t>
      </w:r>
      <w:r w:rsidRPr="0018638A">
        <w:t>MSEFT</w:t>
      </w:r>
      <w:r w:rsidR="006F11E5">
        <w:t>)</w:t>
      </w:r>
      <w:r w:rsidRPr="0018638A">
        <w:t xml:space="preserve"> is because </w:t>
      </w:r>
      <w:r w:rsidR="00297F21">
        <w:t>it is</w:t>
      </w:r>
      <w:r w:rsidRPr="0018638A">
        <w:t xml:space="preserve"> the biggest provider of </w:t>
      </w:r>
      <w:r w:rsidR="00CA002F">
        <w:t>UEC</w:t>
      </w:r>
      <w:r w:rsidRPr="0018638A">
        <w:t xml:space="preserve"> for the population of MSE. </w:t>
      </w:r>
    </w:p>
    <w:p w14:paraId="34A12F17" w14:textId="77777777" w:rsidR="00153167" w:rsidRPr="0018638A" w:rsidRDefault="00153167" w:rsidP="00153167">
      <w:pPr>
        <w:pStyle w:val="BodyText"/>
      </w:pPr>
      <w:r w:rsidRPr="0018638A">
        <w:t>The graph below shows the 2023/24 financial year performance for the A&amp;E four-hour standard benchmarked against national performance. This shows that MSEFT is above national performance but below the operational performance requirement of 76%.</w:t>
      </w:r>
    </w:p>
    <w:p w14:paraId="3C3B8D59" w14:textId="6E957844" w:rsidR="00153167" w:rsidRDefault="00E661D6" w:rsidP="00153167">
      <w:pPr>
        <w:pStyle w:val="BodyText"/>
        <w:jc w:val="center"/>
        <w:rPr>
          <w:color w:val="FF0000"/>
        </w:rPr>
      </w:pPr>
      <w:r>
        <w:rPr>
          <w:noProof/>
        </w:rPr>
        <w:drawing>
          <wp:inline distT="0" distB="0" distL="0" distR="0" wp14:anchorId="66E3190C" wp14:editId="717B2008">
            <wp:extent cx="5281808" cy="2728569"/>
            <wp:effectExtent l="0" t="0" r="0" b="0"/>
            <wp:docPr id="1" name="Picture 1" descr="graph showing performance against the accident and emergency four-hour standard benchmarked against national perform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 showing performance against the accident and emergency four-hour standard benchmarked against national performance."/>
                    <pic:cNvPicPr/>
                  </pic:nvPicPr>
                  <pic:blipFill>
                    <a:blip r:embed="rId18"/>
                    <a:stretch>
                      <a:fillRect/>
                    </a:stretch>
                  </pic:blipFill>
                  <pic:spPr>
                    <a:xfrm>
                      <a:off x="0" y="0"/>
                      <a:ext cx="5303003" cy="2739518"/>
                    </a:xfrm>
                    <a:prstGeom prst="rect">
                      <a:avLst/>
                    </a:prstGeom>
                  </pic:spPr>
                </pic:pic>
              </a:graphicData>
            </a:graphic>
          </wp:inline>
        </w:drawing>
      </w:r>
    </w:p>
    <w:p w14:paraId="5DD2AB5E" w14:textId="07E5724F" w:rsidR="004C6701" w:rsidRDefault="004C6701" w:rsidP="004C6701">
      <w:pPr>
        <w:rPr>
          <w:rFonts w:cs="Arial"/>
          <w:szCs w:val="24"/>
        </w:rPr>
      </w:pPr>
      <w:r>
        <w:rPr>
          <w:rFonts w:cs="Arial"/>
          <w:szCs w:val="24"/>
        </w:rPr>
        <w:t>The improvements seen from January</w:t>
      </w:r>
      <w:r w:rsidR="00856B95">
        <w:rPr>
          <w:rFonts w:cs="Arial"/>
          <w:szCs w:val="24"/>
        </w:rPr>
        <w:t xml:space="preserve"> 2024</w:t>
      </w:r>
      <w:r>
        <w:rPr>
          <w:rFonts w:cs="Arial"/>
          <w:szCs w:val="24"/>
        </w:rPr>
        <w:t xml:space="preserve"> to March </w:t>
      </w:r>
      <w:r w:rsidR="00856B95">
        <w:rPr>
          <w:rFonts w:cs="Arial"/>
          <w:szCs w:val="24"/>
        </w:rPr>
        <w:t xml:space="preserve">2024 </w:t>
      </w:r>
      <w:r>
        <w:rPr>
          <w:rFonts w:cs="Arial"/>
          <w:szCs w:val="24"/>
        </w:rPr>
        <w:t xml:space="preserve">resulted from the UEC improvement programme </w:t>
      </w:r>
      <w:r w:rsidR="000B19ED">
        <w:rPr>
          <w:rFonts w:cs="Arial"/>
          <w:szCs w:val="24"/>
        </w:rPr>
        <w:t>with</w:t>
      </w:r>
      <w:r>
        <w:rPr>
          <w:rFonts w:cs="Arial"/>
          <w:szCs w:val="24"/>
        </w:rPr>
        <w:t xml:space="preserve"> schemes implemented specifically to impact the performance within A&amp;</w:t>
      </w:r>
      <w:r w:rsidR="000B081B">
        <w:rPr>
          <w:rFonts w:cs="Arial"/>
          <w:szCs w:val="24"/>
        </w:rPr>
        <w:t>E,</w:t>
      </w:r>
      <w:r w:rsidR="00A461EB">
        <w:rPr>
          <w:rFonts w:cs="Arial"/>
          <w:szCs w:val="24"/>
        </w:rPr>
        <w:t xml:space="preserve"> </w:t>
      </w:r>
      <w:r w:rsidR="009A1695">
        <w:rPr>
          <w:rFonts w:cs="Arial"/>
          <w:szCs w:val="24"/>
        </w:rPr>
        <w:t xml:space="preserve">improving </w:t>
      </w:r>
      <w:r w:rsidR="00A461EB">
        <w:rPr>
          <w:rFonts w:cs="Arial"/>
          <w:szCs w:val="24"/>
        </w:rPr>
        <w:t xml:space="preserve">performance </w:t>
      </w:r>
      <w:r w:rsidR="00524AC3">
        <w:rPr>
          <w:rFonts w:cs="Arial"/>
          <w:szCs w:val="24"/>
        </w:rPr>
        <w:t xml:space="preserve">by </w:t>
      </w:r>
      <w:r w:rsidR="00152987">
        <w:rPr>
          <w:rFonts w:cs="Arial"/>
          <w:szCs w:val="24"/>
        </w:rPr>
        <w:t>7</w:t>
      </w:r>
      <w:r w:rsidR="00A461EB">
        <w:rPr>
          <w:rFonts w:cs="Arial"/>
          <w:szCs w:val="24"/>
        </w:rPr>
        <w:t xml:space="preserve">% from 62% (2022/23) to </w:t>
      </w:r>
      <w:r w:rsidR="00544A43">
        <w:rPr>
          <w:rFonts w:cs="Arial"/>
          <w:szCs w:val="24"/>
        </w:rPr>
        <w:t>69</w:t>
      </w:r>
      <w:r w:rsidR="00A461EB">
        <w:rPr>
          <w:rFonts w:cs="Arial"/>
          <w:szCs w:val="24"/>
        </w:rPr>
        <w:t>%.</w:t>
      </w:r>
    </w:p>
    <w:p w14:paraId="3A5AF0B0" w14:textId="2E674204" w:rsidR="00BE4D30" w:rsidRDefault="00524AC3" w:rsidP="004C6701">
      <w:pPr>
        <w:rPr>
          <w:rFonts w:cs="Arial"/>
          <w:szCs w:val="24"/>
        </w:rPr>
      </w:pPr>
      <w:r>
        <w:rPr>
          <w:rFonts w:cs="Arial"/>
          <w:szCs w:val="24"/>
        </w:rPr>
        <w:lastRenderedPageBreak/>
        <w:t>In addition,</w:t>
      </w:r>
      <w:r w:rsidR="004C6701">
        <w:rPr>
          <w:rFonts w:cs="Arial"/>
          <w:szCs w:val="24"/>
        </w:rPr>
        <w:t xml:space="preserve"> </w:t>
      </w:r>
      <w:r w:rsidR="00BE4D30" w:rsidRPr="00436D04">
        <w:rPr>
          <w:rFonts w:cs="Arial"/>
          <w:szCs w:val="24"/>
        </w:rPr>
        <w:t xml:space="preserve">88% of </w:t>
      </w:r>
      <w:r w:rsidR="005A05D9" w:rsidRPr="00436D04">
        <w:rPr>
          <w:rFonts w:cs="Arial"/>
          <w:szCs w:val="24"/>
        </w:rPr>
        <w:t xml:space="preserve">urgent community response </w:t>
      </w:r>
      <w:r w:rsidR="00BE4D30" w:rsidRPr="00436D04">
        <w:rPr>
          <w:rFonts w:cs="Arial"/>
          <w:szCs w:val="24"/>
        </w:rPr>
        <w:t xml:space="preserve">calls were responded to within </w:t>
      </w:r>
      <w:r w:rsidR="004D2659">
        <w:rPr>
          <w:rFonts w:cs="Arial"/>
          <w:szCs w:val="24"/>
        </w:rPr>
        <w:t xml:space="preserve">two </w:t>
      </w:r>
      <w:r w:rsidR="00BE4D30" w:rsidRPr="00436D04">
        <w:rPr>
          <w:rFonts w:cs="Arial"/>
          <w:szCs w:val="24"/>
        </w:rPr>
        <w:t>hours (above plan)</w:t>
      </w:r>
      <w:r w:rsidR="004C6701">
        <w:rPr>
          <w:rFonts w:cs="Arial"/>
          <w:szCs w:val="24"/>
        </w:rPr>
        <w:t>.</w:t>
      </w:r>
    </w:p>
    <w:p w14:paraId="33124C33" w14:textId="27E6ED4F" w:rsidR="00E9615F" w:rsidRDefault="00A461EB" w:rsidP="00A461EB">
      <w:pPr>
        <w:rPr>
          <w:rFonts w:cs="Arial"/>
        </w:rPr>
      </w:pPr>
      <w:r w:rsidRPr="28C57C7B">
        <w:rPr>
          <w:rFonts w:cs="Arial"/>
        </w:rPr>
        <w:t>The ICB Urgent Emergency Care Board continues to work with partners, to improve ambulance handover times.</w:t>
      </w:r>
      <w:r w:rsidR="000358F1">
        <w:rPr>
          <w:rFonts w:cs="Arial"/>
        </w:rPr>
        <w:t xml:space="preserve">  In 2023/24</w:t>
      </w:r>
      <w:r w:rsidR="000B081B">
        <w:rPr>
          <w:rFonts w:cs="Arial"/>
        </w:rPr>
        <w:t>,</w:t>
      </w:r>
      <w:r w:rsidRPr="28C57C7B">
        <w:rPr>
          <w:rFonts w:cs="Arial"/>
        </w:rPr>
        <w:t xml:space="preserve"> </w:t>
      </w:r>
      <w:r w:rsidR="00BE4D30" w:rsidRPr="3D1BF1E7">
        <w:rPr>
          <w:rFonts w:cs="Arial"/>
        </w:rPr>
        <w:t xml:space="preserve">84.2% </w:t>
      </w:r>
      <w:r w:rsidR="74E539E5" w:rsidRPr="3D1BF1E7">
        <w:rPr>
          <w:rFonts w:cs="Arial"/>
        </w:rPr>
        <w:t xml:space="preserve">of </w:t>
      </w:r>
      <w:r w:rsidR="00BE4D30" w:rsidRPr="3D1BF1E7">
        <w:rPr>
          <w:rFonts w:cs="Arial"/>
        </w:rPr>
        <w:t>ambulance</w:t>
      </w:r>
      <w:r w:rsidR="00BE4D30" w:rsidRPr="28C57C7B">
        <w:rPr>
          <w:rFonts w:cs="Arial"/>
        </w:rPr>
        <w:t xml:space="preserve"> handovers</w:t>
      </w:r>
      <w:r w:rsidRPr="28C57C7B">
        <w:rPr>
          <w:rFonts w:cs="Arial"/>
        </w:rPr>
        <w:t xml:space="preserve"> were</w:t>
      </w:r>
      <w:r w:rsidR="00BE4D30" w:rsidRPr="28C57C7B">
        <w:rPr>
          <w:rFonts w:cs="Arial"/>
        </w:rPr>
        <w:t xml:space="preserve"> </w:t>
      </w:r>
      <w:r w:rsidR="00266AC3">
        <w:rPr>
          <w:rFonts w:cs="Arial"/>
        </w:rPr>
        <w:t xml:space="preserve">completed </w:t>
      </w:r>
      <w:r w:rsidR="003E5875">
        <w:rPr>
          <w:rFonts w:cs="Arial"/>
        </w:rPr>
        <w:t xml:space="preserve">in </w:t>
      </w:r>
      <w:r w:rsidR="00BE4D30" w:rsidRPr="28C57C7B">
        <w:rPr>
          <w:rFonts w:cs="Arial"/>
        </w:rPr>
        <w:t>under 30</w:t>
      </w:r>
      <w:r w:rsidRPr="28C57C7B">
        <w:rPr>
          <w:rFonts w:cs="Arial"/>
        </w:rPr>
        <w:t xml:space="preserve"> </w:t>
      </w:r>
      <w:r w:rsidR="00BE4D30" w:rsidRPr="28C57C7B">
        <w:rPr>
          <w:rFonts w:cs="Arial"/>
        </w:rPr>
        <w:t>min</w:t>
      </w:r>
      <w:r w:rsidRPr="28C57C7B">
        <w:rPr>
          <w:rFonts w:cs="Arial"/>
        </w:rPr>
        <w:t>ute</w:t>
      </w:r>
      <w:r w:rsidR="00BE4D30" w:rsidRPr="28C57C7B">
        <w:rPr>
          <w:rFonts w:cs="Arial"/>
        </w:rPr>
        <w:t>s</w:t>
      </w:r>
      <w:r w:rsidRPr="28C57C7B">
        <w:rPr>
          <w:rFonts w:cs="Arial"/>
        </w:rPr>
        <w:t>, with the a</w:t>
      </w:r>
      <w:r w:rsidR="00BE4D30" w:rsidRPr="28C57C7B">
        <w:rPr>
          <w:rFonts w:cs="Arial"/>
        </w:rPr>
        <w:t xml:space="preserve">verage handover time within </w:t>
      </w:r>
      <w:r w:rsidR="00944E71">
        <w:rPr>
          <w:rFonts w:cs="Arial"/>
        </w:rPr>
        <w:t>MSE</w:t>
      </w:r>
      <w:r w:rsidR="00BE4D30" w:rsidRPr="28C57C7B">
        <w:rPr>
          <w:rFonts w:cs="Arial"/>
        </w:rPr>
        <w:t xml:space="preserve"> </w:t>
      </w:r>
      <w:r w:rsidRPr="28C57C7B">
        <w:rPr>
          <w:rFonts w:cs="Arial"/>
        </w:rPr>
        <w:t>being</w:t>
      </w:r>
      <w:r w:rsidR="00BE4D30" w:rsidRPr="28C57C7B">
        <w:rPr>
          <w:rFonts w:cs="Arial"/>
        </w:rPr>
        <w:t xml:space="preserve"> lower than the </w:t>
      </w:r>
      <w:r w:rsidR="004B5E3B">
        <w:rPr>
          <w:rFonts w:cs="Arial"/>
        </w:rPr>
        <w:t xml:space="preserve">NHS </w:t>
      </w:r>
      <w:r w:rsidR="00BE4D30" w:rsidRPr="28C57C7B">
        <w:rPr>
          <w:rFonts w:cs="Arial"/>
        </w:rPr>
        <w:t xml:space="preserve">East of England regional </w:t>
      </w:r>
      <w:r w:rsidRPr="28C57C7B">
        <w:rPr>
          <w:rFonts w:cs="Arial"/>
        </w:rPr>
        <w:t xml:space="preserve">average </w:t>
      </w:r>
      <w:r w:rsidR="00E9615F">
        <w:rPr>
          <w:rFonts w:cs="Arial"/>
        </w:rPr>
        <w:t>and</w:t>
      </w:r>
      <w:r w:rsidRPr="28C57C7B">
        <w:rPr>
          <w:rFonts w:cs="Arial"/>
        </w:rPr>
        <w:t xml:space="preserve"> showing significant improvement of 19.5% from the previous year.  </w:t>
      </w:r>
    </w:p>
    <w:p w14:paraId="77DA8F70" w14:textId="1EC1238B" w:rsidR="00A461EB" w:rsidRDefault="00A461EB" w:rsidP="00A461EB">
      <w:pPr>
        <w:rPr>
          <w:rFonts w:cs="Arial"/>
        </w:rPr>
      </w:pPr>
      <w:r w:rsidRPr="28C57C7B">
        <w:rPr>
          <w:rFonts w:cs="Arial"/>
        </w:rPr>
        <w:t xml:space="preserve">Similarly, there has been a 47.66% reduction (in the last two years) in the volume of patients waiting 60 minutes </w:t>
      </w:r>
      <w:r w:rsidR="52F1A475" w:rsidRPr="3D1BF1E7">
        <w:rPr>
          <w:rFonts w:cs="Arial"/>
        </w:rPr>
        <w:t>or more</w:t>
      </w:r>
      <w:r w:rsidRPr="3D1BF1E7">
        <w:rPr>
          <w:rFonts w:cs="Arial"/>
        </w:rPr>
        <w:t xml:space="preserve"> </w:t>
      </w:r>
      <w:r w:rsidRPr="28C57C7B">
        <w:rPr>
          <w:rFonts w:cs="Arial"/>
        </w:rPr>
        <w:t xml:space="preserve">to offload from an ambulance, </w:t>
      </w:r>
      <w:r w:rsidRPr="44BD4CF3">
        <w:rPr>
          <w:rFonts w:cs="Arial"/>
        </w:rPr>
        <w:t>show</w:t>
      </w:r>
      <w:r w:rsidR="587B5CF2" w:rsidRPr="44BD4CF3">
        <w:rPr>
          <w:rFonts w:cs="Arial"/>
        </w:rPr>
        <w:t>n</w:t>
      </w:r>
      <w:r w:rsidRPr="28C57C7B">
        <w:rPr>
          <w:rFonts w:cs="Arial"/>
        </w:rPr>
        <w:t xml:space="preserve"> in the graphs below.</w:t>
      </w:r>
    </w:p>
    <w:p w14:paraId="562E91E8" w14:textId="6A7231FB" w:rsidR="00A461EB" w:rsidRDefault="00A461EB" w:rsidP="00A461EB">
      <w:pPr>
        <w:rPr>
          <w:rFonts w:cs="Arial"/>
          <w:szCs w:val="24"/>
        </w:rPr>
      </w:pPr>
      <w:r>
        <w:rPr>
          <w:rFonts w:cs="Arial"/>
          <w:noProof/>
          <w:szCs w:val="24"/>
        </w:rPr>
        <w:drawing>
          <wp:inline distT="0" distB="0" distL="0" distR="0" wp14:anchorId="1AD0A3E9" wp14:editId="5A14CB39">
            <wp:extent cx="2934639" cy="1543050"/>
            <wp:effectExtent l="0" t="0" r="0" b="0"/>
            <wp:docPr id="18" name="Picture 18" descr="Graph showing ambulance oof loads less than 30 minutes for 2021/22, 2022/23 and 20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 showing ambulance oof loads less than 30 minutes for 2021/22, 2022/23 and 2023/2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42009" cy="1546925"/>
                    </a:xfrm>
                    <a:prstGeom prst="rect">
                      <a:avLst/>
                    </a:prstGeom>
                    <a:noFill/>
                  </pic:spPr>
                </pic:pic>
              </a:graphicData>
            </a:graphic>
          </wp:inline>
        </w:drawing>
      </w:r>
      <w:r>
        <w:rPr>
          <w:rFonts w:cs="Arial"/>
          <w:noProof/>
          <w:szCs w:val="24"/>
        </w:rPr>
        <w:drawing>
          <wp:inline distT="0" distB="0" distL="0" distR="0" wp14:anchorId="2A00AE2F" wp14:editId="4139E21E">
            <wp:extent cx="2849832" cy="1543050"/>
            <wp:effectExtent l="0" t="0" r="8255" b="0"/>
            <wp:docPr id="22" name="Picture 22" descr="Graph showing ambulance offloads greater than 60 minutes for the periods 2021/22, 2022/23 and 20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 showing ambulance offloads greater than 60 minutes for the periods 2021/22, 2022/23 and 2023/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65356" cy="1551456"/>
                    </a:xfrm>
                    <a:prstGeom prst="rect">
                      <a:avLst/>
                    </a:prstGeom>
                    <a:noFill/>
                  </pic:spPr>
                </pic:pic>
              </a:graphicData>
            </a:graphic>
          </wp:inline>
        </w:drawing>
      </w:r>
    </w:p>
    <w:p w14:paraId="098D293A" w14:textId="359F4DA6" w:rsidR="00BE4D30" w:rsidRDefault="001D237F" w:rsidP="00BE4D30">
      <w:pPr>
        <w:rPr>
          <w:rFonts w:cs="Arial"/>
        </w:rPr>
      </w:pPr>
      <w:r>
        <w:rPr>
          <w:rFonts w:cs="Arial"/>
        </w:rPr>
        <w:t>T</w:t>
      </w:r>
      <w:r w:rsidR="00BE4D30" w:rsidRPr="44BD4CF3">
        <w:rPr>
          <w:rFonts w:cs="Arial"/>
        </w:rPr>
        <w:t xml:space="preserve">he Urgent Care Department for Mental Health and </w:t>
      </w:r>
      <w:r>
        <w:rPr>
          <w:rFonts w:cs="Arial"/>
        </w:rPr>
        <w:t xml:space="preserve">the </w:t>
      </w:r>
      <w:r w:rsidR="00BE4D30" w:rsidRPr="44BD4CF3">
        <w:rPr>
          <w:rFonts w:cs="Arial"/>
        </w:rPr>
        <w:t>Unscheduled Care Coordination Hub commenced in 2023/24</w:t>
      </w:r>
      <w:r w:rsidR="008A064D">
        <w:rPr>
          <w:rFonts w:cs="Arial"/>
        </w:rPr>
        <w:t>; these have both supported</w:t>
      </w:r>
      <w:r w:rsidR="00BE4D30" w:rsidRPr="44BD4CF3">
        <w:rPr>
          <w:rFonts w:cs="Arial"/>
        </w:rPr>
        <w:t xml:space="preserve"> </w:t>
      </w:r>
      <w:r w:rsidR="00310983" w:rsidRPr="44BD4CF3">
        <w:rPr>
          <w:rFonts w:cs="Arial"/>
        </w:rPr>
        <w:t xml:space="preserve">the reduction in </w:t>
      </w:r>
      <w:r w:rsidR="00BE4D30" w:rsidRPr="44BD4CF3">
        <w:rPr>
          <w:rFonts w:cs="Arial"/>
        </w:rPr>
        <w:t>acute emergency admissions</w:t>
      </w:r>
      <w:r w:rsidR="00950D80">
        <w:rPr>
          <w:rFonts w:cs="Arial"/>
        </w:rPr>
        <w:t>; with more patients receiving urgent care in their community</w:t>
      </w:r>
      <w:r w:rsidR="00BE4D30" w:rsidRPr="44BD4CF3">
        <w:rPr>
          <w:rFonts w:cs="Arial"/>
        </w:rPr>
        <w:t xml:space="preserve">.  </w:t>
      </w:r>
      <w:r w:rsidR="00265DE6">
        <w:rPr>
          <w:rFonts w:cs="Arial"/>
        </w:rPr>
        <w:t>The contin</w:t>
      </w:r>
      <w:r w:rsidR="00265DE6" w:rsidRPr="000B081B">
        <w:rPr>
          <w:rFonts w:cs="Arial"/>
        </w:rPr>
        <w:t xml:space="preserve">ued </w:t>
      </w:r>
      <w:r w:rsidR="00BE4D30" w:rsidRPr="000B081B">
        <w:rPr>
          <w:rFonts w:cs="Arial"/>
        </w:rPr>
        <w:t xml:space="preserve">impact of both </w:t>
      </w:r>
      <w:r w:rsidR="00265DE6" w:rsidRPr="000B081B">
        <w:rPr>
          <w:rFonts w:cs="Arial"/>
        </w:rPr>
        <w:t>s</w:t>
      </w:r>
      <w:r w:rsidR="00265DE6">
        <w:rPr>
          <w:rFonts w:cs="Arial"/>
        </w:rPr>
        <w:t xml:space="preserve">chemes </w:t>
      </w:r>
      <w:r w:rsidR="00BE4D30" w:rsidRPr="44BD4CF3">
        <w:rPr>
          <w:rFonts w:cs="Arial"/>
        </w:rPr>
        <w:t xml:space="preserve">will be part of the 2024/25 programme of UEC work </w:t>
      </w:r>
      <w:r w:rsidR="00265DE6">
        <w:rPr>
          <w:rFonts w:cs="Arial"/>
        </w:rPr>
        <w:t>across</w:t>
      </w:r>
      <w:r w:rsidR="00BE4D30" w:rsidRPr="44BD4CF3">
        <w:rPr>
          <w:rFonts w:cs="Arial"/>
        </w:rPr>
        <w:t xml:space="preserve"> the </w:t>
      </w:r>
      <w:r w:rsidR="00310983" w:rsidRPr="44BD4CF3">
        <w:rPr>
          <w:rFonts w:cs="Arial"/>
        </w:rPr>
        <w:t>system</w:t>
      </w:r>
      <w:r w:rsidR="00BE4D30" w:rsidRPr="44BD4CF3">
        <w:rPr>
          <w:rFonts w:cs="Arial"/>
        </w:rPr>
        <w:t>.</w:t>
      </w:r>
    </w:p>
    <w:p w14:paraId="3203638C" w14:textId="3B72B6E4" w:rsidR="00E547D0" w:rsidRPr="00310983" w:rsidRDefault="00E547D0" w:rsidP="00310983">
      <w:pPr>
        <w:rPr>
          <w:rFonts w:cs="Arial"/>
        </w:rPr>
      </w:pPr>
      <w:r w:rsidRPr="00261D42">
        <w:rPr>
          <w:b/>
          <w:bCs/>
          <w:color w:val="005EB8"/>
          <w:sz w:val="22"/>
        </w:rPr>
        <w:t xml:space="preserve">Case </w:t>
      </w:r>
      <w:r w:rsidR="002E6FDB">
        <w:rPr>
          <w:b/>
          <w:bCs/>
          <w:color w:val="005EB8"/>
          <w:sz w:val="22"/>
        </w:rPr>
        <w:t>s</w:t>
      </w:r>
      <w:r w:rsidRPr="00261D42">
        <w:rPr>
          <w:b/>
          <w:bCs/>
          <w:color w:val="005EB8"/>
          <w:sz w:val="22"/>
        </w:rPr>
        <w:t xml:space="preserve">tudy: </w:t>
      </w:r>
      <w:r>
        <w:rPr>
          <w:b/>
          <w:bCs/>
          <w:color w:val="005EB8"/>
          <w:sz w:val="22"/>
        </w:rPr>
        <w:t>Unscheduled Care Co-ordination Hub (UCCH) – UEC Stewardship Group</w:t>
      </w:r>
    </w:p>
    <w:p w14:paraId="2833B856" w14:textId="18CE6802" w:rsidR="00A461EB" w:rsidRDefault="00E547D0" w:rsidP="00BE4D30">
      <w:pPr>
        <w:rPr>
          <w:rFonts w:cs="Arial"/>
          <w:szCs w:val="24"/>
        </w:rPr>
      </w:pPr>
      <w:r>
        <w:rPr>
          <w:noProof/>
        </w:rPr>
        <mc:AlternateContent>
          <mc:Choice Requires="wps">
            <w:drawing>
              <wp:inline distT="0" distB="0" distL="0" distR="0" wp14:anchorId="31773CC4" wp14:editId="1FFDE34E">
                <wp:extent cx="2857500" cy="2324100"/>
                <wp:effectExtent l="0" t="0" r="0" b="0"/>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324100"/>
                        </a:xfrm>
                        <a:prstGeom prst="rect">
                          <a:avLst/>
                        </a:prstGeom>
                        <a:solidFill>
                          <a:srgbClr val="FFFFFF"/>
                        </a:solidFill>
                        <a:ln w="9525">
                          <a:noFill/>
                          <a:miter lim="800000"/>
                          <a:headEnd/>
                          <a:tailEnd/>
                        </a:ln>
                      </wps:spPr>
                      <wps:txbx>
                        <w:txbxContent>
                          <w:p w14:paraId="0DA859AB" w14:textId="33E0957D" w:rsidR="00310983" w:rsidRPr="00310983" w:rsidRDefault="00310983" w:rsidP="00A517BC">
                            <w:pPr>
                              <w:spacing w:before="0" w:after="0" w:line="216" w:lineRule="auto"/>
                              <w:rPr>
                                <w:rFonts w:cs="Arial"/>
                                <w:color w:val="000000" w:themeColor="text1"/>
                                <w:kern w:val="24"/>
                                <w:sz w:val="21"/>
                                <w:szCs w:val="21"/>
                                <w:lang w:val="en-US"/>
                              </w:rPr>
                            </w:pPr>
                            <w:r w:rsidRPr="00310983">
                              <w:rPr>
                                <w:rFonts w:cs="Arial"/>
                                <w:color w:val="000000" w:themeColor="text1"/>
                                <w:kern w:val="24"/>
                                <w:sz w:val="21"/>
                                <w:szCs w:val="21"/>
                                <w:lang w:val="en-US"/>
                              </w:rPr>
                              <w:t>Ambulance crews call</w:t>
                            </w:r>
                            <w:r w:rsidR="00A52FBA">
                              <w:rPr>
                                <w:rFonts w:cs="Arial"/>
                                <w:color w:val="000000" w:themeColor="text1"/>
                                <w:kern w:val="24"/>
                                <w:sz w:val="21"/>
                                <w:szCs w:val="21"/>
                                <w:lang w:val="en-US"/>
                              </w:rPr>
                              <w:t>ed</w:t>
                            </w:r>
                            <w:r w:rsidRPr="00310983">
                              <w:rPr>
                                <w:rFonts w:cs="Arial"/>
                                <w:color w:val="000000" w:themeColor="text1"/>
                                <w:kern w:val="24"/>
                                <w:sz w:val="21"/>
                                <w:szCs w:val="21"/>
                                <w:lang w:val="en-US"/>
                              </w:rPr>
                              <w:t xml:space="preserve"> the Urgent Community Response Team (UCRT)</w:t>
                            </w:r>
                            <w:r>
                              <w:rPr>
                                <w:rFonts w:cs="Arial"/>
                                <w:color w:val="000000" w:themeColor="text1"/>
                                <w:kern w:val="24"/>
                                <w:sz w:val="21"/>
                                <w:szCs w:val="21"/>
                                <w:lang w:val="en-US"/>
                              </w:rPr>
                              <w:t xml:space="preserve"> if they were considering conveying a patient to </w:t>
                            </w:r>
                            <w:r w:rsidR="00AB5776">
                              <w:rPr>
                                <w:rFonts w:cs="Arial"/>
                                <w:color w:val="000000" w:themeColor="text1"/>
                                <w:kern w:val="24"/>
                                <w:sz w:val="21"/>
                                <w:szCs w:val="21"/>
                                <w:lang w:val="en-US"/>
                              </w:rPr>
                              <w:t>the Emergency Department (</w:t>
                            </w:r>
                            <w:r>
                              <w:rPr>
                                <w:rFonts w:cs="Arial"/>
                                <w:color w:val="000000" w:themeColor="text1"/>
                                <w:kern w:val="24"/>
                                <w:sz w:val="21"/>
                                <w:szCs w:val="21"/>
                                <w:lang w:val="en-US"/>
                              </w:rPr>
                              <w:t>ED</w:t>
                            </w:r>
                            <w:r w:rsidR="00AB5776">
                              <w:rPr>
                                <w:rFonts w:cs="Arial"/>
                                <w:color w:val="000000" w:themeColor="text1"/>
                                <w:kern w:val="24"/>
                                <w:sz w:val="21"/>
                                <w:szCs w:val="21"/>
                                <w:lang w:val="en-US"/>
                              </w:rPr>
                              <w:t>)</w:t>
                            </w:r>
                            <w:r w:rsidR="002A75E6">
                              <w:rPr>
                                <w:rFonts w:cs="Arial"/>
                                <w:color w:val="000000" w:themeColor="text1"/>
                                <w:kern w:val="24"/>
                                <w:sz w:val="21"/>
                                <w:szCs w:val="21"/>
                                <w:lang w:val="en-US"/>
                              </w:rPr>
                              <w:t>. T</w:t>
                            </w:r>
                            <w:r>
                              <w:rPr>
                                <w:rFonts w:cs="Arial"/>
                                <w:color w:val="000000" w:themeColor="text1"/>
                                <w:kern w:val="24"/>
                                <w:sz w:val="21"/>
                                <w:szCs w:val="21"/>
                                <w:lang w:val="en-US"/>
                              </w:rPr>
                              <w:t xml:space="preserve">he </w:t>
                            </w:r>
                            <w:r w:rsidR="002A75E6">
                              <w:rPr>
                                <w:rFonts w:cs="Arial"/>
                                <w:color w:val="000000" w:themeColor="text1"/>
                                <w:kern w:val="24"/>
                                <w:sz w:val="21"/>
                                <w:szCs w:val="21"/>
                                <w:lang w:val="en-US"/>
                              </w:rPr>
                              <w:t xml:space="preserve">UCRT </w:t>
                            </w:r>
                            <w:r>
                              <w:rPr>
                                <w:rFonts w:cs="Arial"/>
                                <w:color w:val="000000" w:themeColor="text1"/>
                                <w:kern w:val="24"/>
                                <w:sz w:val="21"/>
                                <w:szCs w:val="21"/>
                                <w:lang w:val="en-US"/>
                              </w:rPr>
                              <w:t>would consider and</w:t>
                            </w:r>
                            <w:r w:rsidR="00B519D3">
                              <w:rPr>
                                <w:rFonts w:cs="Arial"/>
                                <w:color w:val="000000" w:themeColor="text1"/>
                                <w:kern w:val="24"/>
                                <w:sz w:val="21"/>
                                <w:szCs w:val="21"/>
                                <w:lang w:val="en-US"/>
                              </w:rPr>
                              <w:t>, if</w:t>
                            </w:r>
                            <w:r w:rsidR="001C674D">
                              <w:rPr>
                                <w:rFonts w:cs="Arial"/>
                                <w:color w:val="000000" w:themeColor="text1"/>
                                <w:kern w:val="24"/>
                                <w:sz w:val="21"/>
                                <w:szCs w:val="21"/>
                                <w:lang w:val="en-US"/>
                              </w:rPr>
                              <w:t xml:space="preserve"> appropriate,</w:t>
                            </w:r>
                            <w:r>
                              <w:rPr>
                                <w:rFonts w:cs="Arial"/>
                                <w:color w:val="000000" w:themeColor="text1"/>
                                <w:kern w:val="24"/>
                                <w:sz w:val="21"/>
                                <w:szCs w:val="21"/>
                                <w:lang w:val="en-US"/>
                              </w:rPr>
                              <w:t xml:space="preserve"> redirect patients to other sources of care.</w:t>
                            </w:r>
                          </w:p>
                          <w:p w14:paraId="12B4F937" w14:textId="77777777" w:rsidR="00310983" w:rsidRPr="00310983" w:rsidRDefault="00310983" w:rsidP="00A517BC">
                            <w:pPr>
                              <w:spacing w:before="0" w:after="0" w:line="216" w:lineRule="auto"/>
                              <w:rPr>
                                <w:rFonts w:cs="Arial"/>
                                <w:color w:val="000000" w:themeColor="text1"/>
                                <w:kern w:val="24"/>
                                <w:sz w:val="21"/>
                                <w:szCs w:val="21"/>
                                <w:lang w:val="en-US"/>
                              </w:rPr>
                            </w:pPr>
                          </w:p>
                          <w:p w14:paraId="6CA6CA8E" w14:textId="0E84AB86" w:rsidR="00E547D0" w:rsidRPr="00A517BC" w:rsidRDefault="00E547D0" w:rsidP="00A517BC">
                            <w:pPr>
                              <w:spacing w:before="0" w:after="0" w:line="216" w:lineRule="auto"/>
                              <w:rPr>
                                <w:rFonts w:cs="Arial"/>
                                <w:b/>
                                <w:bCs/>
                                <w:color w:val="000000" w:themeColor="text1"/>
                                <w:kern w:val="24"/>
                                <w:sz w:val="21"/>
                                <w:szCs w:val="21"/>
                                <w:lang w:val="en-US"/>
                              </w:rPr>
                            </w:pPr>
                            <w:r w:rsidRPr="00A517BC">
                              <w:rPr>
                                <w:rFonts w:cs="Arial"/>
                                <w:b/>
                                <w:color w:val="000000" w:themeColor="text1"/>
                                <w:kern w:val="24"/>
                                <w:sz w:val="21"/>
                                <w:szCs w:val="21"/>
                                <w:lang w:val="en-US"/>
                              </w:rPr>
                              <w:t>Results over a 44-day period:</w:t>
                            </w:r>
                          </w:p>
                          <w:p w14:paraId="55B5A36C" w14:textId="5928BF28" w:rsidR="00E547D0" w:rsidRPr="00310983" w:rsidRDefault="00E547D0" w:rsidP="00A24DCF">
                            <w:pPr>
                              <w:pStyle w:val="ListParagraph"/>
                              <w:numPr>
                                <w:ilvl w:val="0"/>
                                <w:numId w:val="31"/>
                              </w:numPr>
                              <w:spacing w:after="0" w:line="216" w:lineRule="auto"/>
                              <w:rPr>
                                <w:rFonts w:cs="Arial"/>
                                <w:color w:val="000000" w:themeColor="text1"/>
                                <w:kern w:val="24"/>
                                <w:sz w:val="21"/>
                                <w:szCs w:val="21"/>
                                <w:lang w:val="en-US"/>
                              </w:rPr>
                            </w:pPr>
                            <w:r w:rsidRPr="00310983">
                              <w:rPr>
                                <w:rFonts w:cs="Arial"/>
                                <w:color w:val="000000" w:themeColor="text1"/>
                                <w:kern w:val="24"/>
                                <w:sz w:val="21"/>
                                <w:szCs w:val="21"/>
                                <w:lang w:val="en-US"/>
                              </w:rPr>
                              <w:t>1101 patients referred to UCCH for review prior to ED conveyance</w:t>
                            </w:r>
                            <w:r w:rsidR="00832930">
                              <w:rPr>
                                <w:rFonts w:cs="Arial"/>
                                <w:color w:val="000000" w:themeColor="text1"/>
                                <w:kern w:val="24"/>
                                <w:sz w:val="21"/>
                                <w:szCs w:val="21"/>
                                <w:lang w:val="en-US"/>
                              </w:rPr>
                              <w:t>.</w:t>
                            </w:r>
                          </w:p>
                          <w:p w14:paraId="344B3E20" w14:textId="145FDA9C" w:rsidR="00E547D0" w:rsidRPr="00310983" w:rsidRDefault="00E547D0" w:rsidP="00A24DCF">
                            <w:pPr>
                              <w:pStyle w:val="ListParagraph"/>
                              <w:numPr>
                                <w:ilvl w:val="0"/>
                                <w:numId w:val="31"/>
                              </w:numPr>
                              <w:spacing w:after="0" w:line="216" w:lineRule="auto"/>
                              <w:rPr>
                                <w:rFonts w:cs="Arial"/>
                                <w:color w:val="000000" w:themeColor="text1"/>
                                <w:kern w:val="24"/>
                                <w:sz w:val="21"/>
                                <w:szCs w:val="21"/>
                                <w:lang w:val="en-US"/>
                              </w:rPr>
                            </w:pPr>
                            <w:r w:rsidRPr="00310983">
                              <w:rPr>
                                <w:rFonts w:cs="Arial"/>
                                <w:color w:val="000000" w:themeColor="text1"/>
                                <w:kern w:val="24"/>
                                <w:sz w:val="21"/>
                                <w:szCs w:val="21"/>
                                <w:lang w:val="en-US"/>
                              </w:rPr>
                              <w:t xml:space="preserve">Approximately half of these were referred to alternative care pathways </w:t>
                            </w:r>
                            <w:r w:rsidR="00310983" w:rsidRPr="00310983">
                              <w:rPr>
                                <w:rFonts w:cs="Arial"/>
                                <w:color w:val="000000" w:themeColor="text1"/>
                                <w:kern w:val="24"/>
                                <w:sz w:val="21"/>
                                <w:szCs w:val="21"/>
                                <w:lang w:val="en-US"/>
                              </w:rPr>
                              <w:t>i.e.,</w:t>
                            </w:r>
                            <w:r w:rsidRPr="00310983">
                              <w:rPr>
                                <w:rFonts w:cs="Arial"/>
                                <w:color w:val="000000" w:themeColor="text1"/>
                                <w:kern w:val="24"/>
                                <w:sz w:val="21"/>
                                <w:szCs w:val="21"/>
                                <w:lang w:val="en-US"/>
                              </w:rPr>
                              <w:t xml:space="preserve"> </w:t>
                            </w:r>
                            <w:r w:rsidRPr="00310983">
                              <w:rPr>
                                <w:rFonts w:cs="Arial"/>
                                <w:b/>
                                <w:color w:val="000000" w:themeColor="text1"/>
                                <w:kern w:val="24"/>
                                <w:sz w:val="21"/>
                                <w:szCs w:val="21"/>
                                <w:lang w:val="en-US"/>
                              </w:rPr>
                              <w:t>not conveyed to ED</w:t>
                            </w:r>
                            <w:r w:rsidRPr="00310983">
                              <w:rPr>
                                <w:rFonts w:cs="Arial"/>
                                <w:color w:val="000000" w:themeColor="text1"/>
                                <w:kern w:val="24"/>
                                <w:sz w:val="21"/>
                                <w:szCs w:val="21"/>
                                <w:lang w:val="en-US"/>
                              </w:rPr>
                              <w:t xml:space="preserve"> (50.9%)</w:t>
                            </w:r>
                          </w:p>
                          <w:p w14:paraId="459B2DF0" w14:textId="0A87CCF8" w:rsidR="00E547D0" w:rsidRPr="00310983" w:rsidRDefault="00E547D0" w:rsidP="00A24DCF">
                            <w:pPr>
                              <w:pStyle w:val="ListParagraph"/>
                              <w:numPr>
                                <w:ilvl w:val="0"/>
                                <w:numId w:val="31"/>
                              </w:numPr>
                              <w:spacing w:after="0" w:line="216" w:lineRule="auto"/>
                              <w:rPr>
                                <w:rFonts w:cs="Arial"/>
                                <w:color w:val="000000" w:themeColor="text1"/>
                                <w:kern w:val="24"/>
                                <w:sz w:val="21"/>
                                <w:szCs w:val="21"/>
                                <w:lang w:val="en-US"/>
                              </w:rPr>
                            </w:pPr>
                            <w:r w:rsidRPr="00310983">
                              <w:rPr>
                                <w:rFonts w:cs="Arial"/>
                                <w:color w:val="000000" w:themeColor="text1"/>
                                <w:kern w:val="24"/>
                                <w:sz w:val="21"/>
                                <w:szCs w:val="21"/>
                                <w:lang w:val="en-US"/>
                              </w:rPr>
                              <w:t>On days where the UCCH team was fully staffed just 23% were conveyed to ED (10 of 44 patients)</w:t>
                            </w:r>
                            <w:r w:rsidR="00082F9B">
                              <w:rPr>
                                <w:rFonts w:cs="Arial"/>
                                <w:color w:val="000000" w:themeColor="text1"/>
                                <w:kern w:val="24"/>
                                <w:sz w:val="21"/>
                                <w:szCs w:val="21"/>
                                <w:lang w:val="en-US"/>
                              </w:rPr>
                              <w:t>.</w:t>
                            </w:r>
                            <w:r w:rsidRPr="00310983">
                              <w:rPr>
                                <w:rFonts w:cs="Arial"/>
                                <w:color w:val="000000" w:themeColor="text1"/>
                                <w:kern w:val="24"/>
                                <w:sz w:val="21"/>
                                <w:szCs w:val="21"/>
                                <w:lang w:val="en-US"/>
                              </w:rPr>
                              <w:t xml:space="preserve"> </w:t>
                            </w:r>
                          </w:p>
                          <w:p w14:paraId="26D116A2" w14:textId="71DB3713" w:rsidR="00E547D0" w:rsidRPr="00A517BC" w:rsidRDefault="00E547D0" w:rsidP="00A517BC">
                            <w:pPr>
                              <w:spacing w:before="0" w:after="0" w:line="216" w:lineRule="auto"/>
                              <w:rPr>
                                <w:rFonts w:cs="Arial"/>
                                <w:color w:val="000000" w:themeColor="text1"/>
                                <w:kern w:val="24"/>
                                <w:sz w:val="21"/>
                                <w:szCs w:val="21"/>
                                <w:lang w:val="en-US"/>
                              </w:rPr>
                            </w:pPr>
                          </w:p>
                        </w:txbxContent>
                      </wps:txbx>
                      <wps:bodyPr rot="0" vert="horz" wrap="square" lIns="91440" tIns="45720" rIns="91440" bIns="45720" anchor="t" anchorCtr="0">
                        <a:noAutofit/>
                      </wps:bodyPr>
                    </wps:wsp>
                  </a:graphicData>
                </a:graphic>
              </wp:inline>
            </w:drawing>
          </mc:Choice>
          <mc:Fallback>
            <w:pict>
              <v:shape w14:anchorId="31773CC4" id="Text Box 217" o:spid="_x0000_s1027" type="#_x0000_t202" style="width:225pt;height:1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" stroked="f">
                <v:textbox>
                  <w:txbxContent>
                    <w:p w14:paraId="0DA859AB" w14:textId="33E0957D" w:rsidR="00310983" w:rsidRPr="00310983" w:rsidRDefault="00310983" w:rsidP="00A517BC">
                      <w:pPr>
                        <w:spacing w:before="0" w:after="0" w:line="216" w:lineRule="auto"/>
                        <w:rPr>
                          <w:rFonts w:cs="Arial"/>
                          <w:color w:val="000000" w:themeColor="text1"/>
                          <w:kern w:val="24"/>
                          <w:sz w:val="21"/>
                          <w:szCs w:val="21"/>
                          <w:lang w:val="en-US"/>
                        </w:rPr>
                      </w:pPr>
                      <w:r w:rsidRPr="00310983">
                        <w:rPr>
                          <w:rFonts w:cs="Arial"/>
                          <w:color w:val="000000" w:themeColor="text1"/>
                          <w:kern w:val="24"/>
                          <w:sz w:val="21"/>
                          <w:szCs w:val="21"/>
                          <w:lang w:val="en-US"/>
                        </w:rPr>
                        <w:t>Ambulance crews call</w:t>
                      </w:r>
                      <w:r w:rsidR="00A52FBA">
                        <w:rPr>
                          <w:rFonts w:cs="Arial"/>
                          <w:color w:val="000000" w:themeColor="text1"/>
                          <w:kern w:val="24"/>
                          <w:sz w:val="21"/>
                          <w:szCs w:val="21"/>
                          <w:lang w:val="en-US"/>
                        </w:rPr>
                        <w:t>ed</w:t>
                      </w:r>
                      <w:r w:rsidRPr="00310983">
                        <w:rPr>
                          <w:rFonts w:cs="Arial"/>
                          <w:color w:val="000000" w:themeColor="text1"/>
                          <w:kern w:val="24"/>
                          <w:sz w:val="21"/>
                          <w:szCs w:val="21"/>
                          <w:lang w:val="en-US"/>
                        </w:rPr>
                        <w:t xml:space="preserve"> the Urgent Community Response Team (UCRT)</w:t>
                      </w:r>
                      <w:r>
                        <w:rPr>
                          <w:rFonts w:cs="Arial"/>
                          <w:color w:val="000000" w:themeColor="text1"/>
                          <w:kern w:val="24"/>
                          <w:sz w:val="21"/>
                          <w:szCs w:val="21"/>
                          <w:lang w:val="en-US"/>
                        </w:rPr>
                        <w:t xml:space="preserve"> if they were considering conveying a patient to </w:t>
                      </w:r>
                      <w:r w:rsidR="00AB5776">
                        <w:rPr>
                          <w:rFonts w:cs="Arial"/>
                          <w:color w:val="000000" w:themeColor="text1"/>
                          <w:kern w:val="24"/>
                          <w:sz w:val="21"/>
                          <w:szCs w:val="21"/>
                          <w:lang w:val="en-US"/>
                        </w:rPr>
                        <w:t>the Emergency Department (</w:t>
                      </w:r>
                      <w:r>
                        <w:rPr>
                          <w:rFonts w:cs="Arial"/>
                          <w:color w:val="000000" w:themeColor="text1"/>
                          <w:kern w:val="24"/>
                          <w:sz w:val="21"/>
                          <w:szCs w:val="21"/>
                          <w:lang w:val="en-US"/>
                        </w:rPr>
                        <w:t>ED</w:t>
                      </w:r>
                      <w:r w:rsidR="00AB5776">
                        <w:rPr>
                          <w:rFonts w:cs="Arial"/>
                          <w:color w:val="000000" w:themeColor="text1"/>
                          <w:kern w:val="24"/>
                          <w:sz w:val="21"/>
                          <w:szCs w:val="21"/>
                          <w:lang w:val="en-US"/>
                        </w:rPr>
                        <w:t>)</w:t>
                      </w:r>
                      <w:r w:rsidR="002A75E6">
                        <w:rPr>
                          <w:rFonts w:cs="Arial"/>
                          <w:color w:val="000000" w:themeColor="text1"/>
                          <w:kern w:val="24"/>
                          <w:sz w:val="21"/>
                          <w:szCs w:val="21"/>
                          <w:lang w:val="en-US"/>
                        </w:rPr>
                        <w:t>. T</w:t>
                      </w:r>
                      <w:r>
                        <w:rPr>
                          <w:rFonts w:cs="Arial"/>
                          <w:color w:val="000000" w:themeColor="text1"/>
                          <w:kern w:val="24"/>
                          <w:sz w:val="21"/>
                          <w:szCs w:val="21"/>
                          <w:lang w:val="en-US"/>
                        </w:rPr>
                        <w:t xml:space="preserve">he </w:t>
                      </w:r>
                      <w:r w:rsidR="002A75E6">
                        <w:rPr>
                          <w:rFonts w:cs="Arial"/>
                          <w:color w:val="000000" w:themeColor="text1"/>
                          <w:kern w:val="24"/>
                          <w:sz w:val="21"/>
                          <w:szCs w:val="21"/>
                          <w:lang w:val="en-US"/>
                        </w:rPr>
                        <w:t xml:space="preserve">UCRT </w:t>
                      </w:r>
                      <w:r>
                        <w:rPr>
                          <w:rFonts w:cs="Arial"/>
                          <w:color w:val="000000" w:themeColor="text1"/>
                          <w:kern w:val="24"/>
                          <w:sz w:val="21"/>
                          <w:szCs w:val="21"/>
                          <w:lang w:val="en-US"/>
                        </w:rPr>
                        <w:t>would consider and</w:t>
                      </w:r>
                      <w:r w:rsidR="00B519D3">
                        <w:rPr>
                          <w:rFonts w:cs="Arial"/>
                          <w:color w:val="000000" w:themeColor="text1"/>
                          <w:kern w:val="24"/>
                          <w:sz w:val="21"/>
                          <w:szCs w:val="21"/>
                          <w:lang w:val="en-US"/>
                        </w:rPr>
                        <w:t>, if</w:t>
                      </w:r>
                      <w:r w:rsidR="001C674D">
                        <w:rPr>
                          <w:rFonts w:cs="Arial"/>
                          <w:color w:val="000000" w:themeColor="text1"/>
                          <w:kern w:val="24"/>
                          <w:sz w:val="21"/>
                          <w:szCs w:val="21"/>
                          <w:lang w:val="en-US"/>
                        </w:rPr>
                        <w:t xml:space="preserve"> appropriate,</w:t>
                      </w:r>
                      <w:r>
                        <w:rPr>
                          <w:rFonts w:cs="Arial"/>
                          <w:color w:val="000000" w:themeColor="text1"/>
                          <w:kern w:val="24"/>
                          <w:sz w:val="21"/>
                          <w:szCs w:val="21"/>
                          <w:lang w:val="en-US"/>
                        </w:rPr>
                        <w:t xml:space="preserve"> redirect patients to other sources of care.</w:t>
                      </w:r>
                    </w:p>
                    <w:p w14:paraId="12B4F937" w14:textId="77777777" w:rsidR="00310983" w:rsidRPr="00310983" w:rsidRDefault="00310983" w:rsidP="00A517BC">
                      <w:pPr>
                        <w:spacing w:before="0" w:after="0" w:line="216" w:lineRule="auto"/>
                        <w:rPr>
                          <w:rFonts w:cs="Arial"/>
                          <w:color w:val="000000" w:themeColor="text1"/>
                          <w:kern w:val="24"/>
                          <w:sz w:val="21"/>
                          <w:szCs w:val="21"/>
                          <w:lang w:val="en-US"/>
                        </w:rPr>
                      </w:pPr>
                    </w:p>
                    <w:p w14:paraId="6CA6CA8E" w14:textId="0E84AB86" w:rsidR="00E547D0" w:rsidRPr="00A517BC" w:rsidRDefault="00E547D0" w:rsidP="00A517BC">
                      <w:pPr>
                        <w:spacing w:before="0" w:after="0" w:line="216" w:lineRule="auto"/>
                        <w:rPr>
                          <w:rFonts w:cs="Arial"/>
                          <w:b/>
                          <w:bCs/>
                          <w:color w:val="000000" w:themeColor="text1"/>
                          <w:kern w:val="24"/>
                          <w:sz w:val="21"/>
                          <w:szCs w:val="21"/>
                          <w:lang w:val="en-US"/>
                        </w:rPr>
                      </w:pPr>
                      <w:r w:rsidRPr="00A517BC">
                        <w:rPr>
                          <w:rFonts w:cs="Arial"/>
                          <w:b/>
                          <w:color w:val="000000" w:themeColor="text1"/>
                          <w:kern w:val="24"/>
                          <w:sz w:val="21"/>
                          <w:szCs w:val="21"/>
                          <w:lang w:val="en-US"/>
                        </w:rPr>
                        <w:t>Results over a 44-day period:</w:t>
                      </w:r>
                    </w:p>
                    <w:p w14:paraId="55B5A36C" w14:textId="5928BF28" w:rsidR="00E547D0" w:rsidRPr="00310983" w:rsidRDefault="00E547D0" w:rsidP="00A24DCF">
                      <w:pPr>
                        <w:pStyle w:val="ListParagraph"/>
                        <w:numPr>
                          <w:ilvl w:val="0"/>
                          <w:numId w:val="31"/>
                        </w:numPr>
                        <w:spacing w:after="0" w:line="216" w:lineRule="auto"/>
                        <w:rPr>
                          <w:rFonts w:cs="Arial"/>
                          <w:color w:val="000000" w:themeColor="text1"/>
                          <w:kern w:val="24"/>
                          <w:sz w:val="21"/>
                          <w:szCs w:val="21"/>
                          <w:lang w:val="en-US"/>
                        </w:rPr>
                      </w:pPr>
                      <w:r w:rsidRPr="00310983">
                        <w:rPr>
                          <w:rFonts w:cs="Arial"/>
                          <w:color w:val="000000" w:themeColor="text1"/>
                          <w:kern w:val="24"/>
                          <w:sz w:val="21"/>
                          <w:szCs w:val="21"/>
                          <w:lang w:val="en-US"/>
                        </w:rPr>
                        <w:t>1101 patients referred to UCCH for review prior to ED conveyance</w:t>
                      </w:r>
                      <w:r w:rsidR="00832930">
                        <w:rPr>
                          <w:rFonts w:cs="Arial"/>
                          <w:color w:val="000000" w:themeColor="text1"/>
                          <w:kern w:val="24"/>
                          <w:sz w:val="21"/>
                          <w:szCs w:val="21"/>
                          <w:lang w:val="en-US"/>
                        </w:rPr>
                        <w:t>.</w:t>
                      </w:r>
                    </w:p>
                    <w:p w14:paraId="344B3E20" w14:textId="145FDA9C" w:rsidR="00E547D0" w:rsidRPr="00310983" w:rsidRDefault="00E547D0" w:rsidP="00A24DCF">
                      <w:pPr>
                        <w:pStyle w:val="ListParagraph"/>
                        <w:numPr>
                          <w:ilvl w:val="0"/>
                          <w:numId w:val="31"/>
                        </w:numPr>
                        <w:spacing w:after="0" w:line="216" w:lineRule="auto"/>
                        <w:rPr>
                          <w:rFonts w:cs="Arial"/>
                          <w:color w:val="000000" w:themeColor="text1"/>
                          <w:kern w:val="24"/>
                          <w:sz w:val="21"/>
                          <w:szCs w:val="21"/>
                          <w:lang w:val="en-US"/>
                        </w:rPr>
                      </w:pPr>
                      <w:r w:rsidRPr="00310983">
                        <w:rPr>
                          <w:rFonts w:cs="Arial"/>
                          <w:color w:val="000000" w:themeColor="text1"/>
                          <w:kern w:val="24"/>
                          <w:sz w:val="21"/>
                          <w:szCs w:val="21"/>
                          <w:lang w:val="en-US"/>
                        </w:rPr>
                        <w:t xml:space="preserve">Approximately half of these were referred to alternative care pathways </w:t>
                      </w:r>
                      <w:r w:rsidR="00310983" w:rsidRPr="00310983">
                        <w:rPr>
                          <w:rFonts w:cs="Arial"/>
                          <w:color w:val="000000" w:themeColor="text1"/>
                          <w:kern w:val="24"/>
                          <w:sz w:val="21"/>
                          <w:szCs w:val="21"/>
                          <w:lang w:val="en-US"/>
                        </w:rPr>
                        <w:t>i.e.,</w:t>
                      </w:r>
                      <w:r w:rsidRPr="00310983">
                        <w:rPr>
                          <w:rFonts w:cs="Arial"/>
                          <w:color w:val="000000" w:themeColor="text1"/>
                          <w:kern w:val="24"/>
                          <w:sz w:val="21"/>
                          <w:szCs w:val="21"/>
                          <w:lang w:val="en-US"/>
                        </w:rPr>
                        <w:t xml:space="preserve"> </w:t>
                      </w:r>
                      <w:r w:rsidRPr="00310983">
                        <w:rPr>
                          <w:rFonts w:cs="Arial"/>
                          <w:b/>
                          <w:color w:val="000000" w:themeColor="text1"/>
                          <w:kern w:val="24"/>
                          <w:sz w:val="21"/>
                          <w:szCs w:val="21"/>
                          <w:lang w:val="en-US"/>
                        </w:rPr>
                        <w:t>not conveyed to ED</w:t>
                      </w:r>
                      <w:r w:rsidRPr="00310983">
                        <w:rPr>
                          <w:rFonts w:cs="Arial"/>
                          <w:color w:val="000000" w:themeColor="text1"/>
                          <w:kern w:val="24"/>
                          <w:sz w:val="21"/>
                          <w:szCs w:val="21"/>
                          <w:lang w:val="en-US"/>
                        </w:rPr>
                        <w:t xml:space="preserve"> (50.9%)</w:t>
                      </w:r>
                    </w:p>
                    <w:p w14:paraId="459B2DF0" w14:textId="0A87CCF8" w:rsidR="00E547D0" w:rsidRPr="00310983" w:rsidRDefault="00E547D0" w:rsidP="00A24DCF">
                      <w:pPr>
                        <w:pStyle w:val="ListParagraph"/>
                        <w:numPr>
                          <w:ilvl w:val="0"/>
                          <w:numId w:val="31"/>
                        </w:numPr>
                        <w:spacing w:after="0" w:line="216" w:lineRule="auto"/>
                        <w:rPr>
                          <w:rFonts w:cs="Arial"/>
                          <w:color w:val="000000" w:themeColor="text1"/>
                          <w:kern w:val="24"/>
                          <w:sz w:val="21"/>
                          <w:szCs w:val="21"/>
                          <w:lang w:val="en-US"/>
                        </w:rPr>
                      </w:pPr>
                      <w:r w:rsidRPr="00310983">
                        <w:rPr>
                          <w:rFonts w:cs="Arial"/>
                          <w:color w:val="000000" w:themeColor="text1"/>
                          <w:kern w:val="24"/>
                          <w:sz w:val="21"/>
                          <w:szCs w:val="21"/>
                          <w:lang w:val="en-US"/>
                        </w:rPr>
                        <w:t>On days where the UCCH team was fully staffed just 23% were conveyed to ED (10 of 44 patients)</w:t>
                      </w:r>
                      <w:r w:rsidR="00082F9B">
                        <w:rPr>
                          <w:rFonts w:cs="Arial"/>
                          <w:color w:val="000000" w:themeColor="text1"/>
                          <w:kern w:val="24"/>
                          <w:sz w:val="21"/>
                          <w:szCs w:val="21"/>
                          <w:lang w:val="en-US"/>
                        </w:rPr>
                        <w:t>.</w:t>
                      </w:r>
                      <w:r w:rsidRPr="00310983">
                        <w:rPr>
                          <w:rFonts w:cs="Arial"/>
                          <w:color w:val="000000" w:themeColor="text1"/>
                          <w:kern w:val="24"/>
                          <w:sz w:val="21"/>
                          <w:szCs w:val="21"/>
                          <w:lang w:val="en-US"/>
                        </w:rPr>
                        <w:t xml:space="preserve"> </w:t>
                      </w:r>
                    </w:p>
                    <w:p w14:paraId="26D116A2" w14:textId="71DB3713" w:rsidR="00E547D0" w:rsidRPr="00A517BC" w:rsidRDefault="00E547D0" w:rsidP="00A517BC">
                      <w:pPr>
                        <w:spacing w:before="0" w:after="0" w:line="216" w:lineRule="auto"/>
                        <w:rPr>
                          <w:rFonts w:cs="Arial"/>
                          <w:color w:val="000000" w:themeColor="text1"/>
                          <w:kern w:val="24"/>
                          <w:sz w:val="21"/>
                          <w:szCs w:val="21"/>
                          <w:lang w:val="en-US"/>
                        </w:rPr>
                      </w:pPr>
                    </w:p>
                  </w:txbxContent>
                </v:textbox>
                <w10:anchorlock/>
              </v:shape>
            </w:pict>
          </mc:Fallback>
        </mc:AlternateContent>
      </w:r>
      <w:r>
        <w:rPr>
          <w:rFonts w:cs="Arial"/>
          <w:noProof/>
          <w:szCs w:val="24"/>
        </w:rPr>
        <w:drawing>
          <wp:inline distT="0" distB="0" distL="0" distR="0" wp14:anchorId="2D48D9F9" wp14:editId="5EEB64D6">
            <wp:extent cx="3043206" cy="2180858"/>
            <wp:effectExtent l="0" t="0" r="0" b="0"/>
            <wp:docPr id="37" name="Picture 37" descr="Pie chart showing the outcome of the unscheduled care co-ordination hub streaming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ie chart showing the outcome of the unscheduled care co-ordination hub streaming work."/>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68829" cy="2199220"/>
                    </a:xfrm>
                    <a:prstGeom prst="rect">
                      <a:avLst/>
                    </a:prstGeom>
                    <a:noFill/>
                  </pic:spPr>
                </pic:pic>
              </a:graphicData>
            </a:graphic>
          </wp:inline>
        </w:drawing>
      </w:r>
      <w:r w:rsidRPr="00E547D0">
        <w:rPr>
          <w:noProof/>
        </w:rPr>
        <w:t xml:space="preserve"> </w:t>
      </w:r>
    </w:p>
    <w:p w14:paraId="07735A55" w14:textId="07F984A8" w:rsidR="00BE4D30" w:rsidRDefault="00C7132A" w:rsidP="00BE4D30">
      <w:pPr>
        <w:rPr>
          <w:rFonts w:cs="Arial"/>
        </w:rPr>
      </w:pPr>
      <w:r w:rsidRPr="67E1988D">
        <w:rPr>
          <w:rFonts w:cs="Arial"/>
        </w:rPr>
        <w:t>T</w:t>
      </w:r>
      <w:r w:rsidR="00BE4D30" w:rsidRPr="67E1988D">
        <w:rPr>
          <w:rFonts w:cs="Arial"/>
        </w:rPr>
        <w:t xml:space="preserve">he </w:t>
      </w:r>
      <w:r w:rsidRPr="157E7E3D">
        <w:rPr>
          <w:rFonts w:cs="Arial"/>
        </w:rPr>
        <w:t>S</w:t>
      </w:r>
      <w:r w:rsidR="00BE4D30" w:rsidRPr="157E7E3D">
        <w:rPr>
          <w:rFonts w:cs="Arial"/>
        </w:rPr>
        <w:t xml:space="preserve">ystem </w:t>
      </w:r>
      <w:r w:rsidRPr="157E7E3D">
        <w:rPr>
          <w:rFonts w:cs="Arial"/>
        </w:rPr>
        <w:t>C</w:t>
      </w:r>
      <w:r w:rsidR="00BE4D30" w:rsidRPr="157E7E3D">
        <w:rPr>
          <w:rFonts w:cs="Arial"/>
        </w:rPr>
        <w:t xml:space="preserve">oordination </w:t>
      </w:r>
      <w:r w:rsidR="00BE4D30" w:rsidRPr="67E1988D">
        <w:rPr>
          <w:rFonts w:cs="Arial"/>
        </w:rPr>
        <w:t>Centre</w:t>
      </w:r>
      <w:r w:rsidRPr="67E1988D">
        <w:rPr>
          <w:rFonts w:cs="Arial"/>
        </w:rPr>
        <w:t xml:space="preserve"> (SCC), established </w:t>
      </w:r>
      <w:r w:rsidR="00BE4D30" w:rsidRPr="67E1988D">
        <w:rPr>
          <w:rFonts w:cs="Arial"/>
        </w:rPr>
        <w:t xml:space="preserve">to oversee and coordinate response to operational pressures across the </w:t>
      </w:r>
      <w:r w:rsidR="00471C4B">
        <w:rPr>
          <w:rFonts w:cs="Arial"/>
        </w:rPr>
        <w:t>MSE</w:t>
      </w:r>
      <w:r w:rsidR="00BE4D30" w:rsidRPr="67E1988D">
        <w:rPr>
          <w:rFonts w:cs="Arial"/>
        </w:rPr>
        <w:t xml:space="preserve"> system, </w:t>
      </w:r>
      <w:r w:rsidRPr="67E1988D">
        <w:rPr>
          <w:rFonts w:cs="Arial"/>
        </w:rPr>
        <w:t xml:space="preserve">received accreditation from the </w:t>
      </w:r>
      <w:r w:rsidR="00F46054">
        <w:rPr>
          <w:rFonts w:cs="Arial"/>
        </w:rPr>
        <w:t>NHSE</w:t>
      </w:r>
      <w:r w:rsidRPr="67E1988D">
        <w:rPr>
          <w:rFonts w:cs="Arial"/>
        </w:rPr>
        <w:t xml:space="preserve"> </w:t>
      </w:r>
      <w:r w:rsidR="37007F17" w:rsidRPr="157E7E3D">
        <w:rPr>
          <w:rFonts w:cs="Arial"/>
        </w:rPr>
        <w:t>n</w:t>
      </w:r>
      <w:r w:rsidRPr="67E1988D">
        <w:rPr>
          <w:rFonts w:cs="Arial"/>
        </w:rPr>
        <w:t xml:space="preserve">ational team for its </w:t>
      </w:r>
      <w:r w:rsidR="00BE4D30" w:rsidRPr="67E1988D">
        <w:rPr>
          <w:rFonts w:cs="Arial"/>
        </w:rPr>
        <w:t>collaboration and engagement with partners</w:t>
      </w:r>
      <w:r w:rsidRPr="67E1988D">
        <w:rPr>
          <w:rFonts w:cs="Arial"/>
        </w:rPr>
        <w:t xml:space="preserve"> in the management of surges in UEC activity</w:t>
      </w:r>
      <w:r w:rsidR="00BE4D30" w:rsidRPr="67E1988D">
        <w:rPr>
          <w:rFonts w:cs="Arial"/>
        </w:rPr>
        <w:t>.</w:t>
      </w:r>
    </w:p>
    <w:p w14:paraId="1E0D38D5" w14:textId="04E5C73C" w:rsidR="00BE4D30" w:rsidRPr="00E80379" w:rsidRDefault="00BE4D30" w:rsidP="00BE4D30">
      <w:pPr>
        <w:rPr>
          <w:rFonts w:cs="Arial"/>
          <w:b/>
          <w:bCs/>
          <w:szCs w:val="24"/>
        </w:rPr>
      </w:pPr>
      <w:r w:rsidRPr="00E80379">
        <w:rPr>
          <w:rFonts w:cs="Arial"/>
          <w:b/>
          <w:bCs/>
          <w:szCs w:val="24"/>
        </w:rPr>
        <w:t>Cancer Care</w:t>
      </w:r>
    </w:p>
    <w:p w14:paraId="21D189F0" w14:textId="57974B2A" w:rsidR="0005140D" w:rsidRDefault="0005140D" w:rsidP="00854BA0">
      <w:r>
        <w:t xml:space="preserve">Improving cancer care has been a priority of the ICB with new initiatives such as the targeted lung health checks projects delivered within two of our alliances (Thurrock and </w:t>
      </w:r>
      <w:r>
        <w:lastRenderedPageBreak/>
        <w:t>Southend).  The teledermatology project has led to more timely diagnosis of suspected skin cancer improving performance against the faster diagnostic standard for skin cancer from 25% to 69</w:t>
      </w:r>
      <w:r w:rsidR="00103705">
        <w:t>.2% (62-day skin performance).  The reduction in demand achieved through this innovative pathway enabled those continuing on the suspected cancer pathway to be seen, diagnosed, and treated more quickly.</w:t>
      </w:r>
    </w:p>
    <w:p w14:paraId="5BEF1D06" w14:textId="0BC4794F" w:rsidR="00854BA0" w:rsidRDefault="00854BA0" w:rsidP="00854BA0">
      <w:pPr>
        <w:rPr>
          <w:rFonts w:cs="Arial"/>
        </w:rPr>
      </w:pPr>
      <w:r w:rsidRPr="00017ABF">
        <w:t>During 2023/24</w:t>
      </w:r>
      <w:r>
        <w:t>, the ICB and</w:t>
      </w:r>
      <w:r w:rsidRPr="00017ABF">
        <w:t xml:space="preserve"> MSEFT met fortnightly with the </w:t>
      </w:r>
      <w:r w:rsidR="5EAEE7A4">
        <w:t>n</w:t>
      </w:r>
      <w:r w:rsidRPr="00017ABF">
        <w:t xml:space="preserve">ational and </w:t>
      </w:r>
      <w:r w:rsidR="4C37833A">
        <w:t>r</w:t>
      </w:r>
      <w:r w:rsidRPr="00017ABF">
        <w:t xml:space="preserve">egional </w:t>
      </w:r>
      <w:r w:rsidR="00F46054">
        <w:t>NHSE</w:t>
      </w:r>
      <w:r w:rsidRPr="00017ABF">
        <w:t xml:space="preserve"> teams to </w:t>
      </w:r>
      <w:r>
        <w:t xml:space="preserve">track delivery of the </w:t>
      </w:r>
      <w:r w:rsidRPr="00017ABF">
        <w:t xml:space="preserve">recovery </w:t>
      </w:r>
      <w:r>
        <w:t xml:space="preserve">of the system cancer backlog </w:t>
      </w:r>
      <w:r w:rsidRPr="00017ABF">
        <w:t>plan.</w:t>
      </w:r>
      <w:r w:rsidRPr="157E7E3D">
        <w:rPr>
          <w:rFonts w:cs="Arial"/>
        </w:rPr>
        <w:t xml:space="preserve"> </w:t>
      </w:r>
      <w:r w:rsidR="00B60003">
        <w:rPr>
          <w:rFonts w:cs="Arial"/>
        </w:rPr>
        <w:t xml:space="preserve"> At year-end</w:t>
      </w:r>
      <w:r w:rsidR="00DE23A6">
        <w:rPr>
          <w:rFonts w:cs="Arial"/>
        </w:rPr>
        <w:t xml:space="preserve"> the</w:t>
      </w:r>
      <w:r w:rsidRPr="157E7E3D">
        <w:rPr>
          <w:rFonts w:cs="Arial"/>
        </w:rPr>
        <w:t xml:space="preserve"> national </w:t>
      </w:r>
      <w:r w:rsidR="00F46054">
        <w:rPr>
          <w:rFonts w:cs="Arial"/>
        </w:rPr>
        <w:t>NHSE</w:t>
      </w:r>
      <w:r w:rsidRPr="157E7E3D">
        <w:rPr>
          <w:rFonts w:cs="Arial"/>
        </w:rPr>
        <w:t xml:space="preserve"> team wrote to the MSE system acknowledging the improvement in the recovery of the cancer backlog and improving the </w:t>
      </w:r>
      <w:r w:rsidR="00DE23A6">
        <w:rPr>
          <w:rFonts w:cs="Arial"/>
        </w:rPr>
        <w:t>'</w:t>
      </w:r>
      <w:r w:rsidRPr="157E7E3D">
        <w:rPr>
          <w:rFonts w:cs="Arial"/>
        </w:rPr>
        <w:t>faster diagnosis</w:t>
      </w:r>
      <w:r w:rsidR="00DE23A6">
        <w:rPr>
          <w:rFonts w:cs="Arial"/>
        </w:rPr>
        <w:t>’</w:t>
      </w:r>
      <w:r w:rsidRPr="157E7E3D">
        <w:rPr>
          <w:rFonts w:cs="Arial"/>
        </w:rPr>
        <w:t xml:space="preserve"> performance during 2023/24 stating that “this is some of the most positive progress we have seen anywhere nationally and has been a significant contributor to the overall national position”.   </w:t>
      </w:r>
    </w:p>
    <w:p w14:paraId="4FDCEBB1" w14:textId="3C742369" w:rsidR="00854BA0" w:rsidRPr="008E3DB3" w:rsidRDefault="00DE23A6" w:rsidP="00854BA0">
      <w:pPr>
        <w:rPr>
          <w:rFonts w:cs="Arial"/>
          <w:szCs w:val="24"/>
        </w:rPr>
      </w:pPr>
      <w:r>
        <w:rPr>
          <w:rFonts w:cs="Arial"/>
          <w:szCs w:val="24"/>
        </w:rPr>
        <w:t xml:space="preserve">At </w:t>
      </w:r>
      <w:r w:rsidR="00F419B1">
        <w:rPr>
          <w:rFonts w:cs="Arial"/>
          <w:szCs w:val="24"/>
        </w:rPr>
        <w:t xml:space="preserve">the end of March 2024, </w:t>
      </w:r>
      <w:r w:rsidR="00854BA0" w:rsidRPr="008E3DB3">
        <w:rPr>
          <w:rFonts w:cs="Arial"/>
          <w:szCs w:val="24"/>
        </w:rPr>
        <w:t xml:space="preserve">261 </w:t>
      </w:r>
      <w:r w:rsidR="006C584E">
        <w:rPr>
          <w:rFonts w:cs="Arial"/>
          <w:szCs w:val="24"/>
        </w:rPr>
        <w:t>fewer</w:t>
      </w:r>
      <w:r w:rsidR="00854BA0">
        <w:rPr>
          <w:rFonts w:cs="Arial"/>
          <w:szCs w:val="24"/>
        </w:rPr>
        <w:t xml:space="preserve"> people were in the MSEFT 62-day cancer </w:t>
      </w:r>
      <w:r w:rsidR="00854BA0" w:rsidRPr="008E3DB3">
        <w:rPr>
          <w:rFonts w:cs="Arial"/>
          <w:szCs w:val="24"/>
        </w:rPr>
        <w:t xml:space="preserve">backlog </w:t>
      </w:r>
      <w:r w:rsidR="00854BA0">
        <w:rPr>
          <w:rFonts w:cs="Arial"/>
          <w:szCs w:val="24"/>
        </w:rPr>
        <w:t>than at the start of the 2023/24 year.</w:t>
      </w:r>
      <w:r w:rsidR="00854BA0" w:rsidRPr="008E3DB3">
        <w:rPr>
          <w:rFonts w:cs="Arial"/>
          <w:szCs w:val="24"/>
        </w:rPr>
        <w:t xml:space="preserve"> </w:t>
      </w:r>
    </w:p>
    <w:p w14:paraId="7C4A0084" w14:textId="0368E05B" w:rsidR="00BE4D30" w:rsidRDefault="00F419B1" w:rsidP="00854BA0">
      <w:pPr>
        <w:rPr>
          <w:rFonts w:cs="Arial"/>
          <w:szCs w:val="24"/>
        </w:rPr>
      </w:pPr>
      <w:r>
        <w:rPr>
          <w:rFonts w:cs="Arial"/>
          <w:szCs w:val="24"/>
        </w:rPr>
        <w:t xml:space="preserve">Performance against the 28 day faster diagnostic standard reached </w:t>
      </w:r>
      <w:r w:rsidR="00BE4D30" w:rsidRPr="008E3DB3">
        <w:rPr>
          <w:rFonts w:cs="Arial"/>
          <w:szCs w:val="24"/>
        </w:rPr>
        <w:t>7</w:t>
      </w:r>
      <w:r w:rsidR="00654A99">
        <w:rPr>
          <w:rFonts w:cs="Arial"/>
          <w:szCs w:val="24"/>
        </w:rPr>
        <w:t>2</w:t>
      </w:r>
      <w:r w:rsidR="00BE4D30" w:rsidRPr="008E3DB3">
        <w:rPr>
          <w:rFonts w:cs="Arial"/>
          <w:szCs w:val="24"/>
        </w:rPr>
        <w:t xml:space="preserve">% </w:t>
      </w:r>
      <w:r w:rsidR="00BE07CF">
        <w:rPr>
          <w:rFonts w:cs="Arial"/>
          <w:szCs w:val="24"/>
        </w:rPr>
        <w:t>by year end, which means much reduced wa</w:t>
      </w:r>
      <w:r w:rsidR="00EB3BAA">
        <w:rPr>
          <w:rFonts w:cs="Arial"/>
          <w:szCs w:val="24"/>
        </w:rPr>
        <w:t>i</w:t>
      </w:r>
      <w:r w:rsidR="00BE07CF">
        <w:rPr>
          <w:rFonts w:cs="Arial"/>
          <w:szCs w:val="24"/>
        </w:rPr>
        <w:t xml:space="preserve">t times from the point of referral with suspected cancer to learning whether the </w:t>
      </w:r>
      <w:r w:rsidR="00631F95">
        <w:rPr>
          <w:rFonts w:cs="Arial"/>
          <w:szCs w:val="24"/>
        </w:rPr>
        <w:t xml:space="preserve">diagnosis is likely to be cancer, or not. This clearly ensures faster treatment for </w:t>
      </w:r>
      <w:r w:rsidR="00EB3BAA">
        <w:rPr>
          <w:rFonts w:cs="Arial"/>
          <w:szCs w:val="24"/>
        </w:rPr>
        <w:t>t</w:t>
      </w:r>
      <w:r w:rsidR="00631F95">
        <w:rPr>
          <w:rFonts w:cs="Arial"/>
          <w:szCs w:val="24"/>
        </w:rPr>
        <w:t>hose who need it, and reassurance at a much</w:t>
      </w:r>
      <w:r w:rsidR="00771CAB">
        <w:rPr>
          <w:rFonts w:cs="Arial"/>
          <w:szCs w:val="24"/>
        </w:rPr>
        <w:t xml:space="preserve"> earlier stage for </w:t>
      </w:r>
      <w:r w:rsidR="00934F31">
        <w:rPr>
          <w:rFonts w:cs="Arial"/>
          <w:szCs w:val="24"/>
        </w:rPr>
        <w:t>t</w:t>
      </w:r>
      <w:r w:rsidR="00771CAB">
        <w:rPr>
          <w:rFonts w:cs="Arial"/>
          <w:szCs w:val="24"/>
        </w:rPr>
        <w:t xml:space="preserve">hose who do not have cancer. </w:t>
      </w:r>
      <w:r w:rsidR="00BE4D30" w:rsidRPr="008E3DB3">
        <w:rPr>
          <w:rFonts w:cs="Arial"/>
          <w:szCs w:val="24"/>
        </w:rPr>
        <w:t xml:space="preserve">   </w:t>
      </w:r>
    </w:p>
    <w:p w14:paraId="7FA2CF71" w14:textId="6973A586" w:rsidR="00E422F0" w:rsidRDefault="00E422F0" w:rsidP="00854BA0">
      <w:pPr>
        <w:rPr>
          <w:rFonts w:cs="Arial"/>
          <w:szCs w:val="24"/>
        </w:rPr>
      </w:pPr>
      <w:r>
        <w:rPr>
          <w:rFonts w:cs="Arial"/>
          <w:szCs w:val="24"/>
        </w:rPr>
        <w:t>The ICB will continue to support MSEFT in improving performance into 2024/25</w:t>
      </w:r>
      <w:r w:rsidR="008E7082">
        <w:rPr>
          <w:rFonts w:cs="Arial"/>
          <w:szCs w:val="24"/>
        </w:rPr>
        <w:t>, acknowledging that there is further progress required to achieve national expectations and the standards to which the ICB aspire</w:t>
      </w:r>
      <w:r w:rsidR="00F3431A">
        <w:rPr>
          <w:rFonts w:cs="Arial"/>
          <w:szCs w:val="24"/>
        </w:rPr>
        <w:t>s</w:t>
      </w:r>
      <w:r w:rsidR="00DC2BFE">
        <w:rPr>
          <w:rFonts w:cs="Arial"/>
          <w:szCs w:val="24"/>
        </w:rPr>
        <w:t xml:space="preserve"> to,</w:t>
      </w:r>
      <w:r w:rsidR="008E7082">
        <w:rPr>
          <w:rFonts w:cs="Arial"/>
          <w:szCs w:val="24"/>
        </w:rPr>
        <w:t xml:space="preserve"> as shown in the </w:t>
      </w:r>
      <w:r w:rsidR="000223F9">
        <w:rPr>
          <w:rFonts w:cs="Arial"/>
          <w:szCs w:val="24"/>
        </w:rPr>
        <w:t xml:space="preserve">table </w:t>
      </w:r>
      <w:r w:rsidR="008E7082">
        <w:rPr>
          <w:rFonts w:cs="Arial"/>
          <w:szCs w:val="24"/>
        </w:rPr>
        <w:t>below.</w:t>
      </w:r>
    </w:p>
    <w:p w14:paraId="743175E7" w14:textId="27BBB013" w:rsidR="008E7082" w:rsidRDefault="00030521" w:rsidP="00854BA0">
      <w:pPr>
        <w:rPr>
          <w:rFonts w:cs="Arial"/>
          <w:szCs w:val="24"/>
        </w:rPr>
      </w:pPr>
      <w:r>
        <w:rPr>
          <w:noProof/>
        </w:rPr>
        <w:drawing>
          <wp:inline distT="0" distB="0" distL="0" distR="0" wp14:anchorId="5A90826F" wp14:editId="48ED4833">
            <wp:extent cx="4114800" cy="4410941"/>
            <wp:effectExtent l="0" t="0" r="0" b="8890"/>
            <wp:docPr id="6" name="Picture 6" descr="Table showing year-end performance against the cancer waiting times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 showing year-end performance against the cancer waiting times standards."/>
                    <pic:cNvPicPr/>
                  </pic:nvPicPr>
                  <pic:blipFill>
                    <a:blip r:embed="rId22"/>
                    <a:stretch>
                      <a:fillRect/>
                    </a:stretch>
                  </pic:blipFill>
                  <pic:spPr>
                    <a:xfrm>
                      <a:off x="0" y="0"/>
                      <a:ext cx="4134463" cy="4432019"/>
                    </a:xfrm>
                    <a:prstGeom prst="rect">
                      <a:avLst/>
                    </a:prstGeom>
                  </pic:spPr>
                </pic:pic>
              </a:graphicData>
            </a:graphic>
          </wp:inline>
        </w:drawing>
      </w:r>
    </w:p>
    <w:p w14:paraId="592F1CED" w14:textId="77777777" w:rsidR="007F51E0" w:rsidRDefault="008E7082" w:rsidP="000C362F">
      <w:pPr>
        <w:spacing w:before="0" w:after="200" w:line="276" w:lineRule="auto"/>
      </w:pPr>
      <w:r w:rsidRPr="006332EC">
        <w:lastRenderedPageBreak/>
        <w:t xml:space="preserve">Mid and South Essex Cancer Board </w:t>
      </w:r>
      <w:r w:rsidR="00771CAB">
        <w:t xml:space="preserve">(including cancer alliance, patient representatives, specialised </w:t>
      </w:r>
      <w:r w:rsidR="00791DD3">
        <w:t>commissioning,</w:t>
      </w:r>
      <w:r w:rsidR="00771CAB">
        <w:t xml:space="preserve"> and cancer stewards) </w:t>
      </w:r>
      <w:r w:rsidRPr="006332EC">
        <w:t xml:space="preserve">has worked with </w:t>
      </w:r>
      <w:r w:rsidR="00BA0842">
        <w:t>MSEFT</w:t>
      </w:r>
      <w:r w:rsidRPr="006332EC">
        <w:t xml:space="preserve"> on a cancer </w:t>
      </w:r>
      <w:r w:rsidR="006D5011">
        <w:t xml:space="preserve">improvement </w:t>
      </w:r>
      <w:r w:rsidRPr="006332EC">
        <w:t xml:space="preserve">programme that supports clinical and service improvements, reduces waiting times, and improves experience across </w:t>
      </w:r>
      <w:r w:rsidR="5FFEEB57">
        <w:t>c</w:t>
      </w:r>
      <w:r>
        <w:t xml:space="preserve">ancer </w:t>
      </w:r>
      <w:r w:rsidR="1716BC7C">
        <w:t>s</w:t>
      </w:r>
      <w:r w:rsidRPr="006332EC">
        <w:t>ervices.</w:t>
      </w:r>
    </w:p>
    <w:p w14:paraId="77A98E69" w14:textId="6AB91387" w:rsidR="00261D42" w:rsidRPr="00261D42" w:rsidRDefault="00261D42" w:rsidP="000C362F">
      <w:pPr>
        <w:spacing w:before="0" w:after="200" w:line="276" w:lineRule="auto"/>
        <w:rPr>
          <w:b/>
          <w:bCs/>
          <w:color w:val="005EB8"/>
          <w:sz w:val="22"/>
        </w:rPr>
      </w:pPr>
      <w:r w:rsidRPr="00261D42">
        <w:rPr>
          <w:b/>
          <w:bCs/>
          <w:color w:val="005EB8"/>
          <w:sz w:val="22"/>
        </w:rPr>
        <w:t xml:space="preserve">Case </w:t>
      </w:r>
      <w:r w:rsidR="37C200EA" w:rsidRPr="602F0A8A">
        <w:rPr>
          <w:b/>
          <w:bCs/>
          <w:color w:val="005EB8"/>
          <w:sz w:val="22"/>
        </w:rPr>
        <w:t>s</w:t>
      </w:r>
      <w:r w:rsidRPr="00261D42">
        <w:rPr>
          <w:b/>
          <w:bCs/>
          <w:color w:val="005EB8"/>
          <w:sz w:val="22"/>
        </w:rPr>
        <w:t xml:space="preserve">tudy: </w:t>
      </w:r>
      <w:r w:rsidR="6C900764" w:rsidRPr="1E9C2AD3">
        <w:rPr>
          <w:b/>
          <w:bCs/>
          <w:color w:val="005EB8"/>
          <w:sz w:val="22"/>
        </w:rPr>
        <w:t>t</w:t>
      </w:r>
      <w:r w:rsidRPr="1E9C2AD3">
        <w:rPr>
          <w:b/>
          <w:bCs/>
          <w:color w:val="005EB8"/>
          <w:sz w:val="22"/>
        </w:rPr>
        <w:t>argeted</w:t>
      </w:r>
      <w:r w:rsidRPr="00261D42">
        <w:rPr>
          <w:b/>
          <w:bCs/>
          <w:color w:val="005EB8"/>
          <w:sz w:val="22"/>
        </w:rPr>
        <w:t xml:space="preserve"> lung health checks, improving patient care.</w:t>
      </w:r>
    </w:p>
    <w:p w14:paraId="346459EF" w14:textId="5A52F27D" w:rsidR="00A461EB" w:rsidRDefault="00261D42" w:rsidP="00261D42">
      <w:pPr>
        <w:rPr>
          <w:rFonts w:cs="Arial"/>
        </w:rPr>
      </w:pPr>
      <w:r w:rsidRPr="00261D42">
        <w:rPr>
          <w:rFonts w:cs="Arial"/>
          <w:noProof/>
          <w:szCs w:val="24"/>
        </w:rPr>
        <mc:AlternateContent>
          <mc:Choice Requires="wps">
            <w:drawing>
              <wp:inline distT="0" distB="0" distL="0" distR="0" wp14:anchorId="74351641" wp14:editId="6EB52608">
                <wp:extent cx="3323590" cy="2454812"/>
                <wp:effectExtent l="0" t="0" r="0" b="0"/>
                <wp:docPr id="32" name="Text Box 32"/>
                <wp:cNvGraphicFramePr/>
                <a:graphic xmlns:a="http://schemas.openxmlformats.org/drawingml/2006/main">
                  <a:graphicData uri="http://schemas.microsoft.com/office/word/2010/wordprocessingShape">
                    <wps:wsp>
                      <wps:cNvSpPr txBox="1"/>
                      <wps:spPr>
                        <a:xfrm>
                          <a:off x="0" y="0"/>
                          <a:ext cx="3323590" cy="2454812"/>
                        </a:xfrm>
                        <a:prstGeom prst="rect">
                          <a:avLst/>
                        </a:prstGeom>
                      </wps:spPr>
                      <wps:txbx>
                        <w:txbxContent>
                          <w:p w14:paraId="3B2D92E2" w14:textId="2B581297" w:rsidR="00261D42" w:rsidRPr="00261D42" w:rsidRDefault="00261D42" w:rsidP="00261D42">
                            <w:pPr>
                              <w:tabs>
                                <w:tab w:val="left" w:pos="275"/>
                              </w:tabs>
                              <w:spacing w:before="0" w:after="0" w:line="216" w:lineRule="auto"/>
                              <w:rPr>
                                <w:sz w:val="22"/>
                              </w:rPr>
                            </w:pPr>
                            <w:r w:rsidRPr="00261D42">
                              <w:rPr>
                                <w:sz w:val="22"/>
                              </w:rPr>
                              <w:t xml:space="preserve">Since 2020, people living in Southend and Thurrock (aged between 55 and 75), were invited to have a </w:t>
                            </w:r>
                            <w:r w:rsidR="00B23A7B">
                              <w:rPr>
                                <w:sz w:val="22"/>
                              </w:rPr>
                              <w:t>f</w:t>
                            </w:r>
                            <w:r w:rsidRPr="00261D42">
                              <w:rPr>
                                <w:sz w:val="22"/>
                              </w:rPr>
                              <w:t xml:space="preserve">ree NHS </w:t>
                            </w:r>
                            <w:r w:rsidR="00B23A7B" w:rsidRPr="00261D42">
                              <w:rPr>
                                <w:sz w:val="22"/>
                              </w:rPr>
                              <w:t>lung health check</w:t>
                            </w:r>
                            <w:r w:rsidRPr="00261D42">
                              <w:rPr>
                                <w:sz w:val="22"/>
                              </w:rPr>
                              <w:t>, which identified people at risk of developing lung cancer. Those at higher risk were offered a scan, then referred for treatment if needed.</w:t>
                            </w:r>
                          </w:p>
                          <w:p w14:paraId="5E68C10A" w14:textId="77777777" w:rsidR="00261D42" w:rsidRPr="00261D42" w:rsidRDefault="00261D42" w:rsidP="00261D42">
                            <w:pPr>
                              <w:tabs>
                                <w:tab w:val="left" w:pos="275"/>
                              </w:tabs>
                              <w:spacing w:after="0" w:line="216" w:lineRule="auto"/>
                              <w:rPr>
                                <w:sz w:val="22"/>
                              </w:rPr>
                            </w:pPr>
                            <w:r>
                              <w:rPr>
                                <w:sz w:val="22"/>
                              </w:rPr>
                              <w:t>M</w:t>
                            </w:r>
                            <w:r w:rsidRPr="00261D42">
                              <w:rPr>
                                <w:sz w:val="22"/>
                              </w:rPr>
                              <w:t>ore than 100 local people have now had previously undiscovered lung cancer found and treated.</w:t>
                            </w:r>
                          </w:p>
                          <w:p w14:paraId="2CAAF1ED" w14:textId="73C28DC6" w:rsidR="00261D42" w:rsidRPr="00261D42" w:rsidRDefault="00261D42" w:rsidP="00261D42">
                            <w:pPr>
                              <w:tabs>
                                <w:tab w:val="left" w:pos="275"/>
                              </w:tabs>
                              <w:spacing w:after="0" w:line="216" w:lineRule="auto"/>
                              <w:rPr>
                                <w:sz w:val="22"/>
                              </w:rPr>
                            </w:pPr>
                            <w:r>
                              <w:rPr>
                                <w:sz w:val="22"/>
                              </w:rPr>
                              <w:t>O</w:t>
                            </w:r>
                            <w:r w:rsidRPr="00261D42">
                              <w:rPr>
                                <w:sz w:val="22"/>
                              </w:rPr>
                              <w:t xml:space="preserve">ver 17,000 checks </w:t>
                            </w:r>
                            <w:r>
                              <w:rPr>
                                <w:sz w:val="22"/>
                              </w:rPr>
                              <w:t xml:space="preserve">(Feb 2024) </w:t>
                            </w:r>
                            <w:r w:rsidRPr="00261D42">
                              <w:rPr>
                                <w:sz w:val="22"/>
                              </w:rPr>
                              <w:t>have been completed. In addition, nearly 10,000 CT scans and 561 referrals to follow up care</w:t>
                            </w:r>
                            <w:r>
                              <w:rPr>
                                <w:sz w:val="22"/>
                              </w:rPr>
                              <w:t>,</w:t>
                            </w:r>
                            <w:r w:rsidRPr="00261D42">
                              <w:rPr>
                                <w:sz w:val="22"/>
                              </w:rPr>
                              <w:t xml:space="preserve"> linked to cardio-vascular disease, gallbladder, respiratory, breast, gastro, urology, liver and renal findings.</w:t>
                            </w:r>
                          </w:p>
                        </w:txbxContent>
                      </wps:txbx>
                      <wps:bodyPr vert="horz" wrap="square" lIns="91440" tIns="45720" rIns="91440" bIns="45720" rtlCol="0">
                        <a:noAutofit/>
                      </wps:bodyPr>
                    </wps:wsp>
                  </a:graphicData>
                </a:graphic>
              </wp:inline>
            </w:drawing>
          </mc:Choice>
          <mc:Fallback>
            <w:pict>
              <v:shape w14:anchorId="74351641" id="Text Box 32" o:spid="_x0000_s1028" type="#_x0000_t202" style="width:261.7pt;height:19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" filled="f" stroked="f">
                <v:textbox>
                  <w:txbxContent>
                    <w:p w14:paraId="3B2D92E2" w14:textId="2B581297" w:rsidR="00261D42" w:rsidRPr="00261D42" w:rsidRDefault="00261D42" w:rsidP="00261D42">
                      <w:pPr>
                        <w:tabs>
                          <w:tab w:val="left" w:pos="275"/>
                        </w:tabs>
                        <w:spacing w:before="0" w:after="0" w:line="216" w:lineRule="auto"/>
                        <w:rPr>
                          <w:sz w:val="22"/>
                        </w:rPr>
                      </w:pPr>
                      <w:r w:rsidRPr="00261D42">
                        <w:rPr>
                          <w:sz w:val="22"/>
                        </w:rPr>
                        <w:t xml:space="preserve">Since 2020, people living in Southend and Thurrock (aged between 55 and 75), were invited to have a </w:t>
                      </w:r>
                      <w:r w:rsidR="00B23A7B">
                        <w:rPr>
                          <w:sz w:val="22"/>
                        </w:rPr>
                        <w:t>f</w:t>
                      </w:r>
                      <w:r w:rsidRPr="00261D42">
                        <w:rPr>
                          <w:sz w:val="22"/>
                        </w:rPr>
                        <w:t xml:space="preserve">ree NHS </w:t>
                      </w:r>
                      <w:r w:rsidR="00B23A7B" w:rsidRPr="00261D42">
                        <w:rPr>
                          <w:sz w:val="22"/>
                        </w:rPr>
                        <w:t>lung health check</w:t>
                      </w:r>
                      <w:r w:rsidRPr="00261D42">
                        <w:rPr>
                          <w:sz w:val="22"/>
                        </w:rPr>
                        <w:t>, which identified people at risk of developing lung cancer. Those at higher risk were offered a scan, then referred for treatment if needed.</w:t>
                      </w:r>
                    </w:p>
                    <w:p w14:paraId="5E68C10A" w14:textId="77777777" w:rsidR="00261D42" w:rsidRPr="00261D42" w:rsidRDefault="00261D42" w:rsidP="00261D42">
                      <w:pPr>
                        <w:tabs>
                          <w:tab w:val="left" w:pos="275"/>
                        </w:tabs>
                        <w:spacing w:after="0" w:line="216" w:lineRule="auto"/>
                        <w:rPr>
                          <w:sz w:val="22"/>
                        </w:rPr>
                      </w:pPr>
                      <w:r>
                        <w:rPr>
                          <w:sz w:val="22"/>
                        </w:rPr>
                        <w:t>M</w:t>
                      </w:r>
                      <w:r w:rsidRPr="00261D42">
                        <w:rPr>
                          <w:sz w:val="22"/>
                        </w:rPr>
                        <w:t>ore than 100 local people have now had previously undiscovered lung cancer found and treated.</w:t>
                      </w:r>
                    </w:p>
                    <w:p w14:paraId="2CAAF1ED" w14:textId="73C28DC6" w:rsidR="00261D42" w:rsidRPr="00261D42" w:rsidRDefault="00261D42" w:rsidP="00261D42">
                      <w:pPr>
                        <w:tabs>
                          <w:tab w:val="left" w:pos="275"/>
                        </w:tabs>
                        <w:spacing w:after="0" w:line="216" w:lineRule="auto"/>
                        <w:rPr>
                          <w:sz w:val="22"/>
                        </w:rPr>
                      </w:pPr>
                      <w:r>
                        <w:rPr>
                          <w:sz w:val="22"/>
                        </w:rPr>
                        <w:t>O</w:t>
                      </w:r>
                      <w:r w:rsidRPr="00261D42">
                        <w:rPr>
                          <w:sz w:val="22"/>
                        </w:rPr>
                        <w:t xml:space="preserve">ver 17,000 checks </w:t>
                      </w:r>
                      <w:r>
                        <w:rPr>
                          <w:sz w:val="22"/>
                        </w:rPr>
                        <w:t xml:space="preserve">(Feb 2024) </w:t>
                      </w:r>
                      <w:r w:rsidRPr="00261D42">
                        <w:rPr>
                          <w:sz w:val="22"/>
                        </w:rPr>
                        <w:t>have been completed. In addition, nearly 10,000 CT scans and 561 referrals to follow up care</w:t>
                      </w:r>
                      <w:r>
                        <w:rPr>
                          <w:sz w:val="22"/>
                        </w:rPr>
                        <w:t>,</w:t>
                      </w:r>
                      <w:r w:rsidRPr="00261D42">
                        <w:rPr>
                          <w:sz w:val="22"/>
                        </w:rPr>
                        <w:t xml:space="preserve"> linked to cardio-vascular disease, gallbladder, respiratory, breast, gastro, urology, liver and renal findings.</w:t>
                      </w:r>
                    </w:p>
                  </w:txbxContent>
                </v:textbox>
                <w10:anchorlock/>
              </v:shape>
            </w:pict>
          </mc:Fallback>
        </mc:AlternateContent>
      </w:r>
      <w:r w:rsidR="003C1705" w:rsidRPr="003C1705">
        <w:rPr>
          <w:rFonts w:cs="Arial"/>
          <w:noProof/>
          <w:szCs w:val="24"/>
        </w:rPr>
        <w:drawing>
          <wp:inline distT="0" distB="0" distL="0" distR="0" wp14:anchorId="4D5F8F1B" wp14:editId="3EF5E9F5">
            <wp:extent cx="2581275" cy="2482948"/>
            <wp:effectExtent l="0" t="0" r="0" b="0"/>
            <wp:docPr id="1026" name="Picture 1026" descr="01_TLHC_MSE">
              <a:extLst xmlns:a="http://schemas.openxmlformats.org/drawingml/2006/main">
                <a:ext uri="{FF2B5EF4-FFF2-40B4-BE49-F238E27FC236}">
                  <a16:creationId xmlns:a16="http://schemas.microsoft.com/office/drawing/2014/main" id="{899320E1-400B-D1E6-57B5-A363106234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01_TLHC_MSE">
                      <a:extLst>
                        <a:ext uri="{FF2B5EF4-FFF2-40B4-BE49-F238E27FC236}">
                          <a16:creationId xmlns:a16="http://schemas.microsoft.com/office/drawing/2014/main" id="{899320E1-400B-D1E6-57B5-A3631062342B}"/>
                        </a:ext>
                      </a:extLst>
                    </pic:cNvPr>
                    <pic:cNvPicPr>
                      <a:picLocks noChangeAspect="1" noChangeArrowheads="1"/>
                    </pic:cNvPicPr>
                  </pic:nvPicPr>
                  <pic:blipFill rotWithShape="1">
                    <a:blip r:embed="rId23">
                      <a:extLst>
                        <a:ext uri="{28A0092B-C50C-407E-A947-70E740481C1C}">
                          <a14:useLocalDpi xmlns:a14="http://schemas.microsoft.com/office/drawing/2010/main" val="0"/>
                        </a:ext>
                      </a:extLst>
                    </a:blip>
                    <a:srcRect r="20689"/>
                    <a:stretch/>
                  </pic:blipFill>
                  <pic:spPr bwMode="auto">
                    <a:xfrm>
                      <a:off x="0" y="0"/>
                      <a:ext cx="2604165" cy="2504966"/>
                    </a:xfrm>
                    <a:prstGeom prst="rect">
                      <a:avLst/>
                    </a:prstGeom>
                    <a:noFill/>
                  </pic:spPr>
                </pic:pic>
              </a:graphicData>
            </a:graphic>
          </wp:inline>
        </w:drawing>
      </w:r>
    </w:p>
    <w:p w14:paraId="1662DA29" w14:textId="17B93E56" w:rsidR="00BF06ED" w:rsidRPr="00261D42" w:rsidRDefault="00BF06ED" w:rsidP="00BF06ED">
      <w:pPr>
        <w:tabs>
          <w:tab w:val="left" w:pos="275"/>
        </w:tabs>
        <w:spacing w:before="0" w:after="0" w:line="216" w:lineRule="auto"/>
        <w:rPr>
          <w:b/>
          <w:bCs/>
          <w:color w:val="005EB8"/>
          <w:sz w:val="22"/>
        </w:rPr>
      </w:pPr>
      <w:r w:rsidRPr="00261D42">
        <w:rPr>
          <w:b/>
          <w:bCs/>
          <w:color w:val="005EB8"/>
          <w:sz w:val="22"/>
        </w:rPr>
        <w:t xml:space="preserve">Case </w:t>
      </w:r>
      <w:r w:rsidR="103FA2FF" w:rsidRPr="602F0A8A">
        <w:rPr>
          <w:b/>
          <w:bCs/>
          <w:color w:val="005EB8"/>
          <w:sz w:val="22"/>
        </w:rPr>
        <w:t>s</w:t>
      </w:r>
      <w:r w:rsidRPr="00261D42">
        <w:rPr>
          <w:b/>
          <w:bCs/>
          <w:color w:val="005EB8"/>
          <w:sz w:val="22"/>
        </w:rPr>
        <w:t xml:space="preserve">tudy: </w:t>
      </w:r>
      <w:r w:rsidR="66F0B91E" w:rsidRPr="455C6CF3">
        <w:rPr>
          <w:b/>
          <w:bCs/>
          <w:color w:val="005EB8"/>
          <w:sz w:val="22"/>
        </w:rPr>
        <w:t>s</w:t>
      </w:r>
      <w:r>
        <w:rPr>
          <w:b/>
          <w:bCs/>
          <w:color w:val="005EB8"/>
          <w:sz w:val="22"/>
        </w:rPr>
        <w:t>kin cancer faster diagnostics - teledermatology</w:t>
      </w:r>
      <w:r w:rsidRPr="00261D42">
        <w:rPr>
          <w:b/>
          <w:bCs/>
          <w:color w:val="005EB8"/>
          <w:sz w:val="22"/>
        </w:rPr>
        <w:t>.</w:t>
      </w:r>
    </w:p>
    <w:p w14:paraId="0B0A334A" w14:textId="3A53A39B" w:rsidR="00BF06ED" w:rsidRDefault="00620795" w:rsidP="00BE4D30">
      <w:pPr>
        <w:rPr>
          <w:rFonts w:cs="Arial"/>
        </w:rPr>
      </w:pPr>
      <w:r>
        <w:rPr>
          <w:rFonts w:cs="Arial"/>
          <w:b/>
          <w:bCs/>
          <w:noProof/>
          <w:szCs w:val="24"/>
        </w:rPr>
        <w:drawing>
          <wp:inline distT="0" distB="0" distL="0" distR="0" wp14:anchorId="551D420D" wp14:editId="37DA2F16">
            <wp:extent cx="2901396" cy="2282532"/>
            <wp:effectExtent l="0" t="0" r="0" b="3810"/>
            <wp:docPr id="58" name="Picture 58" descr="A person touching a person's back, inspecting a m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erson touching a person's back, inspecting a mol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38740" cy="2311910"/>
                    </a:xfrm>
                    <a:prstGeom prst="rect">
                      <a:avLst/>
                    </a:prstGeom>
                  </pic:spPr>
                </pic:pic>
              </a:graphicData>
            </a:graphic>
          </wp:inline>
        </w:drawing>
      </w:r>
      <w:r w:rsidRPr="00261D42">
        <w:rPr>
          <w:rFonts w:cs="Arial"/>
          <w:noProof/>
          <w:szCs w:val="24"/>
        </w:rPr>
        <mc:AlternateContent>
          <mc:Choice Requires="wps">
            <w:drawing>
              <wp:inline distT="0" distB="0" distL="0" distR="0" wp14:anchorId="35B84215" wp14:editId="03B0F33C">
                <wp:extent cx="2933700" cy="2321169"/>
                <wp:effectExtent l="0" t="0" r="0" b="0"/>
                <wp:docPr id="43" name="Text Box 43"/>
                <wp:cNvGraphicFramePr/>
                <a:graphic xmlns:a="http://schemas.openxmlformats.org/drawingml/2006/main">
                  <a:graphicData uri="http://schemas.microsoft.com/office/word/2010/wordprocessingShape">
                    <wps:wsp>
                      <wps:cNvSpPr txBox="1"/>
                      <wps:spPr>
                        <a:xfrm>
                          <a:off x="0" y="0"/>
                          <a:ext cx="2933700" cy="2321169"/>
                        </a:xfrm>
                        <a:prstGeom prst="rect">
                          <a:avLst/>
                        </a:prstGeom>
                      </wps:spPr>
                      <wps:txbx>
                        <w:txbxContent>
                          <w:p w14:paraId="08627128" w14:textId="3C5247F2" w:rsidR="00E84F40" w:rsidRPr="006D5D54" w:rsidRDefault="00E84F40" w:rsidP="00787DCA">
                            <w:pPr>
                              <w:tabs>
                                <w:tab w:val="left" w:pos="275"/>
                              </w:tabs>
                              <w:spacing w:before="0" w:after="0" w:line="216" w:lineRule="auto"/>
                              <w:rPr>
                                <w:sz w:val="21"/>
                                <w:szCs w:val="21"/>
                              </w:rPr>
                            </w:pPr>
                            <w:r w:rsidRPr="006D5D54">
                              <w:rPr>
                                <w:sz w:val="21"/>
                                <w:szCs w:val="21"/>
                              </w:rPr>
                              <w:t xml:space="preserve">As </w:t>
                            </w:r>
                            <w:r w:rsidR="00C27331" w:rsidRPr="006D5D54">
                              <w:rPr>
                                <w:sz w:val="21"/>
                                <w:szCs w:val="21"/>
                              </w:rPr>
                              <w:t>of</w:t>
                            </w:r>
                            <w:r w:rsidRPr="006D5D54">
                              <w:rPr>
                                <w:sz w:val="21"/>
                                <w:szCs w:val="21"/>
                              </w:rPr>
                              <w:t xml:space="preserve"> </w:t>
                            </w:r>
                            <w:r>
                              <w:rPr>
                                <w:sz w:val="21"/>
                                <w:szCs w:val="21"/>
                              </w:rPr>
                              <w:t xml:space="preserve">18 March </w:t>
                            </w:r>
                            <w:r w:rsidRPr="006D5D54">
                              <w:rPr>
                                <w:sz w:val="21"/>
                                <w:szCs w:val="21"/>
                              </w:rPr>
                              <w:t xml:space="preserve">2024, </w:t>
                            </w:r>
                            <w:r>
                              <w:rPr>
                                <w:sz w:val="21"/>
                                <w:szCs w:val="21"/>
                              </w:rPr>
                              <w:t>5933</w:t>
                            </w:r>
                            <w:r w:rsidRPr="006D5D54">
                              <w:rPr>
                                <w:sz w:val="21"/>
                                <w:szCs w:val="21"/>
                              </w:rPr>
                              <w:t xml:space="preserve"> cases </w:t>
                            </w:r>
                            <w:r>
                              <w:rPr>
                                <w:sz w:val="21"/>
                                <w:szCs w:val="21"/>
                              </w:rPr>
                              <w:t xml:space="preserve">were seen in the </w:t>
                            </w:r>
                            <w:r w:rsidRPr="006D5D54">
                              <w:rPr>
                                <w:sz w:val="21"/>
                                <w:szCs w:val="21"/>
                              </w:rPr>
                              <w:t>teledermatology service</w:t>
                            </w:r>
                            <w:r>
                              <w:rPr>
                                <w:sz w:val="21"/>
                                <w:szCs w:val="21"/>
                              </w:rPr>
                              <w:t>:</w:t>
                            </w:r>
                            <w:r w:rsidRPr="006D5D54">
                              <w:rPr>
                                <w:sz w:val="21"/>
                                <w:szCs w:val="21"/>
                              </w:rPr>
                              <w:t xml:space="preserve"> </w:t>
                            </w:r>
                          </w:p>
                          <w:p w14:paraId="439BC839" w14:textId="43354F4A" w:rsidR="00E84F40" w:rsidRPr="00787DCA" w:rsidRDefault="00E84F40" w:rsidP="00787DCA">
                            <w:pPr>
                              <w:pStyle w:val="ListParagraph"/>
                              <w:numPr>
                                <w:ilvl w:val="0"/>
                                <w:numId w:val="36"/>
                              </w:numPr>
                              <w:spacing w:before="60" w:after="60" w:line="216" w:lineRule="auto"/>
                              <w:ind w:left="357" w:hanging="357"/>
                              <w:contextualSpacing w:val="0"/>
                              <w:rPr>
                                <w:rFonts w:cs="Arial"/>
                                <w:color w:val="000000" w:themeColor="text1"/>
                                <w:kern w:val="24"/>
                                <w:sz w:val="21"/>
                                <w:szCs w:val="21"/>
                                <w:lang w:val="en-US"/>
                              </w:rPr>
                            </w:pPr>
                            <w:r w:rsidRPr="00787DCA">
                              <w:rPr>
                                <w:rFonts w:cs="Arial"/>
                                <w:color w:val="000000" w:themeColor="text1"/>
                                <w:kern w:val="24"/>
                                <w:sz w:val="21"/>
                                <w:szCs w:val="21"/>
                                <w:lang w:val="en-US"/>
                              </w:rPr>
                              <w:t>Over 5,700 patients attended community based medical photography clinics</w:t>
                            </w:r>
                            <w:r w:rsidR="00B830E7">
                              <w:rPr>
                                <w:rFonts w:cs="Arial"/>
                                <w:color w:val="000000" w:themeColor="text1"/>
                                <w:kern w:val="24"/>
                                <w:sz w:val="21"/>
                                <w:szCs w:val="21"/>
                                <w:lang w:val="en-US"/>
                              </w:rPr>
                              <w:t>.</w:t>
                            </w:r>
                          </w:p>
                          <w:p w14:paraId="4A5D117E" w14:textId="52028BF8" w:rsidR="00E84F40" w:rsidRPr="00787DCA" w:rsidRDefault="00E84F40" w:rsidP="00787DCA">
                            <w:pPr>
                              <w:pStyle w:val="ListParagraph"/>
                              <w:numPr>
                                <w:ilvl w:val="0"/>
                                <w:numId w:val="36"/>
                              </w:numPr>
                              <w:spacing w:before="60" w:after="60" w:line="216" w:lineRule="auto"/>
                              <w:ind w:left="357" w:hanging="357"/>
                              <w:contextualSpacing w:val="0"/>
                              <w:rPr>
                                <w:rFonts w:cs="Arial"/>
                                <w:color w:val="000000" w:themeColor="text1"/>
                                <w:kern w:val="24"/>
                                <w:sz w:val="21"/>
                                <w:szCs w:val="21"/>
                                <w:lang w:val="en-US"/>
                              </w:rPr>
                            </w:pPr>
                            <w:r w:rsidRPr="00787DCA">
                              <w:rPr>
                                <w:rFonts w:cs="Arial"/>
                                <w:color w:val="000000" w:themeColor="text1"/>
                                <w:kern w:val="24"/>
                                <w:sz w:val="21"/>
                                <w:szCs w:val="21"/>
                                <w:lang w:val="en-US"/>
                              </w:rPr>
                              <w:t>97% of referrals triaged within 2 days</w:t>
                            </w:r>
                            <w:r w:rsidR="00B830E7">
                              <w:rPr>
                                <w:rFonts w:cs="Arial"/>
                                <w:color w:val="000000" w:themeColor="text1"/>
                                <w:kern w:val="24"/>
                                <w:sz w:val="21"/>
                                <w:szCs w:val="21"/>
                                <w:lang w:val="en-US"/>
                              </w:rPr>
                              <w:t>.</w:t>
                            </w:r>
                          </w:p>
                          <w:p w14:paraId="6F74DFFE" w14:textId="77777777" w:rsidR="00E84F40" w:rsidRPr="00787DCA" w:rsidRDefault="00E84F40" w:rsidP="00787DCA">
                            <w:pPr>
                              <w:pStyle w:val="ListParagraph"/>
                              <w:numPr>
                                <w:ilvl w:val="0"/>
                                <w:numId w:val="36"/>
                              </w:numPr>
                              <w:spacing w:before="60" w:after="60" w:line="216" w:lineRule="auto"/>
                              <w:ind w:left="357" w:hanging="357"/>
                              <w:contextualSpacing w:val="0"/>
                              <w:rPr>
                                <w:rFonts w:cs="Arial"/>
                                <w:color w:val="000000" w:themeColor="text1"/>
                                <w:kern w:val="24"/>
                                <w:sz w:val="21"/>
                                <w:szCs w:val="21"/>
                                <w:lang w:val="en-US"/>
                              </w:rPr>
                            </w:pPr>
                            <w:r w:rsidRPr="00787DCA">
                              <w:rPr>
                                <w:rFonts w:cs="Arial"/>
                                <w:color w:val="000000" w:themeColor="text1"/>
                                <w:kern w:val="24"/>
                                <w:sz w:val="21"/>
                                <w:szCs w:val="21"/>
                                <w:lang w:val="en-US"/>
                              </w:rPr>
                              <w:t>32.95% continued on the urgent suspected cancer pathway (1.5% due to not meeting the criteria).</w:t>
                            </w:r>
                          </w:p>
                          <w:p w14:paraId="71C20F94" w14:textId="77777777" w:rsidR="00E84F40" w:rsidRPr="00787DCA" w:rsidRDefault="00E84F40" w:rsidP="00787DCA">
                            <w:pPr>
                              <w:pStyle w:val="ListParagraph"/>
                              <w:numPr>
                                <w:ilvl w:val="0"/>
                                <w:numId w:val="36"/>
                              </w:numPr>
                              <w:spacing w:before="60" w:after="60" w:line="216" w:lineRule="auto"/>
                              <w:ind w:left="357" w:hanging="357"/>
                              <w:contextualSpacing w:val="0"/>
                              <w:rPr>
                                <w:rFonts w:cs="Arial"/>
                                <w:color w:val="000000" w:themeColor="text1"/>
                                <w:kern w:val="24"/>
                                <w:sz w:val="21"/>
                                <w:szCs w:val="21"/>
                                <w:lang w:val="en-US"/>
                              </w:rPr>
                            </w:pPr>
                            <w:r w:rsidRPr="00787DCA">
                              <w:rPr>
                                <w:rFonts w:cs="Arial"/>
                                <w:color w:val="000000" w:themeColor="text1"/>
                                <w:kern w:val="24"/>
                                <w:sz w:val="21"/>
                                <w:szCs w:val="21"/>
                                <w:lang w:val="en-US"/>
                              </w:rPr>
                              <w:t xml:space="preserve">12.13%of cases were referred on to an alternative acute pathway </w:t>
                            </w:r>
                          </w:p>
                          <w:p w14:paraId="3CDC87CB" w14:textId="6001C693" w:rsidR="00E84F40" w:rsidRPr="00787DCA" w:rsidRDefault="00E84F40" w:rsidP="00787DCA">
                            <w:pPr>
                              <w:pStyle w:val="ListParagraph"/>
                              <w:numPr>
                                <w:ilvl w:val="0"/>
                                <w:numId w:val="36"/>
                              </w:numPr>
                              <w:spacing w:before="60" w:after="60" w:line="216" w:lineRule="auto"/>
                              <w:ind w:left="357" w:hanging="357"/>
                              <w:contextualSpacing w:val="0"/>
                              <w:rPr>
                                <w:rFonts w:cs="Arial"/>
                                <w:color w:val="000000" w:themeColor="text1"/>
                                <w:kern w:val="24"/>
                                <w:sz w:val="21"/>
                                <w:szCs w:val="21"/>
                                <w:lang w:val="en-US"/>
                              </w:rPr>
                            </w:pPr>
                            <w:r w:rsidRPr="00787DCA">
                              <w:rPr>
                                <w:rFonts w:cs="Arial"/>
                                <w:color w:val="000000" w:themeColor="text1"/>
                                <w:kern w:val="24"/>
                                <w:sz w:val="21"/>
                                <w:szCs w:val="21"/>
                                <w:lang w:val="en-US"/>
                              </w:rPr>
                              <w:t xml:space="preserve">4.1% of patients </w:t>
                            </w:r>
                            <w:r w:rsidR="00C32C99">
                              <w:rPr>
                                <w:rFonts w:cs="Arial"/>
                                <w:color w:val="000000" w:themeColor="text1"/>
                                <w:kern w:val="24"/>
                                <w:sz w:val="21"/>
                                <w:szCs w:val="21"/>
                                <w:lang w:val="en-US"/>
                              </w:rPr>
                              <w:t xml:space="preserve">were </w:t>
                            </w:r>
                            <w:r w:rsidRPr="00787DCA">
                              <w:rPr>
                                <w:rFonts w:cs="Arial"/>
                                <w:color w:val="000000" w:themeColor="text1"/>
                                <w:kern w:val="24"/>
                                <w:sz w:val="21"/>
                                <w:szCs w:val="21"/>
                                <w:lang w:val="en-US"/>
                              </w:rPr>
                              <w:t>referred to Community Dermatology.</w:t>
                            </w:r>
                          </w:p>
                          <w:p w14:paraId="7352474B" w14:textId="77777777" w:rsidR="00E84F40" w:rsidRPr="00787DCA" w:rsidRDefault="00E84F40" w:rsidP="00787DCA">
                            <w:pPr>
                              <w:pStyle w:val="ListParagraph"/>
                              <w:numPr>
                                <w:ilvl w:val="0"/>
                                <w:numId w:val="36"/>
                              </w:numPr>
                              <w:spacing w:before="60" w:after="60" w:line="216" w:lineRule="auto"/>
                              <w:ind w:left="357" w:hanging="357"/>
                              <w:contextualSpacing w:val="0"/>
                              <w:rPr>
                                <w:rFonts w:cs="Arial"/>
                                <w:color w:val="000000" w:themeColor="text1"/>
                                <w:kern w:val="24"/>
                                <w:sz w:val="21"/>
                                <w:szCs w:val="21"/>
                                <w:lang w:val="en-US"/>
                              </w:rPr>
                            </w:pPr>
                            <w:r w:rsidRPr="00787DCA">
                              <w:rPr>
                                <w:rFonts w:cs="Arial"/>
                                <w:color w:val="000000" w:themeColor="text1"/>
                                <w:kern w:val="24"/>
                                <w:sz w:val="21"/>
                                <w:szCs w:val="21"/>
                                <w:lang w:val="en-US"/>
                              </w:rPr>
                              <w:t>50.51% of referrals were returned to Primary Care with advice and guidance.</w:t>
                            </w:r>
                          </w:p>
                          <w:p w14:paraId="3685EC34" w14:textId="77777777" w:rsidR="00620795" w:rsidRPr="00261D42" w:rsidRDefault="00620795" w:rsidP="00620795">
                            <w:pPr>
                              <w:tabs>
                                <w:tab w:val="left" w:pos="275"/>
                              </w:tabs>
                              <w:spacing w:after="0" w:line="216" w:lineRule="auto"/>
                            </w:pPr>
                          </w:p>
                        </w:txbxContent>
                      </wps:txbx>
                      <wps:bodyPr vert="horz" wrap="square" lIns="91440" tIns="45720" rIns="91440" bIns="45720" rtlCol="0">
                        <a:noAutofit/>
                      </wps:bodyPr>
                    </wps:wsp>
                  </a:graphicData>
                </a:graphic>
              </wp:inline>
            </w:drawing>
          </mc:Choice>
          <mc:Fallback>
            <w:pict>
              <v:shape w14:anchorId="35B84215" id="Text Box 43" o:spid="_x0000_s1029" type="#_x0000_t202" style="width:231pt;height:18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" filled="f" stroked="f">
                <v:textbox>
                  <w:txbxContent>
                    <w:p w14:paraId="08627128" w14:textId="3C5247F2" w:rsidR="00E84F40" w:rsidRPr="006D5D54" w:rsidRDefault="00E84F40" w:rsidP="00787DCA">
                      <w:pPr>
                        <w:tabs>
                          <w:tab w:val="left" w:pos="275"/>
                        </w:tabs>
                        <w:spacing w:before="0" w:after="0" w:line="216" w:lineRule="auto"/>
                        <w:rPr>
                          <w:sz w:val="21"/>
                          <w:szCs w:val="21"/>
                        </w:rPr>
                      </w:pPr>
                      <w:r w:rsidRPr="006D5D54">
                        <w:rPr>
                          <w:sz w:val="21"/>
                          <w:szCs w:val="21"/>
                        </w:rPr>
                        <w:t xml:space="preserve">As </w:t>
                      </w:r>
                      <w:r w:rsidR="00C27331" w:rsidRPr="006D5D54">
                        <w:rPr>
                          <w:sz w:val="21"/>
                          <w:szCs w:val="21"/>
                        </w:rPr>
                        <w:t>of</w:t>
                      </w:r>
                      <w:r w:rsidRPr="006D5D54">
                        <w:rPr>
                          <w:sz w:val="21"/>
                          <w:szCs w:val="21"/>
                        </w:rPr>
                        <w:t xml:space="preserve"> </w:t>
                      </w:r>
                      <w:r>
                        <w:rPr>
                          <w:sz w:val="21"/>
                          <w:szCs w:val="21"/>
                        </w:rPr>
                        <w:t xml:space="preserve">18 March </w:t>
                      </w:r>
                      <w:r w:rsidRPr="006D5D54">
                        <w:rPr>
                          <w:sz w:val="21"/>
                          <w:szCs w:val="21"/>
                        </w:rPr>
                        <w:t xml:space="preserve">2024, </w:t>
                      </w:r>
                      <w:r>
                        <w:rPr>
                          <w:sz w:val="21"/>
                          <w:szCs w:val="21"/>
                        </w:rPr>
                        <w:t>5933</w:t>
                      </w:r>
                      <w:r w:rsidRPr="006D5D54">
                        <w:rPr>
                          <w:sz w:val="21"/>
                          <w:szCs w:val="21"/>
                        </w:rPr>
                        <w:t xml:space="preserve"> cases </w:t>
                      </w:r>
                      <w:r>
                        <w:rPr>
                          <w:sz w:val="21"/>
                          <w:szCs w:val="21"/>
                        </w:rPr>
                        <w:t xml:space="preserve">were seen in the </w:t>
                      </w:r>
                      <w:r w:rsidRPr="006D5D54">
                        <w:rPr>
                          <w:sz w:val="21"/>
                          <w:szCs w:val="21"/>
                        </w:rPr>
                        <w:t>teledermatology service</w:t>
                      </w:r>
                      <w:r>
                        <w:rPr>
                          <w:sz w:val="21"/>
                          <w:szCs w:val="21"/>
                        </w:rPr>
                        <w:t>:</w:t>
                      </w:r>
                      <w:r w:rsidRPr="006D5D54">
                        <w:rPr>
                          <w:sz w:val="21"/>
                          <w:szCs w:val="21"/>
                        </w:rPr>
                        <w:t xml:space="preserve"> </w:t>
                      </w:r>
                    </w:p>
                    <w:p w14:paraId="439BC839" w14:textId="43354F4A" w:rsidR="00E84F40" w:rsidRPr="00787DCA" w:rsidRDefault="00E84F40" w:rsidP="00787DCA">
                      <w:pPr>
                        <w:pStyle w:val="ListParagraph"/>
                        <w:numPr>
                          <w:ilvl w:val="0"/>
                          <w:numId w:val="36"/>
                        </w:numPr>
                        <w:spacing w:before="60" w:after="60" w:line="216" w:lineRule="auto"/>
                        <w:ind w:left="357" w:hanging="357"/>
                        <w:contextualSpacing w:val="0"/>
                        <w:rPr>
                          <w:rFonts w:cs="Arial"/>
                          <w:color w:val="000000" w:themeColor="text1"/>
                          <w:kern w:val="24"/>
                          <w:sz w:val="21"/>
                          <w:szCs w:val="21"/>
                          <w:lang w:val="en-US"/>
                        </w:rPr>
                      </w:pPr>
                      <w:r w:rsidRPr="00787DCA">
                        <w:rPr>
                          <w:rFonts w:cs="Arial"/>
                          <w:color w:val="000000" w:themeColor="text1"/>
                          <w:kern w:val="24"/>
                          <w:sz w:val="21"/>
                          <w:szCs w:val="21"/>
                          <w:lang w:val="en-US"/>
                        </w:rPr>
                        <w:t>Over 5,700 patients attended community based medical photography clinics</w:t>
                      </w:r>
                      <w:r w:rsidR="00B830E7">
                        <w:rPr>
                          <w:rFonts w:cs="Arial"/>
                          <w:color w:val="000000" w:themeColor="text1"/>
                          <w:kern w:val="24"/>
                          <w:sz w:val="21"/>
                          <w:szCs w:val="21"/>
                          <w:lang w:val="en-US"/>
                        </w:rPr>
                        <w:t>.</w:t>
                      </w:r>
                    </w:p>
                    <w:p w14:paraId="4A5D117E" w14:textId="52028BF8" w:rsidR="00E84F40" w:rsidRPr="00787DCA" w:rsidRDefault="00E84F40" w:rsidP="00787DCA">
                      <w:pPr>
                        <w:pStyle w:val="ListParagraph"/>
                        <w:numPr>
                          <w:ilvl w:val="0"/>
                          <w:numId w:val="36"/>
                        </w:numPr>
                        <w:spacing w:before="60" w:after="60" w:line="216" w:lineRule="auto"/>
                        <w:ind w:left="357" w:hanging="357"/>
                        <w:contextualSpacing w:val="0"/>
                        <w:rPr>
                          <w:rFonts w:cs="Arial"/>
                          <w:color w:val="000000" w:themeColor="text1"/>
                          <w:kern w:val="24"/>
                          <w:sz w:val="21"/>
                          <w:szCs w:val="21"/>
                          <w:lang w:val="en-US"/>
                        </w:rPr>
                      </w:pPr>
                      <w:r w:rsidRPr="00787DCA">
                        <w:rPr>
                          <w:rFonts w:cs="Arial"/>
                          <w:color w:val="000000" w:themeColor="text1"/>
                          <w:kern w:val="24"/>
                          <w:sz w:val="21"/>
                          <w:szCs w:val="21"/>
                          <w:lang w:val="en-US"/>
                        </w:rPr>
                        <w:t>97% of referrals triaged within 2 days</w:t>
                      </w:r>
                      <w:r w:rsidR="00B830E7">
                        <w:rPr>
                          <w:rFonts w:cs="Arial"/>
                          <w:color w:val="000000" w:themeColor="text1"/>
                          <w:kern w:val="24"/>
                          <w:sz w:val="21"/>
                          <w:szCs w:val="21"/>
                          <w:lang w:val="en-US"/>
                        </w:rPr>
                        <w:t>.</w:t>
                      </w:r>
                    </w:p>
                    <w:p w14:paraId="6F74DFFE" w14:textId="77777777" w:rsidR="00E84F40" w:rsidRPr="00787DCA" w:rsidRDefault="00E84F40" w:rsidP="00787DCA">
                      <w:pPr>
                        <w:pStyle w:val="ListParagraph"/>
                        <w:numPr>
                          <w:ilvl w:val="0"/>
                          <w:numId w:val="36"/>
                        </w:numPr>
                        <w:spacing w:before="60" w:after="60" w:line="216" w:lineRule="auto"/>
                        <w:ind w:left="357" w:hanging="357"/>
                        <w:contextualSpacing w:val="0"/>
                        <w:rPr>
                          <w:rFonts w:cs="Arial"/>
                          <w:color w:val="000000" w:themeColor="text1"/>
                          <w:kern w:val="24"/>
                          <w:sz w:val="21"/>
                          <w:szCs w:val="21"/>
                          <w:lang w:val="en-US"/>
                        </w:rPr>
                      </w:pPr>
                      <w:r w:rsidRPr="00787DCA">
                        <w:rPr>
                          <w:rFonts w:cs="Arial"/>
                          <w:color w:val="000000" w:themeColor="text1"/>
                          <w:kern w:val="24"/>
                          <w:sz w:val="21"/>
                          <w:szCs w:val="21"/>
                          <w:lang w:val="en-US"/>
                        </w:rPr>
                        <w:t>32.95% continued on the urgent suspected cancer pathway (1.5% due to not meeting the criteria).</w:t>
                      </w:r>
                    </w:p>
                    <w:p w14:paraId="71C20F94" w14:textId="77777777" w:rsidR="00E84F40" w:rsidRPr="00787DCA" w:rsidRDefault="00E84F40" w:rsidP="00787DCA">
                      <w:pPr>
                        <w:pStyle w:val="ListParagraph"/>
                        <w:numPr>
                          <w:ilvl w:val="0"/>
                          <w:numId w:val="36"/>
                        </w:numPr>
                        <w:spacing w:before="60" w:after="60" w:line="216" w:lineRule="auto"/>
                        <w:ind w:left="357" w:hanging="357"/>
                        <w:contextualSpacing w:val="0"/>
                        <w:rPr>
                          <w:rFonts w:cs="Arial"/>
                          <w:color w:val="000000" w:themeColor="text1"/>
                          <w:kern w:val="24"/>
                          <w:sz w:val="21"/>
                          <w:szCs w:val="21"/>
                          <w:lang w:val="en-US"/>
                        </w:rPr>
                      </w:pPr>
                      <w:r w:rsidRPr="00787DCA">
                        <w:rPr>
                          <w:rFonts w:cs="Arial"/>
                          <w:color w:val="000000" w:themeColor="text1"/>
                          <w:kern w:val="24"/>
                          <w:sz w:val="21"/>
                          <w:szCs w:val="21"/>
                          <w:lang w:val="en-US"/>
                        </w:rPr>
                        <w:t xml:space="preserve">12.13%of cases were referred on to an alternative acute pathway </w:t>
                      </w:r>
                    </w:p>
                    <w:p w14:paraId="3CDC87CB" w14:textId="6001C693" w:rsidR="00E84F40" w:rsidRPr="00787DCA" w:rsidRDefault="00E84F40" w:rsidP="00787DCA">
                      <w:pPr>
                        <w:pStyle w:val="ListParagraph"/>
                        <w:numPr>
                          <w:ilvl w:val="0"/>
                          <w:numId w:val="36"/>
                        </w:numPr>
                        <w:spacing w:before="60" w:after="60" w:line="216" w:lineRule="auto"/>
                        <w:ind w:left="357" w:hanging="357"/>
                        <w:contextualSpacing w:val="0"/>
                        <w:rPr>
                          <w:rFonts w:cs="Arial"/>
                          <w:color w:val="000000" w:themeColor="text1"/>
                          <w:kern w:val="24"/>
                          <w:sz w:val="21"/>
                          <w:szCs w:val="21"/>
                          <w:lang w:val="en-US"/>
                        </w:rPr>
                      </w:pPr>
                      <w:r w:rsidRPr="00787DCA">
                        <w:rPr>
                          <w:rFonts w:cs="Arial"/>
                          <w:color w:val="000000" w:themeColor="text1"/>
                          <w:kern w:val="24"/>
                          <w:sz w:val="21"/>
                          <w:szCs w:val="21"/>
                          <w:lang w:val="en-US"/>
                        </w:rPr>
                        <w:t xml:space="preserve">4.1% of patients </w:t>
                      </w:r>
                      <w:r w:rsidR="00C32C99">
                        <w:rPr>
                          <w:rFonts w:cs="Arial"/>
                          <w:color w:val="000000" w:themeColor="text1"/>
                          <w:kern w:val="24"/>
                          <w:sz w:val="21"/>
                          <w:szCs w:val="21"/>
                          <w:lang w:val="en-US"/>
                        </w:rPr>
                        <w:t xml:space="preserve">were </w:t>
                      </w:r>
                      <w:r w:rsidRPr="00787DCA">
                        <w:rPr>
                          <w:rFonts w:cs="Arial"/>
                          <w:color w:val="000000" w:themeColor="text1"/>
                          <w:kern w:val="24"/>
                          <w:sz w:val="21"/>
                          <w:szCs w:val="21"/>
                          <w:lang w:val="en-US"/>
                        </w:rPr>
                        <w:t>referred to Community Dermatology.</w:t>
                      </w:r>
                    </w:p>
                    <w:p w14:paraId="7352474B" w14:textId="77777777" w:rsidR="00E84F40" w:rsidRPr="00787DCA" w:rsidRDefault="00E84F40" w:rsidP="00787DCA">
                      <w:pPr>
                        <w:pStyle w:val="ListParagraph"/>
                        <w:numPr>
                          <w:ilvl w:val="0"/>
                          <w:numId w:val="36"/>
                        </w:numPr>
                        <w:spacing w:before="60" w:after="60" w:line="216" w:lineRule="auto"/>
                        <w:ind w:left="357" w:hanging="357"/>
                        <w:contextualSpacing w:val="0"/>
                        <w:rPr>
                          <w:rFonts w:cs="Arial"/>
                          <w:color w:val="000000" w:themeColor="text1"/>
                          <w:kern w:val="24"/>
                          <w:sz w:val="21"/>
                          <w:szCs w:val="21"/>
                          <w:lang w:val="en-US"/>
                        </w:rPr>
                      </w:pPr>
                      <w:r w:rsidRPr="00787DCA">
                        <w:rPr>
                          <w:rFonts w:cs="Arial"/>
                          <w:color w:val="000000" w:themeColor="text1"/>
                          <w:kern w:val="24"/>
                          <w:sz w:val="21"/>
                          <w:szCs w:val="21"/>
                          <w:lang w:val="en-US"/>
                        </w:rPr>
                        <w:t>50.51% of referrals were returned to Primary Care with advice and guidance.</w:t>
                      </w:r>
                    </w:p>
                    <w:p w14:paraId="3685EC34" w14:textId="77777777" w:rsidR="00620795" w:rsidRPr="00261D42" w:rsidRDefault="00620795" w:rsidP="00620795">
                      <w:pPr>
                        <w:tabs>
                          <w:tab w:val="left" w:pos="275"/>
                        </w:tabs>
                        <w:spacing w:after="0" w:line="216" w:lineRule="auto"/>
                      </w:pPr>
                    </w:p>
                  </w:txbxContent>
                </v:textbox>
                <w10:anchorlock/>
              </v:shape>
            </w:pict>
          </mc:Fallback>
        </mc:AlternateContent>
      </w:r>
    </w:p>
    <w:p w14:paraId="0FAB29F3" w14:textId="26DDDB84" w:rsidR="005350BA" w:rsidRPr="00AF5CE5" w:rsidRDefault="00E547D0" w:rsidP="005350BA">
      <w:pPr>
        <w:rPr>
          <w:rFonts w:cs="Arial"/>
          <w:b/>
          <w:bCs/>
          <w:szCs w:val="24"/>
        </w:rPr>
      </w:pPr>
      <w:r>
        <w:rPr>
          <w:rFonts w:cs="Arial"/>
          <w:b/>
          <w:bCs/>
          <w:szCs w:val="24"/>
        </w:rPr>
        <w:t xml:space="preserve">Elective Care </w:t>
      </w:r>
      <w:r w:rsidR="005350BA" w:rsidRPr="00AF5CE5">
        <w:rPr>
          <w:rFonts w:cs="Arial"/>
          <w:b/>
          <w:bCs/>
          <w:szCs w:val="24"/>
        </w:rPr>
        <w:t>Referral to Treatment</w:t>
      </w:r>
      <w:r w:rsidR="005350BA">
        <w:rPr>
          <w:rFonts w:cs="Arial"/>
          <w:b/>
          <w:bCs/>
          <w:szCs w:val="24"/>
        </w:rPr>
        <w:t xml:space="preserve"> (RTT)</w:t>
      </w:r>
    </w:p>
    <w:p w14:paraId="0B721253" w14:textId="625D8CFB" w:rsidR="00BE4D30" w:rsidRPr="00AF5CE5" w:rsidRDefault="005350BA" w:rsidP="005350BA">
      <w:pPr>
        <w:rPr>
          <w:rFonts w:cs="Arial"/>
        </w:rPr>
      </w:pPr>
      <w:r w:rsidRPr="230824BE">
        <w:rPr>
          <w:rFonts w:cs="Arial"/>
        </w:rPr>
        <w:t xml:space="preserve">Despite the impact of industrial action on elective care </w:t>
      </w:r>
      <w:r w:rsidR="006A1AEA">
        <w:rPr>
          <w:rFonts w:cs="Arial"/>
        </w:rPr>
        <w:t>activity levels,</w:t>
      </w:r>
      <w:r w:rsidRPr="230824BE">
        <w:rPr>
          <w:rFonts w:cs="Arial"/>
        </w:rPr>
        <w:t xml:space="preserve"> </w:t>
      </w:r>
      <w:r w:rsidR="00BE4D30" w:rsidRPr="230824BE">
        <w:rPr>
          <w:rFonts w:cs="Arial"/>
        </w:rPr>
        <w:t xml:space="preserve">743 </w:t>
      </w:r>
      <w:r w:rsidR="726A4525" w:rsidRPr="4C2EE6F3">
        <w:rPr>
          <w:rFonts w:cs="Arial"/>
        </w:rPr>
        <w:t>fewer</w:t>
      </w:r>
      <w:r w:rsidR="00BE4D30" w:rsidRPr="230824BE">
        <w:rPr>
          <w:rFonts w:cs="Arial"/>
        </w:rPr>
        <w:t xml:space="preserve"> patients </w:t>
      </w:r>
      <w:r w:rsidRPr="230824BE">
        <w:rPr>
          <w:rFonts w:cs="Arial"/>
        </w:rPr>
        <w:t xml:space="preserve">were </w:t>
      </w:r>
      <w:r w:rsidR="00BE4D30" w:rsidRPr="230824BE">
        <w:rPr>
          <w:rFonts w:cs="Arial"/>
        </w:rPr>
        <w:t>waiting over 65 weeks for their first definitive treatment</w:t>
      </w:r>
      <w:r w:rsidRPr="230824BE">
        <w:rPr>
          <w:rFonts w:cs="Arial"/>
        </w:rPr>
        <w:t xml:space="preserve">; </w:t>
      </w:r>
      <w:r w:rsidR="00BE4D30" w:rsidRPr="230824BE">
        <w:rPr>
          <w:rFonts w:cs="Arial"/>
        </w:rPr>
        <w:t xml:space="preserve">1858 </w:t>
      </w:r>
      <w:r w:rsidR="759AEA9F" w:rsidRPr="4C2EE6F3">
        <w:rPr>
          <w:rFonts w:cs="Arial"/>
        </w:rPr>
        <w:t>fewer</w:t>
      </w:r>
      <w:r w:rsidR="00BE4D30" w:rsidRPr="230824BE">
        <w:rPr>
          <w:rFonts w:cs="Arial"/>
        </w:rPr>
        <w:t xml:space="preserve"> </w:t>
      </w:r>
      <w:r w:rsidR="001746EB">
        <w:rPr>
          <w:rFonts w:cs="Arial"/>
        </w:rPr>
        <w:t>patients</w:t>
      </w:r>
      <w:r w:rsidR="001746EB" w:rsidRPr="230824BE">
        <w:rPr>
          <w:rFonts w:cs="Arial"/>
        </w:rPr>
        <w:t xml:space="preserve"> </w:t>
      </w:r>
      <w:r w:rsidR="00BE4D30" w:rsidRPr="230824BE">
        <w:rPr>
          <w:rFonts w:cs="Arial"/>
        </w:rPr>
        <w:t>waiting over 52 weeks for their first definitive treatment</w:t>
      </w:r>
      <w:r w:rsidRPr="230824BE">
        <w:rPr>
          <w:rFonts w:cs="Arial"/>
        </w:rPr>
        <w:t xml:space="preserve"> and o</w:t>
      </w:r>
      <w:r w:rsidR="00BE4D30" w:rsidRPr="230824BE">
        <w:rPr>
          <w:rFonts w:cs="Arial"/>
        </w:rPr>
        <w:t xml:space="preserve">ver 7000 more patients have completed their RTT admitted pathway </w:t>
      </w:r>
      <w:r w:rsidRPr="230824BE">
        <w:rPr>
          <w:rFonts w:cs="Arial"/>
        </w:rPr>
        <w:t>compared to the previous year</w:t>
      </w:r>
      <w:r w:rsidR="00BE4D30" w:rsidRPr="230824BE">
        <w:rPr>
          <w:rFonts w:cs="Arial"/>
        </w:rPr>
        <w:t xml:space="preserve"> </w:t>
      </w:r>
      <w:r w:rsidRPr="230824BE">
        <w:rPr>
          <w:rFonts w:cs="Arial"/>
        </w:rPr>
        <w:t>(</w:t>
      </w:r>
      <w:r w:rsidR="00BE4D30" w:rsidRPr="230824BE">
        <w:rPr>
          <w:rFonts w:cs="Arial"/>
        </w:rPr>
        <w:t>2022/23</w:t>
      </w:r>
      <w:r w:rsidRPr="230824BE">
        <w:rPr>
          <w:rFonts w:cs="Arial"/>
        </w:rPr>
        <w:t>).</w:t>
      </w:r>
    </w:p>
    <w:p w14:paraId="3235C36F" w14:textId="28E694F6" w:rsidR="00BE4D30" w:rsidRDefault="00BE4D30" w:rsidP="00BE4D30">
      <w:r w:rsidRPr="00017ABF">
        <w:t xml:space="preserve">During 2023/24 </w:t>
      </w:r>
      <w:r w:rsidR="00602215">
        <w:t xml:space="preserve">the ICB and </w:t>
      </w:r>
      <w:r w:rsidRPr="00017ABF">
        <w:t xml:space="preserve">MSEFT met fortnightly with the </w:t>
      </w:r>
      <w:r w:rsidR="51D25C23">
        <w:t>n</w:t>
      </w:r>
      <w:r w:rsidRPr="00017ABF">
        <w:t xml:space="preserve">ational and </w:t>
      </w:r>
      <w:r w:rsidR="0310029A">
        <w:t>r</w:t>
      </w:r>
      <w:r>
        <w:t>egional</w:t>
      </w:r>
      <w:r w:rsidRPr="00017ABF">
        <w:t xml:space="preserve"> </w:t>
      </w:r>
      <w:r w:rsidR="00F46054">
        <w:t>NHSE</w:t>
      </w:r>
      <w:r w:rsidRPr="00017ABF">
        <w:t xml:space="preserve"> teams to </w:t>
      </w:r>
      <w:r>
        <w:t xml:space="preserve">track delivery of the </w:t>
      </w:r>
      <w:r w:rsidRPr="00017ABF">
        <w:t xml:space="preserve">recovery </w:t>
      </w:r>
      <w:r>
        <w:t xml:space="preserve">of the </w:t>
      </w:r>
      <w:r w:rsidR="00602215">
        <w:t xml:space="preserve">system </w:t>
      </w:r>
      <w:r>
        <w:t xml:space="preserve">RTT </w:t>
      </w:r>
      <w:r w:rsidR="009E5F9D">
        <w:t xml:space="preserve">elective waiting times </w:t>
      </w:r>
      <w:r w:rsidRPr="00017ABF">
        <w:t xml:space="preserve">plan. </w:t>
      </w:r>
    </w:p>
    <w:p w14:paraId="6D531B77" w14:textId="0F5A9F2D" w:rsidR="00BE4D30" w:rsidRDefault="00602215" w:rsidP="00602215">
      <w:r>
        <w:t>Working together</w:t>
      </w:r>
      <w:r w:rsidR="009E5F9D">
        <w:t>,</w:t>
      </w:r>
      <w:r>
        <w:t xml:space="preserve"> the ICB and </w:t>
      </w:r>
      <w:r w:rsidRPr="35E040AA">
        <w:rPr>
          <w:rFonts w:cs="Arial"/>
        </w:rPr>
        <w:t xml:space="preserve">MSEFT implemented the </w:t>
      </w:r>
      <w:r w:rsidR="19094FFF" w:rsidRPr="0648BA80">
        <w:rPr>
          <w:rFonts w:cs="Arial"/>
        </w:rPr>
        <w:t>n</w:t>
      </w:r>
      <w:r w:rsidRPr="35E040AA">
        <w:rPr>
          <w:rFonts w:cs="Arial"/>
        </w:rPr>
        <w:t xml:space="preserve">ational Patient Initiated Digital Mutual Aid System (PIDMAS). This programme was nationally defined for long waiting patients to choose, following contact, to be referred to an alternate provider for their </w:t>
      </w:r>
      <w:r w:rsidRPr="35E040AA">
        <w:rPr>
          <w:rFonts w:cs="Arial"/>
        </w:rPr>
        <w:lastRenderedPageBreak/>
        <w:t xml:space="preserve">procedure. </w:t>
      </w:r>
      <w:r w:rsidR="00556ABA">
        <w:t>T</w:t>
      </w:r>
      <w:r>
        <w:t>he</w:t>
      </w:r>
      <w:r w:rsidR="00BE4D30">
        <w:t xml:space="preserve"> </w:t>
      </w:r>
      <w:r w:rsidR="00BE4D30" w:rsidRPr="00017ABF">
        <w:t xml:space="preserve">ICB commissioned activity from </w:t>
      </w:r>
      <w:r w:rsidR="00BE4D30">
        <w:t xml:space="preserve">both </w:t>
      </w:r>
      <w:r w:rsidR="00556ABA" w:rsidRPr="00017ABF">
        <w:t xml:space="preserve">independent sector </w:t>
      </w:r>
      <w:r w:rsidR="00BE4D30" w:rsidRPr="00017ABF">
        <w:t xml:space="preserve">and </w:t>
      </w:r>
      <w:r w:rsidR="00556ABA" w:rsidRPr="00017ABF">
        <w:t xml:space="preserve">community providers </w:t>
      </w:r>
      <w:r w:rsidR="00BE4D30" w:rsidRPr="00017ABF">
        <w:t xml:space="preserve">to support </w:t>
      </w:r>
      <w:r w:rsidR="00BE4D30">
        <w:t xml:space="preserve">a </w:t>
      </w:r>
      <w:r w:rsidR="00BE4D30" w:rsidRPr="00017ABF">
        <w:t>reduction in referral growth.</w:t>
      </w:r>
      <w:r>
        <w:t xml:space="preserve">  </w:t>
      </w:r>
    </w:p>
    <w:p w14:paraId="285192C0" w14:textId="484D2593" w:rsidR="00BE4D30" w:rsidRDefault="00BE4D30" w:rsidP="00BE4D30">
      <w:pPr>
        <w:rPr>
          <w:b/>
          <w:bCs/>
        </w:rPr>
      </w:pPr>
      <w:r>
        <w:rPr>
          <w:b/>
          <w:bCs/>
        </w:rPr>
        <w:t>Diagnostics</w:t>
      </w:r>
    </w:p>
    <w:p w14:paraId="114878A5" w14:textId="6D63939A" w:rsidR="00DF6082" w:rsidRDefault="00DF6082" w:rsidP="00DF6082">
      <w:pPr>
        <w:pStyle w:val="BodyText"/>
      </w:pPr>
      <w:r w:rsidRPr="00D967AA">
        <w:t>During 2023/24 work ha</w:t>
      </w:r>
      <w:r>
        <w:t>d</w:t>
      </w:r>
      <w:r w:rsidRPr="00D967AA">
        <w:t xml:space="preserve"> been ongoing via the ICB Diagnostic Board to understand the delivery plans in place across both community and acute providers to achieve the 31</w:t>
      </w:r>
      <w:r w:rsidR="00893B3B">
        <w:t> </w:t>
      </w:r>
      <w:r w:rsidRPr="00D967AA">
        <w:t>March 2025 commitment</w:t>
      </w:r>
      <w:r>
        <w:t xml:space="preserve"> </w:t>
      </w:r>
      <w:r w:rsidRPr="00D967AA">
        <w:t xml:space="preserve">for providers to achieve no more than 5% of patients waiting 6 weeks or more for a diagnostic test and no patients waiting 13+ weeks. </w:t>
      </w:r>
    </w:p>
    <w:p w14:paraId="4CB91D9A" w14:textId="64C45F2B" w:rsidR="00DF6082" w:rsidRPr="00FC06F9" w:rsidRDefault="00DF6082" w:rsidP="00DF6082">
      <w:r w:rsidRPr="00D967AA">
        <w:t>Risks to delivery</w:t>
      </w:r>
      <w:r>
        <w:t xml:space="preserve"> had been</w:t>
      </w:r>
      <w:r w:rsidRPr="00D967AA">
        <w:t xml:space="preserve"> identified and </w:t>
      </w:r>
      <w:r>
        <w:t xml:space="preserve">were </w:t>
      </w:r>
      <w:r w:rsidRPr="00D967AA">
        <w:t xml:space="preserve">being mitigated </w:t>
      </w:r>
      <w:r>
        <w:t>using</w:t>
      </w:r>
      <w:r w:rsidRPr="00D967AA">
        <w:t xml:space="preserve"> </w:t>
      </w:r>
      <w:r w:rsidR="00AC5858">
        <w:t xml:space="preserve">additional </w:t>
      </w:r>
      <w:r w:rsidRPr="00D967AA">
        <w:t>workforce and capacity to meet the increased diagnostic demand due to both waiting list size and demand from referrals.</w:t>
      </w:r>
      <w:r>
        <w:t xml:space="preserve">  Increasing list sizes and demand continue to challenge the position.</w:t>
      </w:r>
      <w:r w:rsidRPr="00DF6082">
        <w:t xml:space="preserve"> </w:t>
      </w:r>
      <w:r>
        <w:t xml:space="preserve"> Demonstrating </w:t>
      </w:r>
      <w:r w:rsidR="007A2C99">
        <w:t xml:space="preserve">successful </w:t>
      </w:r>
      <w:r>
        <w:t>efforts to increase capacity, o</w:t>
      </w:r>
      <w:r w:rsidRPr="00FC06F9">
        <w:t xml:space="preserve">ver 117,450 </w:t>
      </w:r>
      <w:r>
        <w:t>more</w:t>
      </w:r>
      <w:r w:rsidRPr="00FC06F9">
        <w:t xml:space="preserve"> diagnostic tests </w:t>
      </w:r>
      <w:r>
        <w:t xml:space="preserve">were </w:t>
      </w:r>
      <w:r w:rsidRPr="00FC06F9">
        <w:t>undertaken</w:t>
      </w:r>
      <w:r>
        <w:t xml:space="preserve"> at MSEFT</w:t>
      </w:r>
      <w:r w:rsidRPr="00FC06F9">
        <w:t xml:space="preserve"> </w:t>
      </w:r>
      <w:r w:rsidR="00641922">
        <w:t xml:space="preserve">in 2023/24 </w:t>
      </w:r>
      <w:r>
        <w:t>compare</w:t>
      </w:r>
      <w:r w:rsidR="001055C8">
        <w:t>d</w:t>
      </w:r>
      <w:r>
        <w:t xml:space="preserve"> to </w:t>
      </w:r>
      <w:r w:rsidRPr="00FC06F9">
        <w:t>2022/23</w:t>
      </w:r>
      <w:r>
        <w:t>.</w:t>
      </w:r>
    </w:p>
    <w:p w14:paraId="753EDCB3" w14:textId="1F4F2C71" w:rsidR="00BE4D30" w:rsidRDefault="00641922" w:rsidP="00DF6082">
      <w:r>
        <w:t xml:space="preserve">There were </w:t>
      </w:r>
      <w:r w:rsidR="009C3266">
        <w:t>204</w:t>
      </w:r>
      <w:r w:rsidR="00BE4D30" w:rsidRPr="00FC06F9">
        <w:t xml:space="preserve"> </w:t>
      </w:r>
      <w:r w:rsidR="03A9C5DB">
        <w:t>fewer</w:t>
      </w:r>
      <w:r w:rsidR="00BE4D30" w:rsidRPr="00FC06F9">
        <w:t xml:space="preserve"> people waiting over 13 weeks from referral to diagnostic imaging</w:t>
      </w:r>
      <w:r w:rsidR="00DF6082">
        <w:t xml:space="preserve">, and </w:t>
      </w:r>
      <w:r w:rsidR="00BE4D30" w:rsidRPr="00FC06F9">
        <w:t>7</w:t>
      </w:r>
      <w:r w:rsidR="009C3266">
        <w:t>6</w:t>
      </w:r>
      <w:r w:rsidR="00BE4D30" w:rsidRPr="00FC06F9">
        <w:t xml:space="preserve">% of people </w:t>
      </w:r>
      <w:r w:rsidR="00BE4D30">
        <w:t>we</w:t>
      </w:r>
      <w:r w:rsidR="00BE4D30" w:rsidRPr="00FC06F9">
        <w:t>re waiting less than 6 weeks from referral to diagnostic test</w:t>
      </w:r>
      <w:r w:rsidR="00DF6082">
        <w:t>.</w:t>
      </w:r>
    </w:p>
    <w:p w14:paraId="7889FB83" w14:textId="20D472CC" w:rsidR="00BE4D30" w:rsidRPr="00FC06F9" w:rsidRDefault="00DF6082" w:rsidP="00DF6082">
      <w:r>
        <w:t>The d</w:t>
      </w:r>
      <w:r w:rsidR="00BE4D30" w:rsidRPr="00FC06F9">
        <w:t xml:space="preserve">iagnostic 6-week standard </w:t>
      </w:r>
      <w:r w:rsidR="009C3266">
        <w:t>remained the same as</w:t>
      </w:r>
      <w:r w:rsidR="00BE4D30" w:rsidRPr="00FC06F9">
        <w:t xml:space="preserve"> </w:t>
      </w:r>
      <w:r>
        <w:t xml:space="preserve">the </w:t>
      </w:r>
      <w:r w:rsidR="00BE4D30" w:rsidRPr="00FC06F9">
        <w:t>2022/23</w:t>
      </w:r>
      <w:r>
        <w:t xml:space="preserve"> position.</w:t>
      </w:r>
    </w:p>
    <w:p w14:paraId="129CCF6F" w14:textId="4E25808C" w:rsidR="00BE4D30" w:rsidRDefault="00DF6082" w:rsidP="00BE4D30">
      <w:r>
        <w:t xml:space="preserve">The </w:t>
      </w:r>
      <w:r w:rsidR="00F934A2">
        <w:t>MSE</w:t>
      </w:r>
      <w:r w:rsidR="00BE4D30" w:rsidRPr="00743993">
        <w:t xml:space="preserve"> </w:t>
      </w:r>
      <w:r w:rsidRPr="00743993">
        <w:t xml:space="preserve">system </w:t>
      </w:r>
      <w:r w:rsidR="00BE4D30" w:rsidRPr="00743993">
        <w:t xml:space="preserve">has a programme to develop, implement and mobilise </w:t>
      </w:r>
      <w:r w:rsidR="314EFF1C">
        <w:t>c</w:t>
      </w:r>
      <w:r w:rsidR="00BE4D30">
        <w:t xml:space="preserve">ommunity </w:t>
      </w:r>
      <w:r w:rsidR="3D829A88">
        <w:t>d</w:t>
      </w:r>
      <w:r w:rsidR="00BE4D30">
        <w:t xml:space="preserve">iagnostic </w:t>
      </w:r>
      <w:r w:rsidR="07B39482">
        <w:t>c</w:t>
      </w:r>
      <w:r w:rsidR="00BE4D30" w:rsidRPr="00743993">
        <w:t>entres (CDC</w:t>
      </w:r>
      <w:r w:rsidR="00F90882">
        <w:t>s</w:t>
      </w:r>
      <w:r w:rsidR="00BE4D30" w:rsidRPr="00743993">
        <w:t xml:space="preserve">) as per </w:t>
      </w:r>
      <w:r w:rsidR="00656180">
        <w:t xml:space="preserve">the </w:t>
      </w:r>
      <w:r w:rsidR="00BE4D30" w:rsidRPr="00743993">
        <w:t xml:space="preserve">national expectation for </w:t>
      </w:r>
      <w:r w:rsidRPr="00743993">
        <w:t>systems</w:t>
      </w:r>
      <w:r w:rsidR="00BE4D30" w:rsidRPr="00743993">
        <w:t xml:space="preserve">. These </w:t>
      </w:r>
      <w:r w:rsidR="2846A972">
        <w:t>c</w:t>
      </w:r>
      <w:r w:rsidR="00BE4D30" w:rsidRPr="00743993">
        <w:t xml:space="preserve">entres will provide alternate additional diagnostic capacity to support reduction in waiting times and </w:t>
      </w:r>
      <w:r w:rsidR="00AB1313">
        <w:t xml:space="preserve">to deliver </w:t>
      </w:r>
      <w:r w:rsidR="00BE4D30" w:rsidRPr="00743993">
        <w:t>care closer to home. The CDC programme is overseen via the ICB Diagnostic Board.</w:t>
      </w:r>
    </w:p>
    <w:p w14:paraId="748F58C1" w14:textId="3BF87461" w:rsidR="00F90882" w:rsidRDefault="00AB1313" w:rsidP="00BE4D30">
      <w:r>
        <w:t xml:space="preserve">More than </w:t>
      </w:r>
      <w:r w:rsidR="00F90882" w:rsidRPr="00FC06F9">
        <w:t>3,</w:t>
      </w:r>
      <w:r w:rsidR="00A31ACF">
        <w:t>566</w:t>
      </w:r>
      <w:r w:rsidR="00F90882" w:rsidRPr="00FC06F9">
        <w:t xml:space="preserve"> patients received their diagnostic test via the M</w:t>
      </w:r>
      <w:r w:rsidR="00F90882">
        <w:t xml:space="preserve">id and South Essex </w:t>
      </w:r>
      <w:r w:rsidR="00F90882" w:rsidRPr="00FC06F9">
        <w:t>Community Diagnostic Hub (</w:t>
      </w:r>
      <w:r w:rsidR="00F90882">
        <w:t xml:space="preserve">as of </w:t>
      </w:r>
      <w:r w:rsidR="00A31ACF">
        <w:t>March</w:t>
      </w:r>
      <w:r w:rsidR="00F90882" w:rsidRPr="00FC06F9">
        <w:t xml:space="preserve"> 2024)</w:t>
      </w:r>
      <w:r w:rsidR="00F90882">
        <w:t>.</w:t>
      </w:r>
    </w:p>
    <w:p w14:paraId="7BD668D5" w14:textId="1DD20D14" w:rsidR="001055C8" w:rsidRPr="00261D42" w:rsidRDefault="001055C8" w:rsidP="001055C8">
      <w:pPr>
        <w:tabs>
          <w:tab w:val="left" w:pos="275"/>
        </w:tabs>
        <w:spacing w:before="0" w:after="0" w:line="216" w:lineRule="auto"/>
        <w:rPr>
          <w:b/>
          <w:bCs/>
          <w:color w:val="005EB8"/>
          <w:sz w:val="22"/>
        </w:rPr>
      </w:pPr>
      <w:r w:rsidRPr="00261D42">
        <w:rPr>
          <w:b/>
          <w:bCs/>
          <w:color w:val="005EB8"/>
          <w:sz w:val="22"/>
        </w:rPr>
        <w:t xml:space="preserve">Case </w:t>
      </w:r>
      <w:r w:rsidR="2E901247" w:rsidRPr="0CCD4920">
        <w:rPr>
          <w:b/>
          <w:bCs/>
          <w:color w:val="005EB8"/>
          <w:sz w:val="22"/>
        </w:rPr>
        <w:t>s</w:t>
      </w:r>
      <w:r w:rsidRPr="00261D42">
        <w:rPr>
          <w:b/>
          <w:bCs/>
          <w:color w:val="005EB8"/>
          <w:sz w:val="22"/>
        </w:rPr>
        <w:t xml:space="preserve">tudy: </w:t>
      </w:r>
      <w:r>
        <w:rPr>
          <w:b/>
          <w:bCs/>
          <w:color w:val="005EB8"/>
          <w:sz w:val="22"/>
        </w:rPr>
        <w:t>Thurrock Community Diagnostic Centre</w:t>
      </w:r>
      <w:r w:rsidRPr="00261D42">
        <w:rPr>
          <w:b/>
          <w:bCs/>
          <w:color w:val="005EB8"/>
          <w:sz w:val="22"/>
        </w:rPr>
        <w:t>.</w:t>
      </w:r>
    </w:p>
    <w:p w14:paraId="0D930655" w14:textId="25D87334" w:rsidR="001055C8" w:rsidRDefault="001055C8" w:rsidP="00BE4D30">
      <w:r w:rsidRPr="001055C8">
        <w:rPr>
          <w:noProof/>
        </w:rPr>
        <w:drawing>
          <wp:inline distT="0" distB="0" distL="0" distR="0" wp14:anchorId="4AA7F6CC" wp14:editId="09225DBA">
            <wp:extent cx="3002126" cy="1690646"/>
            <wp:effectExtent l="0" t="0" r="8255" b="5080"/>
            <wp:docPr id="49" name="Picture 49" descr="Picture of the demolished area where the new Thurrock CDC will be built.">
              <a:extLst xmlns:a="http://schemas.openxmlformats.org/drawingml/2006/main">
                <a:ext uri="{FF2B5EF4-FFF2-40B4-BE49-F238E27FC236}">
                  <a16:creationId xmlns:a16="http://schemas.microsoft.com/office/drawing/2014/main" id="{EFDC16B3-25A3-6A08-3893-9DC354AE6A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Picture of the demolished area where the new Thurrock CDC will be built.">
                      <a:extLst>
                        <a:ext uri="{FF2B5EF4-FFF2-40B4-BE49-F238E27FC236}">
                          <a16:creationId xmlns:a16="http://schemas.microsoft.com/office/drawing/2014/main" id="{EFDC16B3-25A3-6A08-3893-9DC354AE6A2D}"/>
                        </a:ext>
                      </a:extLst>
                    </pic:cNvPr>
                    <pic:cNvPicPr>
                      <a:picLocks noChangeAspect="1"/>
                    </pic:cNvPicPr>
                  </pic:nvPicPr>
                  <pic:blipFill>
                    <a:blip r:embed="rId25"/>
                    <a:stretch>
                      <a:fillRect/>
                    </a:stretch>
                  </pic:blipFill>
                  <pic:spPr>
                    <a:xfrm>
                      <a:off x="0" y="0"/>
                      <a:ext cx="3042857" cy="1713584"/>
                    </a:xfrm>
                    <a:prstGeom prst="rect">
                      <a:avLst/>
                    </a:prstGeom>
                  </pic:spPr>
                </pic:pic>
              </a:graphicData>
            </a:graphic>
          </wp:inline>
        </w:drawing>
      </w:r>
      <w:r w:rsidRPr="001055C8">
        <w:rPr>
          <w:noProof/>
        </w:rPr>
        <w:t xml:space="preserve"> </w:t>
      </w:r>
      <w:r w:rsidRPr="001055C8">
        <w:rPr>
          <w:noProof/>
        </w:rPr>
        <w:drawing>
          <wp:inline distT="0" distB="0" distL="0" distR="0" wp14:anchorId="7BC859AB" wp14:editId="339D935F">
            <wp:extent cx="2830664" cy="1703866"/>
            <wp:effectExtent l="0" t="0" r="8255" b="0"/>
            <wp:docPr id="51" name="Picture 51" descr="Artist impression of the new Thurrock CDC.">
              <a:extLst xmlns:a="http://schemas.openxmlformats.org/drawingml/2006/main">
                <a:ext uri="{FF2B5EF4-FFF2-40B4-BE49-F238E27FC236}">
                  <a16:creationId xmlns:a16="http://schemas.microsoft.com/office/drawing/2014/main" id="{8E95E219-2988-16F2-F12A-5353D28D7A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rtist impression of the new Thurrock CDC.">
                      <a:extLst>
                        <a:ext uri="{FF2B5EF4-FFF2-40B4-BE49-F238E27FC236}">
                          <a16:creationId xmlns:a16="http://schemas.microsoft.com/office/drawing/2014/main" id="{8E95E219-2988-16F2-F12A-5353D28D7A1A}"/>
                        </a:ext>
                      </a:extLst>
                    </pic:cNvPr>
                    <pic:cNvPicPr>
                      <a:picLocks noChangeAspect="1"/>
                    </pic:cNvPicPr>
                  </pic:nvPicPr>
                  <pic:blipFill>
                    <a:blip r:embed="rId26"/>
                    <a:stretch>
                      <a:fillRect/>
                    </a:stretch>
                  </pic:blipFill>
                  <pic:spPr>
                    <a:xfrm>
                      <a:off x="0" y="0"/>
                      <a:ext cx="2866261" cy="1725293"/>
                    </a:xfrm>
                    <a:prstGeom prst="rect">
                      <a:avLst/>
                    </a:prstGeom>
                  </pic:spPr>
                </pic:pic>
              </a:graphicData>
            </a:graphic>
          </wp:inline>
        </w:drawing>
      </w:r>
    </w:p>
    <w:p w14:paraId="203F0EAD" w14:textId="440CED61" w:rsidR="001055C8" w:rsidRDefault="001055C8" w:rsidP="001055C8">
      <w:r w:rsidRPr="001055C8">
        <w:rPr>
          <w:noProof/>
        </w:rPr>
        <mc:AlternateContent>
          <mc:Choice Requires="wps">
            <w:drawing>
              <wp:inline distT="0" distB="0" distL="0" distR="0" wp14:anchorId="3EFB70D7" wp14:editId="0C61BB57">
                <wp:extent cx="2910177" cy="1329396"/>
                <wp:effectExtent l="0" t="0" r="0" b="0"/>
                <wp:docPr id="53" name="Text Box 53"/>
                <wp:cNvGraphicFramePr/>
                <a:graphic xmlns:a="http://schemas.openxmlformats.org/drawingml/2006/main">
                  <a:graphicData uri="http://schemas.microsoft.com/office/word/2010/wordprocessingShape">
                    <wps:wsp>
                      <wps:cNvSpPr txBox="1"/>
                      <wps:spPr>
                        <a:xfrm>
                          <a:off x="0" y="0"/>
                          <a:ext cx="2910177" cy="1329396"/>
                        </a:xfrm>
                        <a:prstGeom prst="rect">
                          <a:avLst/>
                        </a:prstGeom>
                        <a:noFill/>
                      </wps:spPr>
                      <wps:txbx>
                        <w:txbxContent>
                          <w:p w14:paraId="7958F52E" w14:textId="56440C10" w:rsidR="001055C8" w:rsidRPr="001055C8" w:rsidRDefault="001055C8" w:rsidP="00B16B89">
                            <w:pPr>
                              <w:spacing w:before="0" w:after="0"/>
                              <w:rPr>
                                <w:rFonts w:hAnsi="Calibri"/>
                                <w:color w:val="060606"/>
                                <w:kern w:val="24"/>
                                <w:sz w:val="21"/>
                                <w:szCs w:val="21"/>
                              </w:rPr>
                            </w:pPr>
                            <w:r w:rsidRPr="001055C8">
                              <w:rPr>
                                <w:rFonts w:hAnsi="Calibri"/>
                                <w:color w:val="060606"/>
                                <w:kern w:val="24"/>
                                <w:sz w:val="21"/>
                                <w:szCs w:val="21"/>
                              </w:rPr>
                              <w:t>The Alistair Farquharson Centre</w:t>
                            </w:r>
                            <w:r w:rsidR="00C57CEE">
                              <w:rPr>
                                <w:rFonts w:hAnsi="Calibri"/>
                                <w:color w:val="060606"/>
                                <w:kern w:val="24"/>
                                <w:sz w:val="21"/>
                                <w:szCs w:val="21"/>
                              </w:rPr>
                              <w:t xml:space="preserve"> (AFC)</w:t>
                            </w:r>
                            <w:r w:rsidRPr="001055C8">
                              <w:rPr>
                                <w:rFonts w:hAnsi="Calibri"/>
                                <w:color w:val="060606"/>
                                <w:kern w:val="24"/>
                                <w:sz w:val="21"/>
                                <w:szCs w:val="21"/>
                              </w:rPr>
                              <w:t xml:space="preserve"> will become the new Thurrock CDC</w:t>
                            </w:r>
                            <w:r w:rsidR="007F4468">
                              <w:rPr>
                                <w:rFonts w:hAnsi="Calibri"/>
                                <w:color w:val="060606"/>
                                <w:kern w:val="24"/>
                                <w:sz w:val="21"/>
                                <w:szCs w:val="21"/>
                              </w:rPr>
                              <w:t>.</w:t>
                            </w:r>
                          </w:p>
                          <w:p w14:paraId="64C2EFE0" w14:textId="77777777" w:rsidR="001055C8" w:rsidRPr="001055C8" w:rsidRDefault="001055C8" w:rsidP="001055C8">
                            <w:pPr>
                              <w:rPr>
                                <w:rFonts w:hAnsi="Calibri"/>
                                <w:color w:val="060606"/>
                                <w:kern w:val="24"/>
                                <w:sz w:val="21"/>
                                <w:szCs w:val="21"/>
                              </w:rPr>
                            </w:pPr>
                            <w:r w:rsidRPr="001055C8">
                              <w:rPr>
                                <w:rFonts w:hAnsi="Calibri"/>
                                <w:color w:val="060606"/>
                                <w:kern w:val="24"/>
                                <w:sz w:val="21"/>
                                <w:szCs w:val="21"/>
                              </w:rPr>
                              <w:t>Demolition work started in January 2024</w:t>
                            </w:r>
                            <w:r w:rsidR="007F4468">
                              <w:rPr>
                                <w:rFonts w:hAnsi="Calibri"/>
                                <w:color w:val="060606"/>
                                <w:kern w:val="24"/>
                                <w:sz w:val="21"/>
                                <w:szCs w:val="21"/>
                              </w:rPr>
                              <w:t xml:space="preserve">.  </w:t>
                            </w:r>
                            <w:r>
                              <w:rPr>
                                <w:rFonts w:hAnsi="Calibri"/>
                                <w:color w:val="060606"/>
                                <w:kern w:val="24"/>
                                <w:sz w:val="21"/>
                                <w:szCs w:val="21"/>
                              </w:rPr>
                              <w:t>The project looks to refurbish the 2 wings of the AFC and add a large extension to the centre of the building.</w:t>
                            </w:r>
                            <w:r w:rsidR="007F4468">
                              <w:rPr>
                                <w:rFonts w:hAnsi="Calibri"/>
                                <w:color w:val="060606"/>
                                <w:kern w:val="24"/>
                                <w:sz w:val="21"/>
                                <w:szCs w:val="21"/>
                              </w:rPr>
                              <w:t xml:space="preserve"> Led by the Thurrock Alliance.</w:t>
                            </w:r>
                          </w:p>
                        </w:txbxContent>
                      </wps:txbx>
                      <wps:bodyPr wrap="square" rtlCol="0">
                        <a:noAutofit/>
                      </wps:bodyPr>
                    </wps:wsp>
                  </a:graphicData>
                </a:graphic>
              </wp:inline>
            </w:drawing>
          </mc:Choice>
          <mc:Fallback>
            <w:pict>
              <v:shape w14:anchorId="3EFB70D7" id="Text Box 53" o:spid="_x0000_s1030" type="#_x0000_t202" style="width:229.15pt;height:10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" filled="f" stroked="f">
                <v:textbox>
                  <w:txbxContent>
                    <w:p w14:paraId="7958F52E" w14:textId="56440C10" w:rsidR="001055C8" w:rsidRPr="001055C8" w:rsidRDefault="001055C8" w:rsidP="00B16B89">
                      <w:pPr>
                        <w:spacing w:before="0" w:after="0"/>
                        <w:rPr>
                          <w:rFonts w:hAnsi="Calibri"/>
                          <w:color w:val="060606"/>
                          <w:kern w:val="24"/>
                          <w:sz w:val="21"/>
                          <w:szCs w:val="21"/>
                        </w:rPr>
                      </w:pPr>
                      <w:r w:rsidRPr="001055C8">
                        <w:rPr>
                          <w:rFonts w:hAnsi="Calibri"/>
                          <w:color w:val="060606"/>
                          <w:kern w:val="24"/>
                          <w:sz w:val="21"/>
                          <w:szCs w:val="21"/>
                        </w:rPr>
                        <w:t>The Alistair Farquharson Centre</w:t>
                      </w:r>
                      <w:r w:rsidR="00C57CEE">
                        <w:rPr>
                          <w:rFonts w:hAnsi="Calibri"/>
                          <w:color w:val="060606"/>
                          <w:kern w:val="24"/>
                          <w:sz w:val="21"/>
                          <w:szCs w:val="21"/>
                        </w:rPr>
                        <w:t xml:space="preserve"> (AFC)</w:t>
                      </w:r>
                      <w:r w:rsidRPr="001055C8">
                        <w:rPr>
                          <w:rFonts w:hAnsi="Calibri"/>
                          <w:color w:val="060606"/>
                          <w:kern w:val="24"/>
                          <w:sz w:val="21"/>
                          <w:szCs w:val="21"/>
                        </w:rPr>
                        <w:t xml:space="preserve"> will become the new Thurrock CDC</w:t>
                      </w:r>
                      <w:r w:rsidR="007F4468">
                        <w:rPr>
                          <w:rFonts w:hAnsi="Calibri"/>
                          <w:color w:val="060606"/>
                          <w:kern w:val="24"/>
                          <w:sz w:val="21"/>
                          <w:szCs w:val="21"/>
                        </w:rPr>
                        <w:t>.</w:t>
                      </w:r>
                    </w:p>
                    <w:p w14:paraId="64C2EFE0" w14:textId="77777777" w:rsidR="001055C8" w:rsidRPr="001055C8" w:rsidRDefault="001055C8" w:rsidP="001055C8">
                      <w:pPr>
                        <w:rPr>
                          <w:rFonts w:hAnsi="Calibri"/>
                          <w:color w:val="060606"/>
                          <w:kern w:val="24"/>
                          <w:sz w:val="21"/>
                          <w:szCs w:val="21"/>
                        </w:rPr>
                      </w:pPr>
                      <w:r w:rsidRPr="001055C8">
                        <w:rPr>
                          <w:rFonts w:hAnsi="Calibri"/>
                          <w:color w:val="060606"/>
                          <w:kern w:val="24"/>
                          <w:sz w:val="21"/>
                          <w:szCs w:val="21"/>
                        </w:rPr>
                        <w:t>Demolition work started in January 2024</w:t>
                      </w:r>
                      <w:r w:rsidR="007F4468">
                        <w:rPr>
                          <w:rFonts w:hAnsi="Calibri"/>
                          <w:color w:val="060606"/>
                          <w:kern w:val="24"/>
                          <w:sz w:val="21"/>
                          <w:szCs w:val="21"/>
                        </w:rPr>
                        <w:t xml:space="preserve">.  </w:t>
                      </w:r>
                      <w:r>
                        <w:rPr>
                          <w:rFonts w:hAnsi="Calibri"/>
                          <w:color w:val="060606"/>
                          <w:kern w:val="24"/>
                          <w:sz w:val="21"/>
                          <w:szCs w:val="21"/>
                        </w:rPr>
                        <w:t>The project looks to refurbish the 2 wings of the AFC and add a large extension to the centre of the building.</w:t>
                      </w:r>
                      <w:r w:rsidR="007F4468">
                        <w:rPr>
                          <w:rFonts w:hAnsi="Calibri"/>
                          <w:color w:val="060606"/>
                          <w:kern w:val="24"/>
                          <w:sz w:val="21"/>
                          <w:szCs w:val="21"/>
                        </w:rPr>
                        <w:t xml:space="preserve"> Led by the Thurrock Alliance.</w:t>
                      </w:r>
                    </w:p>
                  </w:txbxContent>
                </v:textbox>
                <w10:anchorlock/>
              </v:shape>
            </w:pict>
          </mc:Fallback>
        </mc:AlternateContent>
      </w:r>
      <w:r w:rsidRPr="001055C8">
        <w:rPr>
          <w:noProof/>
        </w:rPr>
        <mc:AlternateContent>
          <mc:Choice Requires="wps">
            <w:drawing>
              <wp:inline distT="0" distB="0" distL="0" distR="0" wp14:anchorId="4F3CC8F0" wp14:editId="5E793D2A">
                <wp:extent cx="2934031" cy="1330036"/>
                <wp:effectExtent l="0" t="0" r="0" b="0"/>
                <wp:docPr id="52" name="Text Box 52"/>
                <wp:cNvGraphicFramePr/>
                <a:graphic xmlns:a="http://schemas.openxmlformats.org/drawingml/2006/main">
                  <a:graphicData uri="http://schemas.microsoft.com/office/word/2010/wordprocessingShape">
                    <wps:wsp>
                      <wps:cNvSpPr txBox="1"/>
                      <wps:spPr>
                        <a:xfrm>
                          <a:off x="0" y="0"/>
                          <a:ext cx="2934031" cy="1330036"/>
                        </a:xfrm>
                        <a:prstGeom prst="rect">
                          <a:avLst/>
                        </a:prstGeom>
                        <a:noFill/>
                      </wps:spPr>
                      <wps:txbx>
                        <w:txbxContent>
                          <w:p w14:paraId="7C26368F" w14:textId="5396B0BB" w:rsidR="001055C8" w:rsidRPr="001055C8" w:rsidRDefault="001055C8" w:rsidP="001055C8">
                            <w:pPr>
                              <w:spacing w:before="0"/>
                              <w:jc w:val="right"/>
                              <w:rPr>
                                <w:rFonts w:asciiTheme="minorHAnsi" w:hAnsi="Calibri"/>
                                <w:color w:val="060606"/>
                                <w:kern w:val="24"/>
                                <w:sz w:val="21"/>
                                <w:szCs w:val="21"/>
                              </w:rPr>
                            </w:pPr>
                            <w:r>
                              <w:rPr>
                                <w:rFonts w:asciiTheme="minorHAnsi" w:hAnsi="Calibri"/>
                                <w:color w:val="060606"/>
                                <w:kern w:val="24"/>
                                <w:sz w:val="21"/>
                                <w:szCs w:val="21"/>
                              </w:rPr>
                              <w:t>Artist impression of the new Thurrock CDC</w:t>
                            </w:r>
                          </w:p>
                        </w:txbxContent>
                      </wps:txbx>
                      <wps:bodyPr wrap="square" rtlCol="0">
                        <a:noAutofit/>
                      </wps:bodyPr>
                    </wps:wsp>
                  </a:graphicData>
                </a:graphic>
              </wp:inline>
            </w:drawing>
          </mc:Choice>
          <mc:Fallback>
            <w:pict>
              <v:shape w14:anchorId="4F3CC8F0" id="Text Box 52" o:spid="_x0000_s1031" type="#_x0000_t202" style="width:231.05pt;height:10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" filled="f" stroked="f">
                <v:textbox>
                  <w:txbxContent>
                    <w:p w14:paraId="7C26368F" w14:textId="5396B0BB" w:rsidR="001055C8" w:rsidRPr="001055C8" w:rsidRDefault="001055C8" w:rsidP="001055C8">
                      <w:pPr>
                        <w:spacing w:before="0"/>
                        <w:jc w:val="right"/>
                        <w:rPr>
                          <w:rFonts w:asciiTheme="minorHAnsi" w:hAnsi="Calibri"/>
                          <w:color w:val="060606"/>
                          <w:kern w:val="24"/>
                          <w:sz w:val="21"/>
                          <w:szCs w:val="21"/>
                        </w:rPr>
                      </w:pPr>
                      <w:r>
                        <w:rPr>
                          <w:rFonts w:asciiTheme="minorHAnsi" w:hAnsi="Calibri"/>
                          <w:color w:val="060606"/>
                          <w:kern w:val="24"/>
                          <w:sz w:val="21"/>
                          <w:szCs w:val="21"/>
                        </w:rPr>
                        <w:t>Artist impression of the new Thurrock CDC</w:t>
                      </w:r>
                    </w:p>
                  </w:txbxContent>
                </v:textbox>
                <w10:anchorlock/>
              </v:shape>
            </w:pict>
          </mc:Fallback>
        </mc:AlternateContent>
      </w:r>
    </w:p>
    <w:p w14:paraId="5A98951A" w14:textId="77777777" w:rsidR="007F51E0" w:rsidRDefault="007F51E0" w:rsidP="00F22A85">
      <w:pPr>
        <w:pStyle w:val="Heading2"/>
      </w:pPr>
      <w:bookmarkStart w:id="23" w:name="_Toc164814817"/>
      <w:bookmarkStart w:id="24" w:name="_Toc164814878"/>
    </w:p>
    <w:p w14:paraId="24CE9205" w14:textId="7F7585BD" w:rsidR="00BE4D30" w:rsidRPr="00F22A85" w:rsidRDefault="00BE4D30" w:rsidP="00F22A85">
      <w:pPr>
        <w:pStyle w:val="Heading2"/>
      </w:pPr>
      <w:r>
        <w:lastRenderedPageBreak/>
        <w:t xml:space="preserve">Mental </w:t>
      </w:r>
      <w:r w:rsidR="0A199948">
        <w:t>h</w:t>
      </w:r>
      <w:r>
        <w:t>ealth</w:t>
      </w:r>
      <w:bookmarkEnd w:id="23"/>
      <w:bookmarkEnd w:id="24"/>
    </w:p>
    <w:p w14:paraId="5BC13D27" w14:textId="13E90E3C" w:rsidR="00006343" w:rsidRDefault="0000726A" w:rsidP="00006343">
      <w:r w:rsidRPr="00F606D2">
        <w:t xml:space="preserve">For NHS </w:t>
      </w:r>
      <w:r w:rsidR="4FB2C307" w:rsidRPr="00AB0916">
        <w:rPr>
          <w:b/>
          <w:bCs/>
        </w:rPr>
        <w:t>t</w:t>
      </w:r>
      <w:r w:rsidRPr="1197BA90">
        <w:rPr>
          <w:b/>
          <w:bCs/>
        </w:rPr>
        <w:t xml:space="preserve">alking </w:t>
      </w:r>
      <w:r w:rsidR="3675DF74" w:rsidRPr="1197BA90">
        <w:rPr>
          <w:b/>
          <w:bCs/>
        </w:rPr>
        <w:t>t</w:t>
      </w:r>
      <w:r w:rsidRPr="00006343">
        <w:rPr>
          <w:b/>
          <w:bCs/>
        </w:rPr>
        <w:t xml:space="preserve">herapies </w:t>
      </w:r>
      <w:r w:rsidRPr="00F606D2">
        <w:t xml:space="preserve">the </w:t>
      </w:r>
      <w:r w:rsidR="0022088A" w:rsidRPr="00F606D2">
        <w:t>6</w:t>
      </w:r>
      <w:r w:rsidR="0022088A">
        <w:t>- and 18-week</w:t>
      </w:r>
      <w:r w:rsidRPr="00F606D2">
        <w:t xml:space="preserve"> waiting time s</w:t>
      </w:r>
      <w:r w:rsidRPr="0022088A">
        <w:t>tandards for people referred to the Improving Access to Psychological Therapies (IAPT) pr</w:t>
      </w:r>
      <w:r w:rsidRPr="00F606D2">
        <w:t>ogramme ha</w:t>
      </w:r>
      <w:r w:rsidR="00006343">
        <w:t>d</w:t>
      </w:r>
      <w:r w:rsidRPr="00F606D2">
        <w:t xml:space="preserve"> been sustainably achieved across </w:t>
      </w:r>
      <w:r>
        <w:t>MSE</w:t>
      </w:r>
      <w:r w:rsidRPr="00F606D2">
        <w:t xml:space="preserve"> </w:t>
      </w:r>
      <w:r>
        <w:t>throughout</w:t>
      </w:r>
      <w:r w:rsidRPr="00F606D2">
        <w:t xml:space="preserve"> 2023/24.</w:t>
      </w:r>
      <w:r w:rsidR="00006343">
        <w:t xml:space="preserve">  </w:t>
      </w:r>
      <w:r w:rsidR="00006343" w:rsidRPr="008B42CA">
        <w:t xml:space="preserve">52% of people achieved </w:t>
      </w:r>
      <w:r w:rsidR="009C3C64">
        <w:t>‘</w:t>
      </w:r>
      <w:r w:rsidR="00006343" w:rsidRPr="008B42CA">
        <w:t>reliable recovery</w:t>
      </w:r>
      <w:r w:rsidR="009C3C64">
        <w:t>’</w:t>
      </w:r>
      <w:r w:rsidR="00006343" w:rsidRPr="008B42CA">
        <w:t xml:space="preserve"> through access to </w:t>
      </w:r>
      <w:r w:rsidR="340680CC">
        <w:t>t</w:t>
      </w:r>
      <w:r w:rsidR="00006343">
        <w:t xml:space="preserve">alking </w:t>
      </w:r>
      <w:r w:rsidR="5E91AECF">
        <w:t>t</w:t>
      </w:r>
      <w:r w:rsidR="00006343" w:rsidRPr="008B42CA">
        <w:t>herapies</w:t>
      </w:r>
      <w:r w:rsidR="00006343">
        <w:t xml:space="preserve">.  </w:t>
      </w:r>
      <w:r w:rsidR="00006343" w:rsidRPr="008B42CA">
        <w:t xml:space="preserve">The </w:t>
      </w:r>
      <w:r w:rsidR="5BE80AE8">
        <w:t>m</w:t>
      </w:r>
      <w:r w:rsidR="00006343">
        <w:t xml:space="preserve">ental </w:t>
      </w:r>
      <w:r w:rsidR="1AC98AB2">
        <w:t>h</w:t>
      </w:r>
      <w:r w:rsidR="00006343">
        <w:t xml:space="preserve">ealth </w:t>
      </w:r>
      <w:r w:rsidR="18BABD20">
        <w:t>t</w:t>
      </w:r>
      <w:r w:rsidR="00006343" w:rsidRPr="008B42CA">
        <w:t xml:space="preserve">eam continue to work closely with the </w:t>
      </w:r>
      <w:r w:rsidR="4DEBD734">
        <w:t>a</w:t>
      </w:r>
      <w:r w:rsidR="00006343" w:rsidRPr="008B42CA">
        <w:t>lliances</w:t>
      </w:r>
      <w:r w:rsidR="00006343">
        <w:t xml:space="preserve"> (and PCNs)</w:t>
      </w:r>
      <w:r w:rsidR="00006343" w:rsidRPr="008B42CA">
        <w:t xml:space="preserve"> to </w:t>
      </w:r>
      <w:r w:rsidR="00006343">
        <w:t>promot</w:t>
      </w:r>
      <w:r w:rsidR="007A1615">
        <w:t>e</w:t>
      </w:r>
      <w:r w:rsidR="00006343">
        <w:t xml:space="preserve"> the uptake of access to </w:t>
      </w:r>
      <w:r w:rsidR="163C20B0">
        <w:t>t</w:t>
      </w:r>
      <w:r w:rsidR="00006343">
        <w:t xml:space="preserve">alking </w:t>
      </w:r>
      <w:r w:rsidR="3ADEE25F">
        <w:t>t</w:t>
      </w:r>
      <w:r w:rsidR="00006343">
        <w:t>herapies in the coming year.</w:t>
      </w:r>
    </w:p>
    <w:p w14:paraId="47A11FB8" w14:textId="45957385" w:rsidR="00006343" w:rsidRPr="008B42CA" w:rsidRDefault="00006343" w:rsidP="00006343">
      <w:r>
        <w:t xml:space="preserve">There </w:t>
      </w:r>
      <w:r w:rsidR="00A40D86">
        <w:t>was</w:t>
      </w:r>
      <w:r>
        <w:t xml:space="preserve"> a </w:t>
      </w:r>
      <w:r w:rsidR="006C7071">
        <w:t>4</w:t>
      </w:r>
      <w:r w:rsidRPr="008B42CA">
        <w:t xml:space="preserve">% increase in the number of patients with dementia who </w:t>
      </w:r>
      <w:r>
        <w:t>w</w:t>
      </w:r>
      <w:r w:rsidRPr="008B42CA">
        <w:t>e</w:t>
      </w:r>
      <w:r>
        <w:t>re</w:t>
      </w:r>
      <w:r w:rsidRPr="008B42CA">
        <w:t xml:space="preserve"> diagnosed and added to t</w:t>
      </w:r>
      <w:r w:rsidRPr="00A3128A">
        <w:t xml:space="preserve">he </w:t>
      </w:r>
      <w:r w:rsidR="1FE07087" w:rsidRPr="00A3128A">
        <w:t>d</w:t>
      </w:r>
      <w:r w:rsidRPr="00A3128A">
        <w:t xml:space="preserve">ementia </w:t>
      </w:r>
      <w:r w:rsidR="7E6413FD" w:rsidRPr="00A3128A">
        <w:t>r</w:t>
      </w:r>
      <w:r w:rsidRPr="00A3128A">
        <w:t>egister</w:t>
      </w:r>
      <w:r w:rsidRPr="008B42CA">
        <w:t xml:space="preserve"> </w:t>
      </w:r>
      <w:r>
        <w:t xml:space="preserve">compared to </w:t>
      </w:r>
      <w:r w:rsidRPr="008B42CA">
        <w:t>2022/23</w:t>
      </w:r>
      <w:r>
        <w:t>.  Alliances will support the continued growth of the register size to be 66.7% of estimated prevalence in the coming year (an additional 3-4% growth for 2024/25).</w:t>
      </w:r>
    </w:p>
    <w:p w14:paraId="511AFBEC" w14:textId="48D45D40" w:rsidR="00006343" w:rsidRDefault="00006343" w:rsidP="00006343">
      <w:pPr>
        <w:pStyle w:val="BodyText"/>
        <w:rPr>
          <w:rFonts w:cs="Arial"/>
        </w:rPr>
      </w:pPr>
      <w:r w:rsidRPr="2368FC98">
        <w:rPr>
          <w:rFonts w:cs="Arial"/>
        </w:rPr>
        <w:t xml:space="preserve">Across </w:t>
      </w:r>
      <w:r w:rsidR="00471C4B">
        <w:rPr>
          <w:rFonts w:cs="Arial"/>
        </w:rPr>
        <w:t>MSE</w:t>
      </w:r>
      <w:r w:rsidRPr="2368FC98">
        <w:rPr>
          <w:rFonts w:cs="Arial"/>
        </w:rPr>
        <w:t>, the</w:t>
      </w:r>
      <w:r w:rsidRPr="00A3128A">
        <w:rPr>
          <w:rFonts w:cs="Arial"/>
        </w:rPr>
        <w:t xml:space="preserve"> Early Intervention in Psychosis (EIP</w:t>
      </w:r>
      <w:r w:rsidRPr="2368FC98">
        <w:rPr>
          <w:rFonts w:cs="Arial"/>
        </w:rPr>
        <w:t>) standard of people receiving a recommended package of care with</w:t>
      </w:r>
      <w:r w:rsidR="00AB5776">
        <w:rPr>
          <w:rFonts w:cs="Arial"/>
        </w:rPr>
        <w:t>in</w:t>
      </w:r>
      <w:r w:rsidRPr="2368FC98">
        <w:rPr>
          <w:rFonts w:cs="Arial"/>
        </w:rPr>
        <w:t xml:space="preserve"> 2 weeks of referral </w:t>
      </w:r>
      <w:r w:rsidR="00221CF4">
        <w:rPr>
          <w:rFonts w:cs="Arial"/>
        </w:rPr>
        <w:t>was</w:t>
      </w:r>
      <w:r w:rsidRPr="2368FC98">
        <w:rPr>
          <w:rFonts w:cs="Arial"/>
        </w:rPr>
        <w:t xml:space="preserve"> sustained during 2023/24.</w:t>
      </w:r>
    </w:p>
    <w:p w14:paraId="18FCDABC" w14:textId="3757D467" w:rsidR="00DF19AC" w:rsidRDefault="00006343" w:rsidP="00006343">
      <w:r>
        <w:t xml:space="preserve">Overall, there were </w:t>
      </w:r>
      <w:r w:rsidR="00BE4D30" w:rsidRPr="008B42CA">
        <w:t xml:space="preserve">30 </w:t>
      </w:r>
      <w:r w:rsidR="000C13C6">
        <w:t>fewer</w:t>
      </w:r>
      <w:r w:rsidR="000C13C6" w:rsidRPr="008B42CA">
        <w:t xml:space="preserve"> </w:t>
      </w:r>
      <w:r w:rsidR="00BE4D30" w:rsidRPr="008B42CA">
        <w:t xml:space="preserve">people in an </w:t>
      </w:r>
      <w:r>
        <w:t>inapprop</w:t>
      </w:r>
      <w:r w:rsidRPr="00A3128A">
        <w:t xml:space="preserve">riate </w:t>
      </w:r>
      <w:r w:rsidR="00BE4D30" w:rsidRPr="00A3128A">
        <w:t>out of area placement</w:t>
      </w:r>
      <w:r w:rsidR="00A3128A" w:rsidRPr="00A3128A">
        <w:t>s</w:t>
      </w:r>
      <w:r w:rsidR="00BE4D30" w:rsidRPr="00A3128A">
        <w:t xml:space="preserve"> </w:t>
      </w:r>
      <w:r w:rsidR="00BE4D30" w:rsidRPr="008B42CA">
        <w:t>than 2022/23</w:t>
      </w:r>
      <w:r>
        <w:t>.</w:t>
      </w:r>
      <w:r w:rsidR="00A3128A">
        <w:t xml:space="preserve">  This means more patients with serious mental illness are receiving care closer to home.</w:t>
      </w:r>
      <w:r w:rsidR="00BE4D30" w:rsidRPr="008B42CA">
        <w:t xml:space="preserve"> </w:t>
      </w:r>
    </w:p>
    <w:p w14:paraId="23C4823D" w14:textId="3F7C3967" w:rsidR="00BE4D30" w:rsidRPr="008B42CA" w:rsidRDefault="00DF19AC" w:rsidP="00006343">
      <w:r>
        <w:t xml:space="preserve">Collaboration with partners, within </w:t>
      </w:r>
      <w:r w:rsidR="3A8E55E0">
        <w:t>a</w:t>
      </w:r>
      <w:r>
        <w:t>lliances and as part of initiatives to reduce health inequalities remains the key to our continued progress to improve the experience of our residents accessing mental health services.</w:t>
      </w:r>
    </w:p>
    <w:p w14:paraId="1B7CB2C9" w14:textId="3AD152AB" w:rsidR="00C4148E" w:rsidRPr="00261D42" w:rsidRDefault="00C4148E" w:rsidP="00C4148E">
      <w:pPr>
        <w:tabs>
          <w:tab w:val="left" w:pos="275"/>
        </w:tabs>
        <w:spacing w:before="0" w:after="0" w:line="216" w:lineRule="auto"/>
        <w:rPr>
          <w:b/>
          <w:bCs/>
          <w:color w:val="005EB8"/>
          <w:sz w:val="22"/>
        </w:rPr>
      </w:pPr>
      <w:r w:rsidRPr="00261D42">
        <w:rPr>
          <w:b/>
          <w:bCs/>
          <w:color w:val="005EB8"/>
          <w:sz w:val="22"/>
        </w:rPr>
        <w:t xml:space="preserve">Case </w:t>
      </w:r>
      <w:r w:rsidR="26366043" w:rsidRPr="0CCD4920">
        <w:rPr>
          <w:b/>
          <w:bCs/>
          <w:color w:val="005EB8"/>
          <w:sz w:val="22"/>
        </w:rPr>
        <w:t>s</w:t>
      </w:r>
      <w:r w:rsidRPr="0CCD4920">
        <w:rPr>
          <w:b/>
          <w:bCs/>
          <w:color w:val="005EB8"/>
          <w:sz w:val="22"/>
        </w:rPr>
        <w:t>tudy</w:t>
      </w:r>
      <w:r w:rsidRPr="00261D42">
        <w:rPr>
          <w:b/>
          <w:bCs/>
          <w:color w:val="005EB8"/>
          <w:sz w:val="22"/>
        </w:rPr>
        <w:t xml:space="preserve">: </w:t>
      </w:r>
      <w:r>
        <w:rPr>
          <w:b/>
          <w:bCs/>
          <w:color w:val="005EB8"/>
          <w:sz w:val="22"/>
        </w:rPr>
        <w:t xml:space="preserve">Health inequalities – mental health joint response </w:t>
      </w:r>
      <w:r w:rsidR="005A4A49">
        <w:rPr>
          <w:b/>
          <w:bCs/>
          <w:color w:val="005EB8"/>
          <w:sz w:val="22"/>
        </w:rPr>
        <w:t>vehicle</w:t>
      </w:r>
    </w:p>
    <w:p w14:paraId="196D3491" w14:textId="7968E31A" w:rsidR="00C4148E" w:rsidRDefault="0095777A" w:rsidP="00BE4D30">
      <w:r>
        <w:rPr>
          <w:noProof/>
        </w:rPr>
        <w:drawing>
          <wp:inline distT="0" distB="0" distL="0" distR="0" wp14:anchorId="47DD5BF9" wp14:editId="2EFDCD0B">
            <wp:extent cx="2550449" cy="2420326"/>
            <wp:effectExtent l="0" t="0" r="2540" b="0"/>
            <wp:docPr id="35" name="Picture 35" descr="Picture of ambulance with staff standing in front of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icture of ambulance with staff standing in front of i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70559" cy="2439410"/>
                    </a:xfrm>
                    <a:prstGeom prst="rect">
                      <a:avLst/>
                    </a:prstGeom>
                    <a:noFill/>
                  </pic:spPr>
                </pic:pic>
              </a:graphicData>
            </a:graphic>
          </wp:inline>
        </w:drawing>
      </w:r>
      <w:r w:rsidRPr="0095777A">
        <w:rPr>
          <w:noProof/>
        </w:rPr>
        <mc:AlternateContent>
          <mc:Choice Requires="wps">
            <w:drawing>
              <wp:inline distT="0" distB="0" distL="0" distR="0" wp14:anchorId="48024F5E" wp14:editId="67BCAA14">
                <wp:extent cx="3343275" cy="2462530"/>
                <wp:effectExtent l="0" t="0" r="0" b="0"/>
                <wp:docPr id="36" name="Text Box 36"/>
                <wp:cNvGraphicFramePr/>
                <a:graphic xmlns:a="http://schemas.openxmlformats.org/drawingml/2006/main">
                  <a:graphicData uri="http://schemas.microsoft.com/office/word/2010/wordprocessingShape">
                    <wps:wsp>
                      <wps:cNvSpPr txBox="1"/>
                      <wps:spPr>
                        <a:xfrm>
                          <a:off x="0" y="0"/>
                          <a:ext cx="3343275" cy="2462530"/>
                        </a:xfrm>
                        <a:prstGeom prst="rect">
                          <a:avLst/>
                        </a:prstGeom>
                      </wps:spPr>
                      <wps:txbx>
                        <w:txbxContent>
                          <w:p w14:paraId="12CF6932" w14:textId="3B9EEE60" w:rsidR="0095777A" w:rsidRPr="00AD6D71" w:rsidRDefault="0095777A" w:rsidP="006F1A35">
                            <w:pPr>
                              <w:tabs>
                                <w:tab w:val="left" w:pos="275"/>
                              </w:tabs>
                              <w:spacing w:before="0" w:after="120" w:line="216" w:lineRule="auto"/>
                              <w:ind w:left="86"/>
                              <w:rPr>
                                <w:rFonts w:cs="Arial"/>
                                <w:i/>
                                <w:iCs/>
                                <w:color w:val="000000"/>
                                <w:kern w:val="24"/>
                                <w:sz w:val="21"/>
                                <w:szCs w:val="21"/>
                              </w:rPr>
                            </w:pPr>
                            <w:r w:rsidRPr="00AD6D71">
                              <w:rPr>
                                <w:rFonts w:cs="Arial"/>
                                <w:i/>
                                <w:iCs/>
                                <w:color w:val="000000"/>
                                <w:kern w:val="24"/>
                                <w:sz w:val="21"/>
                                <w:szCs w:val="21"/>
                              </w:rPr>
                              <w:t>“Since March 2023, I have been working for the local ambulance service… My role is to help introduce new and better ways of working, to improve access and outcomes for patients suffering with their mental health.  I am also helping to upskill ambulance clinicians and strengthen pathways so that the patients using the 999 system can gain access to the right mental health support early without the need for attendance to an emergency department….</w:t>
                            </w:r>
                            <w:r w:rsidRPr="00AD6D71">
                              <w:rPr>
                                <w:rFonts w:cs="Arial"/>
                                <w:color w:val="000000"/>
                                <w:kern w:val="24"/>
                                <w:sz w:val="21"/>
                                <w:szCs w:val="21"/>
                              </w:rPr>
                              <w:t xml:space="preserve"> </w:t>
                            </w:r>
                            <w:r w:rsidRPr="00AD6D71">
                              <w:rPr>
                                <w:rFonts w:cs="Arial"/>
                                <w:i/>
                                <w:iCs/>
                                <w:color w:val="000000"/>
                                <w:kern w:val="24"/>
                                <w:sz w:val="21"/>
                                <w:szCs w:val="21"/>
                              </w:rPr>
                              <w:t xml:space="preserve">This now brings mental health care and support to the patient, and in most cases, the patients’ own homes.  The service is now covering mid and south Essex, 7 days a week 13.00hrs to 01.00hrs when we know we usually see the greatest </w:t>
                            </w:r>
                            <w:r w:rsidRPr="00AD6D71">
                              <w:rPr>
                                <w:rFonts w:cs="Arial"/>
                                <w:color w:val="000000"/>
                                <w:kern w:val="24"/>
                                <w:sz w:val="21"/>
                                <w:szCs w:val="21"/>
                              </w:rPr>
                              <w:t>number of people needing help.”</w:t>
                            </w:r>
                          </w:p>
                          <w:p w14:paraId="3A0370A4" w14:textId="77777777" w:rsidR="0095777A" w:rsidRPr="00AD6D71" w:rsidRDefault="0095777A" w:rsidP="00AD6D71">
                            <w:pPr>
                              <w:tabs>
                                <w:tab w:val="left" w:pos="275"/>
                              </w:tabs>
                              <w:spacing w:after="120" w:line="216" w:lineRule="auto"/>
                              <w:ind w:left="86"/>
                              <w:rPr>
                                <w:rFonts w:cs="Arial"/>
                                <w:b/>
                                <w:bCs/>
                                <w:color w:val="000000"/>
                                <w:kern w:val="24"/>
                                <w:sz w:val="20"/>
                                <w:szCs w:val="20"/>
                              </w:rPr>
                            </w:pPr>
                            <w:r w:rsidRPr="00AD6D71">
                              <w:rPr>
                                <w:rFonts w:cs="Arial"/>
                                <w:b/>
                                <w:bCs/>
                                <w:color w:val="000000"/>
                                <w:kern w:val="24"/>
                                <w:sz w:val="20"/>
                                <w:szCs w:val="20"/>
                              </w:rPr>
                              <w:t>Claire Fuller, Mental Health Nurse</w:t>
                            </w:r>
                          </w:p>
                        </w:txbxContent>
                      </wps:txbx>
                      <wps:bodyPr vert="horz" wrap="square" lIns="91440" tIns="45720" rIns="91440" bIns="45720" rtlCol="0">
                        <a:noAutofit/>
                      </wps:bodyPr>
                    </wps:wsp>
                  </a:graphicData>
                </a:graphic>
              </wp:inline>
            </w:drawing>
          </mc:Choice>
          <mc:Fallback>
            <w:pict>
              <v:shape w14:anchorId="48024F5E" id="Text Box 36" o:spid="_x0000_s1032" type="#_x0000_t202" style="width:263.25pt;height:19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" filled="f" stroked="f">
                <v:textbox>
                  <w:txbxContent>
                    <w:p w14:paraId="12CF6932" w14:textId="3B9EEE60" w:rsidR="0095777A" w:rsidRPr="00AD6D71" w:rsidRDefault="0095777A" w:rsidP="006F1A35">
                      <w:pPr>
                        <w:tabs>
                          <w:tab w:val="left" w:pos="275"/>
                        </w:tabs>
                        <w:spacing w:before="0" w:after="120" w:line="216" w:lineRule="auto"/>
                        <w:ind w:left="86"/>
                        <w:rPr>
                          <w:rFonts w:cs="Arial"/>
                          <w:i/>
                          <w:iCs/>
                          <w:color w:val="000000"/>
                          <w:kern w:val="24"/>
                          <w:sz w:val="21"/>
                          <w:szCs w:val="21"/>
                        </w:rPr>
                      </w:pPr>
                      <w:r w:rsidRPr="00AD6D71">
                        <w:rPr>
                          <w:rFonts w:cs="Arial"/>
                          <w:i/>
                          <w:iCs/>
                          <w:color w:val="000000"/>
                          <w:kern w:val="24"/>
                          <w:sz w:val="21"/>
                          <w:szCs w:val="21"/>
                        </w:rPr>
                        <w:t>“Since March 2023, I have been working for the local ambulance service… My role is to help introduce new and better ways of working, to improve access and outcomes for patients suffering with their mental health.  I am also helping to upskill ambulance clinicians and strengthen pathways so that the patients using the 999 system can gain access to the right mental health support early without the need for attendance to an emergency department….</w:t>
                      </w:r>
                      <w:r w:rsidRPr="00AD6D71">
                        <w:rPr>
                          <w:rFonts w:cs="Arial"/>
                          <w:color w:val="000000"/>
                          <w:kern w:val="24"/>
                          <w:sz w:val="21"/>
                          <w:szCs w:val="21"/>
                        </w:rPr>
                        <w:t xml:space="preserve"> </w:t>
                      </w:r>
                      <w:r w:rsidRPr="00AD6D71">
                        <w:rPr>
                          <w:rFonts w:cs="Arial"/>
                          <w:i/>
                          <w:iCs/>
                          <w:color w:val="000000"/>
                          <w:kern w:val="24"/>
                          <w:sz w:val="21"/>
                          <w:szCs w:val="21"/>
                        </w:rPr>
                        <w:t xml:space="preserve">This now brings mental health care and support to the patient, and in most cases, the patients’ own homes.  The service is now covering mid and south Essex, 7 days a week 13.00hrs to 01.00hrs when we know we usually see the greatest </w:t>
                      </w:r>
                      <w:r w:rsidRPr="00AD6D71">
                        <w:rPr>
                          <w:rFonts w:cs="Arial"/>
                          <w:color w:val="000000"/>
                          <w:kern w:val="24"/>
                          <w:sz w:val="21"/>
                          <w:szCs w:val="21"/>
                        </w:rPr>
                        <w:t>number of people needing help.”</w:t>
                      </w:r>
                    </w:p>
                    <w:p w14:paraId="3A0370A4" w14:textId="77777777" w:rsidR="0095777A" w:rsidRPr="00AD6D71" w:rsidRDefault="0095777A" w:rsidP="00AD6D71">
                      <w:pPr>
                        <w:tabs>
                          <w:tab w:val="left" w:pos="275"/>
                        </w:tabs>
                        <w:spacing w:after="120" w:line="216" w:lineRule="auto"/>
                        <w:ind w:left="86"/>
                        <w:rPr>
                          <w:rFonts w:cs="Arial"/>
                          <w:b/>
                          <w:bCs/>
                          <w:color w:val="000000"/>
                          <w:kern w:val="24"/>
                          <w:sz w:val="20"/>
                          <w:szCs w:val="20"/>
                        </w:rPr>
                      </w:pPr>
                      <w:r w:rsidRPr="00AD6D71">
                        <w:rPr>
                          <w:rFonts w:cs="Arial"/>
                          <w:b/>
                          <w:bCs/>
                          <w:color w:val="000000"/>
                          <w:kern w:val="24"/>
                          <w:sz w:val="20"/>
                          <w:szCs w:val="20"/>
                        </w:rPr>
                        <w:t>Claire Fuller, Mental Health Nurse</w:t>
                      </w:r>
                    </w:p>
                  </w:txbxContent>
                </v:textbox>
                <w10:anchorlock/>
              </v:shape>
            </w:pict>
          </mc:Fallback>
        </mc:AlternateContent>
      </w:r>
      <w:r w:rsidRPr="0095777A">
        <w:rPr>
          <w:noProof/>
        </w:rPr>
        <w:t xml:space="preserve"> </w:t>
      </w:r>
    </w:p>
    <w:p w14:paraId="7B67F410" w14:textId="4338AA39" w:rsidR="00BE4D30" w:rsidRPr="00F25910" w:rsidRDefault="00BE4D30" w:rsidP="00BE4D30">
      <w:pPr>
        <w:rPr>
          <w:rFonts w:cs="Arial"/>
          <w:szCs w:val="24"/>
        </w:rPr>
      </w:pPr>
      <w:r>
        <w:rPr>
          <w:rFonts w:cs="Arial"/>
          <w:szCs w:val="24"/>
        </w:rPr>
        <w:t xml:space="preserve">The following table explains the amount and proportion of expenditure incurred by the ICB in relation to mental health. </w:t>
      </w:r>
    </w:p>
    <w:tbl>
      <w:tblPr>
        <w:tblStyle w:val="TableGrid"/>
        <w:tblW w:w="8785" w:type="dxa"/>
        <w:tblLook w:val="04A0" w:firstRow="1" w:lastRow="0" w:firstColumn="1" w:lastColumn="0" w:noHBand="0" w:noVBand="1"/>
      </w:tblPr>
      <w:tblGrid>
        <w:gridCol w:w="4390"/>
        <w:gridCol w:w="2127"/>
        <w:gridCol w:w="2268"/>
      </w:tblGrid>
      <w:tr w:rsidR="00BE4D30" w14:paraId="6FCC41AB" w14:textId="77777777" w:rsidTr="009115F7">
        <w:trPr>
          <w:trHeight w:val="317"/>
          <w:tblHeader/>
        </w:trPr>
        <w:tc>
          <w:tcPr>
            <w:tcW w:w="4390" w:type="dxa"/>
            <w:tcMar>
              <w:top w:w="108" w:type="dxa"/>
              <w:bottom w:w="108" w:type="dxa"/>
            </w:tcMar>
            <w:vAlign w:val="center"/>
          </w:tcPr>
          <w:p w14:paraId="5E0B158D" w14:textId="77777777" w:rsidR="00BE4D30" w:rsidRPr="0040677B" w:rsidRDefault="00BE4D30" w:rsidP="009115F7">
            <w:pPr>
              <w:pStyle w:val="BodyText"/>
              <w:spacing w:before="0" w:after="0"/>
              <w:rPr>
                <w:rFonts w:eastAsiaTheme="minorEastAsia"/>
                <w:b/>
                <w:bCs/>
                <w:kern w:val="24"/>
                <w:szCs w:val="24"/>
              </w:rPr>
            </w:pPr>
            <w:r w:rsidRPr="0040677B">
              <w:rPr>
                <w:b/>
                <w:bCs/>
              </w:rPr>
              <w:t>Financial Years</w:t>
            </w:r>
          </w:p>
        </w:tc>
        <w:tc>
          <w:tcPr>
            <w:tcW w:w="2127" w:type="dxa"/>
            <w:tcMar>
              <w:top w:w="108" w:type="dxa"/>
              <w:bottom w:w="108" w:type="dxa"/>
            </w:tcMar>
            <w:vAlign w:val="center"/>
          </w:tcPr>
          <w:p w14:paraId="6A46B948" w14:textId="77777777" w:rsidR="00BE4D30" w:rsidRPr="0040677B" w:rsidRDefault="00BE4D30" w:rsidP="009115F7">
            <w:pPr>
              <w:pStyle w:val="BodyText"/>
              <w:spacing w:before="0" w:after="0"/>
              <w:jc w:val="center"/>
              <w:rPr>
                <w:b/>
                <w:bCs/>
              </w:rPr>
            </w:pPr>
            <w:r w:rsidRPr="0040677B">
              <w:rPr>
                <w:b/>
                <w:bCs/>
              </w:rPr>
              <w:t>2023/24</w:t>
            </w:r>
          </w:p>
          <w:p w14:paraId="363EF10C" w14:textId="77777777" w:rsidR="00BE4D30" w:rsidRPr="0040677B" w:rsidRDefault="00BE4D30" w:rsidP="009115F7">
            <w:pPr>
              <w:pStyle w:val="BodyText"/>
              <w:spacing w:before="0" w:after="0"/>
              <w:jc w:val="center"/>
              <w:rPr>
                <w:b/>
                <w:bCs/>
              </w:rPr>
            </w:pPr>
            <w:r w:rsidRPr="0040677B">
              <w:rPr>
                <w:b/>
                <w:bCs/>
              </w:rPr>
              <w:t>£000’s</w:t>
            </w:r>
          </w:p>
        </w:tc>
        <w:tc>
          <w:tcPr>
            <w:tcW w:w="2268" w:type="dxa"/>
            <w:tcMar>
              <w:top w:w="108" w:type="dxa"/>
              <w:bottom w:w="108" w:type="dxa"/>
            </w:tcMar>
            <w:vAlign w:val="center"/>
          </w:tcPr>
          <w:p w14:paraId="27B236CC" w14:textId="77777777" w:rsidR="00BE4D30" w:rsidRPr="0040677B" w:rsidRDefault="00BE4D30" w:rsidP="009115F7">
            <w:pPr>
              <w:pStyle w:val="BodyText"/>
              <w:spacing w:before="0" w:after="0"/>
              <w:jc w:val="center"/>
              <w:rPr>
                <w:b/>
                <w:bCs/>
              </w:rPr>
            </w:pPr>
            <w:r w:rsidRPr="0040677B">
              <w:rPr>
                <w:b/>
                <w:bCs/>
              </w:rPr>
              <w:t>2022/23</w:t>
            </w:r>
          </w:p>
          <w:p w14:paraId="7AECF6FD" w14:textId="77777777" w:rsidR="00BE4D30" w:rsidRPr="0040677B" w:rsidRDefault="00BE4D30" w:rsidP="009115F7">
            <w:pPr>
              <w:pStyle w:val="BodyText"/>
              <w:spacing w:before="0" w:after="0"/>
              <w:jc w:val="center"/>
              <w:rPr>
                <w:b/>
                <w:bCs/>
              </w:rPr>
            </w:pPr>
            <w:r w:rsidRPr="0040677B">
              <w:rPr>
                <w:b/>
                <w:bCs/>
              </w:rPr>
              <w:t>£000’s</w:t>
            </w:r>
          </w:p>
        </w:tc>
      </w:tr>
      <w:tr w:rsidR="00BE4D30" w14:paraId="18C939BC" w14:textId="77777777" w:rsidTr="009115F7">
        <w:tc>
          <w:tcPr>
            <w:tcW w:w="4390" w:type="dxa"/>
            <w:tcMar>
              <w:top w:w="108" w:type="dxa"/>
              <w:bottom w:w="108" w:type="dxa"/>
            </w:tcMar>
          </w:tcPr>
          <w:p w14:paraId="0A001D68" w14:textId="14A5FECD" w:rsidR="00BE4D30" w:rsidRPr="005005B4" w:rsidRDefault="00BE4D30" w:rsidP="009115F7">
            <w:pPr>
              <w:pStyle w:val="BodyText"/>
              <w:spacing w:before="0" w:after="0"/>
              <w:rPr>
                <w:rFonts w:eastAsiaTheme="minorEastAsia"/>
                <w:kern w:val="24"/>
              </w:rPr>
            </w:pPr>
            <w:r w:rsidRPr="005005B4">
              <w:t xml:space="preserve">Mental </w:t>
            </w:r>
            <w:r w:rsidR="04C6C3AE">
              <w:t>h</w:t>
            </w:r>
            <w:r>
              <w:t xml:space="preserve">ealth </w:t>
            </w:r>
            <w:r w:rsidR="1FEA7B5B">
              <w:t>s</w:t>
            </w:r>
            <w:r w:rsidRPr="005005B4">
              <w:t>pend</w:t>
            </w:r>
          </w:p>
        </w:tc>
        <w:tc>
          <w:tcPr>
            <w:tcW w:w="2127" w:type="dxa"/>
            <w:tcMar>
              <w:top w:w="108" w:type="dxa"/>
              <w:bottom w:w="108" w:type="dxa"/>
            </w:tcMar>
            <w:vAlign w:val="center"/>
          </w:tcPr>
          <w:p w14:paraId="4174E1FE" w14:textId="2CCF7412" w:rsidR="00BE4D30" w:rsidRPr="00DF19AC" w:rsidRDefault="00DF19AC" w:rsidP="009115F7">
            <w:pPr>
              <w:pStyle w:val="BodyText"/>
              <w:spacing w:before="0" w:after="0"/>
              <w:jc w:val="center"/>
              <w:rPr>
                <w:rFonts w:eastAsiaTheme="minorEastAsia"/>
                <w:kern w:val="24"/>
                <w:szCs w:val="24"/>
              </w:rPr>
            </w:pPr>
            <w:r w:rsidRPr="00DF19AC">
              <w:rPr>
                <w:rFonts w:eastAsiaTheme="minorEastAsia"/>
                <w:kern w:val="24"/>
                <w:szCs w:val="24"/>
              </w:rPr>
              <w:t>£215,019</w:t>
            </w:r>
          </w:p>
        </w:tc>
        <w:tc>
          <w:tcPr>
            <w:tcW w:w="2268" w:type="dxa"/>
            <w:tcMar>
              <w:top w:w="108" w:type="dxa"/>
              <w:bottom w:w="108" w:type="dxa"/>
            </w:tcMar>
            <w:vAlign w:val="center"/>
          </w:tcPr>
          <w:p w14:paraId="3C0EA47E" w14:textId="77777777" w:rsidR="00BE4D30" w:rsidRPr="00F93460" w:rsidRDefault="00BE4D30" w:rsidP="009115F7">
            <w:pPr>
              <w:pStyle w:val="BodyText"/>
              <w:spacing w:before="0" w:after="0"/>
              <w:jc w:val="center"/>
              <w:rPr>
                <w:rFonts w:eastAsiaTheme="minorEastAsia"/>
                <w:kern w:val="24"/>
                <w:szCs w:val="24"/>
                <w:highlight w:val="yellow"/>
              </w:rPr>
            </w:pPr>
            <w:r w:rsidRPr="00E9380B">
              <w:rPr>
                <w:rFonts w:eastAsiaTheme="minorEastAsia" w:cs="Arial"/>
                <w:kern w:val="24"/>
                <w:szCs w:val="24"/>
              </w:rPr>
              <w:t>£</w:t>
            </w:r>
            <w:r>
              <w:rPr>
                <w:rFonts w:eastAsiaTheme="minorEastAsia" w:cs="Arial"/>
                <w:kern w:val="24"/>
                <w:szCs w:val="24"/>
              </w:rPr>
              <w:t>149,611</w:t>
            </w:r>
          </w:p>
        </w:tc>
      </w:tr>
      <w:tr w:rsidR="00BE4D30" w14:paraId="4663B0FF" w14:textId="77777777" w:rsidTr="009115F7">
        <w:tc>
          <w:tcPr>
            <w:tcW w:w="4390" w:type="dxa"/>
            <w:tcMar>
              <w:top w:w="108" w:type="dxa"/>
              <w:bottom w:w="108" w:type="dxa"/>
            </w:tcMar>
          </w:tcPr>
          <w:p w14:paraId="7AB8B178" w14:textId="308B4AC3" w:rsidR="00BE4D30" w:rsidRPr="005005B4" w:rsidRDefault="00BE4D30" w:rsidP="009115F7">
            <w:pPr>
              <w:pStyle w:val="BodyText"/>
              <w:spacing w:before="0" w:after="0"/>
              <w:rPr>
                <w:rFonts w:eastAsiaTheme="minorEastAsia"/>
                <w:kern w:val="24"/>
              </w:rPr>
            </w:pPr>
            <w:r w:rsidRPr="005005B4">
              <w:t xml:space="preserve">ICB </w:t>
            </w:r>
            <w:r w:rsidR="1D0C1028">
              <w:t>p</w:t>
            </w:r>
            <w:r>
              <w:t xml:space="preserve">rogramme </w:t>
            </w:r>
            <w:r w:rsidR="677270B2">
              <w:t>a</w:t>
            </w:r>
            <w:r w:rsidRPr="005005B4">
              <w:t>llocation</w:t>
            </w:r>
          </w:p>
        </w:tc>
        <w:tc>
          <w:tcPr>
            <w:tcW w:w="2127" w:type="dxa"/>
            <w:tcMar>
              <w:top w:w="108" w:type="dxa"/>
              <w:bottom w:w="108" w:type="dxa"/>
            </w:tcMar>
            <w:vAlign w:val="center"/>
          </w:tcPr>
          <w:p w14:paraId="1A7D3013" w14:textId="41E2BC83" w:rsidR="00BE4D30" w:rsidRPr="00DF19AC" w:rsidRDefault="00DF19AC" w:rsidP="009115F7">
            <w:pPr>
              <w:pStyle w:val="BodyText"/>
              <w:spacing w:before="0" w:after="0"/>
              <w:jc w:val="center"/>
              <w:rPr>
                <w:rFonts w:eastAsiaTheme="minorEastAsia"/>
                <w:kern w:val="24"/>
                <w:szCs w:val="24"/>
              </w:rPr>
            </w:pPr>
            <w:r w:rsidRPr="00DF19AC">
              <w:rPr>
                <w:rFonts w:eastAsiaTheme="minorEastAsia"/>
                <w:kern w:val="24"/>
                <w:szCs w:val="24"/>
              </w:rPr>
              <w:t>£2,682,786</w:t>
            </w:r>
          </w:p>
        </w:tc>
        <w:tc>
          <w:tcPr>
            <w:tcW w:w="2268" w:type="dxa"/>
            <w:tcMar>
              <w:top w:w="108" w:type="dxa"/>
              <w:bottom w:w="108" w:type="dxa"/>
            </w:tcMar>
            <w:vAlign w:val="center"/>
          </w:tcPr>
          <w:p w14:paraId="4FA9F688" w14:textId="77777777" w:rsidR="00BE4D30" w:rsidRPr="00F93460" w:rsidRDefault="00BE4D30" w:rsidP="009115F7">
            <w:pPr>
              <w:pStyle w:val="BodyText"/>
              <w:spacing w:before="0" w:after="0"/>
              <w:jc w:val="center"/>
              <w:rPr>
                <w:rFonts w:eastAsiaTheme="minorEastAsia"/>
                <w:kern w:val="24"/>
                <w:szCs w:val="24"/>
                <w:highlight w:val="yellow"/>
              </w:rPr>
            </w:pPr>
            <w:r w:rsidRPr="00E9380B">
              <w:rPr>
                <w:rFonts w:eastAsiaTheme="minorEastAsia" w:cs="Arial"/>
                <w:kern w:val="24"/>
                <w:szCs w:val="24"/>
              </w:rPr>
              <w:t>£</w:t>
            </w:r>
            <w:r>
              <w:rPr>
                <w:rFonts w:eastAsiaTheme="minorEastAsia" w:cs="Arial"/>
                <w:kern w:val="24"/>
                <w:szCs w:val="24"/>
              </w:rPr>
              <w:t>1,870,000</w:t>
            </w:r>
          </w:p>
        </w:tc>
      </w:tr>
      <w:tr w:rsidR="00BE4D30" w14:paraId="0EDD33D9" w14:textId="77777777" w:rsidTr="009115F7">
        <w:tc>
          <w:tcPr>
            <w:tcW w:w="4390" w:type="dxa"/>
            <w:tcMar>
              <w:top w:w="108" w:type="dxa"/>
              <w:bottom w:w="108" w:type="dxa"/>
            </w:tcMar>
          </w:tcPr>
          <w:p w14:paraId="798A0E8F" w14:textId="5CFD7E47" w:rsidR="00BE4D30" w:rsidRPr="005005B4" w:rsidRDefault="00BE4D30" w:rsidP="009115F7">
            <w:pPr>
              <w:pStyle w:val="BodyText"/>
              <w:spacing w:before="0" w:after="0"/>
              <w:rPr>
                <w:rFonts w:eastAsiaTheme="minorEastAsia"/>
                <w:kern w:val="24"/>
              </w:rPr>
            </w:pPr>
            <w:r w:rsidRPr="005005B4">
              <w:lastRenderedPageBreak/>
              <w:t xml:space="preserve">Mental </w:t>
            </w:r>
            <w:r w:rsidR="2FE06414">
              <w:t>h</w:t>
            </w:r>
            <w:r>
              <w:t xml:space="preserve">ealth </w:t>
            </w:r>
            <w:r w:rsidR="6518BB00">
              <w:t>s</w:t>
            </w:r>
            <w:r w:rsidRPr="005005B4">
              <w:t xml:space="preserve">pend as a proportion of ICB </w:t>
            </w:r>
            <w:r w:rsidR="71E1BD46">
              <w:t>p</w:t>
            </w:r>
            <w:r>
              <w:t xml:space="preserve">rogramme </w:t>
            </w:r>
            <w:r w:rsidR="5F9B272D">
              <w:t>a</w:t>
            </w:r>
            <w:r w:rsidRPr="005005B4">
              <w:t>llocation</w:t>
            </w:r>
          </w:p>
        </w:tc>
        <w:tc>
          <w:tcPr>
            <w:tcW w:w="2127" w:type="dxa"/>
            <w:tcMar>
              <w:top w:w="108" w:type="dxa"/>
              <w:bottom w:w="108" w:type="dxa"/>
            </w:tcMar>
            <w:vAlign w:val="center"/>
          </w:tcPr>
          <w:p w14:paraId="405D81AE" w14:textId="2B14C31C" w:rsidR="00BE4D30" w:rsidRPr="00DF19AC" w:rsidRDefault="00DF19AC" w:rsidP="009115F7">
            <w:pPr>
              <w:pStyle w:val="BodyText"/>
              <w:spacing w:before="0" w:after="0"/>
              <w:jc w:val="center"/>
              <w:rPr>
                <w:rFonts w:eastAsiaTheme="minorEastAsia"/>
                <w:kern w:val="24"/>
                <w:szCs w:val="24"/>
              </w:rPr>
            </w:pPr>
            <w:r w:rsidRPr="00DF19AC">
              <w:rPr>
                <w:rFonts w:eastAsiaTheme="minorEastAsia"/>
                <w:kern w:val="24"/>
                <w:szCs w:val="24"/>
              </w:rPr>
              <w:t>8%</w:t>
            </w:r>
          </w:p>
        </w:tc>
        <w:tc>
          <w:tcPr>
            <w:tcW w:w="2268" w:type="dxa"/>
            <w:tcMar>
              <w:top w:w="108" w:type="dxa"/>
              <w:bottom w:w="108" w:type="dxa"/>
            </w:tcMar>
            <w:vAlign w:val="center"/>
          </w:tcPr>
          <w:p w14:paraId="5E44C242" w14:textId="77777777" w:rsidR="00BE4D30" w:rsidRPr="00F93460" w:rsidRDefault="00BE4D30" w:rsidP="009115F7">
            <w:pPr>
              <w:pStyle w:val="BodyText"/>
              <w:spacing w:before="0" w:after="0"/>
              <w:jc w:val="center"/>
              <w:rPr>
                <w:rFonts w:eastAsiaTheme="minorEastAsia"/>
                <w:kern w:val="24"/>
                <w:szCs w:val="24"/>
                <w:highlight w:val="yellow"/>
              </w:rPr>
            </w:pPr>
            <w:r>
              <w:rPr>
                <w:rFonts w:eastAsiaTheme="minorEastAsia" w:cs="Arial"/>
                <w:kern w:val="24"/>
                <w:szCs w:val="24"/>
              </w:rPr>
              <w:t>8%</w:t>
            </w:r>
          </w:p>
        </w:tc>
      </w:tr>
    </w:tbl>
    <w:p w14:paraId="2E68356A" w14:textId="77777777" w:rsidR="008B672F" w:rsidRPr="008B672F" w:rsidRDefault="008B672F" w:rsidP="008B672F">
      <w:pPr>
        <w:rPr>
          <w:rFonts w:cs="Arial"/>
          <w:szCs w:val="24"/>
        </w:rPr>
      </w:pPr>
      <w:bookmarkStart w:id="25" w:name="_Toc164814818"/>
      <w:bookmarkStart w:id="26" w:name="_Toc164814879"/>
      <w:r w:rsidRPr="008B672F">
        <w:rPr>
          <w:rFonts w:cs="Arial"/>
          <w:szCs w:val="24"/>
        </w:rPr>
        <w:t>The ICB intends to declare, via the Chief Executive Compliance Statement, that it met it’s Mental Health Investment Standard obligations for the 2022/23 financial year.</w:t>
      </w:r>
    </w:p>
    <w:p w14:paraId="6ED5E25F" w14:textId="160A40C3" w:rsidR="008B672F" w:rsidRPr="008B672F" w:rsidRDefault="008B672F" w:rsidP="008B672F">
      <w:pPr>
        <w:rPr>
          <w:rFonts w:cs="Arial"/>
          <w:szCs w:val="24"/>
        </w:rPr>
      </w:pPr>
      <w:r w:rsidRPr="008B672F">
        <w:rPr>
          <w:rFonts w:cs="Arial"/>
          <w:szCs w:val="24"/>
        </w:rPr>
        <w:t xml:space="preserve">Our External Auditors, KPMG, were engaged to perform an Assurance Engagement which is intended to give reasonable assurance that the </w:t>
      </w:r>
      <w:r w:rsidR="00471C4B">
        <w:rPr>
          <w:rFonts w:cs="Arial"/>
          <w:szCs w:val="24"/>
        </w:rPr>
        <w:t>ICB</w:t>
      </w:r>
      <w:r w:rsidRPr="008B672F">
        <w:rPr>
          <w:rFonts w:cs="Arial"/>
          <w:szCs w:val="24"/>
        </w:rPr>
        <w:t xml:space="preserve"> met its obligations under the Mental Health Investment Standard for the 2022/23 financial year.</w:t>
      </w:r>
    </w:p>
    <w:p w14:paraId="1E5A3F90" w14:textId="22632A85" w:rsidR="008B672F" w:rsidRPr="008B672F" w:rsidRDefault="008B672F" w:rsidP="008B672F">
      <w:pPr>
        <w:rPr>
          <w:rFonts w:cs="Arial"/>
          <w:szCs w:val="24"/>
        </w:rPr>
      </w:pPr>
      <w:r w:rsidRPr="008B672F">
        <w:rPr>
          <w:rFonts w:cs="Arial"/>
          <w:szCs w:val="24"/>
        </w:rPr>
        <w:t xml:space="preserve">KPMG have issued a </w:t>
      </w:r>
      <w:r w:rsidR="00DB01E1">
        <w:rPr>
          <w:rFonts w:cs="Arial"/>
          <w:szCs w:val="24"/>
        </w:rPr>
        <w:t>disclaimed</w:t>
      </w:r>
      <w:r w:rsidRPr="008B672F">
        <w:rPr>
          <w:rFonts w:cs="Arial"/>
          <w:szCs w:val="24"/>
        </w:rPr>
        <w:t xml:space="preserve"> opinion in this regard, based on them not being able to fully validate the ICB’s expenditure for this area</w:t>
      </w:r>
      <w:r w:rsidR="00D236FF">
        <w:rPr>
          <w:rFonts w:cs="Arial"/>
          <w:szCs w:val="24"/>
        </w:rPr>
        <w:t xml:space="preserve"> the full wording of which can be found </w:t>
      </w:r>
      <w:r w:rsidR="00884769">
        <w:rPr>
          <w:rFonts w:cs="Arial"/>
          <w:szCs w:val="24"/>
        </w:rPr>
        <w:t>on the ICB website</w:t>
      </w:r>
      <w:r w:rsidR="00965F77">
        <w:rPr>
          <w:rFonts w:cs="Arial"/>
          <w:szCs w:val="24"/>
        </w:rPr>
        <w:t xml:space="preserve"> from July 2024</w:t>
      </w:r>
      <w:r w:rsidR="00884769">
        <w:rPr>
          <w:rFonts w:cs="Arial"/>
          <w:szCs w:val="24"/>
        </w:rPr>
        <w:t>.</w:t>
      </w:r>
    </w:p>
    <w:p w14:paraId="07454445" w14:textId="5162F433" w:rsidR="008B672F" w:rsidRPr="008B672F" w:rsidRDefault="008B672F" w:rsidP="008B672F">
      <w:pPr>
        <w:rPr>
          <w:rFonts w:cs="Arial"/>
          <w:szCs w:val="24"/>
        </w:rPr>
      </w:pPr>
      <w:r w:rsidRPr="008B672F">
        <w:rPr>
          <w:rFonts w:cs="Arial"/>
          <w:szCs w:val="24"/>
        </w:rPr>
        <w:t>The 2022/23 financial year was complex, in that the first quarter of the accounts were via the five former Clinical Commissioning Groups, whilst quarters two to four were via the newly forme</w:t>
      </w:r>
      <w:r w:rsidR="003257D9">
        <w:rPr>
          <w:rFonts w:cs="Arial"/>
          <w:szCs w:val="24"/>
        </w:rPr>
        <w:t>d</w:t>
      </w:r>
      <w:r w:rsidRPr="008B672F">
        <w:rPr>
          <w:rFonts w:cs="Arial"/>
          <w:szCs w:val="24"/>
        </w:rPr>
        <w:t xml:space="preserve"> </w:t>
      </w:r>
      <w:r w:rsidR="00471C4B">
        <w:rPr>
          <w:rFonts w:cs="Arial"/>
          <w:szCs w:val="24"/>
        </w:rPr>
        <w:t>ICB</w:t>
      </w:r>
      <w:r w:rsidRPr="008B672F">
        <w:rPr>
          <w:rFonts w:cs="Arial"/>
          <w:szCs w:val="24"/>
        </w:rPr>
        <w:t xml:space="preserve">. </w:t>
      </w:r>
    </w:p>
    <w:p w14:paraId="3CA22CBC" w14:textId="5C3F3818" w:rsidR="008B672F" w:rsidRPr="008B672F" w:rsidRDefault="008B672F" w:rsidP="008B672F">
      <w:pPr>
        <w:rPr>
          <w:rFonts w:cs="Arial"/>
          <w:szCs w:val="24"/>
        </w:rPr>
      </w:pPr>
      <w:r w:rsidRPr="008B672F">
        <w:rPr>
          <w:rFonts w:cs="Arial"/>
          <w:szCs w:val="24"/>
        </w:rPr>
        <w:t xml:space="preserve">The ICB recognise the high-level recommendation being made in this regard, and have already put processes in place, since the inception of the </w:t>
      </w:r>
      <w:r w:rsidR="00471C4B">
        <w:rPr>
          <w:rFonts w:cs="Arial"/>
          <w:szCs w:val="24"/>
        </w:rPr>
        <w:t>ICB</w:t>
      </w:r>
      <w:r w:rsidRPr="008B672F">
        <w:rPr>
          <w:rFonts w:cs="Arial"/>
          <w:szCs w:val="24"/>
        </w:rPr>
        <w:t xml:space="preserve"> to ensure that, moving forwards, expenditure which is eligible to be put against the Mental Health Investment Standard can be fully validated.</w:t>
      </w:r>
    </w:p>
    <w:p w14:paraId="7274A1E8" w14:textId="224E9B22" w:rsidR="00E547D0" w:rsidRPr="00F22A85" w:rsidRDefault="00E547D0" w:rsidP="00E547D0">
      <w:pPr>
        <w:pStyle w:val="Heading2"/>
      </w:pPr>
      <w:r>
        <w:t xml:space="preserve">Primary </w:t>
      </w:r>
      <w:r w:rsidR="280C91AB">
        <w:t>c</w:t>
      </w:r>
      <w:r>
        <w:t>are –</w:t>
      </w:r>
      <w:r w:rsidR="00460E87">
        <w:t xml:space="preserve"> </w:t>
      </w:r>
      <w:r w:rsidR="28519DDC">
        <w:t>g</w:t>
      </w:r>
      <w:r>
        <w:t xml:space="preserve">eneral </w:t>
      </w:r>
      <w:r w:rsidR="2067A2F7">
        <w:t>p</w:t>
      </w:r>
      <w:r>
        <w:t xml:space="preserve">ractice, </w:t>
      </w:r>
      <w:r w:rsidR="44F0C467">
        <w:t>p</w:t>
      </w:r>
      <w:r>
        <w:t xml:space="preserve">harmacy, </w:t>
      </w:r>
      <w:r w:rsidR="336D0D58">
        <w:t>o</w:t>
      </w:r>
      <w:r>
        <w:t>ptometry</w:t>
      </w:r>
      <w:r w:rsidR="00046DD6">
        <w:t>,</w:t>
      </w:r>
      <w:r>
        <w:t xml:space="preserve"> and </w:t>
      </w:r>
      <w:r w:rsidR="12DE9495">
        <w:t>d</w:t>
      </w:r>
      <w:r>
        <w:t>entistry</w:t>
      </w:r>
      <w:bookmarkEnd w:id="25"/>
      <w:bookmarkEnd w:id="26"/>
    </w:p>
    <w:p w14:paraId="692EF435" w14:textId="77777777" w:rsidR="00620ADA" w:rsidRPr="00620ADA" w:rsidRDefault="00620ADA" w:rsidP="00620ADA">
      <w:pPr>
        <w:rPr>
          <w:rFonts w:cs="Arial"/>
          <w:b/>
          <w:bCs/>
          <w:szCs w:val="24"/>
        </w:rPr>
      </w:pPr>
      <w:r w:rsidRPr="00620ADA">
        <w:rPr>
          <w:rFonts w:cs="Arial"/>
          <w:b/>
          <w:bCs/>
          <w:szCs w:val="24"/>
        </w:rPr>
        <w:t>Improving access to primary care services</w:t>
      </w:r>
    </w:p>
    <w:p w14:paraId="59A9B95D" w14:textId="637E408A" w:rsidR="00620ADA" w:rsidRPr="00620ADA" w:rsidRDefault="00620ADA" w:rsidP="00620ADA">
      <w:pPr>
        <w:rPr>
          <w:rFonts w:cs="Arial"/>
          <w:szCs w:val="24"/>
        </w:rPr>
      </w:pPr>
      <w:r w:rsidRPr="00620ADA">
        <w:rPr>
          <w:rFonts w:cs="Arial"/>
          <w:szCs w:val="24"/>
        </w:rPr>
        <w:t xml:space="preserve">The ICB supported local practices to improve their offer to patients. Collectively, practices delivered </w:t>
      </w:r>
      <w:r w:rsidR="00485190">
        <w:rPr>
          <w:rFonts w:cs="Arial"/>
          <w:szCs w:val="24"/>
        </w:rPr>
        <w:t>490,000</w:t>
      </w:r>
      <w:r w:rsidRPr="00620ADA">
        <w:rPr>
          <w:rFonts w:cs="Arial"/>
          <w:szCs w:val="24"/>
        </w:rPr>
        <w:t xml:space="preserve"> more consultations in 2023/24 than in </w:t>
      </w:r>
      <w:r w:rsidR="00510AEE">
        <w:rPr>
          <w:rFonts w:cs="Arial"/>
          <w:szCs w:val="24"/>
        </w:rPr>
        <w:t>20</w:t>
      </w:r>
      <w:r w:rsidRPr="00620ADA">
        <w:rPr>
          <w:rFonts w:cs="Arial"/>
          <w:szCs w:val="24"/>
        </w:rPr>
        <w:t xml:space="preserve">22/23. In total, practices delivered 6.2m consultations for </w:t>
      </w:r>
      <w:r w:rsidR="007A0009">
        <w:rPr>
          <w:rFonts w:cs="Arial"/>
          <w:szCs w:val="24"/>
        </w:rPr>
        <w:t xml:space="preserve">MSE </w:t>
      </w:r>
      <w:r w:rsidRPr="00620ADA">
        <w:rPr>
          <w:rFonts w:cs="Arial"/>
          <w:szCs w:val="24"/>
        </w:rPr>
        <w:t>patients. 5m</w:t>
      </w:r>
      <w:r w:rsidR="005C6E87">
        <w:rPr>
          <w:rFonts w:cs="Arial"/>
          <w:szCs w:val="24"/>
        </w:rPr>
        <w:t> </w:t>
      </w:r>
      <w:r w:rsidR="00510AEE" w:rsidRPr="00620ADA">
        <w:rPr>
          <w:rFonts w:cs="Arial"/>
          <w:szCs w:val="24"/>
        </w:rPr>
        <w:t>of these consultations</w:t>
      </w:r>
      <w:r w:rsidR="00510AEE">
        <w:rPr>
          <w:rFonts w:cs="Arial"/>
          <w:szCs w:val="24"/>
        </w:rPr>
        <w:t xml:space="preserve"> (81% of all appointments) </w:t>
      </w:r>
      <w:r w:rsidR="00485190">
        <w:rPr>
          <w:rFonts w:cs="Arial"/>
          <w:szCs w:val="24"/>
        </w:rPr>
        <w:t>were</w:t>
      </w:r>
      <w:r w:rsidRPr="00620ADA">
        <w:rPr>
          <w:rFonts w:cs="Arial"/>
          <w:szCs w:val="24"/>
        </w:rPr>
        <w:t xml:space="preserve"> undertaken within two weeks of a patient contacting their practice. </w:t>
      </w:r>
      <w:r w:rsidR="00485190">
        <w:rPr>
          <w:rFonts w:cs="Arial"/>
          <w:szCs w:val="24"/>
        </w:rPr>
        <w:t>T</w:t>
      </w:r>
      <w:r w:rsidRPr="00620ADA">
        <w:rPr>
          <w:rFonts w:cs="Arial"/>
          <w:szCs w:val="24"/>
        </w:rPr>
        <w:t>h</w:t>
      </w:r>
      <w:r w:rsidR="00485190">
        <w:rPr>
          <w:rFonts w:cs="Arial"/>
          <w:szCs w:val="24"/>
        </w:rPr>
        <w:t>e</w:t>
      </w:r>
      <w:r w:rsidRPr="00620ADA">
        <w:rPr>
          <w:rFonts w:cs="Arial"/>
          <w:szCs w:val="24"/>
        </w:rPr>
        <w:t xml:space="preserve"> increase in capacity </w:t>
      </w:r>
      <w:r w:rsidR="007E1FAC">
        <w:rPr>
          <w:rFonts w:cs="Arial"/>
          <w:szCs w:val="24"/>
        </w:rPr>
        <w:t xml:space="preserve">was </w:t>
      </w:r>
      <w:r w:rsidR="00485190">
        <w:rPr>
          <w:rFonts w:cs="Arial"/>
          <w:szCs w:val="24"/>
        </w:rPr>
        <w:t xml:space="preserve">partly </w:t>
      </w:r>
      <w:r w:rsidRPr="00620ADA">
        <w:rPr>
          <w:rFonts w:cs="Arial"/>
          <w:szCs w:val="24"/>
        </w:rPr>
        <w:t xml:space="preserve">driven by the expansion of the primary care workforce. There are now 600 new staff within the wider primary care workforce in </w:t>
      </w:r>
      <w:r w:rsidR="00A17A7B">
        <w:rPr>
          <w:rFonts w:cs="Arial"/>
          <w:szCs w:val="24"/>
        </w:rPr>
        <w:t>MSE</w:t>
      </w:r>
      <w:r w:rsidRPr="00620ADA">
        <w:rPr>
          <w:rFonts w:cs="Arial"/>
          <w:szCs w:val="24"/>
        </w:rPr>
        <w:t xml:space="preserve">. These staff have been recruited by </w:t>
      </w:r>
      <w:r w:rsidR="00E20437">
        <w:rPr>
          <w:rFonts w:cs="Arial"/>
          <w:szCs w:val="24"/>
        </w:rPr>
        <w:t>PCNs</w:t>
      </w:r>
      <w:r w:rsidRPr="00620ADA">
        <w:rPr>
          <w:rFonts w:cs="Arial"/>
          <w:szCs w:val="24"/>
        </w:rPr>
        <w:t xml:space="preserve"> through the Additional Roles Reimbursement Scheme (ARRS) and include </w:t>
      </w:r>
      <w:r w:rsidR="00510AEE">
        <w:rPr>
          <w:rFonts w:cs="Arial"/>
          <w:szCs w:val="24"/>
        </w:rPr>
        <w:t>130 clinical pharmacists, 60 care coordinators, 55 paramedics and 45 physio</w:t>
      </w:r>
      <w:r w:rsidRPr="00620ADA">
        <w:rPr>
          <w:rFonts w:cs="Arial"/>
          <w:szCs w:val="24"/>
        </w:rPr>
        <w:t xml:space="preserve">therapists, as well as social prescribers and other key members of the primary care team. </w:t>
      </w:r>
    </w:p>
    <w:p w14:paraId="2B55F1BA" w14:textId="5599173F" w:rsidR="00620ADA" w:rsidRDefault="00620ADA" w:rsidP="00620ADA">
      <w:pPr>
        <w:rPr>
          <w:rFonts w:cs="Arial"/>
        </w:rPr>
      </w:pPr>
      <w:r w:rsidRPr="18271E2C">
        <w:rPr>
          <w:rFonts w:cs="Arial"/>
        </w:rPr>
        <w:t xml:space="preserve">As part of our Primary Care Access Recovery Programme, practices and </w:t>
      </w:r>
      <w:r w:rsidR="009226C8">
        <w:rPr>
          <w:rFonts w:cs="Arial"/>
        </w:rPr>
        <w:t>PCNs</w:t>
      </w:r>
      <w:r w:rsidRPr="18271E2C">
        <w:rPr>
          <w:rFonts w:cs="Arial"/>
        </w:rPr>
        <w:t xml:space="preserve"> have been implementing </w:t>
      </w:r>
      <w:r w:rsidR="00485190" w:rsidRPr="18271E2C">
        <w:rPr>
          <w:rFonts w:cs="Arial"/>
        </w:rPr>
        <w:t>several</w:t>
      </w:r>
      <w:r w:rsidRPr="18271E2C">
        <w:rPr>
          <w:rFonts w:cs="Arial"/>
        </w:rPr>
        <w:t xml:space="preserve"> other changes to better support patients. </w:t>
      </w:r>
      <w:r w:rsidRPr="78B6244E">
        <w:rPr>
          <w:rFonts w:cs="Arial"/>
        </w:rPr>
        <w:t>Th</w:t>
      </w:r>
      <w:r w:rsidR="5545053A" w:rsidRPr="78B6244E">
        <w:rPr>
          <w:rFonts w:cs="Arial"/>
        </w:rPr>
        <w:t>ese</w:t>
      </w:r>
      <w:r w:rsidRPr="18271E2C">
        <w:rPr>
          <w:rFonts w:cs="Arial"/>
        </w:rPr>
        <w:t xml:space="preserve"> include</w:t>
      </w:r>
      <w:r w:rsidR="00485190" w:rsidRPr="18271E2C">
        <w:rPr>
          <w:rFonts w:cs="Arial"/>
        </w:rPr>
        <w:t>d</w:t>
      </w:r>
      <w:r w:rsidRPr="18271E2C">
        <w:rPr>
          <w:rFonts w:cs="Arial"/>
        </w:rPr>
        <w:t xml:space="preserve"> the introduction of </w:t>
      </w:r>
      <w:r w:rsidR="00485190" w:rsidRPr="18271E2C">
        <w:rPr>
          <w:rFonts w:cs="Arial"/>
        </w:rPr>
        <w:t>cloud-based</w:t>
      </w:r>
      <w:r w:rsidRPr="18271E2C">
        <w:rPr>
          <w:rFonts w:cs="Arial"/>
        </w:rPr>
        <w:t xml:space="preserve"> telephony solutions, care navigation and implementation of pathways that allow patients to </w:t>
      </w:r>
      <w:r w:rsidR="00485190" w:rsidRPr="18271E2C">
        <w:rPr>
          <w:rFonts w:cs="Arial"/>
        </w:rPr>
        <w:t>self-refer</w:t>
      </w:r>
      <w:r w:rsidRPr="18271E2C">
        <w:rPr>
          <w:rFonts w:cs="Arial"/>
        </w:rPr>
        <w:t xml:space="preserve"> to services without </w:t>
      </w:r>
      <w:r w:rsidR="00485190" w:rsidRPr="18271E2C">
        <w:rPr>
          <w:rFonts w:cs="Arial"/>
        </w:rPr>
        <w:t>having</w:t>
      </w:r>
      <w:r w:rsidRPr="18271E2C">
        <w:rPr>
          <w:rFonts w:cs="Arial"/>
        </w:rPr>
        <w:t xml:space="preserve"> to see someone in a practice</w:t>
      </w:r>
      <w:r w:rsidR="00B46743" w:rsidRPr="18271E2C">
        <w:rPr>
          <w:rFonts w:cs="Arial"/>
        </w:rPr>
        <w:t xml:space="preserve"> (</w:t>
      </w:r>
      <w:r w:rsidR="6A6C652B" w:rsidRPr="6D0A2B1C">
        <w:rPr>
          <w:rFonts w:cs="Arial"/>
        </w:rPr>
        <w:t>for example</w:t>
      </w:r>
      <w:r w:rsidR="00B46743" w:rsidRPr="6D0A2B1C">
        <w:rPr>
          <w:rFonts w:cs="Arial"/>
        </w:rPr>
        <w:t>.</w:t>
      </w:r>
      <w:r w:rsidR="00B46743" w:rsidRPr="18271E2C">
        <w:rPr>
          <w:rFonts w:cs="Arial"/>
        </w:rPr>
        <w:t xml:space="preserve"> </w:t>
      </w:r>
      <w:r w:rsidR="00046DD6">
        <w:rPr>
          <w:rFonts w:cs="Arial"/>
        </w:rPr>
        <w:t>T</w:t>
      </w:r>
      <w:r w:rsidR="000E172E">
        <w:rPr>
          <w:rFonts w:cs="Arial"/>
        </w:rPr>
        <w:t xml:space="preserve">he </w:t>
      </w:r>
      <w:r w:rsidR="005C3DE4">
        <w:rPr>
          <w:rFonts w:cs="Arial"/>
        </w:rPr>
        <w:t>P</w:t>
      </w:r>
      <w:r w:rsidR="00B46743" w:rsidRPr="18271E2C">
        <w:rPr>
          <w:rFonts w:cs="Arial"/>
        </w:rPr>
        <w:t xml:space="preserve">harmacy </w:t>
      </w:r>
      <w:r w:rsidR="005C3DE4">
        <w:rPr>
          <w:rFonts w:cs="Arial"/>
        </w:rPr>
        <w:t>F</w:t>
      </w:r>
      <w:r w:rsidR="00B46743" w:rsidRPr="18271E2C">
        <w:rPr>
          <w:rFonts w:cs="Arial"/>
        </w:rPr>
        <w:t>irst</w:t>
      </w:r>
      <w:r w:rsidR="000E172E">
        <w:rPr>
          <w:rFonts w:cs="Arial"/>
        </w:rPr>
        <w:t xml:space="preserve"> service</w:t>
      </w:r>
      <w:r w:rsidR="00B46743" w:rsidRPr="18271E2C">
        <w:rPr>
          <w:rFonts w:cs="Arial"/>
        </w:rPr>
        <w:t>)</w:t>
      </w:r>
      <w:r w:rsidRPr="18271E2C">
        <w:rPr>
          <w:rFonts w:cs="Arial"/>
        </w:rPr>
        <w:t xml:space="preserve">. </w:t>
      </w:r>
      <w:r w:rsidR="00485190" w:rsidRPr="18271E2C">
        <w:rPr>
          <w:rFonts w:cs="Arial"/>
        </w:rPr>
        <w:t>Several</w:t>
      </w:r>
      <w:r w:rsidRPr="18271E2C">
        <w:rPr>
          <w:rFonts w:cs="Arial"/>
        </w:rPr>
        <w:t xml:space="preserve"> practices have also implemented a </w:t>
      </w:r>
      <w:r w:rsidR="006F06AB">
        <w:rPr>
          <w:rFonts w:cs="Arial"/>
        </w:rPr>
        <w:t>‘</w:t>
      </w:r>
      <w:r w:rsidRPr="18271E2C">
        <w:rPr>
          <w:rFonts w:cs="Arial"/>
        </w:rPr>
        <w:t>total triage</w:t>
      </w:r>
      <w:r w:rsidR="006F06AB">
        <w:rPr>
          <w:rFonts w:cs="Arial"/>
        </w:rPr>
        <w:t>’</w:t>
      </w:r>
      <w:r w:rsidRPr="18271E2C">
        <w:rPr>
          <w:rFonts w:cs="Arial"/>
        </w:rPr>
        <w:t xml:space="preserve"> solution that allows them to understand the clinical needs of all patients presenting to the practice and then determine the optimal way to support them. These changes will continue to be rolled out across </w:t>
      </w:r>
      <w:r w:rsidR="00890264">
        <w:rPr>
          <w:rFonts w:cs="Arial"/>
        </w:rPr>
        <w:t>MSE</w:t>
      </w:r>
      <w:r w:rsidRPr="18271E2C">
        <w:rPr>
          <w:rFonts w:cs="Arial"/>
        </w:rPr>
        <w:t xml:space="preserve"> during </w:t>
      </w:r>
      <w:r w:rsidR="00510AEE" w:rsidRPr="18271E2C">
        <w:rPr>
          <w:rFonts w:cs="Arial"/>
        </w:rPr>
        <w:t>20</w:t>
      </w:r>
      <w:r w:rsidRPr="18271E2C">
        <w:rPr>
          <w:rFonts w:cs="Arial"/>
        </w:rPr>
        <w:t>24/25.</w:t>
      </w:r>
    </w:p>
    <w:p w14:paraId="7A757469" w14:textId="2F86500F" w:rsidR="001510C6" w:rsidRDefault="001510C6" w:rsidP="00620ADA">
      <w:pPr>
        <w:rPr>
          <w:rFonts w:cs="Arial"/>
        </w:rPr>
      </w:pPr>
      <w:r>
        <w:rPr>
          <w:rFonts w:cs="Arial"/>
        </w:rPr>
        <w:t>The case study below depicts the journey for Chelmsford Medical Partnership</w:t>
      </w:r>
      <w:r w:rsidR="00BB41BE">
        <w:rPr>
          <w:rFonts w:cs="Arial"/>
        </w:rPr>
        <w:t xml:space="preserve"> in the Mid Essex Alliance</w:t>
      </w:r>
      <w:r>
        <w:rPr>
          <w:rFonts w:cs="Arial"/>
        </w:rPr>
        <w:t xml:space="preserve">, whom in June 2023, implemented a </w:t>
      </w:r>
      <w:r w:rsidR="00074AE4">
        <w:rPr>
          <w:rFonts w:cs="Arial"/>
        </w:rPr>
        <w:t>t</w:t>
      </w:r>
      <w:r>
        <w:rPr>
          <w:rFonts w:cs="Arial"/>
        </w:rPr>
        <w:t xml:space="preserve">otal </w:t>
      </w:r>
      <w:r w:rsidR="00074AE4">
        <w:rPr>
          <w:rFonts w:cs="Arial"/>
        </w:rPr>
        <w:t>t</w:t>
      </w:r>
      <w:r>
        <w:rPr>
          <w:rFonts w:cs="Arial"/>
        </w:rPr>
        <w:t>riage system in their practice.</w:t>
      </w:r>
      <w:r w:rsidR="001E2310">
        <w:rPr>
          <w:rFonts w:cs="Arial"/>
        </w:rPr>
        <w:t xml:space="preserve">  </w:t>
      </w:r>
      <w:r w:rsidR="00540902">
        <w:rPr>
          <w:rFonts w:cs="Arial"/>
        </w:rPr>
        <w:t>C</w:t>
      </w:r>
      <w:r w:rsidR="001E2310">
        <w:rPr>
          <w:rFonts w:cs="Arial"/>
        </w:rPr>
        <w:t xml:space="preserve">reating a central hub where every patient contact is managed by a team of </w:t>
      </w:r>
      <w:r w:rsidR="001E2310">
        <w:rPr>
          <w:rFonts w:cs="Arial"/>
        </w:rPr>
        <w:lastRenderedPageBreak/>
        <w:t>GPs, GP assistants and reception staff, allows all requests for appointments to be reviewed and managed by one team</w:t>
      </w:r>
      <w:r w:rsidR="008B05DC">
        <w:rPr>
          <w:rFonts w:cs="Arial"/>
        </w:rPr>
        <w:t xml:space="preserve">.  </w:t>
      </w:r>
      <w:r w:rsidR="00E86F59">
        <w:rPr>
          <w:rFonts w:cs="Arial"/>
        </w:rPr>
        <w:t xml:space="preserve">In most cases </w:t>
      </w:r>
      <w:r w:rsidR="00D25ACB">
        <w:rPr>
          <w:rFonts w:cs="Arial"/>
        </w:rPr>
        <w:t>t</w:t>
      </w:r>
      <w:r w:rsidR="008B05DC">
        <w:rPr>
          <w:rFonts w:cs="Arial"/>
        </w:rPr>
        <w:t xml:space="preserve">he team </w:t>
      </w:r>
      <w:r w:rsidR="001E2310">
        <w:rPr>
          <w:rFonts w:cs="Arial"/>
        </w:rPr>
        <w:t>alloc</w:t>
      </w:r>
      <w:r w:rsidR="008B05DC">
        <w:rPr>
          <w:rFonts w:cs="Arial"/>
        </w:rPr>
        <w:t>ate</w:t>
      </w:r>
      <w:r w:rsidR="004645D7">
        <w:rPr>
          <w:rFonts w:cs="Arial"/>
        </w:rPr>
        <w:t>s</w:t>
      </w:r>
      <w:r w:rsidR="001E2310">
        <w:rPr>
          <w:rFonts w:cs="Arial"/>
        </w:rPr>
        <w:t xml:space="preserve"> </w:t>
      </w:r>
      <w:r w:rsidR="008D725F">
        <w:rPr>
          <w:rFonts w:cs="Arial"/>
        </w:rPr>
        <w:t>patients to the most appropriate appointment slot/member of staff within the practice</w:t>
      </w:r>
      <w:r w:rsidR="00502BD1">
        <w:rPr>
          <w:rFonts w:cs="Arial"/>
        </w:rPr>
        <w:t>, on the same day the request is received</w:t>
      </w:r>
      <w:r w:rsidR="00C36F0D">
        <w:rPr>
          <w:rFonts w:cs="Arial"/>
        </w:rPr>
        <w:t>, thereby</w:t>
      </w:r>
      <w:r w:rsidR="008F5BA8">
        <w:rPr>
          <w:rFonts w:cs="Arial"/>
        </w:rPr>
        <w:t xml:space="preserve"> almost eliminating the 8am queues</w:t>
      </w:r>
      <w:r w:rsidR="00502BD1">
        <w:rPr>
          <w:rFonts w:cs="Arial"/>
        </w:rPr>
        <w:t>.</w:t>
      </w:r>
    </w:p>
    <w:p w14:paraId="7A1F7D89" w14:textId="421526F0" w:rsidR="00E44AEC" w:rsidRPr="00261D42" w:rsidRDefault="00E44AEC" w:rsidP="00E44AEC">
      <w:pPr>
        <w:tabs>
          <w:tab w:val="left" w:pos="275"/>
        </w:tabs>
        <w:spacing w:before="0" w:after="0" w:line="216" w:lineRule="auto"/>
        <w:rPr>
          <w:b/>
          <w:bCs/>
          <w:color w:val="005EB8"/>
          <w:sz w:val="22"/>
        </w:rPr>
      </w:pPr>
      <w:r w:rsidRPr="00261D42">
        <w:rPr>
          <w:b/>
          <w:bCs/>
          <w:color w:val="005EB8"/>
          <w:sz w:val="22"/>
        </w:rPr>
        <w:t xml:space="preserve">Case Study: </w:t>
      </w:r>
      <w:r w:rsidR="3FCD4588" w:rsidRPr="7280C4B4">
        <w:rPr>
          <w:b/>
          <w:bCs/>
          <w:color w:val="005EB8"/>
          <w:sz w:val="22"/>
        </w:rPr>
        <w:t>t</w:t>
      </w:r>
      <w:r w:rsidRPr="7280C4B4">
        <w:rPr>
          <w:b/>
          <w:bCs/>
          <w:color w:val="005EB8"/>
          <w:sz w:val="22"/>
        </w:rPr>
        <w:t xml:space="preserve">otal </w:t>
      </w:r>
      <w:r w:rsidR="3479FA45" w:rsidRPr="7280C4B4">
        <w:rPr>
          <w:b/>
          <w:bCs/>
          <w:color w:val="005EB8"/>
          <w:sz w:val="22"/>
        </w:rPr>
        <w:t>t</w:t>
      </w:r>
      <w:r>
        <w:rPr>
          <w:b/>
          <w:bCs/>
          <w:color w:val="005EB8"/>
          <w:sz w:val="22"/>
        </w:rPr>
        <w:t>riage – reducing the 8am rush</w:t>
      </w:r>
    </w:p>
    <w:p w14:paraId="31396AD9" w14:textId="76BD84C3" w:rsidR="00E44AEC" w:rsidRPr="00620ADA" w:rsidRDefault="00BB41BE" w:rsidP="00620ADA">
      <w:pPr>
        <w:rPr>
          <w:rFonts w:cs="Arial"/>
          <w:szCs w:val="24"/>
        </w:rPr>
      </w:pPr>
      <w:r>
        <w:rPr>
          <w:noProof/>
        </w:rPr>
        <w:drawing>
          <wp:inline distT="0" distB="0" distL="0" distR="0" wp14:anchorId="5F9B32BC" wp14:editId="6379086B">
            <wp:extent cx="2649551" cy="2377440"/>
            <wp:effectExtent l="0" t="0" r="0" b="3810"/>
            <wp:docPr id="501810626" name="Picture 501810626" descr="The total triage team at Chelmsford Medical Partne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10626" name="Picture 501810626" descr="The total triage team at Chelmsford Medical Partnership."/>
                    <pic:cNvPicPr/>
                  </pic:nvPicPr>
                  <pic:blipFill rotWithShape="1">
                    <a:blip r:embed="rId28" cstate="print">
                      <a:extLst>
                        <a:ext uri="{28A0092B-C50C-407E-A947-70E740481C1C}">
                          <a14:useLocalDpi xmlns:a14="http://schemas.microsoft.com/office/drawing/2010/main" val="0"/>
                        </a:ext>
                      </a:extLst>
                    </a:blip>
                    <a:srcRect l="-386" t="-362" r="386"/>
                    <a:stretch/>
                  </pic:blipFill>
                  <pic:spPr bwMode="auto">
                    <a:xfrm>
                      <a:off x="0" y="0"/>
                      <a:ext cx="2677574" cy="2402585"/>
                    </a:xfrm>
                    <a:prstGeom prst="rect">
                      <a:avLst/>
                    </a:prstGeom>
                    <a:ln>
                      <a:noFill/>
                    </a:ln>
                    <a:extLst>
                      <a:ext uri="{53640926-AAD7-44D8-BBD7-CCE9431645EC}">
                        <a14:shadowObscured xmlns:a14="http://schemas.microsoft.com/office/drawing/2010/main"/>
                      </a:ext>
                    </a:extLst>
                  </pic:spPr>
                </pic:pic>
              </a:graphicData>
            </a:graphic>
          </wp:inline>
        </w:drawing>
      </w:r>
      <w:r w:rsidR="00E560B1" w:rsidRPr="0095777A">
        <w:rPr>
          <w:noProof/>
        </w:rPr>
        <mc:AlternateContent>
          <mc:Choice Requires="wps">
            <w:drawing>
              <wp:inline distT="0" distB="0" distL="0" distR="0" wp14:anchorId="29B17A21" wp14:editId="2D842038">
                <wp:extent cx="3171825" cy="2454813"/>
                <wp:effectExtent l="0" t="0" r="0" b="0"/>
                <wp:docPr id="501810625" name="Text Box 501810625"/>
                <wp:cNvGraphicFramePr/>
                <a:graphic xmlns:a="http://schemas.openxmlformats.org/drawingml/2006/main">
                  <a:graphicData uri="http://schemas.microsoft.com/office/word/2010/wordprocessingShape">
                    <wps:wsp>
                      <wps:cNvSpPr txBox="1"/>
                      <wps:spPr>
                        <a:xfrm>
                          <a:off x="0" y="0"/>
                          <a:ext cx="3171825" cy="2454813"/>
                        </a:xfrm>
                        <a:prstGeom prst="rect">
                          <a:avLst/>
                        </a:prstGeom>
                      </wps:spPr>
                      <wps:txbx>
                        <w:txbxContent>
                          <w:p w14:paraId="6351AF30" w14:textId="5B2B9C16" w:rsidR="00E560B1" w:rsidRPr="00E560B1" w:rsidRDefault="00E560B1" w:rsidP="00AF46DB">
                            <w:pPr>
                              <w:spacing w:before="0"/>
                              <w:rPr>
                                <w:i/>
                                <w:iCs/>
                                <w:sz w:val="20"/>
                                <w:szCs w:val="20"/>
                              </w:rPr>
                            </w:pPr>
                            <w:r w:rsidRPr="00E560B1">
                              <w:rPr>
                                <w:i/>
                                <w:iCs/>
                                <w:sz w:val="20"/>
                                <w:szCs w:val="20"/>
                              </w:rPr>
                              <w:t xml:space="preserve">Staff said </w:t>
                            </w:r>
                            <w:r w:rsidR="00D65E0A">
                              <w:rPr>
                                <w:i/>
                                <w:iCs/>
                                <w:sz w:val="20"/>
                                <w:szCs w:val="20"/>
                              </w:rPr>
                              <w:t>“</w:t>
                            </w:r>
                            <w:r w:rsidRPr="00E560B1">
                              <w:rPr>
                                <w:i/>
                                <w:iCs/>
                                <w:sz w:val="20"/>
                                <w:szCs w:val="20"/>
                              </w:rPr>
                              <w:t xml:space="preserve">the quality of contacts has dramatically </w:t>
                            </w:r>
                            <w:r w:rsidR="001510C6" w:rsidRPr="00E560B1">
                              <w:rPr>
                                <w:i/>
                                <w:iCs/>
                                <w:sz w:val="20"/>
                                <w:szCs w:val="20"/>
                              </w:rPr>
                              <w:t>improved</w:t>
                            </w:r>
                            <w:r w:rsidR="00DE45CE">
                              <w:rPr>
                                <w:i/>
                                <w:iCs/>
                                <w:sz w:val="20"/>
                                <w:szCs w:val="20"/>
                              </w:rPr>
                              <w:t>,</w:t>
                            </w:r>
                            <w:r w:rsidRPr="00E560B1">
                              <w:rPr>
                                <w:i/>
                                <w:iCs/>
                                <w:sz w:val="20"/>
                                <w:szCs w:val="20"/>
                              </w:rPr>
                              <w:t xml:space="preserve"> </w:t>
                            </w:r>
                            <w:r w:rsidR="004B2590">
                              <w:rPr>
                                <w:i/>
                                <w:iCs/>
                                <w:sz w:val="20"/>
                                <w:szCs w:val="20"/>
                              </w:rPr>
                              <w:t>we</w:t>
                            </w:r>
                            <w:r w:rsidRPr="00E560B1">
                              <w:rPr>
                                <w:i/>
                                <w:iCs/>
                                <w:sz w:val="20"/>
                                <w:szCs w:val="20"/>
                              </w:rPr>
                              <w:t xml:space="preserve"> are seeing the right patient first time, rather than patients</w:t>
                            </w:r>
                            <w:r w:rsidR="004B2590">
                              <w:rPr>
                                <w:i/>
                                <w:iCs/>
                                <w:sz w:val="20"/>
                                <w:szCs w:val="20"/>
                              </w:rPr>
                              <w:t xml:space="preserve"> having </w:t>
                            </w:r>
                            <w:r w:rsidRPr="00E560B1">
                              <w:rPr>
                                <w:i/>
                                <w:iCs/>
                                <w:sz w:val="20"/>
                                <w:szCs w:val="20"/>
                              </w:rPr>
                              <w:t xml:space="preserve">multiple </w:t>
                            </w:r>
                            <w:r w:rsidR="00AF46DB">
                              <w:rPr>
                                <w:i/>
                                <w:iCs/>
                                <w:sz w:val="20"/>
                                <w:szCs w:val="20"/>
                              </w:rPr>
                              <w:t>contacts</w:t>
                            </w:r>
                            <w:r w:rsidR="00D65E0A">
                              <w:rPr>
                                <w:i/>
                                <w:iCs/>
                                <w:sz w:val="20"/>
                                <w:szCs w:val="20"/>
                              </w:rPr>
                              <w:t>”</w:t>
                            </w:r>
                            <w:r w:rsidRPr="00E560B1">
                              <w:rPr>
                                <w:i/>
                                <w:iCs/>
                                <w:sz w:val="20"/>
                                <w:szCs w:val="20"/>
                              </w:rPr>
                              <w:t>.</w:t>
                            </w:r>
                          </w:p>
                          <w:p w14:paraId="16BE0823" w14:textId="75456061" w:rsidR="00110E36" w:rsidRDefault="00DE45CE" w:rsidP="00E560B1">
                            <w:pPr>
                              <w:rPr>
                                <w:i/>
                                <w:iCs/>
                                <w:sz w:val="20"/>
                                <w:szCs w:val="20"/>
                              </w:rPr>
                            </w:pPr>
                            <w:r>
                              <w:rPr>
                                <w:i/>
                                <w:iCs/>
                                <w:sz w:val="20"/>
                                <w:szCs w:val="20"/>
                              </w:rPr>
                              <w:t>P</w:t>
                            </w:r>
                            <w:r w:rsidR="00E560B1" w:rsidRPr="00E560B1">
                              <w:rPr>
                                <w:i/>
                                <w:iCs/>
                                <w:sz w:val="20"/>
                                <w:szCs w:val="20"/>
                              </w:rPr>
                              <w:t>atient</w:t>
                            </w:r>
                            <w:r>
                              <w:rPr>
                                <w:i/>
                                <w:iCs/>
                                <w:sz w:val="20"/>
                                <w:szCs w:val="20"/>
                              </w:rPr>
                              <w:t>s said</w:t>
                            </w:r>
                            <w:r w:rsidR="00110E36">
                              <w:rPr>
                                <w:i/>
                                <w:iCs/>
                                <w:sz w:val="20"/>
                                <w:szCs w:val="20"/>
                              </w:rPr>
                              <w:t>:</w:t>
                            </w:r>
                            <w:r w:rsidR="00C73758">
                              <w:rPr>
                                <w:i/>
                                <w:iCs/>
                                <w:sz w:val="20"/>
                                <w:szCs w:val="20"/>
                              </w:rPr>
                              <w:t xml:space="preserve"> </w:t>
                            </w:r>
                            <w:r w:rsidR="00E560B1" w:rsidRPr="00DE45CE">
                              <w:rPr>
                                <w:i/>
                                <w:iCs/>
                                <w:sz w:val="20"/>
                                <w:szCs w:val="20"/>
                              </w:rPr>
                              <w:t xml:space="preserve"> </w:t>
                            </w:r>
                            <w:r w:rsidR="00D65E0A">
                              <w:rPr>
                                <w:i/>
                                <w:iCs/>
                                <w:sz w:val="20"/>
                                <w:szCs w:val="20"/>
                              </w:rPr>
                              <w:t>“</w:t>
                            </w:r>
                            <w:r w:rsidR="00E560B1" w:rsidRPr="00DE45CE">
                              <w:rPr>
                                <w:i/>
                                <w:iCs/>
                                <w:sz w:val="20"/>
                                <w:szCs w:val="20"/>
                              </w:rPr>
                              <w:t xml:space="preserve">The communication </w:t>
                            </w:r>
                            <w:r w:rsidR="00AF46DB">
                              <w:rPr>
                                <w:i/>
                                <w:iCs/>
                                <w:sz w:val="20"/>
                                <w:szCs w:val="20"/>
                              </w:rPr>
                              <w:t xml:space="preserve">between </w:t>
                            </w:r>
                            <w:r w:rsidR="00E560B1" w:rsidRPr="00DE45CE">
                              <w:rPr>
                                <w:i/>
                                <w:iCs/>
                                <w:sz w:val="20"/>
                                <w:szCs w:val="20"/>
                              </w:rPr>
                              <w:t xml:space="preserve">the administrative staff </w:t>
                            </w:r>
                            <w:r w:rsidR="00AF46DB">
                              <w:rPr>
                                <w:i/>
                                <w:iCs/>
                                <w:sz w:val="20"/>
                                <w:szCs w:val="20"/>
                              </w:rPr>
                              <w:t xml:space="preserve">&amp; me </w:t>
                            </w:r>
                            <w:r w:rsidR="00D514A5">
                              <w:rPr>
                                <w:i/>
                                <w:iCs/>
                                <w:sz w:val="20"/>
                                <w:szCs w:val="20"/>
                              </w:rPr>
                              <w:t>was</w:t>
                            </w:r>
                            <w:r w:rsidR="00E560B1" w:rsidRPr="00DE45CE">
                              <w:rPr>
                                <w:i/>
                                <w:iCs/>
                                <w:sz w:val="20"/>
                                <w:szCs w:val="20"/>
                              </w:rPr>
                              <w:t xml:space="preserve"> great. They explained the process clearly via the messaging system and sent me a booking link that morning with appointments at my local surgery.</w:t>
                            </w:r>
                            <w:r w:rsidR="00110E36">
                              <w:rPr>
                                <w:i/>
                                <w:iCs/>
                                <w:sz w:val="20"/>
                                <w:szCs w:val="20"/>
                              </w:rPr>
                              <w:t xml:space="preserve">”. </w:t>
                            </w:r>
                          </w:p>
                          <w:p w14:paraId="49A6A9CE" w14:textId="62CDEA24" w:rsidR="00E560B1" w:rsidRPr="008C423B" w:rsidRDefault="006F1755" w:rsidP="00E560B1">
                            <w:pPr>
                              <w:rPr>
                                <w:i/>
                                <w:iCs/>
                                <w:sz w:val="20"/>
                                <w:szCs w:val="20"/>
                              </w:rPr>
                            </w:pPr>
                            <w:r>
                              <w:rPr>
                                <w:i/>
                                <w:iCs/>
                                <w:sz w:val="20"/>
                                <w:szCs w:val="20"/>
                              </w:rPr>
                              <w:t>“</w:t>
                            </w:r>
                            <w:r w:rsidR="00E560B1" w:rsidRPr="008C423B">
                              <w:rPr>
                                <w:i/>
                                <w:iCs/>
                                <w:sz w:val="20"/>
                                <w:szCs w:val="20"/>
                              </w:rPr>
                              <w:t>I used to dread being on hold for 40 minutes</w:t>
                            </w:r>
                            <w:r w:rsidR="008C423B">
                              <w:rPr>
                                <w:i/>
                                <w:iCs/>
                                <w:sz w:val="20"/>
                                <w:szCs w:val="20"/>
                              </w:rPr>
                              <w:t>…</w:t>
                            </w:r>
                            <w:r w:rsidR="00E560B1" w:rsidRPr="008C423B">
                              <w:rPr>
                                <w:i/>
                                <w:iCs/>
                                <w:sz w:val="20"/>
                                <w:szCs w:val="20"/>
                              </w:rPr>
                              <w:t xml:space="preserve"> </w:t>
                            </w:r>
                            <w:r w:rsidR="008C423B">
                              <w:rPr>
                                <w:i/>
                                <w:iCs/>
                                <w:sz w:val="20"/>
                                <w:szCs w:val="20"/>
                              </w:rPr>
                              <w:t>[it]</w:t>
                            </w:r>
                            <w:r w:rsidR="00E560B1" w:rsidRPr="008C423B">
                              <w:rPr>
                                <w:i/>
                                <w:iCs/>
                                <w:sz w:val="20"/>
                                <w:szCs w:val="20"/>
                              </w:rPr>
                              <w:t xml:space="preserve"> takes 30 seconds to use - I had to book to have stitches out and had an appointment within 10 minutes of my </w:t>
                            </w:r>
                            <w:r w:rsidR="006139E9" w:rsidRPr="008C423B">
                              <w:rPr>
                                <w:i/>
                                <w:iCs/>
                                <w:sz w:val="20"/>
                                <w:szCs w:val="20"/>
                              </w:rPr>
                              <w:t>request and</w:t>
                            </w:r>
                            <w:r w:rsidR="00E560B1" w:rsidRPr="008C423B">
                              <w:rPr>
                                <w:i/>
                                <w:iCs/>
                                <w:sz w:val="20"/>
                                <w:szCs w:val="20"/>
                              </w:rPr>
                              <w:t xml:space="preserve"> had to book 2 appointments for my son and he was seen an hour later. Really lovely nurse and doctor in both cases</w:t>
                            </w:r>
                            <w:r w:rsidR="00D65E0A">
                              <w:rPr>
                                <w:i/>
                                <w:iCs/>
                                <w:sz w:val="20"/>
                                <w:szCs w:val="20"/>
                              </w:rPr>
                              <w:t>”.</w:t>
                            </w:r>
                          </w:p>
                        </w:txbxContent>
                      </wps:txbx>
                      <wps:bodyPr vert="horz" wrap="square" lIns="91440" tIns="45720" rIns="91440" bIns="45720" rtlCol="0">
                        <a:noAutofit/>
                      </wps:bodyPr>
                    </wps:wsp>
                  </a:graphicData>
                </a:graphic>
              </wp:inline>
            </w:drawing>
          </mc:Choice>
          <mc:Fallback>
            <w:pict>
              <v:shape w14:anchorId="29B17A21" id="Text Box 501810625" o:spid="_x0000_s1033" type="#_x0000_t202" style="width:249.75pt;height:19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" filled="f" stroked="f">
                <v:textbox>
                  <w:txbxContent>
                    <w:p w14:paraId="6351AF30" w14:textId="5B2B9C16" w:rsidR="00E560B1" w:rsidRPr="00E560B1" w:rsidRDefault="00E560B1" w:rsidP="00AF46DB">
                      <w:pPr>
                        <w:spacing w:before="0"/>
                        <w:rPr>
                          <w:i/>
                          <w:iCs/>
                          <w:sz w:val="20"/>
                          <w:szCs w:val="20"/>
                        </w:rPr>
                      </w:pPr>
                      <w:r w:rsidRPr="00E560B1">
                        <w:rPr>
                          <w:i/>
                          <w:iCs/>
                          <w:sz w:val="20"/>
                          <w:szCs w:val="20"/>
                        </w:rPr>
                        <w:t xml:space="preserve">Staff said </w:t>
                      </w:r>
                      <w:r w:rsidR="00D65E0A">
                        <w:rPr>
                          <w:i/>
                          <w:iCs/>
                          <w:sz w:val="20"/>
                          <w:szCs w:val="20"/>
                        </w:rPr>
                        <w:t>“</w:t>
                      </w:r>
                      <w:r w:rsidRPr="00E560B1">
                        <w:rPr>
                          <w:i/>
                          <w:iCs/>
                          <w:sz w:val="20"/>
                          <w:szCs w:val="20"/>
                        </w:rPr>
                        <w:t xml:space="preserve">the quality of contacts has dramatically </w:t>
                      </w:r>
                      <w:r w:rsidR="001510C6" w:rsidRPr="00E560B1">
                        <w:rPr>
                          <w:i/>
                          <w:iCs/>
                          <w:sz w:val="20"/>
                          <w:szCs w:val="20"/>
                        </w:rPr>
                        <w:t>improved</w:t>
                      </w:r>
                      <w:r w:rsidR="00DE45CE">
                        <w:rPr>
                          <w:i/>
                          <w:iCs/>
                          <w:sz w:val="20"/>
                          <w:szCs w:val="20"/>
                        </w:rPr>
                        <w:t>,</w:t>
                      </w:r>
                      <w:r w:rsidRPr="00E560B1">
                        <w:rPr>
                          <w:i/>
                          <w:iCs/>
                          <w:sz w:val="20"/>
                          <w:szCs w:val="20"/>
                        </w:rPr>
                        <w:t xml:space="preserve"> </w:t>
                      </w:r>
                      <w:r w:rsidR="004B2590">
                        <w:rPr>
                          <w:i/>
                          <w:iCs/>
                          <w:sz w:val="20"/>
                          <w:szCs w:val="20"/>
                        </w:rPr>
                        <w:t>we</w:t>
                      </w:r>
                      <w:r w:rsidRPr="00E560B1">
                        <w:rPr>
                          <w:i/>
                          <w:iCs/>
                          <w:sz w:val="20"/>
                          <w:szCs w:val="20"/>
                        </w:rPr>
                        <w:t xml:space="preserve"> are seeing the right patient first time, rather than patients</w:t>
                      </w:r>
                      <w:r w:rsidR="004B2590">
                        <w:rPr>
                          <w:i/>
                          <w:iCs/>
                          <w:sz w:val="20"/>
                          <w:szCs w:val="20"/>
                        </w:rPr>
                        <w:t xml:space="preserve"> having </w:t>
                      </w:r>
                      <w:r w:rsidRPr="00E560B1">
                        <w:rPr>
                          <w:i/>
                          <w:iCs/>
                          <w:sz w:val="20"/>
                          <w:szCs w:val="20"/>
                        </w:rPr>
                        <w:t xml:space="preserve">multiple </w:t>
                      </w:r>
                      <w:r w:rsidR="00AF46DB">
                        <w:rPr>
                          <w:i/>
                          <w:iCs/>
                          <w:sz w:val="20"/>
                          <w:szCs w:val="20"/>
                        </w:rPr>
                        <w:t>contacts</w:t>
                      </w:r>
                      <w:r w:rsidR="00D65E0A">
                        <w:rPr>
                          <w:i/>
                          <w:iCs/>
                          <w:sz w:val="20"/>
                          <w:szCs w:val="20"/>
                        </w:rPr>
                        <w:t>”</w:t>
                      </w:r>
                      <w:r w:rsidRPr="00E560B1">
                        <w:rPr>
                          <w:i/>
                          <w:iCs/>
                          <w:sz w:val="20"/>
                          <w:szCs w:val="20"/>
                        </w:rPr>
                        <w:t>.</w:t>
                      </w:r>
                    </w:p>
                    <w:p w14:paraId="16BE0823" w14:textId="75456061" w:rsidR="00110E36" w:rsidRDefault="00DE45CE" w:rsidP="00E560B1">
                      <w:pPr>
                        <w:rPr>
                          <w:i/>
                          <w:iCs/>
                          <w:sz w:val="20"/>
                          <w:szCs w:val="20"/>
                        </w:rPr>
                      </w:pPr>
                      <w:r>
                        <w:rPr>
                          <w:i/>
                          <w:iCs/>
                          <w:sz w:val="20"/>
                          <w:szCs w:val="20"/>
                        </w:rPr>
                        <w:t>P</w:t>
                      </w:r>
                      <w:r w:rsidR="00E560B1" w:rsidRPr="00E560B1">
                        <w:rPr>
                          <w:i/>
                          <w:iCs/>
                          <w:sz w:val="20"/>
                          <w:szCs w:val="20"/>
                        </w:rPr>
                        <w:t>atient</w:t>
                      </w:r>
                      <w:r>
                        <w:rPr>
                          <w:i/>
                          <w:iCs/>
                          <w:sz w:val="20"/>
                          <w:szCs w:val="20"/>
                        </w:rPr>
                        <w:t>s said</w:t>
                      </w:r>
                      <w:r w:rsidR="00110E36">
                        <w:rPr>
                          <w:i/>
                          <w:iCs/>
                          <w:sz w:val="20"/>
                          <w:szCs w:val="20"/>
                        </w:rPr>
                        <w:t>:</w:t>
                      </w:r>
                      <w:r w:rsidR="00C73758">
                        <w:rPr>
                          <w:i/>
                          <w:iCs/>
                          <w:sz w:val="20"/>
                          <w:szCs w:val="20"/>
                        </w:rPr>
                        <w:t xml:space="preserve"> </w:t>
                      </w:r>
                      <w:r w:rsidR="00E560B1" w:rsidRPr="00DE45CE">
                        <w:rPr>
                          <w:i/>
                          <w:iCs/>
                          <w:sz w:val="20"/>
                          <w:szCs w:val="20"/>
                        </w:rPr>
                        <w:t xml:space="preserve"> </w:t>
                      </w:r>
                      <w:r w:rsidR="00D65E0A">
                        <w:rPr>
                          <w:i/>
                          <w:iCs/>
                          <w:sz w:val="20"/>
                          <w:szCs w:val="20"/>
                        </w:rPr>
                        <w:t>“</w:t>
                      </w:r>
                      <w:r w:rsidR="00E560B1" w:rsidRPr="00DE45CE">
                        <w:rPr>
                          <w:i/>
                          <w:iCs/>
                          <w:sz w:val="20"/>
                          <w:szCs w:val="20"/>
                        </w:rPr>
                        <w:t xml:space="preserve">The communication </w:t>
                      </w:r>
                      <w:r w:rsidR="00AF46DB">
                        <w:rPr>
                          <w:i/>
                          <w:iCs/>
                          <w:sz w:val="20"/>
                          <w:szCs w:val="20"/>
                        </w:rPr>
                        <w:t xml:space="preserve">between </w:t>
                      </w:r>
                      <w:r w:rsidR="00E560B1" w:rsidRPr="00DE45CE">
                        <w:rPr>
                          <w:i/>
                          <w:iCs/>
                          <w:sz w:val="20"/>
                          <w:szCs w:val="20"/>
                        </w:rPr>
                        <w:t xml:space="preserve">the administrative staff </w:t>
                      </w:r>
                      <w:r w:rsidR="00AF46DB">
                        <w:rPr>
                          <w:i/>
                          <w:iCs/>
                          <w:sz w:val="20"/>
                          <w:szCs w:val="20"/>
                        </w:rPr>
                        <w:t xml:space="preserve">&amp; me </w:t>
                      </w:r>
                      <w:r w:rsidR="00D514A5">
                        <w:rPr>
                          <w:i/>
                          <w:iCs/>
                          <w:sz w:val="20"/>
                          <w:szCs w:val="20"/>
                        </w:rPr>
                        <w:t>was</w:t>
                      </w:r>
                      <w:r w:rsidR="00E560B1" w:rsidRPr="00DE45CE">
                        <w:rPr>
                          <w:i/>
                          <w:iCs/>
                          <w:sz w:val="20"/>
                          <w:szCs w:val="20"/>
                        </w:rPr>
                        <w:t xml:space="preserve"> great. They explained the process clearly via the messaging system and sent me a booking link that morning with appointments at my local surgery.</w:t>
                      </w:r>
                      <w:r w:rsidR="00110E36">
                        <w:rPr>
                          <w:i/>
                          <w:iCs/>
                          <w:sz w:val="20"/>
                          <w:szCs w:val="20"/>
                        </w:rPr>
                        <w:t xml:space="preserve">”. </w:t>
                      </w:r>
                    </w:p>
                    <w:p w14:paraId="49A6A9CE" w14:textId="62CDEA24" w:rsidR="00E560B1" w:rsidRPr="008C423B" w:rsidRDefault="006F1755" w:rsidP="00E560B1">
                      <w:pPr>
                        <w:rPr>
                          <w:i/>
                          <w:iCs/>
                          <w:sz w:val="20"/>
                          <w:szCs w:val="20"/>
                        </w:rPr>
                      </w:pPr>
                      <w:r>
                        <w:rPr>
                          <w:i/>
                          <w:iCs/>
                          <w:sz w:val="20"/>
                          <w:szCs w:val="20"/>
                        </w:rPr>
                        <w:t>“</w:t>
                      </w:r>
                      <w:r w:rsidR="00E560B1" w:rsidRPr="008C423B">
                        <w:rPr>
                          <w:i/>
                          <w:iCs/>
                          <w:sz w:val="20"/>
                          <w:szCs w:val="20"/>
                        </w:rPr>
                        <w:t>I used to dread being on hold for 40 minutes</w:t>
                      </w:r>
                      <w:r w:rsidR="008C423B">
                        <w:rPr>
                          <w:i/>
                          <w:iCs/>
                          <w:sz w:val="20"/>
                          <w:szCs w:val="20"/>
                        </w:rPr>
                        <w:t>…</w:t>
                      </w:r>
                      <w:r w:rsidR="00E560B1" w:rsidRPr="008C423B">
                        <w:rPr>
                          <w:i/>
                          <w:iCs/>
                          <w:sz w:val="20"/>
                          <w:szCs w:val="20"/>
                        </w:rPr>
                        <w:t xml:space="preserve"> </w:t>
                      </w:r>
                      <w:r w:rsidR="008C423B">
                        <w:rPr>
                          <w:i/>
                          <w:iCs/>
                          <w:sz w:val="20"/>
                          <w:szCs w:val="20"/>
                        </w:rPr>
                        <w:t>[it]</w:t>
                      </w:r>
                      <w:r w:rsidR="00E560B1" w:rsidRPr="008C423B">
                        <w:rPr>
                          <w:i/>
                          <w:iCs/>
                          <w:sz w:val="20"/>
                          <w:szCs w:val="20"/>
                        </w:rPr>
                        <w:t xml:space="preserve"> takes 30 seconds to use - I had to book to have stitches out and had an appointment within 10 minutes of my </w:t>
                      </w:r>
                      <w:r w:rsidR="006139E9" w:rsidRPr="008C423B">
                        <w:rPr>
                          <w:i/>
                          <w:iCs/>
                          <w:sz w:val="20"/>
                          <w:szCs w:val="20"/>
                        </w:rPr>
                        <w:t>request and</w:t>
                      </w:r>
                      <w:r w:rsidR="00E560B1" w:rsidRPr="008C423B">
                        <w:rPr>
                          <w:i/>
                          <w:iCs/>
                          <w:sz w:val="20"/>
                          <w:szCs w:val="20"/>
                        </w:rPr>
                        <w:t xml:space="preserve"> had to book 2 appointments for my son and he was seen an hour later. Really lovely nurse and doctor in both cases</w:t>
                      </w:r>
                      <w:r w:rsidR="00D65E0A">
                        <w:rPr>
                          <w:i/>
                          <w:iCs/>
                          <w:sz w:val="20"/>
                          <w:szCs w:val="20"/>
                        </w:rPr>
                        <w:t>”.</w:t>
                      </w:r>
                    </w:p>
                  </w:txbxContent>
                </v:textbox>
                <w10:anchorlock/>
              </v:shape>
            </w:pict>
          </mc:Fallback>
        </mc:AlternateContent>
      </w:r>
    </w:p>
    <w:p w14:paraId="33EDFFEE" w14:textId="0C1D38DC" w:rsidR="00620ADA" w:rsidRPr="00485190" w:rsidRDefault="00620ADA" w:rsidP="00620ADA">
      <w:pPr>
        <w:rPr>
          <w:rFonts w:cs="Arial"/>
          <w:b/>
        </w:rPr>
      </w:pPr>
      <w:r w:rsidRPr="7280C4B4">
        <w:rPr>
          <w:rFonts w:cs="Arial"/>
          <w:b/>
        </w:rPr>
        <w:t xml:space="preserve">Improving </w:t>
      </w:r>
      <w:r w:rsidR="187F05BC" w:rsidRPr="7280C4B4">
        <w:rPr>
          <w:rFonts w:cs="Arial"/>
          <w:b/>
          <w:bCs/>
        </w:rPr>
        <w:t>d</w:t>
      </w:r>
      <w:r w:rsidRPr="7280C4B4">
        <w:rPr>
          <w:rFonts w:cs="Arial"/>
          <w:b/>
          <w:bCs/>
        </w:rPr>
        <w:t xml:space="preserve">ental </w:t>
      </w:r>
      <w:r w:rsidR="22AB2E87" w:rsidRPr="7280C4B4">
        <w:rPr>
          <w:rFonts w:cs="Arial"/>
          <w:b/>
          <w:bCs/>
        </w:rPr>
        <w:t>s</w:t>
      </w:r>
      <w:r w:rsidRPr="7280C4B4">
        <w:rPr>
          <w:rFonts w:cs="Arial"/>
          <w:b/>
        </w:rPr>
        <w:t>ervices</w:t>
      </w:r>
    </w:p>
    <w:p w14:paraId="6973E1E0" w14:textId="307E6DF8" w:rsidR="00B46743" w:rsidRDefault="00620ADA" w:rsidP="00620ADA">
      <w:pPr>
        <w:rPr>
          <w:rFonts w:cs="Arial"/>
        </w:rPr>
      </w:pPr>
      <w:r w:rsidRPr="7853A591">
        <w:rPr>
          <w:rFonts w:cs="Arial"/>
        </w:rPr>
        <w:t>In April 2023, the ICB was delegated the responsibility for the commissioning of pharmacy, optometry</w:t>
      </w:r>
      <w:r w:rsidR="00046DD6">
        <w:rPr>
          <w:rFonts w:cs="Arial"/>
        </w:rPr>
        <w:t>,</w:t>
      </w:r>
      <w:r w:rsidRPr="7853A591">
        <w:rPr>
          <w:rFonts w:cs="Arial"/>
        </w:rPr>
        <w:t xml:space="preserve"> and dental services. The ICB is keen to ensure that this new responsibility allows us to better serve our population. Within dental services, we have implemented two key pilot service developments. Firstly, we have worked closely with practice</w:t>
      </w:r>
      <w:r w:rsidR="00B46743" w:rsidRPr="7853A591">
        <w:rPr>
          <w:rFonts w:cs="Arial"/>
        </w:rPr>
        <w:t>s</w:t>
      </w:r>
      <w:r w:rsidRPr="7853A591">
        <w:rPr>
          <w:rFonts w:cs="Arial"/>
        </w:rPr>
        <w:t xml:space="preserve"> across our geography to offer improved access for people presenting with urgent dental needs.</w:t>
      </w:r>
      <w:r w:rsidR="00B46743" w:rsidRPr="7853A591">
        <w:rPr>
          <w:rFonts w:cs="Arial"/>
        </w:rPr>
        <w:t xml:space="preserve">  Approximately 10,000 residents have already benefitted, as w</w:t>
      </w:r>
      <w:r w:rsidRPr="7853A591">
        <w:rPr>
          <w:rFonts w:cs="Arial"/>
        </w:rPr>
        <w:t xml:space="preserve">e have commissioned additional capacity at weekends, weekday evenings and </w:t>
      </w:r>
      <w:r w:rsidR="00AB5776">
        <w:rPr>
          <w:rFonts w:cs="Arial"/>
        </w:rPr>
        <w:t>on</w:t>
      </w:r>
      <w:r w:rsidRPr="7853A591">
        <w:rPr>
          <w:rFonts w:cs="Arial"/>
        </w:rPr>
        <w:t xml:space="preserve"> bank holidays to enable quicker access to services. We have recently fully integrated this service with </w:t>
      </w:r>
      <w:r w:rsidR="00342A93">
        <w:rPr>
          <w:rFonts w:cs="Arial"/>
        </w:rPr>
        <w:t>NHS</w:t>
      </w:r>
      <w:r w:rsidRPr="7853A591">
        <w:rPr>
          <w:rFonts w:cs="Arial"/>
        </w:rPr>
        <w:t xml:space="preserve">111 and our hospital emergency departments. </w:t>
      </w:r>
    </w:p>
    <w:p w14:paraId="4B60341D" w14:textId="7D4D955D" w:rsidR="00B46743" w:rsidRDefault="00620ADA" w:rsidP="00620ADA">
      <w:pPr>
        <w:rPr>
          <w:rFonts w:cs="Arial"/>
          <w:szCs w:val="24"/>
        </w:rPr>
      </w:pPr>
      <w:r w:rsidRPr="00620ADA">
        <w:rPr>
          <w:rFonts w:cs="Arial"/>
          <w:szCs w:val="24"/>
        </w:rPr>
        <w:t>The second key pilot has seen us link dental practices with care homes to ensure that the oral health needs of our older people</w:t>
      </w:r>
      <w:r w:rsidR="00B46743">
        <w:rPr>
          <w:rFonts w:cs="Arial"/>
          <w:szCs w:val="24"/>
        </w:rPr>
        <w:t xml:space="preserve"> within</w:t>
      </w:r>
      <w:r w:rsidRPr="00620ADA">
        <w:rPr>
          <w:rFonts w:cs="Arial"/>
          <w:szCs w:val="24"/>
        </w:rPr>
        <w:t xml:space="preserve"> care homes are better provided for. This pilot is already having enormous impact for many patients that have received </w:t>
      </w:r>
      <w:r w:rsidR="00B46743">
        <w:rPr>
          <w:rFonts w:cs="Arial"/>
          <w:szCs w:val="24"/>
        </w:rPr>
        <w:t>the</w:t>
      </w:r>
      <w:r w:rsidRPr="00620ADA">
        <w:rPr>
          <w:rFonts w:cs="Arial"/>
          <w:szCs w:val="24"/>
        </w:rPr>
        <w:t xml:space="preserve"> service. The dental practices work with the care home staff to provide advice on how they can support their residents in improving oral health. </w:t>
      </w:r>
      <w:r w:rsidR="00B46743">
        <w:rPr>
          <w:rFonts w:cs="Arial"/>
          <w:szCs w:val="24"/>
        </w:rPr>
        <w:t>All 8,417 care home beds are covered by the scheme</w:t>
      </w:r>
      <w:r w:rsidR="005C77D1">
        <w:rPr>
          <w:rFonts w:cs="Arial"/>
          <w:szCs w:val="24"/>
        </w:rPr>
        <w:t>,</w:t>
      </w:r>
      <w:r w:rsidR="00B46743">
        <w:rPr>
          <w:rFonts w:cs="Arial"/>
          <w:szCs w:val="24"/>
        </w:rPr>
        <w:t xml:space="preserve"> and w</w:t>
      </w:r>
      <w:r w:rsidRPr="00620ADA">
        <w:rPr>
          <w:rFonts w:cs="Arial"/>
          <w:szCs w:val="24"/>
        </w:rPr>
        <w:t xml:space="preserve">e will look to publish the outcome of this pilot in </w:t>
      </w:r>
      <w:r w:rsidR="00B46743">
        <w:rPr>
          <w:rFonts w:cs="Arial"/>
          <w:szCs w:val="24"/>
        </w:rPr>
        <w:t>20</w:t>
      </w:r>
      <w:r w:rsidRPr="00620ADA">
        <w:rPr>
          <w:rFonts w:cs="Arial"/>
          <w:szCs w:val="24"/>
        </w:rPr>
        <w:t xml:space="preserve">24/25. </w:t>
      </w:r>
    </w:p>
    <w:p w14:paraId="5A9F9164" w14:textId="44A658CD" w:rsidR="00E547D0" w:rsidRDefault="00620ADA" w:rsidP="00620ADA">
      <w:pPr>
        <w:rPr>
          <w:rFonts w:cs="Arial"/>
          <w:szCs w:val="24"/>
        </w:rPr>
      </w:pPr>
      <w:r w:rsidRPr="00620ADA">
        <w:rPr>
          <w:rFonts w:cs="Arial"/>
          <w:szCs w:val="24"/>
        </w:rPr>
        <w:t>Alongside these developments, we have also increased the overall capacity of dental services locally</w:t>
      </w:r>
      <w:r w:rsidR="00B46743">
        <w:rPr>
          <w:rFonts w:cs="Arial"/>
          <w:szCs w:val="24"/>
        </w:rPr>
        <w:t>,</w:t>
      </w:r>
      <w:r w:rsidRPr="00620ADA">
        <w:rPr>
          <w:rFonts w:cs="Arial"/>
          <w:szCs w:val="24"/>
        </w:rPr>
        <w:t xml:space="preserve"> although we recognise that there </w:t>
      </w:r>
      <w:r w:rsidR="00B46743" w:rsidRPr="00620ADA">
        <w:rPr>
          <w:rFonts w:cs="Arial"/>
          <w:szCs w:val="24"/>
        </w:rPr>
        <w:t>are</w:t>
      </w:r>
      <w:r w:rsidRPr="00620ADA">
        <w:rPr>
          <w:rFonts w:cs="Arial"/>
          <w:szCs w:val="24"/>
        </w:rPr>
        <w:t xml:space="preserve"> still improvements to be made. During the latter part of the year, we </w:t>
      </w:r>
      <w:r w:rsidR="00B46743">
        <w:rPr>
          <w:rFonts w:cs="Arial"/>
          <w:szCs w:val="24"/>
        </w:rPr>
        <w:t>carried out</w:t>
      </w:r>
      <w:r w:rsidRPr="00620ADA">
        <w:rPr>
          <w:rFonts w:cs="Arial"/>
          <w:szCs w:val="24"/>
        </w:rPr>
        <w:t xml:space="preserve"> additional work to reduce the waiting times for orthodontic services locally. We have ambitious plans that we look to implement in </w:t>
      </w:r>
      <w:r w:rsidR="00B46743">
        <w:rPr>
          <w:rFonts w:cs="Arial"/>
          <w:szCs w:val="24"/>
        </w:rPr>
        <w:t>20</w:t>
      </w:r>
      <w:r w:rsidRPr="00620ADA">
        <w:rPr>
          <w:rFonts w:cs="Arial"/>
          <w:szCs w:val="24"/>
        </w:rPr>
        <w:t>24/25.</w:t>
      </w:r>
    </w:p>
    <w:p w14:paraId="713D5C88" w14:textId="702F68A7" w:rsidR="00336F58" w:rsidRPr="003502BA" w:rsidRDefault="00336F58" w:rsidP="00620ADA">
      <w:pPr>
        <w:rPr>
          <w:rFonts w:cs="Arial"/>
          <w:b/>
        </w:rPr>
      </w:pPr>
      <w:r w:rsidRPr="003502BA">
        <w:rPr>
          <w:rFonts w:cs="Arial"/>
          <w:b/>
        </w:rPr>
        <w:t>Optometry</w:t>
      </w:r>
    </w:p>
    <w:p w14:paraId="3E86B2AF" w14:textId="7356093C" w:rsidR="00336F58" w:rsidRDefault="003502BA" w:rsidP="00620ADA">
      <w:pPr>
        <w:rPr>
          <w:rFonts w:cs="Arial"/>
          <w:szCs w:val="24"/>
        </w:rPr>
      </w:pPr>
      <w:r w:rsidRPr="003502BA">
        <w:rPr>
          <w:rFonts w:cs="Arial"/>
          <w:szCs w:val="24"/>
        </w:rPr>
        <w:t xml:space="preserve">In our first year of the delegation of optometry services, the ICB has sought to further develop the already established relationship with the Local Optometry Committee to further develop ophthalmology services across </w:t>
      </w:r>
      <w:r w:rsidR="00471C4B">
        <w:rPr>
          <w:rFonts w:cs="Arial"/>
          <w:szCs w:val="24"/>
        </w:rPr>
        <w:t>MSE</w:t>
      </w:r>
      <w:r w:rsidRPr="003502BA">
        <w:rPr>
          <w:rFonts w:cs="Arial"/>
          <w:szCs w:val="24"/>
        </w:rPr>
        <w:t xml:space="preserve">. Optometry already plays an important role within the ICB’s Ophthalmology Transformation programme. Representatives from the Local Optometry Committee have become members of the </w:t>
      </w:r>
      <w:r w:rsidRPr="003502BA">
        <w:rPr>
          <w:rFonts w:cs="Arial"/>
          <w:szCs w:val="24"/>
        </w:rPr>
        <w:lastRenderedPageBreak/>
        <w:t xml:space="preserve">ICB’s Primary Care Commissioning Committee and as such have helped inform how optometry services can support the wider ambitions for recovery access to primary care services. Our Connected Pathways team continue to promote services and pathways to make local optometry providers the first point of contact for eye problems in </w:t>
      </w:r>
      <w:r w:rsidR="00471C4B">
        <w:rPr>
          <w:rFonts w:cs="Arial"/>
          <w:szCs w:val="24"/>
        </w:rPr>
        <w:t>MSE</w:t>
      </w:r>
      <w:r w:rsidRPr="003502BA">
        <w:rPr>
          <w:rFonts w:cs="Arial"/>
          <w:szCs w:val="24"/>
        </w:rPr>
        <w:t>.</w:t>
      </w:r>
    </w:p>
    <w:p w14:paraId="669FE966" w14:textId="14F3A5CE" w:rsidR="00525E12" w:rsidRDefault="00525E12" w:rsidP="00620ADA">
      <w:pPr>
        <w:rPr>
          <w:rFonts w:cs="Arial"/>
          <w:szCs w:val="24"/>
        </w:rPr>
      </w:pPr>
      <w:r w:rsidRPr="00525E12">
        <w:rPr>
          <w:rFonts w:cs="Arial"/>
          <w:szCs w:val="24"/>
        </w:rPr>
        <w:t xml:space="preserve">A diagnostic hub was opened in February 2024 in Orsett to enable remote technician-led diagnostic imaging for glaucoma and medical retina, with remote assessment by clinicians in the hospital. This was modelled on the Moorfields Brent Cross hub. This is now operational and working well. Another community based diagnostic hub is scheduled for July 2024 </w:t>
      </w:r>
      <w:r w:rsidR="006D2D76" w:rsidRPr="00525E12">
        <w:rPr>
          <w:rFonts w:cs="Arial"/>
          <w:szCs w:val="24"/>
        </w:rPr>
        <w:t>to</w:t>
      </w:r>
      <w:r w:rsidRPr="00525E12">
        <w:rPr>
          <w:rFonts w:cs="Arial"/>
          <w:szCs w:val="24"/>
        </w:rPr>
        <w:t xml:space="preserve"> further support ophthalmology and timely treatment</w:t>
      </w:r>
      <w:r>
        <w:rPr>
          <w:rFonts w:cs="Arial"/>
          <w:szCs w:val="24"/>
        </w:rPr>
        <w:t>.</w:t>
      </w:r>
      <w:r w:rsidR="006D03EC" w:rsidRPr="006D03EC">
        <w:rPr>
          <w:rFonts w:eastAsia="Times New Roman"/>
        </w:rPr>
        <w:t xml:space="preserve"> </w:t>
      </w:r>
      <w:r w:rsidR="006D03EC">
        <w:rPr>
          <w:rFonts w:eastAsia="Times New Roman"/>
        </w:rPr>
        <w:t xml:space="preserve">Due diligence must be carried out to ensure that evidence is available before any extra activity on single point of </w:t>
      </w:r>
      <w:r w:rsidR="00596806">
        <w:rPr>
          <w:rFonts w:eastAsia="Times New Roman"/>
        </w:rPr>
        <w:t>access,</w:t>
      </w:r>
      <w:r w:rsidR="006D03EC">
        <w:rPr>
          <w:rFonts w:eastAsia="Times New Roman"/>
        </w:rPr>
        <w:t xml:space="preserve"> or any other optometry-led pathways are actioned. </w:t>
      </w:r>
    </w:p>
    <w:p w14:paraId="5CE53936" w14:textId="345E69BA" w:rsidR="00336F58" w:rsidRPr="003502BA" w:rsidRDefault="00336F58" w:rsidP="00620ADA">
      <w:pPr>
        <w:rPr>
          <w:rFonts w:cs="Arial"/>
          <w:b/>
        </w:rPr>
      </w:pPr>
      <w:r w:rsidRPr="003502BA">
        <w:rPr>
          <w:rFonts w:cs="Arial"/>
          <w:b/>
        </w:rPr>
        <w:t>Community Pharmacy</w:t>
      </w:r>
    </w:p>
    <w:p w14:paraId="6ABD8D95" w14:textId="77777777" w:rsidR="00152425" w:rsidRPr="00620ADA" w:rsidRDefault="00152425" w:rsidP="00152425">
      <w:pPr>
        <w:rPr>
          <w:rFonts w:cs="Arial"/>
          <w:szCs w:val="24"/>
        </w:rPr>
      </w:pPr>
      <w:r w:rsidRPr="00620ADA">
        <w:rPr>
          <w:rFonts w:cs="Arial"/>
          <w:szCs w:val="24"/>
        </w:rPr>
        <w:t xml:space="preserve">Community </w:t>
      </w:r>
      <w:r>
        <w:rPr>
          <w:rFonts w:cs="Arial"/>
          <w:szCs w:val="24"/>
        </w:rPr>
        <w:t>p</w:t>
      </w:r>
      <w:r w:rsidRPr="00620ADA">
        <w:rPr>
          <w:rFonts w:cs="Arial"/>
          <w:szCs w:val="24"/>
        </w:rPr>
        <w:t xml:space="preserve">harmacies across </w:t>
      </w:r>
      <w:r>
        <w:rPr>
          <w:rFonts w:cs="Arial"/>
          <w:szCs w:val="24"/>
        </w:rPr>
        <w:t xml:space="preserve">MSE </w:t>
      </w:r>
      <w:r w:rsidRPr="00620ADA">
        <w:rPr>
          <w:rFonts w:cs="Arial"/>
          <w:szCs w:val="24"/>
        </w:rPr>
        <w:t>have continued to play a vital role in the delivery of NHS services. This role has been further enhanced through the roll out of Pharmacy First</w:t>
      </w:r>
      <w:r>
        <w:rPr>
          <w:rFonts w:cs="Arial"/>
          <w:szCs w:val="24"/>
        </w:rPr>
        <w:t>,</w:t>
      </w:r>
      <w:r w:rsidRPr="00620ADA">
        <w:rPr>
          <w:rFonts w:cs="Arial"/>
          <w:szCs w:val="24"/>
        </w:rPr>
        <w:t xml:space="preserve"> a national initiative that sees pharmacies able to provide interventions for specific presenting conditions such as insect bites and other common ailments. Almost all community pharmacies have embraced this opportunity and we expect to see this become a core part of their offer going forwards.</w:t>
      </w:r>
    </w:p>
    <w:p w14:paraId="28D8C3CC" w14:textId="66DAEA17" w:rsidR="00336F58" w:rsidRPr="0045397B" w:rsidRDefault="0045397B" w:rsidP="00620ADA">
      <w:pPr>
        <w:rPr>
          <w:rFonts w:ascii="Calibri" w:hAnsi="Calibri"/>
          <w:sz w:val="22"/>
        </w:rPr>
      </w:pPr>
      <w:r>
        <w:t xml:space="preserve">Alongside this development, the Local Pharmaceutical Committee are now represented on the ICB’s Primary Care Commissioning Committee. This engagement is ensuring that community pharmacy will play a key role in primary care access recovery and the delivery of the </w:t>
      </w:r>
      <w:r w:rsidR="00CE2CBD">
        <w:t>longer-term</w:t>
      </w:r>
      <w:r>
        <w:t xml:space="preserve"> primary care strategy that will be published in 2024/25. </w:t>
      </w:r>
    </w:p>
    <w:p w14:paraId="0FC13266" w14:textId="293FCE4A" w:rsidR="00241844" w:rsidRPr="00F22A85" w:rsidRDefault="00C67322" w:rsidP="00241844">
      <w:pPr>
        <w:pStyle w:val="Heading2"/>
      </w:pPr>
      <w:bookmarkStart w:id="27" w:name="_Toc164814819"/>
      <w:bookmarkStart w:id="28" w:name="_Toc164814880"/>
      <w:r>
        <w:t>Place based a</w:t>
      </w:r>
      <w:r w:rsidR="00241844">
        <w:t>lliances</w:t>
      </w:r>
      <w:bookmarkEnd w:id="27"/>
      <w:bookmarkEnd w:id="28"/>
    </w:p>
    <w:p w14:paraId="64AFD0F4" w14:textId="1EE237D4" w:rsidR="00C46A23" w:rsidRDefault="00C46A23" w:rsidP="00C46A23">
      <w:r>
        <w:t xml:space="preserve">The strength of work at a local level is demonstrated by the partnerships formed by our place based local alliances, Basildon &amp; Brentwood Alliance, Mid Essex Alliance, </w:t>
      </w:r>
      <w:bookmarkStart w:id="29" w:name="_Int_b62kQYNM"/>
      <w:r>
        <w:t>South East</w:t>
      </w:r>
      <w:bookmarkEnd w:id="29"/>
      <w:r>
        <w:t xml:space="preserve"> Essex</w:t>
      </w:r>
      <w:r w:rsidR="005E0CE8">
        <w:t xml:space="preserve"> (SEE)</w:t>
      </w:r>
      <w:r>
        <w:t xml:space="preserve"> Alliance and Thurrock Alliance.  The four alliances bring partners across health, social care, the voluntary</w:t>
      </w:r>
      <w:r w:rsidR="00924BA9">
        <w:t>,</w:t>
      </w:r>
      <w:r>
        <w:t xml:space="preserve"> community, faith</w:t>
      </w:r>
      <w:r w:rsidR="00046DD6">
        <w:t>,</w:t>
      </w:r>
      <w:r>
        <w:t xml:space="preserve"> and social enterprise (VCFSE) sectors together with local communities to support asset-based approaches.</w:t>
      </w:r>
      <w:r w:rsidR="00A44B5A">
        <w:t xml:space="preserve">  Alliance health inequality programmes have supported grants for more than 100 funded initiatives engaging our VCFSE partners aimed at narrowing the gaps in health inequalities across our neighbourhoods with projects that increased foodbank provision, provided cost of living resources, supported unpaid carers, care home staff resilience, mental health support through green initiatives, children’s supervised toothbrushing and many more.</w:t>
      </w:r>
    </w:p>
    <w:p w14:paraId="667AFBB4" w14:textId="77777777" w:rsidR="00D27914" w:rsidRDefault="00D27914">
      <w:pPr>
        <w:spacing w:before="0" w:after="200" w:line="276" w:lineRule="auto"/>
        <w:rPr>
          <w:b/>
          <w:bCs/>
          <w:color w:val="005EB8"/>
          <w:sz w:val="22"/>
        </w:rPr>
      </w:pPr>
      <w:r>
        <w:rPr>
          <w:b/>
          <w:bCs/>
          <w:color w:val="005EB8"/>
          <w:sz w:val="22"/>
        </w:rPr>
        <w:br w:type="page"/>
      </w:r>
    </w:p>
    <w:p w14:paraId="40D7FFB2" w14:textId="4C3D4B35" w:rsidR="00A44B5A" w:rsidRPr="00261D42" w:rsidRDefault="00A44B5A" w:rsidP="008D2ADE">
      <w:pPr>
        <w:spacing w:before="0" w:after="200" w:line="276" w:lineRule="auto"/>
        <w:rPr>
          <w:b/>
          <w:bCs/>
          <w:color w:val="005EB8"/>
          <w:sz w:val="22"/>
        </w:rPr>
      </w:pPr>
      <w:r w:rsidRPr="00261D42">
        <w:rPr>
          <w:b/>
          <w:bCs/>
          <w:color w:val="005EB8"/>
          <w:sz w:val="22"/>
        </w:rPr>
        <w:lastRenderedPageBreak/>
        <w:t xml:space="preserve">Case </w:t>
      </w:r>
      <w:r w:rsidR="0E0E5D8B" w:rsidRPr="0CCD4920">
        <w:rPr>
          <w:b/>
          <w:bCs/>
          <w:color w:val="005EB8"/>
          <w:sz w:val="22"/>
        </w:rPr>
        <w:t>s</w:t>
      </w:r>
      <w:r w:rsidRPr="00261D42">
        <w:rPr>
          <w:b/>
          <w:bCs/>
          <w:color w:val="005EB8"/>
          <w:sz w:val="22"/>
        </w:rPr>
        <w:t xml:space="preserve">tudy: </w:t>
      </w:r>
      <w:r w:rsidR="00C93A5A">
        <w:rPr>
          <w:b/>
          <w:bCs/>
          <w:color w:val="005EB8"/>
          <w:sz w:val="22"/>
        </w:rPr>
        <w:t>P</w:t>
      </w:r>
      <w:r>
        <w:rPr>
          <w:b/>
          <w:bCs/>
          <w:color w:val="005EB8"/>
          <w:sz w:val="22"/>
        </w:rPr>
        <w:t>opulation health improvement – greening Southend</w:t>
      </w:r>
    </w:p>
    <w:p w14:paraId="5B84905E" w14:textId="6F303F67" w:rsidR="00A44B5A" w:rsidRDefault="00A44B5A" w:rsidP="00C46A23">
      <w:r w:rsidRPr="00A44B5A">
        <w:rPr>
          <w:noProof/>
        </w:rPr>
        <w:drawing>
          <wp:inline distT="0" distB="0" distL="0" distR="0" wp14:anchorId="17200149" wp14:editId="23435BAB">
            <wp:extent cx="2686929" cy="2512060"/>
            <wp:effectExtent l="0" t="0" r="0" b="2540"/>
            <wp:docPr id="3074" name="Picture 3074" descr="KIDs Southend VIC">
              <a:extLst xmlns:a="http://schemas.openxmlformats.org/drawingml/2006/main">
                <a:ext uri="{FF2B5EF4-FFF2-40B4-BE49-F238E27FC236}">
                  <a16:creationId xmlns:a16="http://schemas.microsoft.com/office/drawing/2014/main" id="{9F77874B-4364-A96D-B4F5-7B70D1D629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KIDs Southend VIC">
                      <a:extLst>
                        <a:ext uri="{FF2B5EF4-FFF2-40B4-BE49-F238E27FC236}">
                          <a16:creationId xmlns:a16="http://schemas.microsoft.com/office/drawing/2014/main" id="{9F77874B-4364-A96D-B4F5-7B70D1D629E0}"/>
                        </a:ext>
                      </a:extLst>
                    </pic:cNvPr>
                    <pic:cNvPicPr>
                      <a:picLocks noChangeAspect="1" noChangeArrowheads="1"/>
                    </pic:cNvPicPr>
                  </pic:nvPicPr>
                  <pic:blipFill rotWithShape="1">
                    <a:blip r:embed="rId29">
                      <a:extLst>
                        <a:ext uri="{28A0092B-C50C-407E-A947-70E740481C1C}">
                          <a14:useLocalDpi xmlns:a14="http://schemas.microsoft.com/office/drawing/2010/main" val="0"/>
                        </a:ext>
                      </a:extLst>
                    </a:blip>
                    <a:srcRect l="8742" r="11947"/>
                    <a:stretch/>
                  </pic:blipFill>
                  <pic:spPr bwMode="auto">
                    <a:xfrm>
                      <a:off x="0" y="0"/>
                      <a:ext cx="2760885" cy="2581203"/>
                    </a:xfrm>
                    <a:prstGeom prst="rect">
                      <a:avLst/>
                    </a:prstGeom>
                    <a:noFill/>
                  </pic:spPr>
                </pic:pic>
              </a:graphicData>
            </a:graphic>
          </wp:inline>
        </w:drawing>
      </w:r>
      <w:r w:rsidRPr="00A44B5A">
        <w:rPr>
          <w:noProof/>
        </w:rPr>
        <w:t xml:space="preserve"> </w:t>
      </w:r>
      <w:r w:rsidRPr="00A44B5A">
        <w:rPr>
          <w:noProof/>
        </w:rPr>
        <mc:AlternateContent>
          <mc:Choice Requires="wps">
            <w:drawing>
              <wp:inline distT="0" distB="0" distL="0" distR="0" wp14:anchorId="3DA55CEB" wp14:editId="4E0E7EDD">
                <wp:extent cx="3193366" cy="2524125"/>
                <wp:effectExtent l="0" t="0" r="0" b="0"/>
                <wp:docPr id="54" name="Text Box 54"/>
                <wp:cNvGraphicFramePr/>
                <a:graphic xmlns:a="http://schemas.openxmlformats.org/drawingml/2006/main">
                  <a:graphicData uri="http://schemas.microsoft.com/office/word/2010/wordprocessingShape">
                    <wps:wsp>
                      <wps:cNvSpPr txBox="1"/>
                      <wps:spPr>
                        <a:xfrm>
                          <a:off x="0" y="0"/>
                          <a:ext cx="3193366" cy="2524125"/>
                        </a:xfrm>
                        <a:prstGeom prst="rect">
                          <a:avLst/>
                        </a:prstGeom>
                      </wps:spPr>
                      <wps:txbx>
                        <w:txbxContent>
                          <w:p w14:paraId="576DF3A1" w14:textId="09E7864C" w:rsidR="00A44B5A" w:rsidRPr="009F7A05" w:rsidRDefault="00A44B5A" w:rsidP="002F4B75">
                            <w:pPr>
                              <w:tabs>
                                <w:tab w:val="left" w:pos="275"/>
                              </w:tabs>
                              <w:spacing w:before="0" w:after="0" w:line="216" w:lineRule="auto"/>
                              <w:rPr>
                                <w:rFonts w:cs="Arial"/>
                                <w:color w:val="000000"/>
                                <w:kern w:val="24"/>
                                <w:sz w:val="20"/>
                                <w:szCs w:val="20"/>
                              </w:rPr>
                            </w:pPr>
                            <w:r w:rsidRPr="009F7A05">
                              <w:rPr>
                                <w:rFonts w:cs="Arial"/>
                                <w:color w:val="000000"/>
                                <w:kern w:val="24"/>
                                <w:sz w:val="20"/>
                                <w:szCs w:val="20"/>
                              </w:rPr>
                              <w:t>Greening Southend Queensway has been launched to improve outdoor green spaces and support the improvement of the communit</w:t>
                            </w:r>
                            <w:r w:rsidR="00DC6575">
                              <w:rPr>
                                <w:rFonts w:cs="Arial"/>
                                <w:color w:val="000000"/>
                                <w:kern w:val="24"/>
                                <w:sz w:val="20"/>
                                <w:szCs w:val="20"/>
                              </w:rPr>
                              <w:t>y’s</w:t>
                            </w:r>
                            <w:r w:rsidRPr="009F7A05">
                              <w:rPr>
                                <w:rFonts w:cs="Arial"/>
                                <w:color w:val="000000"/>
                                <w:kern w:val="24"/>
                                <w:sz w:val="20"/>
                                <w:szCs w:val="20"/>
                              </w:rPr>
                              <w:t xml:space="preserve"> health and care.</w:t>
                            </w:r>
                          </w:p>
                          <w:p w14:paraId="30284B5E" w14:textId="2C589A41" w:rsidR="009F7A05" w:rsidRDefault="00A44B5A" w:rsidP="009F7A05">
                            <w:pPr>
                              <w:tabs>
                                <w:tab w:val="left" w:pos="275"/>
                              </w:tabs>
                              <w:spacing w:after="0" w:line="216" w:lineRule="auto"/>
                              <w:rPr>
                                <w:rFonts w:cs="Arial"/>
                                <w:color w:val="000000"/>
                                <w:kern w:val="24"/>
                                <w:sz w:val="20"/>
                                <w:szCs w:val="20"/>
                              </w:rPr>
                            </w:pPr>
                            <w:r w:rsidRPr="009F7A05">
                              <w:rPr>
                                <w:rFonts w:cs="Arial"/>
                                <w:color w:val="000000"/>
                                <w:kern w:val="24"/>
                                <w:sz w:val="20"/>
                                <w:szCs w:val="20"/>
                              </w:rPr>
                              <w:t>The project, delivered by mental health and wellbeing charity </w:t>
                            </w:r>
                            <w:hyperlink r:id="rId30" w:history="1">
                              <w:r w:rsidRPr="009F7A05">
                                <w:rPr>
                                  <w:rFonts w:cs="Arial"/>
                                  <w:color w:val="6A2382"/>
                                  <w:kern w:val="24"/>
                                  <w:sz w:val="20"/>
                                  <w:szCs w:val="20"/>
                                </w:rPr>
                                <w:t>Trust Links</w:t>
                              </w:r>
                            </w:hyperlink>
                            <w:r w:rsidRPr="009F7A05">
                              <w:rPr>
                                <w:rFonts w:cs="Arial"/>
                                <w:color w:val="000000"/>
                                <w:kern w:val="24"/>
                                <w:sz w:val="20"/>
                                <w:szCs w:val="20"/>
                              </w:rPr>
                              <w:t> and funded by the SEE Alliance Health Inequalities grant funding give</w:t>
                            </w:r>
                            <w:r w:rsidR="009F7A05" w:rsidRPr="009F7A05">
                              <w:rPr>
                                <w:rFonts w:cs="Arial"/>
                                <w:color w:val="000000"/>
                                <w:kern w:val="24"/>
                                <w:sz w:val="20"/>
                                <w:szCs w:val="20"/>
                              </w:rPr>
                              <w:t>s</w:t>
                            </w:r>
                            <w:r w:rsidRPr="009F7A05">
                              <w:rPr>
                                <w:rFonts w:cs="Arial"/>
                                <w:color w:val="000000"/>
                                <w:kern w:val="24"/>
                                <w:sz w:val="20"/>
                                <w:szCs w:val="20"/>
                              </w:rPr>
                              <w:t xml:space="preserve"> people living in the Victoria Ward access to green spaces</w:t>
                            </w:r>
                            <w:r w:rsidR="009F7A05">
                              <w:rPr>
                                <w:rFonts w:cs="Arial"/>
                                <w:color w:val="000000"/>
                                <w:kern w:val="24"/>
                                <w:sz w:val="20"/>
                                <w:szCs w:val="20"/>
                              </w:rPr>
                              <w:t>.  As a coastal community it has been identified as having pockets of deprivation hidden amongst relative affluence and data shows residents have multi</w:t>
                            </w:r>
                            <w:r w:rsidR="00092E6F">
                              <w:rPr>
                                <w:rFonts w:cs="Arial"/>
                                <w:color w:val="000000"/>
                                <w:kern w:val="24"/>
                                <w:sz w:val="20"/>
                                <w:szCs w:val="20"/>
                              </w:rPr>
                              <w:t>ple</w:t>
                            </w:r>
                            <w:r w:rsidR="009F7A05">
                              <w:rPr>
                                <w:rFonts w:cs="Arial"/>
                                <w:color w:val="000000"/>
                                <w:kern w:val="24"/>
                                <w:sz w:val="20"/>
                                <w:szCs w:val="20"/>
                              </w:rPr>
                              <w:t xml:space="preserve"> health conditions such as sever</w:t>
                            </w:r>
                            <w:r w:rsidR="00092E6F">
                              <w:rPr>
                                <w:rFonts w:cs="Arial"/>
                                <w:color w:val="000000"/>
                                <w:kern w:val="24"/>
                                <w:sz w:val="20"/>
                                <w:szCs w:val="20"/>
                              </w:rPr>
                              <w:t>e</w:t>
                            </w:r>
                            <w:r w:rsidR="009F7A05">
                              <w:rPr>
                                <w:rFonts w:cs="Arial"/>
                                <w:color w:val="000000"/>
                                <w:kern w:val="24"/>
                                <w:sz w:val="20"/>
                                <w:szCs w:val="20"/>
                              </w:rPr>
                              <w:t xml:space="preserve"> mental illness and chronic obstructive pulmonary disease.</w:t>
                            </w:r>
                          </w:p>
                          <w:p w14:paraId="14E033DC" w14:textId="77777777" w:rsidR="00A44B5A" w:rsidRPr="009F7A05" w:rsidRDefault="009F7A05" w:rsidP="009F7A05">
                            <w:pPr>
                              <w:tabs>
                                <w:tab w:val="left" w:pos="275"/>
                              </w:tabs>
                              <w:spacing w:after="0" w:line="216" w:lineRule="auto"/>
                              <w:rPr>
                                <w:rFonts w:cs="Arial"/>
                                <w:color w:val="000000"/>
                                <w:kern w:val="24"/>
                                <w:sz w:val="20"/>
                                <w:szCs w:val="20"/>
                              </w:rPr>
                            </w:pPr>
                            <w:r>
                              <w:rPr>
                                <w:rFonts w:cs="Arial"/>
                                <w:color w:val="000000"/>
                                <w:kern w:val="24"/>
                                <w:sz w:val="20"/>
                                <w:szCs w:val="20"/>
                              </w:rPr>
                              <w:t xml:space="preserve">The project </w:t>
                            </w:r>
                            <w:r w:rsidR="00A44B5A" w:rsidRPr="009F7A05">
                              <w:rPr>
                                <w:rFonts w:cs="Arial"/>
                                <w:color w:val="000000"/>
                                <w:kern w:val="24"/>
                                <w:sz w:val="20"/>
                                <w:szCs w:val="20"/>
                              </w:rPr>
                              <w:t>get</w:t>
                            </w:r>
                            <w:r w:rsidRPr="009F7A05">
                              <w:rPr>
                                <w:rFonts w:cs="Arial"/>
                                <w:color w:val="000000"/>
                                <w:kern w:val="24"/>
                                <w:sz w:val="20"/>
                                <w:szCs w:val="20"/>
                              </w:rPr>
                              <w:t>s</w:t>
                            </w:r>
                            <w:r w:rsidR="00A44B5A" w:rsidRPr="009F7A05">
                              <w:rPr>
                                <w:rFonts w:cs="Arial"/>
                                <w:color w:val="000000"/>
                                <w:kern w:val="24"/>
                                <w:sz w:val="20"/>
                                <w:szCs w:val="20"/>
                              </w:rPr>
                              <w:t xml:space="preserve"> </w:t>
                            </w:r>
                            <w:r>
                              <w:rPr>
                                <w:rFonts w:cs="Arial"/>
                                <w:color w:val="000000"/>
                                <w:kern w:val="24"/>
                                <w:sz w:val="20"/>
                                <w:szCs w:val="20"/>
                              </w:rPr>
                              <w:t>residents</w:t>
                            </w:r>
                            <w:r w:rsidR="00A44B5A" w:rsidRPr="009F7A05">
                              <w:rPr>
                                <w:rFonts w:cs="Arial"/>
                                <w:color w:val="000000"/>
                                <w:kern w:val="24"/>
                                <w:sz w:val="20"/>
                                <w:szCs w:val="20"/>
                              </w:rPr>
                              <w:t xml:space="preserve"> involved in physical activities outside to improve their own communities, while improving residents’ mental and physical health, as well as decreasing social isolation.</w:t>
                            </w:r>
                            <w:r>
                              <w:rPr>
                                <w:rFonts w:cs="Arial"/>
                                <w:color w:val="000000"/>
                                <w:kern w:val="24"/>
                                <w:sz w:val="20"/>
                                <w:szCs w:val="20"/>
                              </w:rPr>
                              <w:t xml:space="preserve"> </w:t>
                            </w:r>
                          </w:p>
                        </w:txbxContent>
                      </wps:txbx>
                      <wps:bodyPr vert="horz" lIns="91440" tIns="45720" rIns="91440" bIns="45720" rtlCol="0">
                        <a:noAutofit/>
                      </wps:bodyPr>
                    </wps:wsp>
                  </a:graphicData>
                </a:graphic>
              </wp:inline>
            </w:drawing>
          </mc:Choice>
          <mc:Fallback>
            <w:pict>
              <v:shape w14:anchorId="3DA55CEB" id="Text Box 54" o:spid="_x0000_s1034" type="#_x0000_t202" style="width:251.45pt;height:19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" filled="f" stroked="f">
                <v:textbox>
                  <w:txbxContent>
                    <w:p w14:paraId="576DF3A1" w14:textId="09E7864C" w:rsidR="00A44B5A" w:rsidRPr="009F7A05" w:rsidRDefault="00A44B5A" w:rsidP="002F4B75">
                      <w:pPr>
                        <w:tabs>
                          <w:tab w:val="left" w:pos="275"/>
                        </w:tabs>
                        <w:spacing w:before="0" w:after="0" w:line="216" w:lineRule="auto"/>
                        <w:rPr>
                          <w:rFonts w:cs="Arial"/>
                          <w:color w:val="000000"/>
                          <w:kern w:val="24"/>
                          <w:sz w:val="20"/>
                          <w:szCs w:val="20"/>
                        </w:rPr>
                      </w:pPr>
                      <w:r w:rsidRPr="009F7A05">
                        <w:rPr>
                          <w:rFonts w:cs="Arial"/>
                          <w:color w:val="000000"/>
                          <w:kern w:val="24"/>
                          <w:sz w:val="20"/>
                          <w:szCs w:val="20"/>
                        </w:rPr>
                        <w:t>Greening Southend Queensway has been launched to improve outdoor green spaces and support the improvement of the communit</w:t>
                      </w:r>
                      <w:r w:rsidR="00DC6575">
                        <w:rPr>
                          <w:rFonts w:cs="Arial"/>
                          <w:color w:val="000000"/>
                          <w:kern w:val="24"/>
                          <w:sz w:val="20"/>
                          <w:szCs w:val="20"/>
                        </w:rPr>
                        <w:t>y’s</w:t>
                      </w:r>
                      <w:r w:rsidRPr="009F7A05">
                        <w:rPr>
                          <w:rFonts w:cs="Arial"/>
                          <w:color w:val="000000"/>
                          <w:kern w:val="24"/>
                          <w:sz w:val="20"/>
                          <w:szCs w:val="20"/>
                        </w:rPr>
                        <w:t xml:space="preserve"> health and care.</w:t>
                      </w:r>
                    </w:p>
                    <w:p w14:paraId="30284B5E" w14:textId="2C589A41" w:rsidR="009F7A05" w:rsidRDefault="00A44B5A" w:rsidP="009F7A05">
                      <w:pPr>
                        <w:tabs>
                          <w:tab w:val="left" w:pos="275"/>
                        </w:tabs>
                        <w:spacing w:after="0" w:line="216" w:lineRule="auto"/>
                        <w:rPr>
                          <w:rFonts w:cs="Arial"/>
                          <w:color w:val="000000"/>
                          <w:kern w:val="24"/>
                          <w:sz w:val="20"/>
                          <w:szCs w:val="20"/>
                        </w:rPr>
                      </w:pPr>
                      <w:r w:rsidRPr="009F7A05">
                        <w:rPr>
                          <w:rFonts w:cs="Arial"/>
                          <w:color w:val="000000"/>
                          <w:kern w:val="24"/>
                          <w:sz w:val="20"/>
                          <w:szCs w:val="20"/>
                        </w:rPr>
                        <w:t>The project, delivered by mental health and wellbeing charity </w:t>
                      </w:r>
                      <w:hyperlink r:id="rId31" w:history="1">
                        <w:r w:rsidRPr="009F7A05">
                          <w:rPr>
                            <w:rFonts w:cs="Arial"/>
                            <w:color w:val="6A2382"/>
                            <w:kern w:val="24"/>
                            <w:sz w:val="20"/>
                            <w:szCs w:val="20"/>
                          </w:rPr>
                          <w:t>Trust Links</w:t>
                        </w:r>
                      </w:hyperlink>
                      <w:r w:rsidRPr="009F7A05">
                        <w:rPr>
                          <w:rFonts w:cs="Arial"/>
                          <w:color w:val="000000"/>
                          <w:kern w:val="24"/>
                          <w:sz w:val="20"/>
                          <w:szCs w:val="20"/>
                        </w:rPr>
                        <w:t> and funded by the SEE Alliance Health Inequalities grant funding give</w:t>
                      </w:r>
                      <w:r w:rsidR="009F7A05" w:rsidRPr="009F7A05">
                        <w:rPr>
                          <w:rFonts w:cs="Arial"/>
                          <w:color w:val="000000"/>
                          <w:kern w:val="24"/>
                          <w:sz w:val="20"/>
                          <w:szCs w:val="20"/>
                        </w:rPr>
                        <w:t>s</w:t>
                      </w:r>
                      <w:r w:rsidRPr="009F7A05">
                        <w:rPr>
                          <w:rFonts w:cs="Arial"/>
                          <w:color w:val="000000"/>
                          <w:kern w:val="24"/>
                          <w:sz w:val="20"/>
                          <w:szCs w:val="20"/>
                        </w:rPr>
                        <w:t xml:space="preserve"> people living in the Victoria Ward access to green spaces</w:t>
                      </w:r>
                      <w:r w:rsidR="009F7A05">
                        <w:rPr>
                          <w:rFonts w:cs="Arial"/>
                          <w:color w:val="000000"/>
                          <w:kern w:val="24"/>
                          <w:sz w:val="20"/>
                          <w:szCs w:val="20"/>
                        </w:rPr>
                        <w:t>.  As a coastal community it has been identified as having pockets of deprivation hidden amongst relative affluence and data shows residents have multi</w:t>
                      </w:r>
                      <w:r w:rsidR="00092E6F">
                        <w:rPr>
                          <w:rFonts w:cs="Arial"/>
                          <w:color w:val="000000"/>
                          <w:kern w:val="24"/>
                          <w:sz w:val="20"/>
                          <w:szCs w:val="20"/>
                        </w:rPr>
                        <w:t>ple</w:t>
                      </w:r>
                      <w:r w:rsidR="009F7A05">
                        <w:rPr>
                          <w:rFonts w:cs="Arial"/>
                          <w:color w:val="000000"/>
                          <w:kern w:val="24"/>
                          <w:sz w:val="20"/>
                          <w:szCs w:val="20"/>
                        </w:rPr>
                        <w:t xml:space="preserve"> health conditions such as sever</w:t>
                      </w:r>
                      <w:r w:rsidR="00092E6F">
                        <w:rPr>
                          <w:rFonts w:cs="Arial"/>
                          <w:color w:val="000000"/>
                          <w:kern w:val="24"/>
                          <w:sz w:val="20"/>
                          <w:szCs w:val="20"/>
                        </w:rPr>
                        <w:t>e</w:t>
                      </w:r>
                      <w:r w:rsidR="009F7A05">
                        <w:rPr>
                          <w:rFonts w:cs="Arial"/>
                          <w:color w:val="000000"/>
                          <w:kern w:val="24"/>
                          <w:sz w:val="20"/>
                          <w:szCs w:val="20"/>
                        </w:rPr>
                        <w:t xml:space="preserve"> mental illness and chronic obstructive pulmonary disease.</w:t>
                      </w:r>
                    </w:p>
                    <w:p w14:paraId="14E033DC" w14:textId="77777777" w:rsidR="00A44B5A" w:rsidRPr="009F7A05" w:rsidRDefault="009F7A05" w:rsidP="009F7A05">
                      <w:pPr>
                        <w:tabs>
                          <w:tab w:val="left" w:pos="275"/>
                        </w:tabs>
                        <w:spacing w:after="0" w:line="216" w:lineRule="auto"/>
                        <w:rPr>
                          <w:rFonts w:cs="Arial"/>
                          <w:color w:val="000000"/>
                          <w:kern w:val="24"/>
                          <w:sz w:val="20"/>
                          <w:szCs w:val="20"/>
                        </w:rPr>
                      </w:pPr>
                      <w:r>
                        <w:rPr>
                          <w:rFonts w:cs="Arial"/>
                          <w:color w:val="000000"/>
                          <w:kern w:val="24"/>
                          <w:sz w:val="20"/>
                          <w:szCs w:val="20"/>
                        </w:rPr>
                        <w:t xml:space="preserve">The project </w:t>
                      </w:r>
                      <w:r w:rsidR="00A44B5A" w:rsidRPr="009F7A05">
                        <w:rPr>
                          <w:rFonts w:cs="Arial"/>
                          <w:color w:val="000000"/>
                          <w:kern w:val="24"/>
                          <w:sz w:val="20"/>
                          <w:szCs w:val="20"/>
                        </w:rPr>
                        <w:t>get</w:t>
                      </w:r>
                      <w:r w:rsidRPr="009F7A05">
                        <w:rPr>
                          <w:rFonts w:cs="Arial"/>
                          <w:color w:val="000000"/>
                          <w:kern w:val="24"/>
                          <w:sz w:val="20"/>
                          <w:szCs w:val="20"/>
                        </w:rPr>
                        <w:t>s</w:t>
                      </w:r>
                      <w:r w:rsidR="00A44B5A" w:rsidRPr="009F7A05">
                        <w:rPr>
                          <w:rFonts w:cs="Arial"/>
                          <w:color w:val="000000"/>
                          <w:kern w:val="24"/>
                          <w:sz w:val="20"/>
                          <w:szCs w:val="20"/>
                        </w:rPr>
                        <w:t xml:space="preserve"> </w:t>
                      </w:r>
                      <w:r>
                        <w:rPr>
                          <w:rFonts w:cs="Arial"/>
                          <w:color w:val="000000"/>
                          <w:kern w:val="24"/>
                          <w:sz w:val="20"/>
                          <w:szCs w:val="20"/>
                        </w:rPr>
                        <w:t>residents</w:t>
                      </w:r>
                      <w:r w:rsidR="00A44B5A" w:rsidRPr="009F7A05">
                        <w:rPr>
                          <w:rFonts w:cs="Arial"/>
                          <w:color w:val="000000"/>
                          <w:kern w:val="24"/>
                          <w:sz w:val="20"/>
                          <w:szCs w:val="20"/>
                        </w:rPr>
                        <w:t xml:space="preserve"> involved in physical activities outside to improve their own communities, while improving residents’ mental and physical health, as well as decreasing social isolation.</w:t>
                      </w:r>
                      <w:r>
                        <w:rPr>
                          <w:rFonts w:cs="Arial"/>
                          <w:color w:val="000000"/>
                          <w:kern w:val="24"/>
                          <w:sz w:val="20"/>
                          <w:szCs w:val="20"/>
                        </w:rPr>
                        <w:t xml:space="preserve"> </w:t>
                      </w:r>
                    </w:p>
                  </w:txbxContent>
                </v:textbox>
                <w10:anchorlock/>
              </v:shape>
            </w:pict>
          </mc:Fallback>
        </mc:AlternateContent>
      </w:r>
    </w:p>
    <w:p w14:paraId="20511723" w14:textId="59E85489" w:rsidR="00C46A23" w:rsidRPr="007A08F6" w:rsidRDefault="00C46A23" w:rsidP="007A08F6">
      <w:r w:rsidRPr="003936BA">
        <w:t xml:space="preserve">Alliances take a lead role in delivering and coordinating local programmes, supporting the priorities and ambitions of the ICB and wider system.  Shining a spotlight on narrowing the gap in health inequalities, the wider determinants of health, prevention and evidence-based interventions will better enable local health services </w:t>
      </w:r>
      <w:r w:rsidRPr="007A08F6">
        <w:t xml:space="preserve">to </w:t>
      </w:r>
      <w:r w:rsidRPr="003936BA">
        <w:t>meet the needs of the local population</w:t>
      </w:r>
      <w:r w:rsidR="007B0C76">
        <w:t>.  These needs</w:t>
      </w:r>
      <w:r w:rsidRPr="007A08F6">
        <w:t xml:space="preserve"> differ in each geographical area</w:t>
      </w:r>
      <w:r w:rsidR="00302B93">
        <w:t xml:space="preserve">, so the closeness of our alliances to communities best enables each </w:t>
      </w:r>
      <w:r w:rsidR="00D27914">
        <w:t>community’s</w:t>
      </w:r>
      <w:r w:rsidR="00302B93">
        <w:t xml:space="preserve"> specific needs to be met.  Additionally, </w:t>
      </w:r>
      <w:r w:rsidRPr="007A08F6">
        <w:t xml:space="preserve">the close working relationship of the </w:t>
      </w:r>
      <w:r w:rsidR="09090807">
        <w:t>a</w:t>
      </w:r>
      <w:r w:rsidRPr="007A08F6">
        <w:t>lliance</w:t>
      </w:r>
      <w:r w:rsidR="00A44B5A" w:rsidRPr="007A08F6">
        <w:t xml:space="preserve"> teams enables us to learn where projects</w:t>
      </w:r>
      <w:r w:rsidR="005E3F8E">
        <w:t xml:space="preserve"> are beneficially scalable across alliance geographies</w:t>
      </w:r>
      <w:r w:rsidR="00A44B5A">
        <w:t>.</w:t>
      </w:r>
    </w:p>
    <w:p w14:paraId="04134D12" w14:textId="2CF1EDF5" w:rsidR="00241844" w:rsidRPr="00A44B5A" w:rsidRDefault="00A44B5A" w:rsidP="00241844">
      <w:pPr>
        <w:rPr>
          <w:b/>
          <w:bCs/>
        </w:rPr>
      </w:pPr>
      <w:r w:rsidRPr="00A44B5A">
        <w:rPr>
          <w:b/>
          <w:bCs/>
        </w:rPr>
        <w:t>Integrated Neighbourhood Teams (</w:t>
      </w:r>
      <w:r w:rsidR="00241844" w:rsidRPr="00A44B5A">
        <w:rPr>
          <w:b/>
          <w:bCs/>
        </w:rPr>
        <w:t>INT</w:t>
      </w:r>
      <w:r w:rsidRPr="00A44B5A">
        <w:rPr>
          <w:b/>
          <w:bCs/>
        </w:rPr>
        <w:t>s)</w:t>
      </w:r>
    </w:p>
    <w:p w14:paraId="05EB663C" w14:textId="53AE5152" w:rsidR="00EA7022" w:rsidRPr="007A08F6" w:rsidRDefault="00EA7022" w:rsidP="007A08F6">
      <w:r w:rsidRPr="007A08F6">
        <w:t xml:space="preserve">The </w:t>
      </w:r>
      <w:r w:rsidR="00A855F6">
        <w:t>INT</w:t>
      </w:r>
      <w:r w:rsidRPr="007A08F6">
        <w:t xml:space="preserve"> concept is not about creating new services, it is centred in collaboration and utilising existing teams to work together in a coordinated and purposeful way. Integrated neighbourhoods will evolve within an iterative process of continued improvement, adapting in line with feedback from the local population, best </w:t>
      </w:r>
      <w:r w:rsidR="0050183D" w:rsidRPr="007A08F6">
        <w:t>practice,</w:t>
      </w:r>
      <w:r w:rsidRPr="007A08F6">
        <w:t xml:space="preserve"> and shared learning.</w:t>
      </w:r>
    </w:p>
    <w:p w14:paraId="32BDCF9C" w14:textId="44B08A97" w:rsidR="00EA7022" w:rsidRPr="007A08F6" w:rsidRDefault="00EA7022" w:rsidP="007A08F6">
      <w:r w:rsidRPr="007A08F6">
        <w:t xml:space="preserve">In each alliance area we have used an innovative approach to the design and delivery of </w:t>
      </w:r>
      <w:r w:rsidR="00733E3B">
        <w:t>INTs</w:t>
      </w:r>
      <w:r w:rsidRPr="007A08F6">
        <w:t xml:space="preserve"> that has sought to combine the power of relationships and a data informed evidence-based approach.  </w:t>
      </w:r>
    </w:p>
    <w:p w14:paraId="256EC557" w14:textId="71F33CC2" w:rsidR="004358EA" w:rsidRPr="0050183D" w:rsidRDefault="00EA7022" w:rsidP="0050183D">
      <w:r w:rsidRPr="007A08F6">
        <w:t>We already have existing</w:t>
      </w:r>
      <w:r w:rsidR="00EA2767">
        <w:t xml:space="preserve"> mature</w:t>
      </w:r>
      <w:r w:rsidRPr="007A08F6">
        <w:t xml:space="preserve"> models working in </w:t>
      </w:r>
      <w:r w:rsidR="5540DFED">
        <w:t>nine</w:t>
      </w:r>
      <w:r w:rsidRPr="007A08F6">
        <w:t xml:space="preserve"> neighbourhoods across our </w:t>
      </w:r>
      <w:r w:rsidR="66D61BD2">
        <w:t>four</w:t>
      </w:r>
      <w:r w:rsidRPr="007A08F6">
        <w:t xml:space="preserve"> alliance areas. These include models focusing on cohorts of residents with specific needs, such as frailty and mental health, and partners coming together to deliver targeted health and wellbeing events. Our ambition is to establish and embed integrated working models in all neighbourhoods.</w:t>
      </w:r>
    </w:p>
    <w:p w14:paraId="069E5A13" w14:textId="77777777" w:rsidR="0050183D" w:rsidRDefault="0050183D">
      <w:pPr>
        <w:spacing w:before="0" w:after="200" w:line="276" w:lineRule="auto"/>
        <w:rPr>
          <w:b/>
          <w:bCs/>
          <w:color w:val="005EB8"/>
          <w:sz w:val="22"/>
        </w:rPr>
      </w:pPr>
      <w:r>
        <w:rPr>
          <w:b/>
          <w:bCs/>
          <w:color w:val="005EB8"/>
          <w:sz w:val="22"/>
        </w:rPr>
        <w:br w:type="page"/>
      </w:r>
    </w:p>
    <w:p w14:paraId="71E47C7A" w14:textId="6172A7DB" w:rsidR="00EA7022" w:rsidRPr="00EA7022" w:rsidRDefault="00EA7022" w:rsidP="00EA7022">
      <w:pPr>
        <w:tabs>
          <w:tab w:val="left" w:pos="275"/>
        </w:tabs>
        <w:spacing w:before="0" w:after="0" w:line="216" w:lineRule="auto"/>
        <w:rPr>
          <w:b/>
          <w:bCs/>
          <w:color w:val="005EB8"/>
          <w:sz w:val="22"/>
        </w:rPr>
      </w:pPr>
      <w:r w:rsidRPr="00261D42">
        <w:rPr>
          <w:b/>
          <w:bCs/>
          <w:color w:val="005EB8"/>
          <w:sz w:val="22"/>
        </w:rPr>
        <w:lastRenderedPageBreak/>
        <w:t xml:space="preserve">Case </w:t>
      </w:r>
      <w:r w:rsidR="6FFD1430" w:rsidRPr="5E95A599">
        <w:rPr>
          <w:b/>
          <w:bCs/>
          <w:color w:val="005EB8"/>
          <w:sz w:val="22"/>
        </w:rPr>
        <w:t>s</w:t>
      </w:r>
      <w:r w:rsidRPr="00261D42">
        <w:rPr>
          <w:b/>
          <w:bCs/>
          <w:color w:val="005EB8"/>
          <w:sz w:val="22"/>
        </w:rPr>
        <w:t xml:space="preserve">tudy: </w:t>
      </w:r>
      <w:r w:rsidR="00733E3B">
        <w:rPr>
          <w:b/>
          <w:bCs/>
          <w:color w:val="005EB8"/>
          <w:sz w:val="22"/>
        </w:rPr>
        <w:t>M</w:t>
      </w:r>
      <w:r>
        <w:rPr>
          <w:b/>
          <w:bCs/>
          <w:color w:val="005EB8"/>
          <w:sz w:val="22"/>
        </w:rPr>
        <w:t xml:space="preserve">obilising communities – </w:t>
      </w:r>
      <w:r w:rsidR="00E33BD7">
        <w:rPr>
          <w:b/>
          <w:bCs/>
          <w:color w:val="005EB8"/>
          <w:sz w:val="22"/>
        </w:rPr>
        <w:t xml:space="preserve">Central </w:t>
      </w:r>
      <w:r>
        <w:rPr>
          <w:b/>
          <w:bCs/>
          <w:color w:val="005EB8"/>
          <w:sz w:val="22"/>
        </w:rPr>
        <w:t>Basildon INT</w:t>
      </w:r>
    </w:p>
    <w:p w14:paraId="7B80FEFC" w14:textId="178B1353" w:rsidR="00241844" w:rsidRDefault="00EA7022" w:rsidP="00241844">
      <w:r w:rsidRPr="00EA7022">
        <w:rPr>
          <w:noProof/>
        </w:rPr>
        <w:drawing>
          <wp:inline distT="0" distB="0" distL="0" distR="0" wp14:anchorId="3BB30640" wp14:editId="1CAC4BCA">
            <wp:extent cx="2786001" cy="2355802"/>
            <wp:effectExtent l="0" t="0" r="0" b="6985"/>
            <wp:docPr id="55" name="Picture 55" descr="A store front with a sign - picture of the 'Happy Hub'">
              <a:extLst xmlns:a="http://schemas.openxmlformats.org/drawingml/2006/main">
                <a:ext uri="{FF2B5EF4-FFF2-40B4-BE49-F238E27FC236}">
                  <a16:creationId xmlns:a16="http://schemas.microsoft.com/office/drawing/2014/main" id="{422A3449-27BA-EA93-47A5-63BC2A042C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store front with a sign - picture of the 'Happy Hub'">
                      <a:extLst>
                        <a:ext uri="{FF2B5EF4-FFF2-40B4-BE49-F238E27FC236}">
                          <a16:creationId xmlns:a16="http://schemas.microsoft.com/office/drawing/2014/main" id="{422A3449-27BA-EA93-47A5-63BC2A042C7C}"/>
                        </a:ext>
                      </a:extLst>
                    </pic:cNvPr>
                    <pic:cNvPicPr>
                      <a:picLocks noChangeAspect="1"/>
                    </pic:cNvPicPr>
                  </pic:nvPicPr>
                  <pic:blipFill rotWithShape="1">
                    <a:blip r:embed="rId32"/>
                    <a:srcRect t="4192"/>
                    <a:stretch/>
                  </pic:blipFill>
                  <pic:spPr>
                    <a:xfrm>
                      <a:off x="0" y="0"/>
                      <a:ext cx="2828118" cy="2391416"/>
                    </a:xfrm>
                    <a:prstGeom prst="rect">
                      <a:avLst/>
                    </a:prstGeom>
                  </pic:spPr>
                </pic:pic>
              </a:graphicData>
            </a:graphic>
          </wp:inline>
        </w:drawing>
      </w:r>
      <w:r w:rsidRPr="00EA7022">
        <w:rPr>
          <w:noProof/>
        </w:rPr>
        <w:t xml:space="preserve"> </w:t>
      </w:r>
      <w:r w:rsidRPr="00EA7022">
        <w:rPr>
          <w:noProof/>
        </w:rPr>
        <mc:AlternateContent>
          <mc:Choice Requires="wps">
            <w:drawing>
              <wp:inline distT="0" distB="0" distL="0" distR="0" wp14:anchorId="4BAA9AC3" wp14:editId="01244921">
                <wp:extent cx="2996419" cy="2452495"/>
                <wp:effectExtent l="0" t="0" r="0" b="0"/>
                <wp:docPr id="56" name="Text Box 56"/>
                <wp:cNvGraphicFramePr/>
                <a:graphic xmlns:a="http://schemas.openxmlformats.org/drawingml/2006/main">
                  <a:graphicData uri="http://schemas.microsoft.com/office/word/2010/wordprocessingShape">
                    <wps:wsp>
                      <wps:cNvSpPr txBox="1"/>
                      <wps:spPr>
                        <a:xfrm>
                          <a:off x="0" y="0"/>
                          <a:ext cx="2996419" cy="2452495"/>
                        </a:xfrm>
                        <a:prstGeom prst="rect">
                          <a:avLst/>
                        </a:prstGeom>
                      </wps:spPr>
                      <wps:txbx>
                        <w:txbxContent>
                          <w:p w14:paraId="233EE4FA" w14:textId="01A385E4" w:rsidR="00DC0CF9" w:rsidRPr="00DC0CF9" w:rsidRDefault="00DC0CF9" w:rsidP="004358EA">
                            <w:pPr>
                              <w:spacing w:before="0"/>
                              <w:rPr>
                                <w:rFonts w:eastAsia="Arial" w:cs="Arial"/>
                                <w:sz w:val="20"/>
                                <w:szCs w:val="20"/>
                              </w:rPr>
                            </w:pPr>
                            <w:r w:rsidRPr="00DC0CF9">
                              <w:rPr>
                                <w:rFonts w:eastAsia="Arial" w:cs="Arial"/>
                                <w:sz w:val="20"/>
                                <w:szCs w:val="20"/>
                              </w:rPr>
                              <w:t xml:space="preserve">643 patients with high attendances in primary care and A&amp;E amassed 12,000 GP appointments.  The approach reduced attendances by 48%.  </w:t>
                            </w:r>
                            <w:r w:rsidR="001562B3">
                              <w:rPr>
                                <w:rFonts w:eastAsia="Arial" w:cs="Arial"/>
                                <w:sz w:val="20"/>
                                <w:szCs w:val="20"/>
                              </w:rPr>
                              <w:t>6,000</w:t>
                            </w:r>
                            <w:r w:rsidR="00D62C4B">
                              <w:rPr>
                                <w:rFonts w:eastAsia="Arial" w:cs="Arial"/>
                                <w:sz w:val="20"/>
                                <w:szCs w:val="20"/>
                              </w:rPr>
                              <w:t xml:space="preserve"> GP </w:t>
                            </w:r>
                            <w:r w:rsidRPr="00DC0CF9">
                              <w:rPr>
                                <w:rFonts w:eastAsia="Arial" w:cs="Arial"/>
                                <w:sz w:val="20"/>
                                <w:szCs w:val="20"/>
                              </w:rPr>
                              <w:t>appointment</w:t>
                            </w:r>
                            <w:r w:rsidR="00D62C4B">
                              <w:rPr>
                                <w:rFonts w:eastAsia="Arial" w:cs="Arial"/>
                                <w:sz w:val="20"/>
                                <w:szCs w:val="20"/>
                              </w:rPr>
                              <w:t xml:space="preserve">s freed up, with patients being supported through care co-ordination, </w:t>
                            </w:r>
                            <w:r w:rsidRPr="00DC0CF9">
                              <w:rPr>
                                <w:rFonts w:eastAsia="Arial" w:cs="Arial"/>
                                <w:sz w:val="20"/>
                                <w:szCs w:val="20"/>
                              </w:rPr>
                              <w:t>with a 30% reduction in A&amp;E attendances for this cohort.</w:t>
                            </w:r>
                          </w:p>
                          <w:p w14:paraId="3EE311ED" w14:textId="2EF3AF7A" w:rsidR="00DC0CF9" w:rsidRPr="00DC0CF9" w:rsidRDefault="00D832DD" w:rsidP="00DC0CF9">
                            <w:pPr>
                              <w:tabs>
                                <w:tab w:val="left" w:pos="1790"/>
                              </w:tabs>
                              <w:rPr>
                                <w:rFonts w:cs="Arial"/>
                                <w:sz w:val="20"/>
                                <w:szCs w:val="20"/>
                              </w:rPr>
                            </w:pPr>
                            <w:r>
                              <w:rPr>
                                <w:rFonts w:cs="Arial"/>
                                <w:sz w:val="20"/>
                                <w:szCs w:val="20"/>
                              </w:rPr>
                              <w:t xml:space="preserve">Health &amp; Wellbeing Café - </w:t>
                            </w:r>
                            <w:r w:rsidR="00DC0CF9" w:rsidRPr="00DC0CF9">
                              <w:rPr>
                                <w:rFonts w:cs="Arial"/>
                                <w:sz w:val="20"/>
                                <w:szCs w:val="20"/>
                              </w:rPr>
                              <w:t>Participants noticed positive changes since attending the cafe and talked about feeling happier, calmer</w:t>
                            </w:r>
                            <w:r w:rsidR="00046DD6">
                              <w:rPr>
                                <w:rFonts w:cs="Arial"/>
                                <w:sz w:val="20"/>
                                <w:szCs w:val="20"/>
                              </w:rPr>
                              <w:t>,</w:t>
                            </w:r>
                            <w:r w:rsidR="00DC0CF9" w:rsidRPr="00DC0CF9">
                              <w:rPr>
                                <w:rFonts w:cs="Arial"/>
                                <w:sz w:val="20"/>
                                <w:szCs w:val="20"/>
                              </w:rPr>
                              <w:t xml:space="preserve"> and more centred. There was evidence that feelings of wellbeing were not just during the cafe session, they also seemed to have a positive impact on life beyond the cafe and small healthy lifestyle changes were mentioned with a sense of pride.</w:t>
                            </w:r>
                          </w:p>
                          <w:p w14:paraId="28339966" w14:textId="77777777" w:rsidR="00EA7022" w:rsidRPr="00EA7022" w:rsidRDefault="00EA7022" w:rsidP="00EA7022">
                            <w:pPr>
                              <w:tabs>
                                <w:tab w:val="left" w:pos="275"/>
                              </w:tabs>
                              <w:spacing w:after="0" w:line="216" w:lineRule="auto"/>
                              <w:rPr>
                                <w:rFonts w:cs="Arial"/>
                                <w:color w:val="000000" w:themeColor="text1"/>
                                <w:kern w:val="24"/>
                                <w:sz w:val="20"/>
                                <w:szCs w:val="20"/>
                                <w:lang w:val="en-US"/>
                              </w:rPr>
                            </w:pPr>
                          </w:p>
                        </w:txbxContent>
                      </wps:txbx>
                      <wps:bodyPr vert="horz" lIns="91440" tIns="45720" rIns="91440" bIns="45720" rtlCol="0">
                        <a:normAutofit lnSpcReduction="10000"/>
                      </wps:bodyPr>
                    </wps:wsp>
                  </a:graphicData>
                </a:graphic>
              </wp:inline>
            </w:drawing>
          </mc:Choice>
          <mc:Fallback>
            <w:pict>
              <v:shape w14:anchorId="4BAA9AC3" id="Text Box 56" o:spid="_x0000_s1035" type="#_x0000_t202" style="width:235.95pt;height:19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" filled="f" stroked="f">
                <v:textbox>
                  <w:txbxContent>
                    <w:p w14:paraId="233EE4FA" w14:textId="01A385E4" w:rsidR="00DC0CF9" w:rsidRPr="00DC0CF9" w:rsidRDefault="00DC0CF9" w:rsidP="004358EA">
                      <w:pPr>
                        <w:spacing w:before="0"/>
                        <w:rPr>
                          <w:rFonts w:eastAsia="Arial" w:cs="Arial"/>
                          <w:sz w:val="20"/>
                          <w:szCs w:val="20"/>
                        </w:rPr>
                      </w:pPr>
                      <w:r w:rsidRPr="00DC0CF9">
                        <w:rPr>
                          <w:rFonts w:eastAsia="Arial" w:cs="Arial"/>
                          <w:sz w:val="20"/>
                          <w:szCs w:val="20"/>
                        </w:rPr>
                        <w:t xml:space="preserve">643 patients with high attendances in primary care and A&amp;E amassed 12,000 GP appointments.  The approach reduced attendances by 48%.  </w:t>
                      </w:r>
                      <w:r w:rsidR="001562B3">
                        <w:rPr>
                          <w:rFonts w:eastAsia="Arial" w:cs="Arial"/>
                          <w:sz w:val="20"/>
                          <w:szCs w:val="20"/>
                        </w:rPr>
                        <w:t>6,000</w:t>
                      </w:r>
                      <w:r w:rsidR="00D62C4B">
                        <w:rPr>
                          <w:rFonts w:eastAsia="Arial" w:cs="Arial"/>
                          <w:sz w:val="20"/>
                          <w:szCs w:val="20"/>
                        </w:rPr>
                        <w:t xml:space="preserve"> GP </w:t>
                      </w:r>
                      <w:r w:rsidRPr="00DC0CF9">
                        <w:rPr>
                          <w:rFonts w:eastAsia="Arial" w:cs="Arial"/>
                          <w:sz w:val="20"/>
                          <w:szCs w:val="20"/>
                        </w:rPr>
                        <w:t>appointment</w:t>
                      </w:r>
                      <w:r w:rsidR="00D62C4B">
                        <w:rPr>
                          <w:rFonts w:eastAsia="Arial" w:cs="Arial"/>
                          <w:sz w:val="20"/>
                          <w:szCs w:val="20"/>
                        </w:rPr>
                        <w:t xml:space="preserve">s freed up, with patients being supported through care co-ordination, </w:t>
                      </w:r>
                      <w:r w:rsidRPr="00DC0CF9">
                        <w:rPr>
                          <w:rFonts w:eastAsia="Arial" w:cs="Arial"/>
                          <w:sz w:val="20"/>
                          <w:szCs w:val="20"/>
                        </w:rPr>
                        <w:t>with a 30% reduction in A&amp;E attendances for this cohort.</w:t>
                      </w:r>
                    </w:p>
                    <w:p w14:paraId="3EE311ED" w14:textId="2EF3AF7A" w:rsidR="00DC0CF9" w:rsidRPr="00DC0CF9" w:rsidRDefault="00D832DD" w:rsidP="00DC0CF9">
                      <w:pPr>
                        <w:tabs>
                          <w:tab w:val="left" w:pos="1790"/>
                        </w:tabs>
                        <w:rPr>
                          <w:rFonts w:cs="Arial"/>
                          <w:sz w:val="20"/>
                          <w:szCs w:val="20"/>
                        </w:rPr>
                      </w:pPr>
                      <w:r>
                        <w:rPr>
                          <w:rFonts w:cs="Arial"/>
                          <w:sz w:val="20"/>
                          <w:szCs w:val="20"/>
                        </w:rPr>
                        <w:t xml:space="preserve">Health &amp; Wellbeing Café - </w:t>
                      </w:r>
                      <w:r w:rsidR="00DC0CF9" w:rsidRPr="00DC0CF9">
                        <w:rPr>
                          <w:rFonts w:cs="Arial"/>
                          <w:sz w:val="20"/>
                          <w:szCs w:val="20"/>
                        </w:rPr>
                        <w:t>Participants noticed positive changes since attending the cafe and talked about feeling happier, calmer</w:t>
                      </w:r>
                      <w:r w:rsidR="00046DD6">
                        <w:rPr>
                          <w:rFonts w:cs="Arial"/>
                          <w:sz w:val="20"/>
                          <w:szCs w:val="20"/>
                        </w:rPr>
                        <w:t>,</w:t>
                      </w:r>
                      <w:r w:rsidR="00DC0CF9" w:rsidRPr="00DC0CF9">
                        <w:rPr>
                          <w:rFonts w:cs="Arial"/>
                          <w:sz w:val="20"/>
                          <w:szCs w:val="20"/>
                        </w:rPr>
                        <w:t xml:space="preserve"> and more centred. There was evidence that feelings of wellbeing were not just during the cafe session, they also seemed to have a positive impact on life beyond the cafe and small healthy lifestyle changes were mentioned with a sense of pride.</w:t>
                      </w:r>
                    </w:p>
                    <w:p w14:paraId="28339966" w14:textId="77777777" w:rsidR="00EA7022" w:rsidRPr="00EA7022" w:rsidRDefault="00EA7022" w:rsidP="00EA7022">
                      <w:pPr>
                        <w:tabs>
                          <w:tab w:val="left" w:pos="275"/>
                        </w:tabs>
                        <w:spacing w:after="0" w:line="216" w:lineRule="auto"/>
                        <w:rPr>
                          <w:rFonts w:cs="Arial"/>
                          <w:color w:val="000000" w:themeColor="text1"/>
                          <w:kern w:val="24"/>
                          <w:sz w:val="20"/>
                          <w:szCs w:val="20"/>
                          <w:lang w:val="en-US"/>
                        </w:rPr>
                      </w:pPr>
                    </w:p>
                  </w:txbxContent>
                </v:textbox>
                <w10:anchorlock/>
              </v:shape>
            </w:pict>
          </mc:Fallback>
        </mc:AlternateContent>
      </w:r>
    </w:p>
    <w:p w14:paraId="3CD82B39" w14:textId="4D248C48" w:rsidR="00241844" w:rsidRPr="00DC0CF9" w:rsidRDefault="00DC0CF9" w:rsidP="00241844">
      <w:pPr>
        <w:rPr>
          <w:b/>
          <w:bCs/>
        </w:rPr>
      </w:pPr>
      <w:r w:rsidRPr="00DC0CF9">
        <w:rPr>
          <w:b/>
          <w:bCs/>
        </w:rPr>
        <w:t>Transfer of Care Hubs (TOCHs)</w:t>
      </w:r>
    </w:p>
    <w:p w14:paraId="540C6497" w14:textId="5EB20373" w:rsidR="00DC0CF9" w:rsidRPr="007A08F6" w:rsidRDefault="00DC0CF9" w:rsidP="007A08F6">
      <w:r w:rsidRPr="007A08F6">
        <w:t xml:space="preserve">In line with national guidance and best practice, alliance partners have focussed on creating TOCHs, establishing one in each alliance area. </w:t>
      </w:r>
      <w:r w:rsidR="00EA1DAC" w:rsidRPr="007A08F6">
        <w:t xml:space="preserve">Each </w:t>
      </w:r>
      <w:r w:rsidRPr="007A08F6">
        <w:t>TOCH</w:t>
      </w:r>
      <w:r w:rsidR="00EA1DAC" w:rsidRPr="007A08F6">
        <w:t xml:space="preserve"> </w:t>
      </w:r>
      <w:r w:rsidR="79C93755">
        <w:t xml:space="preserve">helps to divert patients </w:t>
      </w:r>
      <w:r w:rsidR="00EA1DAC">
        <w:t>from</w:t>
      </w:r>
      <w:r w:rsidR="00EA1DAC" w:rsidRPr="007A08F6">
        <w:t xml:space="preserve"> the acute hospital into community pathways including the emerging </w:t>
      </w:r>
      <w:r>
        <w:t>INT</w:t>
      </w:r>
      <w:r w:rsidR="00EA1DAC">
        <w:t>s</w:t>
      </w:r>
      <w:r w:rsidR="00EA1DAC" w:rsidRPr="007A08F6">
        <w:t xml:space="preserve"> to </w:t>
      </w:r>
      <w:r w:rsidRPr="007A08F6">
        <w:t>support effective and safe discharge of patients from hospital</w:t>
      </w:r>
      <w:r w:rsidR="00EA1DAC" w:rsidRPr="007A08F6">
        <w:t>.</w:t>
      </w:r>
    </w:p>
    <w:p w14:paraId="7A7BD19D" w14:textId="77777777" w:rsidR="00DC0CF9" w:rsidRPr="007A08F6" w:rsidRDefault="00DC0CF9" w:rsidP="007A08F6">
      <w:r w:rsidRPr="007A08F6">
        <w:t>Working closely with health, care and VCSFE partners, discharge processes are being enhanced to improve flow and the experience and outcomes for patients. Admission avoidance arrangements are also being amplified, optimising available resources to support greater independence and the home first ethos.</w:t>
      </w:r>
    </w:p>
    <w:p w14:paraId="0FD0561E" w14:textId="18047A59" w:rsidR="00EB4182" w:rsidRPr="00C67322" w:rsidRDefault="00C67322" w:rsidP="00AB42A7">
      <w:pPr>
        <w:spacing w:before="0" w:after="0"/>
        <w:rPr>
          <w:rFonts w:eastAsia="Times New Roman"/>
          <w:b/>
          <w:bCs/>
        </w:rPr>
      </w:pPr>
      <w:r w:rsidRPr="00C67322">
        <w:rPr>
          <w:rFonts w:eastAsia="Times New Roman"/>
          <w:b/>
          <w:bCs/>
        </w:rPr>
        <w:t>Delivering at place</w:t>
      </w:r>
    </w:p>
    <w:p w14:paraId="00AF6453" w14:textId="6E3B3D79" w:rsidR="00C67322" w:rsidRPr="007A08F6" w:rsidRDefault="00563E4D" w:rsidP="007A08F6">
      <w:r>
        <w:t xml:space="preserve">Wherever possible </w:t>
      </w:r>
      <w:r w:rsidR="00C67322" w:rsidRPr="007A08F6">
        <w:t xml:space="preserve">Alliances </w:t>
      </w:r>
      <w:r>
        <w:t>are working with their PCN</w:t>
      </w:r>
      <w:r w:rsidR="000B4FAB">
        <w:t>s to deliver improved service levels locally.  This includes</w:t>
      </w:r>
      <w:r w:rsidR="00C67322" w:rsidRPr="007A08F6">
        <w:t xml:space="preserve"> the completion of the new dementia self-assessment toolkit</w:t>
      </w:r>
      <w:r w:rsidR="00C47422" w:rsidRPr="007A08F6">
        <w:t xml:space="preserve"> that is being tested, with a view to showcasing dementia care across the system.</w:t>
      </w:r>
    </w:p>
    <w:p w14:paraId="2360133D" w14:textId="2EAC39C6" w:rsidR="00500C34" w:rsidRDefault="000B4FAB" w:rsidP="00C47422">
      <w:r>
        <w:t>Through j</w:t>
      </w:r>
      <w:r w:rsidR="00C47422">
        <w:t>oint working with the Southend, Essex</w:t>
      </w:r>
      <w:r w:rsidR="00A26558">
        <w:t>,</w:t>
      </w:r>
      <w:r w:rsidR="00C47422">
        <w:t xml:space="preserve"> and Thurrock Learning Disability (LD) Forum, alliances continue to promote access to and delivery of LD health checks through our PCNs.  </w:t>
      </w:r>
    </w:p>
    <w:p w14:paraId="66792841" w14:textId="63BFD352" w:rsidR="00C47422" w:rsidRDefault="00C47422" w:rsidP="00C47422">
      <w:r>
        <w:t xml:space="preserve">Similarly, through PCNs there is regular training for GPs to ensure an increased uptake of </w:t>
      </w:r>
      <w:r w:rsidR="7D2BF1C5">
        <w:t>s</w:t>
      </w:r>
      <w:r>
        <w:t xml:space="preserve">erious </w:t>
      </w:r>
      <w:r w:rsidR="5E4FDA3A">
        <w:t>m</w:t>
      </w:r>
      <w:r>
        <w:t xml:space="preserve">ental </w:t>
      </w:r>
      <w:r w:rsidR="329D38CE">
        <w:t>i</w:t>
      </w:r>
      <w:r>
        <w:t xml:space="preserve">llness (SMI) health check performance.  Residents with needs relating to LD and SMI can </w:t>
      </w:r>
      <w:r w:rsidR="0E2E354D">
        <w:t>also suffer from</w:t>
      </w:r>
      <w:r>
        <w:t xml:space="preserve"> physical illness/conditions that can be identified and managed effectively through health checks, help</w:t>
      </w:r>
      <w:r w:rsidR="00744B1A">
        <w:t>ing</w:t>
      </w:r>
      <w:r>
        <w:t xml:space="preserve"> our residents to stay well.</w:t>
      </w:r>
      <w:r w:rsidR="00476458">
        <w:t xml:space="preserve">  With this focus the alliances and their PCNs</w:t>
      </w:r>
      <w:r w:rsidR="00224D15">
        <w:t xml:space="preserve"> are working actively to reduce health inequalities in some of our most vulnerable patient groups.</w:t>
      </w:r>
    </w:p>
    <w:p w14:paraId="051535F2" w14:textId="60C3AE24" w:rsidR="00C47422" w:rsidRDefault="00C47422" w:rsidP="00C47422">
      <w:r>
        <w:t>Through the delivery of local enhanced services, GPs are help</w:t>
      </w:r>
      <w:r w:rsidR="00744B1A">
        <w:t>ing</w:t>
      </w:r>
      <w:r>
        <w:t xml:space="preserve"> to implement schemes to promote hospital avoidance such as operating multimorbidity clinics where clinical interventions determined within the PCN are helping to manage cardiovascular disease.</w:t>
      </w:r>
    </w:p>
    <w:p w14:paraId="38797243" w14:textId="05A05EC0" w:rsidR="00464658" w:rsidRDefault="009539C0" w:rsidP="00B325E8">
      <w:pPr>
        <w:rPr>
          <w:rFonts w:eastAsia="Times" w:cs="Times New Roman"/>
          <w:b/>
          <w:bCs/>
          <w:color w:val="0070C0"/>
          <w:sz w:val="28"/>
          <w:szCs w:val="28"/>
        </w:rPr>
      </w:pPr>
      <w:r>
        <w:t>During 2024/25</w:t>
      </w:r>
      <w:r w:rsidR="00B325E8">
        <w:t>, we will continue to develop l</w:t>
      </w:r>
      <w:r w:rsidR="00744B1A">
        <w:t xml:space="preserve">ocal community diagnostic centres </w:t>
      </w:r>
      <w:r w:rsidR="00B325E8">
        <w:t xml:space="preserve">within </w:t>
      </w:r>
      <w:r w:rsidR="00744B1A">
        <w:t>Thurrock, Pitsea, Braintree and Southend to increase diagnostic capacity and deliver services closer to home.</w:t>
      </w:r>
    </w:p>
    <w:p w14:paraId="24AC6B3C" w14:textId="6BA0BA95" w:rsidR="007E29D7" w:rsidRDefault="007E29D7" w:rsidP="00E12C74">
      <w:pPr>
        <w:pStyle w:val="Heading2"/>
      </w:pPr>
      <w:bookmarkStart w:id="30" w:name="_Toc164814820"/>
      <w:bookmarkStart w:id="31" w:name="_Toc164814881"/>
      <w:r>
        <w:lastRenderedPageBreak/>
        <w:t>Digital, data</w:t>
      </w:r>
      <w:r w:rsidR="00307F6A">
        <w:t>, technology</w:t>
      </w:r>
      <w:r w:rsidR="00F623A3">
        <w:t>,</w:t>
      </w:r>
      <w:r>
        <w:t xml:space="preserve"> and business intelligence</w:t>
      </w:r>
      <w:bookmarkEnd w:id="30"/>
      <w:bookmarkEnd w:id="31"/>
    </w:p>
    <w:p w14:paraId="5E218E8C" w14:textId="65CCF6E6" w:rsidR="007E29D7" w:rsidRPr="007A08F6" w:rsidRDefault="007E29D7" w:rsidP="007E29D7">
      <w:r>
        <w:t xml:space="preserve">As part of delivering </w:t>
      </w:r>
      <w:r w:rsidR="000272F3">
        <w:t xml:space="preserve">our </w:t>
      </w:r>
      <w:r>
        <w:t>strategic ambitions for digital</w:t>
      </w:r>
      <w:r w:rsidR="000272F3">
        <w:t>, data</w:t>
      </w:r>
      <w:r>
        <w:t xml:space="preserve"> and business intelligence the ICB and its partners have made some significant progress across </w:t>
      </w:r>
      <w:r w:rsidR="00B4674A">
        <w:t xml:space="preserve">our </w:t>
      </w:r>
      <w:r>
        <w:t xml:space="preserve">four strategic programmes of work.  We have established a strategic data platform built on modern technology with self-service dashboards that comprises intelligence around </w:t>
      </w:r>
      <w:r w:rsidR="7E3E301E">
        <w:t>u</w:t>
      </w:r>
      <w:r>
        <w:t xml:space="preserve">rgent and </w:t>
      </w:r>
      <w:r w:rsidR="0F8FE7FB">
        <w:t>e</w:t>
      </w:r>
      <w:r>
        <w:t xml:space="preserve">mergency </w:t>
      </w:r>
      <w:r w:rsidR="19F3AE5F">
        <w:t>c</w:t>
      </w:r>
      <w:r>
        <w:t xml:space="preserve">are and </w:t>
      </w:r>
      <w:r w:rsidR="3BD38A49">
        <w:t>p</w:t>
      </w:r>
      <w:r>
        <w:t xml:space="preserve">erformance, </w:t>
      </w:r>
      <w:r w:rsidR="2E933ED0">
        <w:t>p</w:t>
      </w:r>
      <w:r>
        <w:t xml:space="preserve">opulation </w:t>
      </w:r>
      <w:r w:rsidR="4870A39E">
        <w:t>h</w:t>
      </w:r>
      <w:r>
        <w:t xml:space="preserve">ealth </w:t>
      </w:r>
      <w:r w:rsidR="57AB29E5">
        <w:t>m</w:t>
      </w:r>
      <w:r>
        <w:t xml:space="preserve">anagement, </w:t>
      </w:r>
      <w:r w:rsidR="3F1FC09E">
        <w:t>f</w:t>
      </w:r>
      <w:r>
        <w:t>inance</w:t>
      </w:r>
      <w:r w:rsidR="00046DD6">
        <w:t>,</w:t>
      </w:r>
      <w:r>
        <w:t xml:space="preserve"> and focus areas across </w:t>
      </w:r>
      <w:r w:rsidR="64113815">
        <w:t>p</w:t>
      </w:r>
      <w:r>
        <w:t xml:space="preserve">rimary, </w:t>
      </w:r>
      <w:r w:rsidR="39023F25">
        <w:t>c</w:t>
      </w:r>
      <w:r>
        <w:t xml:space="preserve">ommunity, </w:t>
      </w:r>
      <w:r w:rsidR="3F5AE5BB">
        <w:t>m</w:t>
      </w:r>
      <w:r>
        <w:t xml:space="preserve">ental </w:t>
      </w:r>
      <w:r w:rsidR="79504BE0">
        <w:t>h</w:t>
      </w:r>
      <w:r>
        <w:t xml:space="preserve">ealth, </w:t>
      </w:r>
      <w:r w:rsidR="051860A4">
        <w:t>a</w:t>
      </w:r>
      <w:r>
        <w:t xml:space="preserve">cute and </w:t>
      </w:r>
      <w:r w:rsidR="4F30BF71">
        <w:t>s</w:t>
      </w:r>
      <w:r>
        <w:t xml:space="preserve">ocial </w:t>
      </w:r>
      <w:r w:rsidR="0387A710">
        <w:t>c</w:t>
      </w:r>
      <w:r>
        <w:t xml:space="preserve">are. </w:t>
      </w:r>
    </w:p>
    <w:p w14:paraId="48666D9F" w14:textId="45EA4D2B" w:rsidR="007E29D7" w:rsidRDefault="007E29D7" w:rsidP="007E29D7">
      <w:r>
        <w:t xml:space="preserve">We have commenced the implementation of our </w:t>
      </w:r>
      <w:r w:rsidR="6E387CDA">
        <w:t>d</w:t>
      </w:r>
      <w:r>
        <w:t xml:space="preserve">igital </w:t>
      </w:r>
      <w:r w:rsidR="6167B5B4">
        <w:t>p</w:t>
      </w:r>
      <w:r>
        <w:t xml:space="preserve">atient </w:t>
      </w:r>
      <w:r w:rsidR="24E0CA9D">
        <w:t>i</w:t>
      </w:r>
      <w:r>
        <w:t>nterface – p</w:t>
      </w:r>
      <w:r w:rsidR="05FCD86B">
        <w:t>utting</w:t>
      </w:r>
      <w:r>
        <w:t xml:space="preserve"> patient records into the hands of our residents with an exciting rol</w:t>
      </w:r>
      <w:r w:rsidR="10D346D0">
        <w:t>l-</w:t>
      </w:r>
      <w:r>
        <w:t xml:space="preserve">out </w:t>
      </w:r>
      <w:r w:rsidR="10E0178C">
        <w:t>planned which will</w:t>
      </w:r>
      <w:r>
        <w:t xml:space="preserve"> increase the scope and capabilities of that platform.  Recognising the importance o</w:t>
      </w:r>
      <w:r w:rsidR="000767B3">
        <w:t>f</w:t>
      </w:r>
      <w:r>
        <w:t xml:space="preserve"> digital inclusion</w:t>
      </w:r>
      <w:r w:rsidR="790EA81E">
        <w:t>,</w:t>
      </w:r>
      <w:r>
        <w:t xml:space="preserve"> this programme is linked into wider patient engagement activities which will progress through next</w:t>
      </w:r>
      <w:r w:rsidR="00082181">
        <w:t xml:space="preserve"> </w:t>
      </w:r>
      <w:r>
        <w:t>year.</w:t>
      </w:r>
    </w:p>
    <w:p w14:paraId="1C8841A8" w14:textId="737F7198" w:rsidR="007E29D7" w:rsidRDefault="007E29D7" w:rsidP="007E29D7">
      <w:r>
        <w:t>We have successfully procured a partner to help enable the sharing of patient records to support direct care</w:t>
      </w:r>
      <w:r w:rsidR="002E07E6">
        <w:t>, p</w:t>
      </w:r>
      <w:r>
        <w:t xml:space="preserve">roviding the right information at the right place </w:t>
      </w:r>
      <w:r w:rsidR="17A2CA3B">
        <w:t>and</w:t>
      </w:r>
      <w:r>
        <w:t xml:space="preserve"> right time for our clinical workforce.   This enables our clinicians to make improved decisions on care needs </w:t>
      </w:r>
      <w:r w:rsidR="00DA5F54">
        <w:t>and</w:t>
      </w:r>
      <w:r>
        <w:t xml:space="preserve"> should reduce the need for patients to repeat </w:t>
      </w:r>
      <w:r w:rsidR="0090796A">
        <w:t xml:space="preserve">their </w:t>
      </w:r>
      <w:r>
        <w:t>medical histories.</w:t>
      </w:r>
    </w:p>
    <w:p w14:paraId="187A9E20" w14:textId="5C1A39DC" w:rsidR="007E29D7" w:rsidRDefault="007E29D7" w:rsidP="007E29D7">
      <w:r>
        <w:t xml:space="preserve">We have supported our providers in securing significant investment opportunities for the implementation of a new </w:t>
      </w:r>
      <w:r w:rsidR="00B228F7">
        <w:t>e</w:t>
      </w:r>
      <w:r>
        <w:t xml:space="preserve">lectronic </w:t>
      </w:r>
      <w:r w:rsidR="537D1707">
        <w:t xml:space="preserve">patient record </w:t>
      </w:r>
      <w:r>
        <w:t>system which span</w:t>
      </w:r>
      <w:r w:rsidR="2697C769">
        <w:t>s</w:t>
      </w:r>
      <w:r>
        <w:t xml:space="preserve"> </w:t>
      </w:r>
      <w:r w:rsidR="2FE5F7AE">
        <w:t>a</w:t>
      </w:r>
      <w:r>
        <w:t>cute</w:t>
      </w:r>
      <w:r w:rsidR="00B228F7">
        <w:t>,</w:t>
      </w:r>
      <w:r>
        <w:t xml:space="preserve"> </w:t>
      </w:r>
      <w:r w:rsidR="0DDBD6BB">
        <w:t>m</w:t>
      </w:r>
      <w:r>
        <w:t xml:space="preserve">ental </w:t>
      </w:r>
      <w:r w:rsidR="39331641">
        <w:t>h</w:t>
      </w:r>
      <w:r>
        <w:t xml:space="preserve">ealth and </w:t>
      </w:r>
      <w:r w:rsidR="03459BC6">
        <w:t>c</w:t>
      </w:r>
      <w:r>
        <w:t xml:space="preserve">ommunity </w:t>
      </w:r>
      <w:r w:rsidR="1A3EA0B6">
        <w:t>h</w:t>
      </w:r>
      <w:r>
        <w:t>ealth services.  The implementation of this programme will be a first in type for the country and provide</w:t>
      </w:r>
      <w:r w:rsidR="00DA5F54">
        <w:t>s</w:t>
      </w:r>
      <w:r>
        <w:t xml:space="preserve"> real benefit to patients, particularly those who have both physical and mental health needs.</w:t>
      </w:r>
    </w:p>
    <w:p w14:paraId="22F21209" w14:textId="6ED942B2" w:rsidR="007A08F6" w:rsidRDefault="007A08F6" w:rsidP="007E29D7">
      <w:r>
        <w:t xml:space="preserve">Spanning the interface of digital and clinical services, we have been able to support the continued </w:t>
      </w:r>
      <w:r w:rsidRPr="0041791C">
        <w:t xml:space="preserve">development of the virtual hospital </w:t>
      </w:r>
      <w:r w:rsidR="00A46F43" w:rsidRPr="0041791C">
        <w:t xml:space="preserve">in </w:t>
      </w:r>
      <w:r w:rsidRPr="0041791C">
        <w:t xml:space="preserve">2023/24.  </w:t>
      </w:r>
      <w:r w:rsidR="0098190C" w:rsidRPr="0041791C">
        <w:t>T</w:t>
      </w:r>
      <w:r w:rsidRPr="0041791C">
        <w:t>he Urgent Community Response Team (UCRT) and</w:t>
      </w:r>
      <w:r w:rsidR="00F623A3">
        <w:t xml:space="preserve"> </w:t>
      </w:r>
      <w:r w:rsidRPr="0041791C">
        <w:t xml:space="preserve">three virtual wards, </w:t>
      </w:r>
      <w:r w:rsidR="004D2D46" w:rsidRPr="0041791C">
        <w:t>covering</w:t>
      </w:r>
      <w:r w:rsidRPr="0041791C">
        <w:t xml:space="preserve"> frailty, respiratory patients and heart failure, in addition to the acute</w:t>
      </w:r>
      <w:r w:rsidR="5D4CB545" w:rsidRPr="0041791C">
        <w:t>-</w:t>
      </w:r>
      <w:r w:rsidRPr="0041791C">
        <w:t>led Hospital@Home service are operating across MSE.</w:t>
      </w:r>
    </w:p>
    <w:p w14:paraId="2E08166C" w14:textId="31EC350B" w:rsidR="00307F6A" w:rsidRPr="00EA7022" w:rsidRDefault="00307F6A" w:rsidP="00307F6A">
      <w:pPr>
        <w:tabs>
          <w:tab w:val="left" w:pos="275"/>
        </w:tabs>
        <w:spacing w:before="0" w:after="0" w:line="216" w:lineRule="auto"/>
        <w:rPr>
          <w:b/>
          <w:bCs/>
          <w:color w:val="005EB8"/>
          <w:sz w:val="22"/>
        </w:rPr>
      </w:pPr>
      <w:r w:rsidRPr="00261D42">
        <w:rPr>
          <w:b/>
          <w:bCs/>
          <w:color w:val="005EB8"/>
          <w:sz w:val="22"/>
        </w:rPr>
        <w:t xml:space="preserve">Case </w:t>
      </w:r>
      <w:r w:rsidR="071FCF3E" w:rsidRPr="3B11DA3E">
        <w:rPr>
          <w:b/>
          <w:bCs/>
          <w:color w:val="005EB8"/>
          <w:sz w:val="22"/>
        </w:rPr>
        <w:t>s</w:t>
      </w:r>
      <w:r w:rsidRPr="00261D42">
        <w:rPr>
          <w:b/>
          <w:bCs/>
          <w:color w:val="005EB8"/>
          <w:sz w:val="22"/>
        </w:rPr>
        <w:t xml:space="preserve">tudy: </w:t>
      </w:r>
      <w:r>
        <w:rPr>
          <w:b/>
          <w:bCs/>
          <w:color w:val="005EB8"/>
          <w:sz w:val="22"/>
        </w:rPr>
        <w:t>virtual hospital – digital, data and technology</w:t>
      </w:r>
    </w:p>
    <w:p w14:paraId="599E6EA8" w14:textId="76338E82" w:rsidR="00307F6A" w:rsidRDefault="00307F6A" w:rsidP="007E29D7">
      <w:r w:rsidRPr="00307F6A">
        <w:rPr>
          <w:noProof/>
        </w:rPr>
        <w:drawing>
          <wp:inline distT="0" distB="0" distL="0" distR="0" wp14:anchorId="110E0851" wp14:editId="4C949C04">
            <wp:extent cx="2424737" cy="2320778"/>
            <wp:effectExtent l="0" t="0" r="0" b="3810"/>
            <wp:docPr id="8" name="Picture 8" descr="An old person watering plants">
              <a:extLst xmlns:a="http://schemas.openxmlformats.org/drawingml/2006/main">
                <a:ext uri="{FF2B5EF4-FFF2-40B4-BE49-F238E27FC236}">
                  <a16:creationId xmlns:a16="http://schemas.microsoft.com/office/drawing/2014/main" id="{6AF39ED7-5AC3-2C26-5441-5EE08C52A1FD}"/>
                </a:ext>
              </a:extLst>
            </wp:docPr>
            <wp:cNvGraphicFramePr/>
            <a:graphic xmlns:a="http://schemas.openxmlformats.org/drawingml/2006/main">
              <a:graphicData uri="http://schemas.openxmlformats.org/drawingml/2006/picture">
                <pic:pic xmlns:pic="http://schemas.openxmlformats.org/drawingml/2006/picture">
                  <pic:nvPicPr>
                    <pic:cNvPr id="8" name="Picture 8" descr="An old person watering plants">
                      <a:extLst>
                        <a:ext uri="{FF2B5EF4-FFF2-40B4-BE49-F238E27FC236}">
                          <a16:creationId xmlns:a16="http://schemas.microsoft.com/office/drawing/2014/main" id="{6AF39ED7-5AC3-2C26-5441-5EE08C52A1FD}"/>
                        </a:ext>
                      </a:extLst>
                    </pic:cNvPr>
                    <pic:cNvPicPr/>
                  </pic:nvPicPr>
                  <pic:blipFill rotWithShape="1">
                    <a:blip r:embed="rId33" cstate="print"/>
                    <a:srcRect r="-1" b="15680"/>
                    <a:stretch/>
                  </pic:blipFill>
                  <pic:spPr>
                    <a:xfrm>
                      <a:off x="0" y="0"/>
                      <a:ext cx="2459373" cy="2353929"/>
                    </a:xfrm>
                    <a:prstGeom prst="rect">
                      <a:avLst/>
                    </a:prstGeom>
                  </pic:spPr>
                </pic:pic>
              </a:graphicData>
            </a:graphic>
          </wp:inline>
        </w:drawing>
      </w:r>
      <w:r w:rsidRPr="00307F6A">
        <w:rPr>
          <w:noProof/>
        </w:rPr>
        <w:t xml:space="preserve"> </w:t>
      </w:r>
      <w:r w:rsidRPr="00307F6A">
        <w:rPr>
          <w:noProof/>
        </w:rPr>
        <mc:AlternateContent>
          <mc:Choice Requires="wps">
            <w:drawing>
              <wp:inline distT="0" distB="0" distL="0" distR="0" wp14:anchorId="39C2245A" wp14:editId="67467ACD">
                <wp:extent cx="3425483" cy="2363372"/>
                <wp:effectExtent l="0" t="0" r="0" b="0"/>
                <wp:docPr id="57" name="Text Box 57"/>
                <wp:cNvGraphicFramePr/>
                <a:graphic xmlns:a="http://schemas.openxmlformats.org/drawingml/2006/main">
                  <a:graphicData uri="http://schemas.microsoft.com/office/word/2010/wordprocessingShape">
                    <wps:wsp>
                      <wps:cNvSpPr txBox="1"/>
                      <wps:spPr>
                        <a:xfrm>
                          <a:off x="0" y="0"/>
                          <a:ext cx="3425483" cy="2363372"/>
                        </a:xfrm>
                        <a:prstGeom prst="rect">
                          <a:avLst/>
                        </a:prstGeom>
                      </wps:spPr>
                      <wps:txbx>
                        <w:txbxContent>
                          <w:p w14:paraId="45770C65" w14:textId="190E8983" w:rsidR="00307F6A" w:rsidRPr="00307F6A" w:rsidRDefault="00307F6A" w:rsidP="00A24DCF">
                            <w:pPr>
                              <w:pStyle w:val="ListParagraph"/>
                              <w:numPr>
                                <w:ilvl w:val="0"/>
                                <w:numId w:val="33"/>
                              </w:numPr>
                              <w:spacing w:after="0" w:line="216" w:lineRule="auto"/>
                              <w:rPr>
                                <w:rFonts w:cs="Arial"/>
                                <w:color w:val="000000" w:themeColor="text1"/>
                                <w:kern w:val="24"/>
                                <w:sz w:val="20"/>
                                <w:szCs w:val="20"/>
                                <w:lang w:val="en-US"/>
                              </w:rPr>
                            </w:pPr>
                            <w:r w:rsidRPr="00307F6A">
                              <w:rPr>
                                <w:rFonts w:cs="Arial"/>
                                <w:color w:val="000000" w:themeColor="text1"/>
                                <w:kern w:val="24"/>
                                <w:sz w:val="20"/>
                                <w:szCs w:val="20"/>
                                <w:lang w:val="en-US"/>
                              </w:rPr>
                              <w:t xml:space="preserve">As </w:t>
                            </w:r>
                            <w:r w:rsidR="00184A74">
                              <w:rPr>
                                <w:rFonts w:cs="Arial"/>
                                <w:color w:val="000000" w:themeColor="text1"/>
                                <w:kern w:val="24"/>
                                <w:sz w:val="20"/>
                                <w:szCs w:val="20"/>
                                <w:lang w:val="en-US"/>
                              </w:rPr>
                              <w:t>of</w:t>
                            </w:r>
                            <w:r w:rsidRPr="00307F6A">
                              <w:rPr>
                                <w:rFonts w:cs="Arial"/>
                                <w:color w:val="000000" w:themeColor="text1"/>
                                <w:kern w:val="24"/>
                                <w:sz w:val="20"/>
                                <w:szCs w:val="20"/>
                                <w:lang w:val="en-US"/>
                              </w:rPr>
                              <w:t xml:space="preserve"> February 2024, virtual wards have been at 100% occupancy with the exception of respiratory. </w:t>
                            </w:r>
                          </w:p>
                          <w:p w14:paraId="03235AEF" w14:textId="77777777" w:rsidR="00307F6A" w:rsidRPr="00307F6A" w:rsidRDefault="00307F6A" w:rsidP="00A24DCF">
                            <w:pPr>
                              <w:pStyle w:val="ListParagraph"/>
                              <w:numPr>
                                <w:ilvl w:val="0"/>
                                <w:numId w:val="33"/>
                              </w:numPr>
                              <w:spacing w:after="0" w:line="216" w:lineRule="auto"/>
                              <w:rPr>
                                <w:rFonts w:cs="Arial"/>
                                <w:color w:val="000000" w:themeColor="text1"/>
                                <w:kern w:val="24"/>
                                <w:sz w:val="20"/>
                                <w:szCs w:val="20"/>
                                <w:lang w:val="en-US"/>
                              </w:rPr>
                            </w:pPr>
                            <w:r w:rsidRPr="00307F6A">
                              <w:rPr>
                                <w:rFonts w:cs="Arial"/>
                                <w:color w:val="000000" w:themeColor="text1"/>
                                <w:kern w:val="24"/>
                                <w:sz w:val="20"/>
                                <w:szCs w:val="20"/>
                                <w:lang w:val="en-US"/>
                              </w:rPr>
                              <w:t>Avoiding admissions to a physical hospital not only alleviates system bed pressures but reduces infection risks on physical hospital wards during a time of high occupancy.</w:t>
                            </w:r>
                          </w:p>
                          <w:p w14:paraId="7E6426F0" w14:textId="22218602" w:rsidR="00307F6A" w:rsidRPr="00307F6A" w:rsidRDefault="00307F6A" w:rsidP="00A24DCF">
                            <w:pPr>
                              <w:pStyle w:val="ListParagraph"/>
                              <w:numPr>
                                <w:ilvl w:val="0"/>
                                <w:numId w:val="33"/>
                              </w:numPr>
                              <w:spacing w:after="0" w:line="216" w:lineRule="auto"/>
                              <w:rPr>
                                <w:rFonts w:cs="Arial"/>
                                <w:color w:val="000000" w:themeColor="text1"/>
                                <w:kern w:val="24"/>
                                <w:sz w:val="20"/>
                                <w:szCs w:val="20"/>
                                <w:lang w:val="en-US"/>
                              </w:rPr>
                            </w:pPr>
                            <w:r w:rsidRPr="00307F6A">
                              <w:rPr>
                                <w:rFonts w:cs="Arial"/>
                                <w:color w:val="000000" w:themeColor="text1"/>
                                <w:kern w:val="24"/>
                                <w:sz w:val="20"/>
                                <w:szCs w:val="20"/>
                                <w:lang w:val="en-US"/>
                              </w:rPr>
                              <w:t xml:space="preserve">The UCRT operates across </w:t>
                            </w:r>
                            <w:r w:rsidR="007A08F6">
                              <w:rPr>
                                <w:rFonts w:cs="Arial"/>
                                <w:color w:val="000000" w:themeColor="text1"/>
                                <w:kern w:val="24"/>
                                <w:sz w:val="20"/>
                                <w:szCs w:val="20"/>
                                <w:lang w:val="en-US"/>
                              </w:rPr>
                              <w:t>MSE</w:t>
                            </w:r>
                            <w:r w:rsidRPr="00307F6A">
                              <w:rPr>
                                <w:rFonts w:cs="Arial"/>
                                <w:color w:val="000000" w:themeColor="text1"/>
                                <w:kern w:val="24"/>
                                <w:sz w:val="20"/>
                                <w:szCs w:val="20"/>
                                <w:lang w:val="en-US"/>
                              </w:rPr>
                              <w:t>, with a single point of access offering a two-hour response time. It supports patients in their own homes (including nursing and residential care comes) for up to 48 hours, with others transferred to the virtual wards where clinically appropriate for up to 14 days.</w:t>
                            </w:r>
                          </w:p>
                          <w:p w14:paraId="6336B428" w14:textId="77777777" w:rsidR="00307F6A" w:rsidRPr="00307F6A" w:rsidRDefault="00307F6A" w:rsidP="00A24DCF">
                            <w:pPr>
                              <w:pStyle w:val="ListParagraph"/>
                              <w:numPr>
                                <w:ilvl w:val="0"/>
                                <w:numId w:val="33"/>
                              </w:numPr>
                              <w:spacing w:after="0" w:line="216" w:lineRule="auto"/>
                              <w:rPr>
                                <w:rFonts w:cs="Arial"/>
                                <w:color w:val="000000" w:themeColor="text1"/>
                                <w:kern w:val="24"/>
                                <w:sz w:val="20"/>
                                <w:szCs w:val="20"/>
                                <w:lang w:val="en-US"/>
                              </w:rPr>
                            </w:pPr>
                            <w:r w:rsidRPr="00307F6A">
                              <w:rPr>
                                <w:rFonts w:cs="Arial"/>
                                <w:color w:val="000000" w:themeColor="text1"/>
                                <w:kern w:val="24"/>
                                <w:sz w:val="20"/>
                                <w:szCs w:val="20"/>
                                <w:lang w:val="en-US"/>
                              </w:rPr>
                              <w:t>The virtual wards are multidisciplinary with medical oversight and leadership. The team includes registered nurses, physiotherapists, occupational therapists, rehabilitation assistants and health and care support workers.</w:t>
                            </w:r>
                          </w:p>
                        </w:txbxContent>
                      </wps:txbx>
                      <wps:bodyPr vert="horz" lIns="91440" tIns="45720" rIns="91440" bIns="45720" rtlCol="0">
                        <a:noAutofit/>
                      </wps:bodyPr>
                    </wps:wsp>
                  </a:graphicData>
                </a:graphic>
              </wp:inline>
            </w:drawing>
          </mc:Choice>
          <mc:Fallback>
            <w:pict>
              <v:shape w14:anchorId="39C2245A" id="Text Box 57" o:spid="_x0000_s1036" type="#_x0000_t202" style="width:269.7pt;height:18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" filled="f" stroked="f">
                <v:textbox>
                  <w:txbxContent>
                    <w:p w14:paraId="45770C65" w14:textId="190E8983" w:rsidR="00307F6A" w:rsidRPr="00307F6A" w:rsidRDefault="00307F6A" w:rsidP="00A24DCF">
                      <w:pPr>
                        <w:pStyle w:val="ListParagraph"/>
                        <w:numPr>
                          <w:ilvl w:val="0"/>
                          <w:numId w:val="33"/>
                        </w:numPr>
                        <w:spacing w:after="0" w:line="216" w:lineRule="auto"/>
                        <w:rPr>
                          <w:rFonts w:cs="Arial"/>
                          <w:color w:val="000000" w:themeColor="text1"/>
                          <w:kern w:val="24"/>
                          <w:sz w:val="20"/>
                          <w:szCs w:val="20"/>
                          <w:lang w:val="en-US"/>
                        </w:rPr>
                      </w:pPr>
                      <w:r w:rsidRPr="00307F6A">
                        <w:rPr>
                          <w:rFonts w:cs="Arial"/>
                          <w:color w:val="000000" w:themeColor="text1"/>
                          <w:kern w:val="24"/>
                          <w:sz w:val="20"/>
                          <w:szCs w:val="20"/>
                          <w:lang w:val="en-US"/>
                        </w:rPr>
                        <w:t xml:space="preserve">As </w:t>
                      </w:r>
                      <w:r w:rsidR="00184A74">
                        <w:rPr>
                          <w:rFonts w:cs="Arial"/>
                          <w:color w:val="000000" w:themeColor="text1"/>
                          <w:kern w:val="24"/>
                          <w:sz w:val="20"/>
                          <w:szCs w:val="20"/>
                          <w:lang w:val="en-US"/>
                        </w:rPr>
                        <w:t>of</w:t>
                      </w:r>
                      <w:r w:rsidRPr="00307F6A">
                        <w:rPr>
                          <w:rFonts w:cs="Arial"/>
                          <w:color w:val="000000" w:themeColor="text1"/>
                          <w:kern w:val="24"/>
                          <w:sz w:val="20"/>
                          <w:szCs w:val="20"/>
                          <w:lang w:val="en-US"/>
                        </w:rPr>
                        <w:t xml:space="preserve"> February 2024, virtual wards have been at 100% occupancy with the exception of respiratory. </w:t>
                      </w:r>
                    </w:p>
                    <w:p w14:paraId="03235AEF" w14:textId="77777777" w:rsidR="00307F6A" w:rsidRPr="00307F6A" w:rsidRDefault="00307F6A" w:rsidP="00A24DCF">
                      <w:pPr>
                        <w:pStyle w:val="ListParagraph"/>
                        <w:numPr>
                          <w:ilvl w:val="0"/>
                          <w:numId w:val="33"/>
                        </w:numPr>
                        <w:spacing w:after="0" w:line="216" w:lineRule="auto"/>
                        <w:rPr>
                          <w:rFonts w:cs="Arial"/>
                          <w:color w:val="000000" w:themeColor="text1"/>
                          <w:kern w:val="24"/>
                          <w:sz w:val="20"/>
                          <w:szCs w:val="20"/>
                          <w:lang w:val="en-US"/>
                        </w:rPr>
                      </w:pPr>
                      <w:r w:rsidRPr="00307F6A">
                        <w:rPr>
                          <w:rFonts w:cs="Arial"/>
                          <w:color w:val="000000" w:themeColor="text1"/>
                          <w:kern w:val="24"/>
                          <w:sz w:val="20"/>
                          <w:szCs w:val="20"/>
                          <w:lang w:val="en-US"/>
                        </w:rPr>
                        <w:t>Avoiding admissions to a physical hospital not only alleviates system bed pressures but reduces infection risks on physical hospital wards during a time of high occupancy.</w:t>
                      </w:r>
                    </w:p>
                    <w:p w14:paraId="7E6426F0" w14:textId="22218602" w:rsidR="00307F6A" w:rsidRPr="00307F6A" w:rsidRDefault="00307F6A" w:rsidP="00A24DCF">
                      <w:pPr>
                        <w:pStyle w:val="ListParagraph"/>
                        <w:numPr>
                          <w:ilvl w:val="0"/>
                          <w:numId w:val="33"/>
                        </w:numPr>
                        <w:spacing w:after="0" w:line="216" w:lineRule="auto"/>
                        <w:rPr>
                          <w:rFonts w:cs="Arial"/>
                          <w:color w:val="000000" w:themeColor="text1"/>
                          <w:kern w:val="24"/>
                          <w:sz w:val="20"/>
                          <w:szCs w:val="20"/>
                          <w:lang w:val="en-US"/>
                        </w:rPr>
                      </w:pPr>
                      <w:r w:rsidRPr="00307F6A">
                        <w:rPr>
                          <w:rFonts w:cs="Arial"/>
                          <w:color w:val="000000" w:themeColor="text1"/>
                          <w:kern w:val="24"/>
                          <w:sz w:val="20"/>
                          <w:szCs w:val="20"/>
                          <w:lang w:val="en-US"/>
                        </w:rPr>
                        <w:t xml:space="preserve">The UCRT operates across </w:t>
                      </w:r>
                      <w:r w:rsidR="007A08F6">
                        <w:rPr>
                          <w:rFonts w:cs="Arial"/>
                          <w:color w:val="000000" w:themeColor="text1"/>
                          <w:kern w:val="24"/>
                          <w:sz w:val="20"/>
                          <w:szCs w:val="20"/>
                          <w:lang w:val="en-US"/>
                        </w:rPr>
                        <w:t>MSE</w:t>
                      </w:r>
                      <w:r w:rsidRPr="00307F6A">
                        <w:rPr>
                          <w:rFonts w:cs="Arial"/>
                          <w:color w:val="000000" w:themeColor="text1"/>
                          <w:kern w:val="24"/>
                          <w:sz w:val="20"/>
                          <w:szCs w:val="20"/>
                          <w:lang w:val="en-US"/>
                        </w:rPr>
                        <w:t>, with a single point of access offering a two-hour response time. It supports patients in their own homes (including nursing and residential care comes) for up to 48 hours, with others transferred to the virtual wards where clinically appropriate for up to 14 days.</w:t>
                      </w:r>
                    </w:p>
                    <w:p w14:paraId="6336B428" w14:textId="77777777" w:rsidR="00307F6A" w:rsidRPr="00307F6A" w:rsidRDefault="00307F6A" w:rsidP="00A24DCF">
                      <w:pPr>
                        <w:pStyle w:val="ListParagraph"/>
                        <w:numPr>
                          <w:ilvl w:val="0"/>
                          <w:numId w:val="33"/>
                        </w:numPr>
                        <w:spacing w:after="0" w:line="216" w:lineRule="auto"/>
                        <w:rPr>
                          <w:rFonts w:cs="Arial"/>
                          <w:color w:val="000000" w:themeColor="text1"/>
                          <w:kern w:val="24"/>
                          <w:sz w:val="20"/>
                          <w:szCs w:val="20"/>
                          <w:lang w:val="en-US"/>
                        </w:rPr>
                      </w:pPr>
                      <w:r w:rsidRPr="00307F6A">
                        <w:rPr>
                          <w:rFonts w:cs="Arial"/>
                          <w:color w:val="000000" w:themeColor="text1"/>
                          <w:kern w:val="24"/>
                          <w:sz w:val="20"/>
                          <w:szCs w:val="20"/>
                          <w:lang w:val="en-US"/>
                        </w:rPr>
                        <w:t>The virtual wards are multidisciplinary with medical oversight and leadership. The team includes registered nurses, physiotherapists, occupational therapists, rehabilitation assistants and health and care support workers.</w:t>
                      </w:r>
                    </w:p>
                  </w:txbxContent>
                </v:textbox>
                <w10:anchorlock/>
              </v:shape>
            </w:pict>
          </mc:Fallback>
        </mc:AlternateContent>
      </w:r>
    </w:p>
    <w:p w14:paraId="145B17A7" w14:textId="77777777" w:rsidR="00B92AF6" w:rsidRDefault="00B92AF6">
      <w:pPr>
        <w:spacing w:before="0" w:after="200" w:line="276" w:lineRule="auto"/>
        <w:rPr>
          <w:rFonts w:eastAsia="Times" w:cs="Times New Roman"/>
          <w:b/>
          <w:bCs/>
          <w:color w:val="0070C0"/>
          <w:sz w:val="28"/>
          <w:szCs w:val="28"/>
        </w:rPr>
      </w:pPr>
      <w:r>
        <w:br w:type="page"/>
      </w:r>
    </w:p>
    <w:p w14:paraId="7D44F1C6" w14:textId="6342CA63" w:rsidR="00E12C74" w:rsidRDefault="001C0486" w:rsidP="00E12C74">
      <w:pPr>
        <w:pStyle w:val="Heading2"/>
      </w:pPr>
      <w:bookmarkStart w:id="32" w:name="_Toc164814821"/>
      <w:bookmarkStart w:id="33" w:name="_Toc164814882"/>
      <w:r w:rsidRPr="00D03026">
        <w:lastRenderedPageBreak/>
        <w:t xml:space="preserve">Improve </w:t>
      </w:r>
      <w:r w:rsidR="1953947B">
        <w:t>q</w:t>
      </w:r>
      <w:r w:rsidRPr="00D03026">
        <w:t>uality</w:t>
      </w:r>
      <w:bookmarkEnd w:id="32"/>
      <w:bookmarkEnd w:id="33"/>
    </w:p>
    <w:p w14:paraId="60E53F3C" w14:textId="77777777" w:rsidR="000A192B" w:rsidRDefault="00BA344F" w:rsidP="00E12C74">
      <w:pPr>
        <w:pStyle w:val="BodyText"/>
      </w:pPr>
      <w:r w:rsidRPr="00E12C74">
        <w:t xml:space="preserve">The ICB Nursing and Quality Directorate has focused on working with residents and system partners, to improve the care and experience of people in MSE through influence, oversight, and assurance. </w:t>
      </w:r>
    </w:p>
    <w:p w14:paraId="0F7A4A79" w14:textId="08367BE2" w:rsidR="000A192B" w:rsidRPr="003C1AFA" w:rsidRDefault="000A192B" w:rsidP="003C1AFA">
      <w:pPr>
        <w:pStyle w:val="BodyText"/>
      </w:pPr>
      <w:r w:rsidRPr="003C1AFA">
        <w:t xml:space="preserve">2023/24 has seen the implementation and development of the MSE System Quality Group and Quality Committee. These have become strategically significant forums that have strengthened the system quality oversight and wider learning for all key providers and partners.   We have ensured that we include the voice of our residents and patients at the centre of our meetings by inviting our lay Patient Safety Partners as members of both meetings, </w:t>
      </w:r>
      <w:r w:rsidR="006D27F8" w:rsidRPr="003C1AFA">
        <w:t>and</w:t>
      </w:r>
      <w:r w:rsidRPr="003C1AFA">
        <w:t xml:space="preserve"> by hearing patient stories and experiences, when considering the quality of </w:t>
      </w:r>
      <w:r w:rsidR="006D27F8" w:rsidRPr="003C1AFA">
        <w:t>areas</w:t>
      </w:r>
      <w:r w:rsidRPr="003C1AFA">
        <w:t xml:space="preserve"> of health and care quality.</w:t>
      </w:r>
    </w:p>
    <w:p w14:paraId="4B714C96" w14:textId="7F43B081" w:rsidR="000A192B" w:rsidRPr="003C1AFA" w:rsidRDefault="000A192B" w:rsidP="003C1AFA">
      <w:pPr>
        <w:pStyle w:val="BodyText"/>
      </w:pPr>
      <w:r w:rsidRPr="003C1AFA">
        <w:t xml:space="preserve">The Nursing and Quality Directorate hold </w:t>
      </w:r>
      <w:r w:rsidR="006D27F8" w:rsidRPr="003C1AFA">
        <w:t>several</w:t>
      </w:r>
      <w:r w:rsidRPr="003C1AFA">
        <w:t xml:space="preserve"> statutory responsibilities on behalf of the </w:t>
      </w:r>
      <w:r w:rsidR="00471C4B" w:rsidRPr="003C1AFA">
        <w:t>ICB</w:t>
      </w:r>
      <w:r w:rsidRPr="003C1AFA">
        <w:t xml:space="preserve">, working with partners across </w:t>
      </w:r>
      <w:r w:rsidR="00471C4B" w:rsidRPr="003C1AFA">
        <w:t>MSE</w:t>
      </w:r>
      <w:r w:rsidRPr="003C1AFA">
        <w:t xml:space="preserve"> to ensure that we all relentlessly focus on improving the quality of care being delivered, whilst safeguarding our most vulnerable residents from harm.  Areas of ongoing focus include:</w:t>
      </w:r>
    </w:p>
    <w:p w14:paraId="1C711324" w14:textId="54C81836" w:rsidR="000A192B" w:rsidRDefault="000C24CF" w:rsidP="000A192B">
      <w:pPr>
        <w:autoSpaceDE w:val="0"/>
        <w:autoSpaceDN w:val="0"/>
        <w:spacing w:after="0"/>
        <w:ind w:left="360" w:hanging="360"/>
        <w:rPr>
          <w:rFonts w:cs="Arial"/>
          <w:b/>
          <w:bCs/>
          <w:szCs w:val="24"/>
        </w:rPr>
      </w:pPr>
      <w:r w:rsidRPr="000A192B">
        <w:rPr>
          <w:rFonts w:eastAsia="Times New Roman" w:cs="Arial"/>
          <w:b/>
          <w:bCs/>
          <w:szCs w:val="24"/>
        </w:rPr>
        <w:t xml:space="preserve">All </w:t>
      </w:r>
      <w:r w:rsidRPr="000A192B">
        <w:rPr>
          <w:rFonts w:cs="Arial"/>
          <w:b/>
          <w:bCs/>
          <w:szCs w:val="24"/>
        </w:rPr>
        <w:t>Age Continuing Care (AACC</w:t>
      </w:r>
      <w:r w:rsidR="00CF3D63">
        <w:rPr>
          <w:rFonts w:cs="Arial"/>
          <w:b/>
          <w:bCs/>
          <w:szCs w:val="24"/>
        </w:rPr>
        <w:t>)</w:t>
      </w:r>
    </w:p>
    <w:p w14:paraId="0651B371" w14:textId="534275A4" w:rsidR="000A192B" w:rsidRPr="003C1AFA" w:rsidRDefault="000A192B" w:rsidP="003C1AFA">
      <w:pPr>
        <w:pStyle w:val="BodyText"/>
      </w:pPr>
      <w:r w:rsidRPr="003C1AFA">
        <w:t>The A</w:t>
      </w:r>
      <w:r w:rsidR="00A312AB" w:rsidRPr="003C1AFA">
        <w:t>ll Age Continuing Care (AACC)</w:t>
      </w:r>
      <w:r w:rsidRPr="003C1AFA">
        <w:t xml:space="preserve"> Team </w:t>
      </w:r>
      <w:r w:rsidR="006C584E" w:rsidRPr="003C1AFA">
        <w:t>has</w:t>
      </w:r>
      <w:r w:rsidR="00A312AB" w:rsidRPr="003C1AFA">
        <w:t xml:space="preserve"> </w:t>
      </w:r>
      <w:r w:rsidRPr="003C1AFA">
        <w:t xml:space="preserve">throughout 2023/24 continued to successfully support the timely discharge of residents from our acute hospitals.  They have championed the plan of getting people ‘home first’ wherever possible.  The team works closely with all our local authorities to ensure that residents are thoroughly assessed to receive care in accordance with the national framework and is dedicated to getting people the right care, in the right place, at the right time and by the right person. </w:t>
      </w:r>
      <w:r w:rsidR="00A312AB" w:rsidRPr="003C1AFA">
        <w:t xml:space="preserve"> </w:t>
      </w:r>
      <w:r w:rsidRPr="003C1AFA">
        <w:t xml:space="preserve">Team members work openly and transparently with partners and providers to deliver an integrated, and innovative service. </w:t>
      </w:r>
    </w:p>
    <w:p w14:paraId="1B84CA69" w14:textId="37A7F696" w:rsidR="00A312AB" w:rsidRPr="003C1AFA" w:rsidRDefault="00A312AB" w:rsidP="003C1AFA">
      <w:pPr>
        <w:pStyle w:val="BodyText"/>
      </w:pPr>
      <w:r w:rsidRPr="003C1AFA">
        <w:t>Importantly this year</w:t>
      </w:r>
      <w:r w:rsidR="00CF3D63" w:rsidRPr="003C1AFA">
        <w:t>,</w:t>
      </w:r>
      <w:r w:rsidRPr="003C1AFA">
        <w:t xml:space="preserve"> the Children’s Team have developed and finalised an information pack for children and young people, who will be transitioning from children’s to </w:t>
      </w:r>
      <w:r w:rsidR="006D27F8" w:rsidRPr="003C1AFA">
        <w:t>adults’</w:t>
      </w:r>
      <w:r w:rsidRPr="003C1AFA">
        <w:t xml:space="preserve"> services.  ‘Transition’ is the process of preparing, planning, and moving from children’s services to adult services. </w:t>
      </w:r>
    </w:p>
    <w:p w14:paraId="056C7A7C" w14:textId="75A18C6C" w:rsidR="00A312AB" w:rsidRPr="003C1AFA" w:rsidRDefault="00A312AB" w:rsidP="003C1AFA">
      <w:pPr>
        <w:pStyle w:val="BodyText"/>
      </w:pPr>
      <w:r w:rsidRPr="003C1AFA">
        <w:t>For young people with complex needs</w:t>
      </w:r>
      <w:r w:rsidR="00CF3D63" w:rsidRPr="003C1AFA">
        <w:t>,</w:t>
      </w:r>
      <w:r w:rsidRPr="003C1AFA">
        <w:t xml:space="preserve"> the process of transition should start when a young person reaches the age of 14 and should be an ongoing process until the age of 18.  For Continuing Health Care, transition is at the age of 18 although many other services such as Special Education Needs, and Disabilities (SEND) continue to support a young person’s transition into adult services until they reach the age of 25</w:t>
      </w:r>
      <w:r w:rsidR="00CF3D63" w:rsidRPr="003C1AFA">
        <w:t xml:space="preserve"> years</w:t>
      </w:r>
      <w:r w:rsidRPr="003C1AFA">
        <w:t xml:space="preserve">.  </w:t>
      </w:r>
    </w:p>
    <w:p w14:paraId="6E927AC3" w14:textId="7A57CBBD" w:rsidR="00A312AB" w:rsidRPr="003C1AFA" w:rsidRDefault="00A312AB" w:rsidP="003C1AFA">
      <w:pPr>
        <w:pStyle w:val="BodyText"/>
      </w:pPr>
      <w:r w:rsidRPr="003C1AFA">
        <w:t>The team want to ensure young people and their families receive the right support at the right time.  The information pack aims to provide families and professional</w:t>
      </w:r>
      <w:r w:rsidR="00CF3D63" w:rsidRPr="003C1AFA">
        <w:t>s</w:t>
      </w:r>
      <w:r w:rsidRPr="003C1AFA">
        <w:t xml:space="preserve"> with the information needed to understand and support young people during their transition from children to adult services and focus specifically on young people transitioning from Childrens services into NHS Continuing Healthcare (CHC).  The team are continuing to seek feedback from children and young people, and their families to ensure that any changes to information and support are enacted quickly to best meet their needs.</w:t>
      </w:r>
    </w:p>
    <w:p w14:paraId="3EB77D93" w14:textId="5736AD54" w:rsidR="002049A1" w:rsidRDefault="002049A1">
      <w:pPr>
        <w:spacing w:before="0" w:after="200" w:line="276" w:lineRule="auto"/>
        <w:rPr>
          <w:rFonts w:cs="Arial"/>
          <w:b/>
          <w:bCs/>
          <w:szCs w:val="24"/>
        </w:rPr>
      </w:pPr>
      <w:r>
        <w:rPr>
          <w:rFonts w:cs="Arial"/>
          <w:b/>
          <w:bCs/>
          <w:szCs w:val="24"/>
        </w:rPr>
        <w:br w:type="page"/>
      </w:r>
    </w:p>
    <w:p w14:paraId="58620BCC" w14:textId="5111281D" w:rsidR="00A312AB" w:rsidRDefault="000C24CF" w:rsidP="00A312AB">
      <w:pPr>
        <w:autoSpaceDE w:val="0"/>
        <w:autoSpaceDN w:val="0"/>
        <w:spacing w:after="0"/>
        <w:rPr>
          <w:rFonts w:cs="Arial"/>
          <w:b/>
          <w:bCs/>
        </w:rPr>
      </w:pPr>
      <w:r w:rsidRPr="00A312AB">
        <w:rPr>
          <w:rFonts w:cs="Arial"/>
          <w:b/>
          <w:bCs/>
        </w:rPr>
        <w:lastRenderedPageBreak/>
        <w:t xml:space="preserve">Special </w:t>
      </w:r>
      <w:r w:rsidR="3779B20E" w:rsidRPr="00A312AB">
        <w:rPr>
          <w:rFonts w:cs="Arial"/>
          <w:b/>
          <w:bCs/>
        </w:rPr>
        <w:t>e</w:t>
      </w:r>
      <w:r w:rsidRPr="00A312AB">
        <w:rPr>
          <w:rFonts w:cs="Arial"/>
          <w:b/>
          <w:bCs/>
        </w:rPr>
        <w:t xml:space="preserve">ducational </w:t>
      </w:r>
      <w:r w:rsidR="2AD429EF" w:rsidRPr="00A312AB">
        <w:rPr>
          <w:rFonts w:cs="Arial"/>
          <w:b/>
          <w:bCs/>
        </w:rPr>
        <w:t>n</w:t>
      </w:r>
      <w:r w:rsidRPr="00A312AB">
        <w:rPr>
          <w:rFonts w:cs="Arial"/>
          <w:b/>
          <w:bCs/>
        </w:rPr>
        <w:t xml:space="preserve">eeds and </w:t>
      </w:r>
      <w:r w:rsidR="247FCEBC" w:rsidRPr="00A312AB">
        <w:rPr>
          <w:rFonts w:cs="Arial"/>
          <w:b/>
          <w:bCs/>
        </w:rPr>
        <w:t>d</w:t>
      </w:r>
      <w:r w:rsidRPr="00A312AB">
        <w:rPr>
          <w:rFonts w:cs="Arial"/>
          <w:b/>
          <w:bCs/>
        </w:rPr>
        <w:t>isabilities (SEND)</w:t>
      </w:r>
    </w:p>
    <w:p w14:paraId="73E2492F" w14:textId="62D7364E" w:rsidR="00A312AB" w:rsidRDefault="00A312AB" w:rsidP="00A312AB">
      <w:pPr>
        <w:autoSpaceDE w:val="0"/>
        <w:autoSpaceDN w:val="0"/>
        <w:spacing w:after="0"/>
        <w:rPr>
          <w:rFonts w:cs="Arial"/>
        </w:rPr>
      </w:pPr>
      <w:r>
        <w:rPr>
          <w:rFonts w:cs="Arial"/>
        </w:rPr>
        <w:t>In August 2023</w:t>
      </w:r>
      <w:r w:rsidR="00CF3D63">
        <w:rPr>
          <w:rFonts w:cs="Arial"/>
        </w:rPr>
        <w:t>,</w:t>
      </w:r>
      <w:r>
        <w:rPr>
          <w:rFonts w:cs="Arial"/>
        </w:rPr>
        <w:t xml:space="preserve"> </w:t>
      </w:r>
      <w:r w:rsidR="00EE3D44">
        <w:rPr>
          <w:rFonts w:cs="Arial"/>
        </w:rPr>
        <w:t>the</w:t>
      </w:r>
      <w:r>
        <w:rPr>
          <w:rFonts w:cs="Arial"/>
        </w:rPr>
        <w:t xml:space="preserve"> </w:t>
      </w:r>
      <w:r w:rsidR="00EE3D44">
        <w:rPr>
          <w:rFonts w:cs="Arial"/>
        </w:rPr>
        <w:t>substantive</w:t>
      </w:r>
      <w:r>
        <w:rPr>
          <w:rFonts w:cs="Arial"/>
        </w:rPr>
        <w:t xml:space="preserve"> Executive Chief Nursing Officer (CNO) commenced </w:t>
      </w:r>
      <w:r w:rsidR="00EE3D44">
        <w:rPr>
          <w:rFonts w:cs="Arial"/>
        </w:rPr>
        <w:t>in role</w:t>
      </w:r>
      <w:r>
        <w:rPr>
          <w:rFonts w:cs="Arial"/>
        </w:rPr>
        <w:t xml:space="preserve"> in the </w:t>
      </w:r>
      <w:r w:rsidR="006D27F8">
        <w:rPr>
          <w:rFonts w:cs="Arial"/>
        </w:rPr>
        <w:t>ICB and</w:t>
      </w:r>
      <w:r>
        <w:rPr>
          <w:rFonts w:cs="Arial"/>
        </w:rPr>
        <w:t xml:space="preserve"> became the </w:t>
      </w:r>
      <w:r w:rsidRPr="00A312AB">
        <w:rPr>
          <w:rFonts w:cs="Arial"/>
        </w:rPr>
        <w:t xml:space="preserve">executive lead and senior responsible officer (SRO) for SEND. </w:t>
      </w:r>
      <w:r>
        <w:rPr>
          <w:rFonts w:cs="Arial"/>
        </w:rPr>
        <w:t xml:space="preserve"> As part of their role, the CNO has engaged with all three local authority strategic partners to ensure that health services are actively engaged in supporting children and young people with Special Educational Needs and Disabilities (SEND), and their families, across </w:t>
      </w:r>
      <w:r w:rsidR="00471C4B">
        <w:rPr>
          <w:rFonts w:cs="Arial"/>
        </w:rPr>
        <w:t>MSE</w:t>
      </w:r>
      <w:r>
        <w:rPr>
          <w:rFonts w:cs="Arial"/>
        </w:rPr>
        <w:t xml:space="preserve">.  </w:t>
      </w:r>
      <w:r w:rsidR="00EE3D44">
        <w:rPr>
          <w:rFonts w:cs="Arial"/>
        </w:rPr>
        <w:t>This has also included an oversight of relevant health services currently commissioned, and the completion of a Neurodiversity Demand and Capacity review, which will inform future commissioning decisions in 2024 that focusses on equitable provision of a needs-led holistic service model, and a focus on minimising diagnostic delays.</w:t>
      </w:r>
    </w:p>
    <w:p w14:paraId="68595ED9" w14:textId="754B2879" w:rsidR="00A312AB" w:rsidRDefault="00EE3D44" w:rsidP="00A312AB">
      <w:pPr>
        <w:autoSpaceDE w:val="0"/>
        <w:autoSpaceDN w:val="0"/>
        <w:spacing w:after="0"/>
        <w:rPr>
          <w:rFonts w:cs="Arial"/>
        </w:rPr>
      </w:pPr>
      <w:r>
        <w:rPr>
          <w:rFonts w:cs="Arial"/>
        </w:rPr>
        <w:t>T</w:t>
      </w:r>
      <w:r w:rsidR="00A312AB">
        <w:rPr>
          <w:rFonts w:cs="Arial"/>
        </w:rPr>
        <w:t xml:space="preserve">he CNO </w:t>
      </w:r>
      <w:r w:rsidR="00586940">
        <w:rPr>
          <w:rFonts w:cs="Arial"/>
        </w:rPr>
        <w:t>has accepted the</w:t>
      </w:r>
      <w:r w:rsidR="00A312AB">
        <w:rPr>
          <w:rFonts w:cs="Arial"/>
        </w:rPr>
        <w:t xml:space="preserve"> chair of the SEND</w:t>
      </w:r>
      <w:r w:rsidR="00586940">
        <w:rPr>
          <w:rFonts w:cs="Arial"/>
        </w:rPr>
        <w:t xml:space="preserve"> Action Plan (SEND</w:t>
      </w:r>
      <w:r w:rsidR="00A312AB">
        <w:rPr>
          <w:rFonts w:cs="Arial"/>
        </w:rPr>
        <w:t>AP</w:t>
      </w:r>
      <w:r w:rsidR="00586940">
        <w:rPr>
          <w:rFonts w:cs="Arial"/>
        </w:rPr>
        <w:t>)</w:t>
      </w:r>
      <w:r w:rsidR="00A312AB">
        <w:rPr>
          <w:rFonts w:cs="Arial"/>
        </w:rPr>
        <w:t xml:space="preserve"> Strategic Board for Southend City Council, </w:t>
      </w:r>
      <w:r w:rsidR="00586940">
        <w:rPr>
          <w:rFonts w:cs="Arial"/>
        </w:rPr>
        <w:t>following its i</w:t>
      </w:r>
      <w:r w:rsidR="00A312AB">
        <w:rPr>
          <w:rFonts w:cs="Arial"/>
        </w:rPr>
        <w:t>nspection</w:t>
      </w:r>
      <w:r w:rsidR="00586940">
        <w:rPr>
          <w:rFonts w:cs="Arial"/>
        </w:rPr>
        <w:t xml:space="preserve"> in 2023</w:t>
      </w:r>
      <w:r>
        <w:rPr>
          <w:rFonts w:cs="Arial"/>
        </w:rPr>
        <w:t xml:space="preserve">, </w:t>
      </w:r>
      <w:r w:rsidR="006D27F8">
        <w:rPr>
          <w:rFonts w:cs="Arial"/>
        </w:rPr>
        <w:t>to</w:t>
      </w:r>
      <w:r>
        <w:rPr>
          <w:rFonts w:cs="Arial"/>
        </w:rPr>
        <w:t xml:space="preserve"> offer supportive challenge and scrutiny against actions being undertaken to improve service provision</w:t>
      </w:r>
      <w:r w:rsidR="00A312AB">
        <w:rPr>
          <w:rFonts w:cs="Arial"/>
        </w:rPr>
        <w:t xml:space="preserve">.  Furthermore, the </w:t>
      </w:r>
      <w:r w:rsidR="00586940">
        <w:rPr>
          <w:rFonts w:cs="Arial"/>
        </w:rPr>
        <w:t xml:space="preserve">ICB’s </w:t>
      </w:r>
      <w:r w:rsidR="00A312AB">
        <w:rPr>
          <w:rFonts w:cs="Arial"/>
        </w:rPr>
        <w:t xml:space="preserve">Designated Clinical Officer (DCO) for SEND is fully engaged in all operational groups across </w:t>
      </w:r>
      <w:r w:rsidR="00471C4B">
        <w:rPr>
          <w:rFonts w:cs="Arial"/>
        </w:rPr>
        <w:t>MSE</w:t>
      </w:r>
      <w:r w:rsidR="00A312AB">
        <w:rPr>
          <w:rFonts w:cs="Arial"/>
        </w:rPr>
        <w:t xml:space="preserve"> to offer advice and guidance on the </w:t>
      </w:r>
      <w:r>
        <w:rPr>
          <w:rFonts w:cs="Arial"/>
        </w:rPr>
        <w:t>quality</w:t>
      </w:r>
      <w:r w:rsidR="00A312AB">
        <w:rPr>
          <w:rFonts w:cs="Arial"/>
        </w:rPr>
        <w:t xml:space="preserve"> of Education, Health</w:t>
      </w:r>
      <w:r w:rsidR="006D27F8">
        <w:rPr>
          <w:rFonts w:cs="Arial"/>
        </w:rPr>
        <w:t>,</w:t>
      </w:r>
      <w:r w:rsidR="00A312AB">
        <w:rPr>
          <w:rFonts w:cs="Arial"/>
        </w:rPr>
        <w:t xml:space="preserve"> and Care Plans (EHCPs)</w:t>
      </w:r>
      <w:r>
        <w:rPr>
          <w:rFonts w:cs="Arial"/>
        </w:rPr>
        <w:t xml:space="preserve"> for children and young people</w:t>
      </w:r>
      <w:r w:rsidR="00A312AB">
        <w:rPr>
          <w:rFonts w:cs="Arial"/>
        </w:rPr>
        <w:t>.</w:t>
      </w:r>
    </w:p>
    <w:p w14:paraId="0E9FFD75" w14:textId="5F5C9780" w:rsidR="00A312AB" w:rsidRPr="00A312AB" w:rsidRDefault="00A312AB" w:rsidP="00A312AB">
      <w:pPr>
        <w:autoSpaceDE w:val="0"/>
        <w:autoSpaceDN w:val="0"/>
        <w:spacing w:after="0"/>
        <w:rPr>
          <w:rFonts w:cs="Arial"/>
          <w:b/>
          <w:bCs/>
        </w:rPr>
      </w:pPr>
      <w:r>
        <w:rPr>
          <w:rFonts w:cs="Arial"/>
        </w:rPr>
        <w:t xml:space="preserve">It is recognised that the performance of delivering EHCPs within statutory timeframe has not been achieved </w:t>
      </w:r>
      <w:r w:rsidR="00EE3D44">
        <w:rPr>
          <w:rFonts w:cs="Arial"/>
        </w:rPr>
        <w:t>across</w:t>
      </w:r>
      <w:r>
        <w:rPr>
          <w:rFonts w:cs="Arial"/>
        </w:rPr>
        <w:t xml:space="preserve"> </w:t>
      </w:r>
      <w:r w:rsidR="00471C4B">
        <w:rPr>
          <w:rFonts w:cs="Arial"/>
        </w:rPr>
        <w:t>MSE</w:t>
      </w:r>
      <w:r>
        <w:rPr>
          <w:rFonts w:cs="Arial"/>
        </w:rPr>
        <w:t>.  By working closely with partners across Southend, Essex</w:t>
      </w:r>
      <w:r w:rsidR="006D27F8">
        <w:rPr>
          <w:rFonts w:cs="Arial"/>
        </w:rPr>
        <w:t>,</w:t>
      </w:r>
      <w:r>
        <w:rPr>
          <w:rFonts w:cs="Arial"/>
        </w:rPr>
        <w:t xml:space="preserve"> and Thurrock</w:t>
      </w:r>
      <w:r w:rsidR="00586940">
        <w:rPr>
          <w:rFonts w:cs="Arial"/>
        </w:rPr>
        <w:t xml:space="preserve">, the ICB team are supporting the development of, or delivery against, agreed SEND Strategies that will ultimately improve the </w:t>
      </w:r>
      <w:r w:rsidR="00EE3D44">
        <w:rPr>
          <w:rFonts w:cs="Arial"/>
        </w:rPr>
        <w:t xml:space="preserve">timely </w:t>
      </w:r>
      <w:r w:rsidR="00586940">
        <w:rPr>
          <w:rFonts w:cs="Arial"/>
        </w:rPr>
        <w:t>support being provided to our most vulnerable children and young people, and their families.</w:t>
      </w:r>
    </w:p>
    <w:p w14:paraId="731BE504" w14:textId="249BE973" w:rsidR="000A192B" w:rsidRPr="00EE3D44" w:rsidRDefault="000C24CF" w:rsidP="00EE3D44">
      <w:pPr>
        <w:autoSpaceDE w:val="0"/>
        <w:autoSpaceDN w:val="0"/>
        <w:spacing w:after="0"/>
        <w:ind w:left="360" w:hanging="360"/>
        <w:rPr>
          <w:rFonts w:cs="Arial"/>
          <w:b/>
          <w:bCs/>
          <w:szCs w:val="24"/>
        </w:rPr>
      </w:pPr>
      <w:r w:rsidRPr="00EE3D44">
        <w:rPr>
          <w:rFonts w:cs="Arial"/>
          <w:b/>
          <w:bCs/>
          <w:szCs w:val="24"/>
        </w:rPr>
        <w:t>Safeguarding</w:t>
      </w:r>
    </w:p>
    <w:p w14:paraId="548DE236" w14:textId="7D0E0DB8" w:rsidR="00EE3D44" w:rsidRPr="00EE3D44" w:rsidRDefault="00EE3D44" w:rsidP="00EE3D44">
      <w:pPr>
        <w:autoSpaceDE w:val="0"/>
        <w:autoSpaceDN w:val="0"/>
        <w:spacing w:after="0"/>
        <w:rPr>
          <w:rFonts w:cs="Arial"/>
          <w:szCs w:val="24"/>
        </w:rPr>
      </w:pPr>
      <w:r>
        <w:rPr>
          <w:rFonts w:cs="Arial"/>
          <w:szCs w:val="24"/>
        </w:rPr>
        <w:t xml:space="preserve">Throughout 2023/24 the Safeguarding team have redesigned the offer to strategic partners </w:t>
      </w:r>
      <w:r w:rsidR="00273D38">
        <w:rPr>
          <w:rFonts w:cs="Arial"/>
          <w:szCs w:val="24"/>
        </w:rPr>
        <w:t>through</w:t>
      </w:r>
      <w:r>
        <w:rPr>
          <w:rFonts w:cs="Arial"/>
          <w:szCs w:val="24"/>
        </w:rPr>
        <w:t xml:space="preserve"> the d</w:t>
      </w:r>
      <w:r w:rsidRPr="00EE3D44">
        <w:rPr>
          <w:rFonts w:cs="Arial"/>
          <w:szCs w:val="24"/>
        </w:rPr>
        <w:t>evelopment of an all-age safeguarding approach</w:t>
      </w:r>
      <w:r>
        <w:rPr>
          <w:rFonts w:cs="Arial"/>
          <w:szCs w:val="24"/>
        </w:rPr>
        <w:t xml:space="preserve"> and assurance framework </w:t>
      </w:r>
      <w:r w:rsidR="000B7BC4">
        <w:rPr>
          <w:rFonts w:cs="Arial"/>
          <w:szCs w:val="24"/>
        </w:rPr>
        <w:t>to</w:t>
      </w:r>
      <w:r>
        <w:rPr>
          <w:rFonts w:cs="Arial"/>
          <w:szCs w:val="24"/>
        </w:rPr>
        <w:t xml:space="preserve"> ensure that there is sufficient oversight and scrutiny of safeguarding practice in all sectors of healthcare, in line with the ICB’s statutory responsibilities.  Executive leadership for all-age safeguarding is provided by the Executive Chief Nursing Officer.</w:t>
      </w:r>
    </w:p>
    <w:p w14:paraId="0CB0D797" w14:textId="7AB074E1" w:rsidR="00EE3D44" w:rsidRDefault="00EE3D44" w:rsidP="00EE3D44">
      <w:pPr>
        <w:autoSpaceDE w:val="0"/>
        <w:autoSpaceDN w:val="0"/>
        <w:spacing w:after="0"/>
        <w:rPr>
          <w:rFonts w:cs="Arial"/>
          <w:szCs w:val="24"/>
        </w:rPr>
      </w:pPr>
      <w:r>
        <w:rPr>
          <w:rFonts w:cs="Arial"/>
          <w:szCs w:val="24"/>
        </w:rPr>
        <w:t xml:space="preserve">An area of focus in 2023/24 was the improvement in understanding of the </w:t>
      </w:r>
      <w:r w:rsidRPr="00EE3D44">
        <w:rPr>
          <w:rFonts w:cs="Arial"/>
          <w:szCs w:val="24"/>
        </w:rPr>
        <w:t xml:space="preserve">Mental Capacity Act </w:t>
      </w:r>
      <w:r>
        <w:rPr>
          <w:rFonts w:cs="Arial"/>
          <w:szCs w:val="24"/>
        </w:rPr>
        <w:t>(2015), through the provision of wide-ranging training and support to health partners.  This has been overseen by the Designate Nurses for Safeguarding within the ICB, working in close partnership with safeguarding leads in provider organisations and across primary care services.</w:t>
      </w:r>
    </w:p>
    <w:p w14:paraId="7CD0AFF1" w14:textId="30AFB100" w:rsidR="00EE3D44" w:rsidRPr="00EE3D44" w:rsidRDefault="00EE3D44" w:rsidP="000B7BC4">
      <w:pPr>
        <w:autoSpaceDE w:val="0"/>
        <w:autoSpaceDN w:val="0"/>
        <w:spacing w:after="0"/>
        <w:rPr>
          <w:rFonts w:cs="Arial"/>
          <w:szCs w:val="24"/>
        </w:rPr>
      </w:pPr>
      <w:r w:rsidRPr="000B7BC4">
        <w:rPr>
          <w:rFonts w:cs="Arial"/>
          <w:szCs w:val="24"/>
        </w:rPr>
        <w:t xml:space="preserve">The Safeguarding team also developed and implemented </w:t>
      </w:r>
      <w:r w:rsidR="00D51FDE" w:rsidRPr="000B7BC4">
        <w:rPr>
          <w:rFonts w:cs="Arial"/>
          <w:szCs w:val="24"/>
        </w:rPr>
        <w:t>several</w:t>
      </w:r>
      <w:r w:rsidRPr="000B7BC4">
        <w:rPr>
          <w:rFonts w:cs="Arial"/>
          <w:szCs w:val="24"/>
        </w:rPr>
        <w:t xml:space="preserve"> audits to ensure safeguarding standards are achieved across the system, with supportive assurance visits being undertaken in all sectors of healthcare where areas for improvement have been identified.</w:t>
      </w:r>
      <w:r w:rsidR="000B7BC4" w:rsidRPr="000B7BC4">
        <w:rPr>
          <w:rFonts w:cs="Arial"/>
          <w:szCs w:val="24"/>
        </w:rPr>
        <w:t xml:space="preserve"> </w:t>
      </w:r>
      <w:r w:rsidRPr="000B7BC4">
        <w:rPr>
          <w:szCs w:val="24"/>
        </w:rPr>
        <w:t>Further details relating to Children and Young People’s Safeguarding can be found below.</w:t>
      </w:r>
    </w:p>
    <w:p w14:paraId="10BB4479" w14:textId="49B55C55" w:rsidR="00054489" w:rsidRPr="00205B22" w:rsidRDefault="00054489" w:rsidP="00205B22">
      <w:pPr>
        <w:pStyle w:val="BodyText"/>
        <w:rPr>
          <w:b/>
        </w:rPr>
      </w:pPr>
      <w:r w:rsidRPr="00205B22">
        <w:rPr>
          <w:b/>
        </w:rPr>
        <w:t xml:space="preserve">Infection </w:t>
      </w:r>
      <w:r w:rsidR="24F1ED4F" w:rsidRPr="3D787FCB">
        <w:rPr>
          <w:b/>
          <w:bCs/>
        </w:rPr>
        <w:t>p</w:t>
      </w:r>
      <w:r w:rsidRPr="00205B22">
        <w:rPr>
          <w:b/>
        </w:rPr>
        <w:t xml:space="preserve">revention and </w:t>
      </w:r>
      <w:r w:rsidR="49CABE67" w:rsidRPr="3D787FCB">
        <w:rPr>
          <w:b/>
          <w:bCs/>
        </w:rPr>
        <w:t>c</w:t>
      </w:r>
      <w:r w:rsidRPr="00205B22">
        <w:rPr>
          <w:b/>
        </w:rPr>
        <w:t>ontrol</w:t>
      </w:r>
    </w:p>
    <w:p w14:paraId="7B3E914C" w14:textId="3D0C87BF" w:rsidR="00054489" w:rsidRPr="00054489" w:rsidRDefault="00054489" w:rsidP="00FE7D51">
      <w:pPr>
        <w:pStyle w:val="BodyText"/>
        <w:overflowPunct w:val="0"/>
        <w:spacing w:before="1"/>
        <w:ind w:right="519"/>
        <w:rPr>
          <w:rFonts w:cs="Arial"/>
        </w:rPr>
      </w:pPr>
      <w:r w:rsidRPr="3D787FCB">
        <w:rPr>
          <w:rFonts w:cs="Arial"/>
        </w:rPr>
        <w:t xml:space="preserve">The </w:t>
      </w:r>
      <w:r w:rsidR="2AF9D760" w:rsidRPr="3D787FCB">
        <w:rPr>
          <w:rFonts w:cs="Arial"/>
        </w:rPr>
        <w:t>i</w:t>
      </w:r>
      <w:r w:rsidRPr="3D787FCB">
        <w:rPr>
          <w:rFonts w:cs="Arial"/>
        </w:rPr>
        <w:t xml:space="preserve">nfection </w:t>
      </w:r>
      <w:r w:rsidR="58029A9E" w:rsidRPr="3D787FCB">
        <w:rPr>
          <w:rFonts w:cs="Arial"/>
        </w:rPr>
        <w:t>p</w:t>
      </w:r>
      <w:r w:rsidRPr="3D787FCB">
        <w:rPr>
          <w:rFonts w:cs="Arial"/>
        </w:rPr>
        <w:t xml:space="preserve">revention and </w:t>
      </w:r>
      <w:r w:rsidR="78C26336" w:rsidRPr="3D787FCB">
        <w:rPr>
          <w:rFonts w:cs="Arial"/>
        </w:rPr>
        <w:t>c</w:t>
      </w:r>
      <w:r w:rsidRPr="3D787FCB">
        <w:rPr>
          <w:rFonts w:cs="Arial"/>
        </w:rPr>
        <w:t>ontrol (IPC) team have continued with supportive oversight and assurance in collaboration with system partners relati</w:t>
      </w:r>
      <w:r w:rsidR="00273D38">
        <w:rPr>
          <w:rFonts w:cs="Arial"/>
        </w:rPr>
        <w:t>ng</w:t>
      </w:r>
      <w:r w:rsidRPr="3D787FCB">
        <w:rPr>
          <w:rFonts w:cs="Arial"/>
        </w:rPr>
        <w:t xml:space="preserve"> to all relevant IPC guidance. Healthcare associated infections such as Methicillin resistant Staphylococcus aureus bacteraemia </w:t>
      </w:r>
      <w:r w:rsidR="002B212F" w:rsidRPr="3D787FCB">
        <w:rPr>
          <w:rFonts w:cs="Arial"/>
        </w:rPr>
        <w:t xml:space="preserve">have increased across the system </w:t>
      </w:r>
      <w:r w:rsidRPr="3D787FCB">
        <w:rPr>
          <w:rFonts w:cs="Arial"/>
        </w:rPr>
        <w:t xml:space="preserve">and </w:t>
      </w:r>
      <w:r w:rsidRPr="3D787FCB">
        <w:rPr>
          <w:rFonts w:cs="Arial"/>
          <w:i/>
        </w:rPr>
        <w:t xml:space="preserve">Clostridioides </w:t>
      </w:r>
      <w:r w:rsidRPr="3D787FCB">
        <w:rPr>
          <w:rFonts w:cs="Arial"/>
        </w:rPr>
        <w:t>difficile infection cases have reduced.</w:t>
      </w:r>
      <w:r w:rsidR="00994FB7" w:rsidRPr="3D787FCB">
        <w:rPr>
          <w:rFonts w:cs="Arial"/>
        </w:rPr>
        <w:t xml:space="preserve"> </w:t>
      </w:r>
      <w:r w:rsidR="00A17202" w:rsidRPr="3D787FCB">
        <w:rPr>
          <w:rFonts w:cs="Arial"/>
        </w:rPr>
        <w:t xml:space="preserve">The ICB’s IPC team have </w:t>
      </w:r>
      <w:r w:rsidR="00A17202" w:rsidRPr="3D787FCB">
        <w:rPr>
          <w:rFonts w:cs="Arial"/>
        </w:rPr>
        <w:lastRenderedPageBreak/>
        <w:t xml:space="preserve">continued to support </w:t>
      </w:r>
      <w:r w:rsidR="0091293A">
        <w:rPr>
          <w:rFonts w:cs="Arial"/>
        </w:rPr>
        <w:t xml:space="preserve">providers </w:t>
      </w:r>
      <w:r w:rsidR="00A17202" w:rsidRPr="3D787FCB">
        <w:rPr>
          <w:rFonts w:cs="Arial"/>
        </w:rPr>
        <w:t xml:space="preserve">in meeting the required standards of infection prevention and control practice, offering assurance visits to support </w:t>
      </w:r>
      <w:r w:rsidR="00083AB0" w:rsidRPr="3D787FCB">
        <w:rPr>
          <w:rFonts w:cs="Arial"/>
        </w:rPr>
        <w:t xml:space="preserve">the </w:t>
      </w:r>
      <w:r w:rsidR="00A17202" w:rsidRPr="3D787FCB">
        <w:rPr>
          <w:rFonts w:cs="Arial"/>
        </w:rPr>
        <w:t xml:space="preserve">team </w:t>
      </w:r>
      <w:r w:rsidR="000E0E0F" w:rsidRPr="3D787FCB">
        <w:rPr>
          <w:rFonts w:cs="Arial"/>
        </w:rPr>
        <w:t xml:space="preserve">to </w:t>
      </w:r>
      <w:r w:rsidR="00A17202" w:rsidRPr="3D787FCB">
        <w:rPr>
          <w:rFonts w:cs="Arial"/>
        </w:rPr>
        <w:t xml:space="preserve">improve </w:t>
      </w:r>
      <w:r w:rsidR="000E0E0F" w:rsidRPr="3D787FCB">
        <w:rPr>
          <w:rFonts w:cs="Arial"/>
        </w:rPr>
        <w:t>and</w:t>
      </w:r>
      <w:r w:rsidR="00A17202" w:rsidRPr="3D787FCB">
        <w:rPr>
          <w:rFonts w:cs="Arial"/>
        </w:rPr>
        <w:t xml:space="preserve"> help manage and reduce cases as far as possible.  </w:t>
      </w:r>
    </w:p>
    <w:p w14:paraId="36D112CF" w14:textId="24C0788A" w:rsidR="00054489" w:rsidRPr="00205B22" w:rsidRDefault="00EE3D44" w:rsidP="00205B22">
      <w:pPr>
        <w:pStyle w:val="BodyText"/>
        <w:rPr>
          <w:b/>
        </w:rPr>
      </w:pPr>
      <w:r>
        <w:rPr>
          <w:b/>
        </w:rPr>
        <w:t>Quality Oversight and Assurance</w:t>
      </w:r>
    </w:p>
    <w:p w14:paraId="4CB23706" w14:textId="520CC6FF" w:rsidR="00054489" w:rsidRPr="00054489" w:rsidRDefault="00054489" w:rsidP="00FE7D51">
      <w:pPr>
        <w:pStyle w:val="BodyText"/>
        <w:overflowPunct w:val="0"/>
        <w:ind w:right="155"/>
        <w:jc w:val="both"/>
        <w:rPr>
          <w:rFonts w:cs="Arial"/>
          <w:szCs w:val="24"/>
        </w:rPr>
      </w:pPr>
      <w:r w:rsidRPr="00054489">
        <w:rPr>
          <w:rFonts w:cs="Arial"/>
          <w:szCs w:val="24"/>
        </w:rPr>
        <w:t xml:space="preserve">The Quality Teams have continued to work closely with providers to support them in being prepared for Care Quality Commission </w:t>
      </w:r>
      <w:r w:rsidR="00273D38">
        <w:rPr>
          <w:rFonts w:cs="Arial"/>
          <w:szCs w:val="24"/>
        </w:rPr>
        <w:t xml:space="preserve">(CQC) </w:t>
      </w:r>
      <w:r w:rsidRPr="00054489">
        <w:rPr>
          <w:rFonts w:cs="Arial"/>
          <w:szCs w:val="24"/>
        </w:rPr>
        <w:t xml:space="preserve">inspections. Current CQC ratings of main providers are outlined below: </w:t>
      </w:r>
    </w:p>
    <w:tbl>
      <w:tblPr>
        <w:tblStyle w:val="TableGrid"/>
        <w:tblW w:w="0" w:type="auto"/>
        <w:tblLook w:val="04A0" w:firstRow="1" w:lastRow="0" w:firstColumn="1" w:lastColumn="0" w:noHBand="0" w:noVBand="1"/>
      </w:tblPr>
      <w:tblGrid>
        <w:gridCol w:w="6374"/>
        <w:gridCol w:w="2835"/>
      </w:tblGrid>
      <w:tr w:rsidR="002B212F" w:rsidRPr="002B212F" w14:paraId="30A1FCF7" w14:textId="77777777" w:rsidTr="002B212F">
        <w:trPr>
          <w:tblHeader/>
        </w:trPr>
        <w:tc>
          <w:tcPr>
            <w:tcW w:w="6374" w:type="dxa"/>
            <w:tcMar>
              <w:top w:w="108" w:type="dxa"/>
              <w:bottom w:w="108" w:type="dxa"/>
            </w:tcMar>
          </w:tcPr>
          <w:p w14:paraId="428C49CB" w14:textId="727A8268" w:rsidR="002B212F" w:rsidRPr="002B212F" w:rsidRDefault="002B212F" w:rsidP="002B212F">
            <w:pPr>
              <w:pStyle w:val="BodyText"/>
              <w:overflowPunct w:val="0"/>
              <w:spacing w:before="0" w:after="0"/>
              <w:ind w:right="153"/>
              <w:jc w:val="both"/>
              <w:rPr>
                <w:rFonts w:cs="Arial"/>
                <w:b/>
                <w:bCs/>
                <w:szCs w:val="24"/>
              </w:rPr>
            </w:pPr>
            <w:bookmarkStart w:id="34" w:name="Care_Quality_Commission_(CQC)"/>
            <w:bookmarkStart w:id="35" w:name="_bookmark18"/>
            <w:bookmarkEnd w:id="34"/>
            <w:bookmarkEnd w:id="35"/>
            <w:r w:rsidRPr="002B212F">
              <w:rPr>
                <w:rFonts w:cs="Arial"/>
                <w:b/>
                <w:bCs/>
                <w:szCs w:val="24"/>
              </w:rPr>
              <w:t>Provider</w:t>
            </w:r>
          </w:p>
        </w:tc>
        <w:tc>
          <w:tcPr>
            <w:tcW w:w="2835" w:type="dxa"/>
            <w:tcMar>
              <w:top w:w="108" w:type="dxa"/>
              <w:bottom w:w="108" w:type="dxa"/>
            </w:tcMar>
          </w:tcPr>
          <w:p w14:paraId="1AF7D48E" w14:textId="34DFBFFB" w:rsidR="002B212F" w:rsidRPr="002B212F" w:rsidRDefault="002B212F" w:rsidP="002B212F">
            <w:pPr>
              <w:pStyle w:val="BodyText"/>
              <w:overflowPunct w:val="0"/>
              <w:spacing w:before="0" w:after="0"/>
              <w:ind w:right="153"/>
              <w:jc w:val="center"/>
              <w:rPr>
                <w:rFonts w:cs="Arial"/>
                <w:b/>
                <w:bCs/>
                <w:szCs w:val="24"/>
              </w:rPr>
            </w:pPr>
            <w:r w:rsidRPr="002B212F">
              <w:rPr>
                <w:rFonts w:cs="Arial"/>
                <w:b/>
                <w:bCs/>
                <w:szCs w:val="24"/>
              </w:rPr>
              <w:t>Rating</w:t>
            </w:r>
          </w:p>
        </w:tc>
      </w:tr>
      <w:tr w:rsidR="002B212F" w14:paraId="7672F13B" w14:textId="77777777" w:rsidTr="002B212F">
        <w:tc>
          <w:tcPr>
            <w:tcW w:w="6374" w:type="dxa"/>
            <w:tcMar>
              <w:top w:w="108" w:type="dxa"/>
              <w:bottom w:w="108" w:type="dxa"/>
            </w:tcMar>
          </w:tcPr>
          <w:p w14:paraId="51725E1B" w14:textId="1B5FF58C" w:rsidR="002B212F" w:rsidRDefault="002B212F" w:rsidP="002B212F">
            <w:pPr>
              <w:pStyle w:val="BodyText"/>
              <w:overflowPunct w:val="0"/>
              <w:spacing w:before="0" w:after="0"/>
              <w:ind w:right="153"/>
              <w:jc w:val="both"/>
              <w:rPr>
                <w:rFonts w:cs="Arial"/>
                <w:szCs w:val="24"/>
              </w:rPr>
            </w:pPr>
            <w:r w:rsidRPr="005C12B6">
              <w:rPr>
                <w:rFonts w:cs="Arial"/>
                <w:szCs w:val="24"/>
              </w:rPr>
              <w:t>Provide Community Interest Company</w:t>
            </w:r>
            <w:r w:rsidRPr="005C12B6">
              <w:rPr>
                <w:rFonts w:cs="Arial"/>
                <w:spacing w:val="-3"/>
                <w:szCs w:val="24"/>
              </w:rPr>
              <w:t xml:space="preserve"> </w:t>
            </w:r>
          </w:p>
        </w:tc>
        <w:tc>
          <w:tcPr>
            <w:tcW w:w="2835" w:type="dxa"/>
            <w:tcMar>
              <w:top w:w="108" w:type="dxa"/>
              <w:bottom w:w="108" w:type="dxa"/>
            </w:tcMar>
          </w:tcPr>
          <w:p w14:paraId="2B910B80" w14:textId="32A231E8" w:rsidR="002B212F" w:rsidRPr="002B212F" w:rsidRDefault="002B212F" w:rsidP="002B212F">
            <w:pPr>
              <w:pStyle w:val="BodyText"/>
              <w:overflowPunct w:val="0"/>
              <w:spacing w:before="0" w:after="0"/>
              <w:ind w:right="153"/>
              <w:jc w:val="center"/>
              <w:rPr>
                <w:rFonts w:cs="Arial"/>
                <w:szCs w:val="24"/>
              </w:rPr>
            </w:pPr>
            <w:r w:rsidRPr="002B212F">
              <w:rPr>
                <w:rFonts w:cs="Arial"/>
                <w:szCs w:val="24"/>
              </w:rPr>
              <w:t>Outstanding</w:t>
            </w:r>
          </w:p>
        </w:tc>
      </w:tr>
      <w:tr w:rsidR="002B212F" w14:paraId="57EFCC5A" w14:textId="77777777" w:rsidTr="002B212F">
        <w:tc>
          <w:tcPr>
            <w:tcW w:w="6374" w:type="dxa"/>
            <w:tcMar>
              <w:top w:w="108" w:type="dxa"/>
              <w:bottom w:w="108" w:type="dxa"/>
            </w:tcMar>
          </w:tcPr>
          <w:p w14:paraId="329D6C6E" w14:textId="437F6FB3" w:rsidR="002B212F" w:rsidRDefault="002B212F" w:rsidP="002B212F">
            <w:pPr>
              <w:overflowPunct w:val="0"/>
              <w:autoSpaceDE w:val="0"/>
              <w:autoSpaceDN w:val="0"/>
              <w:spacing w:before="119" w:after="0"/>
              <w:rPr>
                <w:rFonts w:cs="Arial"/>
                <w:szCs w:val="24"/>
              </w:rPr>
            </w:pPr>
            <w:r w:rsidRPr="002B212F">
              <w:rPr>
                <w:rFonts w:cs="Arial"/>
                <w:szCs w:val="24"/>
              </w:rPr>
              <w:t>Essex Partnership University NHS Foundation Trust (EPUT) Community</w:t>
            </w:r>
          </w:p>
        </w:tc>
        <w:tc>
          <w:tcPr>
            <w:tcW w:w="2835" w:type="dxa"/>
            <w:tcMar>
              <w:top w:w="108" w:type="dxa"/>
              <w:bottom w:w="108" w:type="dxa"/>
            </w:tcMar>
          </w:tcPr>
          <w:p w14:paraId="5C558583" w14:textId="6CAB0A9D" w:rsidR="002B212F" w:rsidRPr="002B212F" w:rsidRDefault="00337230" w:rsidP="002B212F">
            <w:pPr>
              <w:pStyle w:val="BodyText"/>
              <w:overflowPunct w:val="0"/>
              <w:spacing w:before="0" w:after="0"/>
              <w:ind w:right="153"/>
              <w:jc w:val="center"/>
              <w:rPr>
                <w:rFonts w:cs="Arial"/>
                <w:szCs w:val="24"/>
              </w:rPr>
            </w:pPr>
            <w:r>
              <w:rPr>
                <w:rFonts w:cs="Arial"/>
                <w:szCs w:val="24"/>
              </w:rPr>
              <w:t>Requires Improvement</w:t>
            </w:r>
          </w:p>
        </w:tc>
      </w:tr>
      <w:tr w:rsidR="002B212F" w14:paraId="08EFD98D" w14:textId="77777777" w:rsidTr="002B212F">
        <w:tc>
          <w:tcPr>
            <w:tcW w:w="6374" w:type="dxa"/>
            <w:tcMar>
              <w:top w:w="108" w:type="dxa"/>
              <w:bottom w:w="108" w:type="dxa"/>
            </w:tcMar>
          </w:tcPr>
          <w:p w14:paraId="257F89C4" w14:textId="0C2E00F0" w:rsidR="002B212F" w:rsidRDefault="002B212F" w:rsidP="002B212F">
            <w:pPr>
              <w:pStyle w:val="BodyText"/>
              <w:overflowPunct w:val="0"/>
              <w:spacing w:before="0" w:after="0"/>
              <w:ind w:right="153"/>
              <w:jc w:val="both"/>
              <w:rPr>
                <w:rFonts w:cs="Arial"/>
                <w:szCs w:val="24"/>
              </w:rPr>
            </w:pPr>
            <w:r w:rsidRPr="002B212F">
              <w:rPr>
                <w:rFonts w:cs="Arial"/>
                <w:szCs w:val="24"/>
              </w:rPr>
              <w:t>Mid and South Essex NHS Foundation Trust (MSEFT)</w:t>
            </w:r>
          </w:p>
        </w:tc>
        <w:tc>
          <w:tcPr>
            <w:tcW w:w="2835" w:type="dxa"/>
            <w:tcMar>
              <w:top w:w="108" w:type="dxa"/>
              <w:bottom w:w="108" w:type="dxa"/>
            </w:tcMar>
          </w:tcPr>
          <w:p w14:paraId="28D4DB5A" w14:textId="0084351D" w:rsidR="002B212F" w:rsidRPr="002B212F" w:rsidRDefault="002B212F" w:rsidP="002B212F">
            <w:pPr>
              <w:pStyle w:val="BodyText"/>
              <w:overflowPunct w:val="0"/>
              <w:spacing w:before="0" w:after="0"/>
              <w:ind w:right="153"/>
              <w:jc w:val="center"/>
              <w:rPr>
                <w:rFonts w:cs="Arial"/>
                <w:szCs w:val="24"/>
              </w:rPr>
            </w:pPr>
            <w:r w:rsidRPr="002B212F">
              <w:rPr>
                <w:rFonts w:cs="Arial"/>
                <w:szCs w:val="24"/>
              </w:rPr>
              <w:t>Requires</w:t>
            </w:r>
            <w:r w:rsidRPr="002B212F">
              <w:rPr>
                <w:rFonts w:cs="Arial"/>
                <w:spacing w:val="-20"/>
                <w:szCs w:val="24"/>
              </w:rPr>
              <w:t xml:space="preserve"> </w:t>
            </w:r>
            <w:r w:rsidRPr="002B212F">
              <w:rPr>
                <w:rFonts w:cs="Arial"/>
                <w:szCs w:val="24"/>
              </w:rPr>
              <w:t>Improvement</w:t>
            </w:r>
          </w:p>
        </w:tc>
      </w:tr>
      <w:tr w:rsidR="002B212F" w14:paraId="0C09F25C" w14:textId="77777777" w:rsidTr="002B212F">
        <w:tc>
          <w:tcPr>
            <w:tcW w:w="6374" w:type="dxa"/>
            <w:tcMar>
              <w:top w:w="108" w:type="dxa"/>
              <w:bottom w:w="108" w:type="dxa"/>
            </w:tcMar>
          </w:tcPr>
          <w:p w14:paraId="0DF2D39F" w14:textId="4867C56C" w:rsidR="002B212F" w:rsidRPr="002B212F" w:rsidRDefault="002B212F" w:rsidP="002B212F">
            <w:pPr>
              <w:overflowPunct w:val="0"/>
              <w:autoSpaceDE w:val="0"/>
              <w:autoSpaceDN w:val="0"/>
              <w:spacing w:before="89" w:after="0"/>
              <w:ind w:right="280"/>
              <w:rPr>
                <w:rFonts w:cs="Arial"/>
                <w:szCs w:val="24"/>
              </w:rPr>
            </w:pPr>
            <w:r w:rsidRPr="005C12B6">
              <w:rPr>
                <w:rFonts w:cs="Arial"/>
                <w:szCs w:val="24"/>
              </w:rPr>
              <w:t>North East London NHS Foundation Trust Community Services</w:t>
            </w:r>
          </w:p>
        </w:tc>
        <w:tc>
          <w:tcPr>
            <w:tcW w:w="2835" w:type="dxa"/>
            <w:tcMar>
              <w:top w:w="108" w:type="dxa"/>
              <w:bottom w:w="108" w:type="dxa"/>
            </w:tcMar>
          </w:tcPr>
          <w:p w14:paraId="37AD3D00" w14:textId="510BBD06" w:rsidR="002B212F" w:rsidRPr="002B212F" w:rsidRDefault="002B212F" w:rsidP="002B212F">
            <w:pPr>
              <w:pStyle w:val="BodyText"/>
              <w:overflowPunct w:val="0"/>
              <w:spacing w:before="0" w:after="0"/>
              <w:ind w:right="153"/>
              <w:jc w:val="center"/>
              <w:rPr>
                <w:rFonts w:cs="Arial"/>
                <w:szCs w:val="24"/>
              </w:rPr>
            </w:pPr>
            <w:r w:rsidRPr="002B212F">
              <w:rPr>
                <w:rFonts w:cs="Arial"/>
                <w:szCs w:val="24"/>
              </w:rPr>
              <w:t>Good</w:t>
            </w:r>
          </w:p>
        </w:tc>
      </w:tr>
      <w:tr w:rsidR="002B212F" w14:paraId="2B341FAA" w14:textId="77777777" w:rsidTr="002B212F">
        <w:tc>
          <w:tcPr>
            <w:tcW w:w="6374" w:type="dxa"/>
            <w:tcMar>
              <w:top w:w="108" w:type="dxa"/>
              <w:bottom w:w="108" w:type="dxa"/>
            </w:tcMar>
          </w:tcPr>
          <w:p w14:paraId="259F94E2" w14:textId="66F31E91" w:rsidR="002B212F" w:rsidRPr="002B212F" w:rsidRDefault="002B212F" w:rsidP="002B212F">
            <w:pPr>
              <w:overflowPunct w:val="0"/>
              <w:autoSpaceDE w:val="0"/>
              <w:autoSpaceDN w:val="0"/>
              <w:spacing w:before="10" w:after="0"/>
              <w:ind w:left="360" w:hanging="360"/>
              <w:rPr>
                <w:rFonts w:cs="Arial"/>
                <w:b/>
                <w:bCs/>
                <w:szCs w:val="24"/>
              </w:rPr>
            </w:pPr>
            <w:r w:rsidRPr="002B212F">
              <w:rPr>
                <w:rFonts w:cs="Arial"/>
                <w:szCs w:val="24"/>
              </w:rPr>
              <w:t>East of England Ambulance Service NHS Trust</w:t>
            </w:r>
          </w:p>
        </w:tc>
        <w:tc>
          <w:tcPr>
            <w:tcW w:w="2835" w:type="dxa"/>
            <w:tcMar>
              <w:top w:w="108" w:type="dxa"/>
              <w:bottom w:w="108" w:type="dxa"/>
            </w:tcMar>
          </w:tcPr>
          <w:p w14:paraId="761F5606" w14:textId="4CE5777C" w:rsidR="002B212F" w:rsidRPr="002B212F" w:rsidRDefault="002B212F" w:rsidP="002B212F">
            <w:pPr>
              <w:pStyle w:val="BodyText"/>
              <w:overflowPunct w:val="0"/>
              <w:spacing w:before="0" w:after="0"/>
              <w:ind w:right="153"/>
              <w:jc w:val="center"/>
              <w:rPr>
                <w:rFonts w:cs="Arial"/>
                <w:szCs w:val="24"/>
              </w:rPr>
            </w:pPr>
            <w:r w:rsidRPr="002B212F">
              <w:rPr>
                <w:rFonts w:cs="Arial"/>
                <w:szCs w:val="24"/>
              </w:rPr>
              <w:t>Requires</w:t>
            </w:r>
            <w:r w:rsidRPr="002B212F">
              <w:rPr>
                <w:rFonts w:cs="Arial"/>
                <w:spacing w:val="-5"/>
                <w:szCs w:val="24"/>
              </w:rPr>
              <w:t xml:space="preserve"> </w:t>
            </w:r>
            <w:r w:rsidRPr="002B212F">
              <w:rPr>
                <w:rFonts w:cs="Arial"/>
                <w:szCs w:val="24"/>
              </w:rPr>
              <w:t>Improvement</w:t>
            </w:r>
          </w:p>
        </w:tc>
      </w:tr>
    </w:tbl>
    <w:p w14:paraId="1F543236" w14:textId="1FE9EA8E" w:rsidR="00054489" w:rsidRPr="00205B22" w:rsidRDefault="00054489" w:rsidP="00205B22">
      <w:pPr>
        <w:pStyle w:val="BodyText"/>
        <w:rPr>
          <w:b/>
        </w:rPr>
      </w:pPr>
      <w:r w:rsidRPr="00205B22">
        <w:rPr>
          <w:b/>
        </w:rPr>
        <w:t xml:space="preserve">Essex Partnership University NHS Foundation Trust (EPUT) </w:t>
      </w:r>
      <w:r w:rsidR="09D057A2" w:rsidRPr="3D787FCB">
        <w:rPr>
          <w:b/>
          <w:bCs/>
        </w:rPr>
        <w:t>m</w:t>
      </w:r>
      <w:r w:rsidRPr="3D787FCB">
        <w:rPr>
          <w:b/>
          <w:bCs/>
        </w:rPr>
        <w:t xml:space="preserve">ental </w:t>
      </w:r>
      <w:r w:rsidR="2A90203A" w:rsidRPr="3D787FCB">
        <w:rPr>
          <w:b/>
          <w:bCs/>
        </w:rPr>
        <w:t>h</w:t>
      </w:r>
      <w:r w:rsidRPr="3D787FCB">
        <w:rPr>
          <w:b/>
          <w:bCs/>
        </w:rPr>
        <w:t xml:space="preserve">ealth </w:t>
      </w:r>
      <w:r w:rsidR="5BAEBDB1" w:rsidRPr="3D787FCB">
        <w:rPr>
          <w:b/>
          <w:bCs/>
        </w:rPr>
        <w:t>s</w:t>
      </w:r>
      <w:r w:rsidRPr="00205B22">
        <w:rPr>
          <w:b/>
        </w:rPr>
        <w:t xml:space="preserve">ervices </w:t>
      </w:r>
    </w:p>
    <w:p w14:paraId="7C16F683" w14:textId="6BD80B4C" w:rsidR="00054489" w:rsidRPr="00054489" w:rsidRDefault="00054489" w:rsidP="00B145A6">
      <w:pPr>
        <w:rPr>
          <w:rFonts w:cs="Arial"/>
        </w:rPr>
      </w:pPr>
      <w:r w:rsidRPr="3D787FCB">
        <w:rPr>
          <w:rFonts w:cs="Arial"/>
        </w:rPr>
        <w:t xml:space="preserve">The MSE ICB </w:t>
      </w:r>
      <w:r w:rsidR="00F17AC9" w:rsidRPr="3D787FCB">
        <w:rPr>
          <w:rFonts w:cs="Arial"/>
        </w:rPr>
        <w:t>Q</w:t>
      </w:r>
      <w:r w:rsidRPr="3D787FCB">
        <w:rPr>
          <w:rFonts w:cs="Arial"/>
        </w:rPr>
        <w:t xml:space="preserve">uality </w:t>
      </w:r>
      <w:r w:rsidR="00F17AC9" w:rsidRPr="3D787FCB">
        <w:rPr>
          <w:rFonts w:cs="Arial"/>
        </w:rPr>
        <w:t>T</w:t>
      </w:r>
      <w:r w:rsidRPr="3D787FCB">
        <w:rPr>
          <w:rFonts w:cs="Arial"/>
        </w:rPr>
        <w:t>eam and ICS partners continue to work closely with EPUT to ensure that mental health service provision has ongoing and robust oversight of the quality and safety of care. This continues in response to the significant concerns raised through multiple means and the soon to commence Lampard Inquiry (previously the Essex Mental Health Independent Investigation).</w:t>
      </w:r>
    </w:p>
    <w:p w14:paraId="3E98F6D5" w14:textId="5A3647E9" w:rsidR="00054489" w:rsidRPr="00205B22" w:rsidRDefault="00054489" w:rsidP="00205B22">
      <w:pPr>
        <w:pStyle w:val="BodyText"/>
        <w:rPr>
          <w:b/>
        </w:rPr>
      </w:pPr>
      <w:r w:rsidRPr="00205B22">
        <w:rPr>
          <w:b/>
        </w:rPr>
        <w:t xml:space="preserve">Primary </w:t>
      </w:r>
      <w:r w:rsidR="2FD32B30" w:rsidRPr="3D787FCB">
        <w:rPr>
          <w:b/>
          <w:bCs/>
        </w:rPr>
        <w:t>c</w:t>
      </w:r>
      <w:r w:rsidRPr="00205B22">
        <w:rPr>
          <w:b/>
        </w:rPr>
        <w:t>are</w:t>
      </w:r>
    </w:p>
    <w:p w14:paraId="0D421B5B" w14:textId="7E2CF8EA" w:rsidR="00054489" w:rsidRPr="00054489" w:rsidRDefault="00054489" w:rsidP="00FE7D51">
      <w:pPr>
        <w:rPr>
          <w:rFonts w:cs="Arial"/>
        </w:rPr>
      </w:pPr>
      <w:r w:rsidRPr="3D787FCB">
        <w:rPr>
          <w:rFonts w:cs="Arial"/>
        </w:rPr>
        <w:t xml:space="preserve">From July 2022 ICBs assumed delegated responsibility for primary medical services. Pharmacy and </w:t>
      </w:r>
      <w:r w:rsidR="480CEB31" w:rsidRPr="3D787FCB">
        <w:rPr>
          <w:rFonts w:cs="Arial"/>
        </w:rPr>
        <w:t>o</w:t>
      </w:r>
      <w:r w:rsidRPr="3D787FCB">
        <w:rPr>
          <w:rFonts w:cs="Arial"/>
        </w:rPr>
        <w:t>ptometry</w:t>
      </w:r>
      <w:r w:rsidR="007509EA">
        <w:rPr>
          <w:rFonts w:cs="Arial"/>
        </w:rPr>
        <w:t xml:space="preserve"> services are</w:t>
      </w:r>
      <w:r w:rsidR="00810230">
        <w:rPr>
          <w:rFonts w:cs="Arial"/>
        </w:rPr>
        <w:t xml:space="preserve"> </w:t>
      </w:r>
      <w:r w:rsidRPr="3D787FCB">
        <w:rPr>
          <w:rFonts w:cs="Arial"/>
        </w:rPr>
        <w:t>hosted by Hert</w:t>
      </w:r>
      <w:r w:rsidR="0082105E">
        <w:rPr>
          <w:rFonts w:cs="Arial"/>
        </w:rPr>
        <w:t>ford</w:t>
      </w:r>
      <w:r w:rsidRPr="3D787FCB">
        <w:rPr>
          <w:rFonts w:cs="Arial"/>
        </w:rPr>
        <w:t>s</w:t>
      </w:r>
      <w:r w:rsidR="0082105E">
        <w:rPr>
          <w:rFonts w:cs="Arial"/>
        </w:rPr>
        <w:t>hire</w:t>
      </w:r>
      <w:r w:rsidRPr="3D787FCB">
        <w:rPr>
          <w:rFonts w:cs="Arial"/>
        </w:rPr>
        <w:t xml:space="preserve"> and West Essex ICB. However, </w:t>
      </w:r>
      <w:r w:rsidR="00471C4B">
        <w:rPr>
          <w:rFonts w:cs="Arial"/>
        </w:rPr>
        <w:t>MSE</w:t>
      </w:r>
      <w:r w:rsidRPr="3D787FCB">
        <w:rPr>
          <w:rFonts w:cs="Arial"/>
        </w:rPr>
        <w:t xml:space="preserve"> ICB </w:t>
      </w:r>
      <w:r w:rsidR="006F2839">
        <w:rPr>
          <w:rFonts w:cs="Arial"/>
        </w:rPr>
        <w:t>is</w:t>
      </w:r>
      <w:r w:rsidR="006F2839" w:rsidRPr="3D787FCB">
        <w:rPr>
          <w:rFonts w:cs="Arial"/>
        </w:rPr>
        <w:t xml:space="preserve"> </w:t>
      </w:r>
      <w:r w:rsidRPr="3D787FCB">
        <w:rPr>
          <w:rFonts w:cs="Arial"/>
        </w:rPr>
        <w:t>responsible for providing quality assurance to general practice and dentistry.</w:t>
      </w:r>
    </w:p>
    <w:p w14:paraId="3C201A98" w14:textId="20CE0FCF" w:rsidR="00054489" w:rsidRPr="00205B22" w:rsidRDefault="00054489" w:rsidP="00205B22">
      <w:pPr>
        <w:pStyle w:val="BodyText"/>
        <w:rPr>
          <w:b/>
        </w:rPr>
      </w:pPr>
      <w:r w:rsidRPr="00205B22">
        <w:rPr>
          <w:b/>
        </w:rPr>
        <w:t xml:space="preserve">Key </w:t>
      </w:r>
      <w:r w:rsidR="00A47EB7" w:rsidRPr="3D787FCB">
        <w:rPr>
          <w:b/>
          <w:bCs/>
        </w:rPr>
        <w:t>a</w:t>
      </w:r>
      <w:r w:rsidRPr="00205B22">
        <w:rPr>
          <w:b/>
        </w:rPr>
        <w:t>chievements 2023/24</w:t>
      </w:r>
    </w:p>
    <w:p w14:paraId="36A91D53" w14:textId="68F8A978" w:rsidR="00054489" w:rsidRPr="00F10B77" w:rsidRDefault="00AE54CD" w:rsidP="00F10B77">
      <w:pPr>
        <w:pStyle w:val="BodyText"/>
        <w:numPr>
          <w:ilvl w:val="0"/>
          <w:numId w:val="39"/>
        </w:numPr>
        <w:rPr>
          <w:szCs w:val="24"/>
        </w:rPr>
      </w:pPr>
      <w:r w:rsidRPr="00F10B77">
        <w:rPr>
          <w:szCs w:val="24"/>
        </w:rPr>
        <w:t>A f</w:t>
      </w:r>
      <w:r w:rsidR="00054489" w:rsidRPr="00F10B77">
        <w:rPr>
          <w:szCs w:val="24"/>
        </w:rPr>
        <w:t>ull quality assurance cycle</w:t>
      </w:r>
      <w:r w:rsidR="00273D38" w:rsidRPr="00F10B77">
        <w:rPr>
          <w:szCs w:val="24"/>
        </w:rPr>
        <w:t xml:space="preserve"> is</w:t>
      </w:r>
      <w:r w:rsidR="00054489" w:rsidRPr="00F10B77">
        <w:rPr>
          <w:szCs w:val="24"/>
        </w:rPr>
        <w:t xml:space="preserve"> in progress to undertake supportive visits to general practice across MSE.</w:t>
      </w:r>
    </w:p>
    <w:p w14:paraId="10D6C668" w14:textId="6B0A67D7" w:rsidR="00054489" w:rsidRPr="00F10B77" w:rsidRDefault="00AE54CD" w:rsidP="00F10B77">
      <w:pPr>
        <w:pStyle w:val="BodyText"/>
        <w:numPr>
          <w:ilvl w:val="0"/>
          <w:numId w:val="39"/>
        </w:numPr>
        <w:rPr>
          <w:szCs w:val="24"/>
        </w:rPr>
      </w:pPr>
      <w:r w:rsidRPr="00F10B77">
        <w:rPr>
          <w:szCs w:val="24"/>
        </w:rPr>
        <w:t>The team have e</w:t>
      </w:r>
      <w:r w:rsidR="00054489" w:rsidRPr="00F10B77">
        <w:rPr>
          <w:szCs w:val="24"/>
        </w:rPr>
        <w:t>stablished quality risk processes to ensure</w:t>
      </w:r>
      <w:r w:rsidRPr="00F10B77">
        <w:rPr>
          <w:szCs w:val="24"/>
        </w:rPr>
        <w:t xml:space="preserve"> the</w:t>
      </w:r>
      <w:r w:rsidR="00054489" w:rsidRPr="00F10B77">
        <w:rPr>
          <w:szCs w:val="24"/>
        </w:rPr>
        <w:t xml:space="preserve"> ICB is aware of </w:t>
      </w:r>
      <w:r w:rsidRPr="00F10B77">
        <w:rPr>
          <w:szCs w:val="24"/>
        </w:rPr>
        <w:t xml:space="preserve">any increasing quality </w:t>
      </w:r>
      <w:r w:rsidR="00054489" w:rsidRPr="00F10B77">
        <w:rPr>
          <w:szCs w:val="24"/>
        </w:rPr>
        <w:t>risk</w:t>
      </w:r>
      <w:r w:rsidRPr="00F10B77">
        <w:rPr>
          <w:szCs w:val="24"/>
        </w:rPr>
        <w:t>s regarding primary care</w:t>
      </w:r>
      <w:r w:rsidR="00054489" w:rsidRPr="00F10B77">
        <w:rPr>
          <w:szCs w:val="24"/>
        </w:rPr>
        <w:t xml:space="preserve"> across </w:t>
      </w:r>
      <w:r w:rsidR="00471C4B" w:rsidRPr="00F10B77">
        <w:rPr>
          <w:szCs w:val="24"/>
        </w:rPr>
        <w:t>MSE</w:t>
      </w:r>
      <w:r w:rsidR="00054489" w:rsidRPr="00F10B77">
        <w:rPr>
          <w:szCs w:val="24"/>
        </w:rPr>
        <w:t>.</w:t>
      </w:r>
    </w:p>
    <w:p w14:paraId="1A8641AD" w14:textId="6FFB8C28" w:rsidR="00054489" w:rsidRPr="00F10B77" w:rsidRDefault="00AE54CD" w:rsidP="00F10B77">
      <w:pPr>
        <w:pStyle w:val="BodyText"/>
        <w:numPr>
          <w:ilvl w:val="0"/>
          <w:numId w:val="39"/>
        </w:numPr>
        <w:rPr>
          <w:szCs w:val="24"/>
        </w:rPr>
      </w:pPr>
      <w:r w:rsidRPr="00F10B77">
        <w:rPr>
          <w:szCs w:val="24"/>
        </w:rPr>
        <w:t>The team have d</w:t>
      </w:r>
      <w:r w:rsidR="00054489" w:rsidRPr="00F10B77">
        <w:rPr>
          <w:szCs w:val="24"/>
        </w:rPr>
        <w:t xml:space="preserve">eveloped the primary care quality hub to allow all providers to access and utilise links relating to </w:t>
      </w:r>
      <w:r w:rsidRPr="00F10B77">
        <w:rPr>
          <w:szCs w:val="24"/>
        </w:rPr>
        <w:t>patient safety incident investigations</w:t>
      </w:r>
      <w:r w:rsidR="00273D38" w:rsidRPr="00F10B77">
        <w:rPr>
          <w:szCs w:val="24"/>
        </w:rPr>
        <w:t xml:space="preserve"> </w:t>
      </w:r>
      <w:r w:rsidR="00054489" w:rsidRPr="00F10B77">
        <w:rPr>
          <w:szCs w:val="24"/>
        </w:rPr>
        <w:t>/</w:t>
      </w:r>
      <w:r w:rsidR="00273D38" w:rsidRPr="00F10B77">
        <w:rPr>
          <w:szCs w:val="24"/>
        </w:rPr>
        <w:t xml:space="preserve"> </w:t>
      </w:r>
      <w:r w:rsidR="00054489" w:rsidRPr="00F10B77">
        <w:rPr>
          <w:szCs w:val="24"/>
        </w:rPr>
        <w:t>complaints</w:t>
      </w:r>
      <w:r w:rsidR="00273D38" w:rsidRPr="00F10B77">
        <w:rPr>
          <w:szCs w:val="24"/>
        </w:rPr>
        <w:t xml:space="preserve"> </w:t>
      </w:r>
      <w:r w:rsidR="00054489" w:rsidRPr="00F10B77">
        <w:rPr>
          <w:szCs w:val="24"/>
        </w:rPr>
        <w:t>/</w:t>
      </w:r>
      <w:r w:rsidR="00273D38" w:rsidRPr="00F10B77">
        <w:rPr>
          <w:szCs w:val="24"/>
        </w:rPr>
        <w:t xml:space="preserve"> </w:t>
      </w:r>
      <w:r w:rsidR="00054489" w:rsidRPr="00F10B77">
        <w:rPr>
          <w:szCs w:val="24"/>
        </w:rPr>
        <w:t>CQC changes in regulation and expectation.</w:t>
      </w:r>
    </w:p>
    <w:p w14:paraId="5F51D78A" w14:textId="58AEBAE8" w:rsidR="00413D6D" w:rsidRPr="00F10B77" w:rsidRDefault="00AE54CD" w:rsidP="00F10B77">
      <w:pPr>
        <w:pStyle w:val="BodyText"/>
        <w:numPr>
          <w:ilvl w:val="0"/>
          <w:numId w:val="39"/>
        </w:numPr>
        <w:rPr>
          <w:szCs w:val="24"/>
        </w:rPr>
      </w:pPr>
      <w:r w:rsidRPr="00F10B77">
        <w:rPr>
          <w:szCs w:val="24"/>
        </w:rPr>
        <w:lastRenderedPageBreak/>
        <w:t>Ther</w:t>
      </w:r>
      <w:r w:rsidR="00D51FDE" w:rsidRPr="00F10B77">
        <w:rPr>
          <w:szCs w:val="24"/>
        </w:rPr>
        <w:t>e</w:t>
      </w:r>
      <w:r w:rsidRPr="00F10B77">
        <w:rPr>
          <w:szCs w:val="24"/>
        </w:rPr>
        <w:t xml:space="preserve"> is clear evidence of s</w:t>
      </w:r>
      <w:r w:rsidR="00054489" w:rsidRPr="00F10B77">
        <w:rPr>
          <w:szCs w:val="24"/>
        </w:rPr>
        <w:t>trengthened relationships between the ICB and primary care providers</w:t>
      </w:r>
      <w:r w:rsidRPr="00F10B77">
        <w:rPr>
          <w:szCs w:val="24"/>
        </w:rPr>
        <w:t>, with providers engaging in quality assurance visits as a means to improve the standards of care provision in line with national best practice standards</w:t>
      </w:r>
      <w:r w:rsidR="00054489" w:rsidRPr="00F10B77">
        <w:rPr>
          <w:szCs w:val="24"/>
        </w:rPr>
        <w:t>.</w:t>
      </w:r>
    </w:p>
    <w:p w14:paraId="1C93E91B" w14:textId="706F8AF1" w:rsidR="00054489" w:rsidRPr="00205B22" w:rsidRDefault="00054489" w:rsidP="00205B22">
      <w:pPr>
        <w:pStyle w:val="BodyText"/>
        <w:rPr>
          <w:b/>
        </w:rPr>
      </w:pPr>
      <w:r w:rsidRPr="00205B22">
        <w:rPr>
          <w:b/>
        </w:rPr>
        <w:t xml:space="preserve">Best </w:t>
      </w:r>
      <w:r w:rsidR="38200D43" w:rsidRPr="3D787FCB">
        <w:rPr>
          <w:b/>
          <w:bCs/>
        </w:rPr>
        <w:t>p</w:t>
      </w:r>
      <w:r w:rsidRPr="00205B22">
        <w:rPr>
          <w:b/>
        </w:rPr>
        <w:t xml:space="preserve">ractice examples of </w:t>
      </w:r>
      <w:r w:rsidR="216ABE57" w:rsidRPr="3D787FCB">
        <w:rPr>
          <w:b/>
          <w:bCs/>
        </w:rPr>
        <w:t>l</w:t>
      </w:r>
      <w:r w:rsidRPr="3D787FCB">
        <w:rPr>
          <w:b/>
          <w:bCs/>
        </w:rPr>
        <w:t xml:space="preserve">eading </w:t>
      </w:r>
      <w:r w:rsidR="16A3FB72" w:rsidRPr="3D787FCB">
        <w:rPr>
          <w:b/>
          <w:bCs/>
        </w:rPr>
        <w:t>c</w:t>
      </w:r>
      <w:r w:rsidRPr="3D787FCB">
        <w:rPr>
          <w:b/>
          <w:bCs/>
        </w:rPr>
        <w:t xml:space="preserve">ross </w:t>
      </w:r>
      <w:r w:rsidR="7F921F0C" w:rsidRPr="3D787FCB">
        <w:rPr>
          <w:b/>
          <w:bCs/>
        </w:rPr>
        <w:t>p</w:t>
      </w:r>
      <w:r w:rsidRPr="3D787FCB">
        <w:rPr>
          <w:b/>
          <w:bCs/>
        </w:rPr>
        <w:t xml:space="preserve">artnership </w:t>
      </w:r>
      <w:r w:rsidR="434E125D" w:rsidRPr="3D787FCB">
        <w:rPr>
          <w:b/>
          <w:bCs/>
        </w:rPr>
        <w:t>t</w:t>
      </w:r>
      <w:r w:rsidRPr="00205B22">
        <w:rPr>
          <w:b/>
        </w:rPr>
        <w:t>ransformation</w:t>
      </w:r>
    </w:p>
    <w:p w14:paraId="6682F821" w14:textId="5B05094C" w:rsidR="00054489" w:rsidRPr="00205B22" w:rsidRDefault="00054489" w:rsidP="00205B22">
      <w:pPr>
        <w:pStyle w:val="BodyText"/>
        <w:rPr>
          <w:u w:val="single"/>
        </w:rPr>
      </w:pPr>
      <w:r w:rsidRPr="00205B22">
        <w:rPr>
          <w:u w:val="single"/>
        </w:rPr>
        <w:t xml:space="preserve">Local </w:t>
      </w:r>
      <w:r w:rsidR="0EDA3C14" w:rsidRPr="3D787FCB">
        <w:rPr>
          <w:u w:val="single"/>
        </w:rPr>
        <w:t>m</w:t>
      </w:r>
      <w:r w:rsidRPr="00205B22">
        <w:rPr>
          <w:u w:val="single"/>
        </w:rPr>
        <w:t xml:space="preserve">aternity and </w:t>
      </w:r>
      <w:r w:rsidR="1EDD92E7" w:rsidRPr="3D787FCB">
        <w:rPr>
          <w:u w:val="single"/>
        </w:rPr>
        <w:t>n</w:t>
      </w:r>
      <w:r w:rsidRPr="3D787FCB">
        <w:rPr>
          <w:u w:val="single"/>
        </w:rPr>
        <w:t xml:space="preserve">eonatal </w:t>
      </w:r>
      <w:r w:rsidR="7C1ED72B" w:rsidRPr="3D787FCB">
        <w:rPr>
          <w:u w:val="single"/>
        </w:rPr>
        <w:t>s</w:t>
      </w:r>
      <w:r w:rsidRPr="00205B22">
        <w:rPr>
          <w:u w:val="single"/>
        </w:rPr>
        <w:t>ystem (LMNS)</w:t>
      </w:r>
    </w:p>
    <w:p w14:paraId="4E2765DB" w14:textId="77777777" w:rsidR="00054489" w:rsidRPr="00054489" w:rsidRDefault="00054489" w:rsidP="00FE7D51">
      <w:pPr>
        <w:pStyle w:val="BodyText"/>
        <w:overflowPunct w:val="0"/>
        <w:ind w:right="211"/>
        <w:rPr>
          <w:rFonts w:cs="Arial"/>
          <w:szCs w:val="24"/>
        </w:rPr>
      </w:pPr>
      <w:r w:rsidRPr="00054489">
        <w:rPr>
          <w:rFonts w:cs="Arial"/>
          <w:szCs w:val="24"/>
        </w:rPr>
        <w:t>The LMNS continues to strive to improve services, one example of this is the Trust meeting the requirements for year five of the Maternity Incentives Scheme, which supports the delivery of safer maternity care.</w:t>
      </w:r>
    </w:p>
    <w:p w14:paraId="587B58A6" w14:textId="77777777" w:rsidR="00054489" w:rsidRPr="00054489" w:rsidRDefault="00054489" w:rsidP="00FE7D51">
      <w:pPr>
        <w:pStyle w:val="BodyText"/>
        <w:overflowPunct w:val="0"/>
        <w:ind w:right="211"/>
        <w:rPr>
          <w:rFonts w:cs="Arial"/>
          <w:szCs w:val="24"/>
        </w:rPr>
      </w:pPr>
      <w:r w:rsidRPr="00054489">
        <w:rPr>
          <w:rFonts w:cs="Arial"/>
          <w:szCs w:val="24"/>
        </w:rPr>
        <w:t>In addition, the Trust has reduced both the maternity staff vacancy and turnover rate, as part of an ongoing focus on recruitment and retention. These measures are ongoing and ensure the workforce can provide consistent, high-quality care.</w:t>
      </w:r>
    </w:p>
    <w:p w14:paraId="0F04CD32" w14:textId="748C3646" w:rsidR="00054489" w:rsidRPr="00054489" w:rsidRDefault="00054489" w:rsidP="00FE7D51">
      <w:pPr>
        <w:pStyle w:val="BodyText"/>
        <w:overflowPunct w:val="0"/>
        <w:ind w:right="211"/>
        <w:rPr>
          <w:rFonts w:cs="Arial"/>
          <w:b/>
          <w:highlight w:val="yellow"/>
        </w:rPr>
      </w:pPr>
      <w:r w:rsidRPr="3D787FCB">
        <w:rPr>
          <w:rFonts w:cs="Arial"/>
        </w:rPr>
        <w:t xml:space="preserve">Moving forward, the LMNS are focused on implementing the NHS </w:t>
      </w:r>
      <w:r w:rsidR="06BA6645" w:rsidRPr="3D787FCB">
        <w:rPr>
          <w:rFonts w:cs="Arial"/>
        </w:rPr>
        <w:t>t</w:t>
      </w:r>
      <w:r w:rsidRPr="3D787FCB">
        <w:rPr>
          <w:rFonts w:cs="Arial"/>
        </w:rPr>
        <w:t xml:space="preserve">hree-year delivery plan for maternity and neonatal services, whilst recognising the progress that has been made including new </w:t>
      </w:r>
      <w:r w:rsidR="47233F9D" w:rsidRPr="3D787FCB">
        <w:rPr>
          <w:rFonts w:cs="Arial"/>
        </w:rPr>
        <w:t>p</w:t>
      </w:r>
      <w:r w:rsidRPr="3D787FCB">
        <w:rPr>
          <w:rFonts w:cs="Arial"/>
        </w:rPr>
        <w:t xml:space="preserve">erinatal </w:t>
      </w:r>
      <w:r w:rsidR="360930F2" w:rsidRPr="3D787FCB">
        <w:rPr>
          <w:rFonts w:cs="Arial"/>
        </w:rPr>
        <w:t>p</w:t>
      </w:r>
      <w:r w:rsidRPr="3D787FCB">
        <w:rPr>
          <w:rFonts w:cs="Arial"/>
        </w:rPr>
        <w:t xml:space="preserve">elvic </w:t>
      </w:r>
      <w:r w:rsidR="3A1F0B2B" w:rsidRPr="3D787FCB">
        <w:rPr>
          <w:rFonts w:cs="Arial"/>
        </w:rPr>
        <w:t>h</w:t>
      </w:r>
      <w:r w:rsidRPr="3D787FCB">
        <w:rPr>
          <w:rFonts w:cs="Arial"/>
        </w:rPr>
        <w:t xml:space="preserve">ealth </w:t>
      </w:r>
      <w:r w:rsidR="7F87D0F9" w:rsidRPr="3D787FCB">
        <w:rPr>
          <w:rFonts w:cs="Arial"/>
        </w:rPr>
        <w:t>s</w:t>
      </w:r>
      <w:r w:rsidRPr="3D787FCB">
        <w:rPr>
          <w:rFonts w:cs="Arial"/>
        </w:rPr>
        <w:t xml:space="preserve">ervices and </w:t>
      </w:r>
      <w:r w:rsidR="41F37F45" w:rsidRPr="3D787FCB">
        <w:rPr>
          <w:rFonts w:cs="Arial"/>
        </w:rPr>
        <w:t>t</w:t>
      </w:r>
      <w:r w:rsidRPr="3D787FCB">
        <w:rPr>
          <w:rFonts w:cs="Arial"/>
        </w:rPr>
        <w:t xml:space="preserve">ransitional </w:t>
      </w:r>
      <w:r w:rsidR="07E68795" w:rsidRPr="3D787FCB">
        <w:rPr>
          <w:rFonts w:cs="Arial"/>
        </w:rPr>
        <w:t>n</w:t>
      </w:r>
      <w:r w:rsidRPr="3D787FCB">
        <w:rPr>
          <w:rFonts w:cs="Arial"/>
        </w:rPr>
        <w:t xml:space="preserve">eonatal </w:t>
      </w:r>
      <w:r w:rsidR="2493EDD9" w:rsidRPr="3D787FCB">
        <w:rPr>
          <w:rFonts w:cs="Arial"/>
        </w:rPr>
        <w:t>c</w:t>
      </w:r>
      <w:r w:rsidRPr="3D787FCB">
        <w:rPr>
          <w:rFonts w:cs="Arial"/>
        </w:rPr>
        <w:t>are services now in place across the system.</w:t>
      </w:r>
      <w:bookmarkStart w:id="36" w:name="Essex_Partnership_University_NHS_Foundat"/>
      <w:bookmarkStart w:id="37" w:name="_bookmark20"/>
      <w:bookmarkEnd w:id="36"/>
      <w:bookmarkEnd w:id="37"/>
    </w:p>
    <w:p w14:paraId="038DB787" w14:textId="1FA51889" w:rsidR="00054489" w:rsidRPr="00205B22" w:rsidRDefault="00054489" w:rsidP="00205B22">
      <w:pPr>
        <w:pStyle w:val="BodyText"/>
        <w:rPr>
          <w:color w:val="FF0000"/>
          <w:u w:val="single"/>
        </w:rPr>
      </w:pPr>
      <w:bookmarkStart w:id="38" w:name="System_Quality"/>
      <w:bookmarkStart w:id="39" w:name="_bookmark21"/>
      <w:bookmarkStart w:id="40" w:name="Patient_Experience"/>
      <w:bookmarkStart w:id="41" w:name="_bookmark23"/>
      <w:bookmarkStart w:id="42" w:name="ICB_Patient_Safety_agenda"/>
      <w:bookmarkStart w:id="43" w:name="_bookmark24"/>
      <w:bookmarkEnd w:id="38"/>
      <w:bookmarkEnd w:id="39"/>
      <w:bookmarkEnd w:id="40"/>
      <w:bookmarkEnd w:id="41"/>
      <w:bookmarkEnd w:id="42"/>
      <w:bookmarkEnd w:id="43"/>
      <w:r w:rsidRPr="00205B22">
        <w:rPr>
          <w:u w:val="single"/>
        </w:rPr>
        <w:t>Implementation of</w:t>
      </w:r>
      <w:r w:rsidR="00AE54CD">
        <w:rPr>
          <w:u w:val="single"/>
        </w:rPr>
        <w:t xml:space="preserve"> the</w:t>
      </w:r>
      <w:r w:rsidRPr="00205B22">
        <w:rPr>
          <w:u w:val="single"/>
        </w:rPr>
        <w:t xml:space="preserve"> ICB </w:t>
      </w:r>
      <w:r w:rsidR="6A826ED6" w:rsidRPr="3D787FCB">
        <w:rPr>
          <w:u w:val="single"/>
        </w:rPr>
        <w:t>p</w:t>
      </w:r>
      <w:r w:rsidRPr="3D787FCB">
        <w:rPr>
          <w:u w:val="single"/>
        </w:rPr>
        <w:t xml:space="preserve">atient </w:t>
      </w:r>
      <w:r w:rsidR="3A875CCD" w:rsidRPr="3D787FCB">
        <w:rPr>
          <w:u w:val="single"/>
        </w:rPr>
        <w:t>s</w:t>
      </w:r>
      <w:r w:rsidRPr="3D787FCB">
        <w:rPr>
          <w:u w:val="single"/>
        </w:rPr>
        <w:t xml:space="preserve">afety </w:t>
      </w:r>
      <w:r w:rsidR="6C0287BD" w:rsidRPr="3D787FCB">
        <w:rPr>
          <w:u w:val="single"/>
        </w:rPr>
        <w:t>a</w:t>
      </w:r>
      <w:r w:rsidRPr="00205B22">
        <w:rPr>
          <w:u w:val="single"/>
        </w:rPr>
        <w:t xml:space="preserve">genda </w:t>
      </w:r>
    </w:p>
    <w:p w14:paraId="7F777D0A" w14:textId="4245378A" w:rsidR="00AE54CD" w:rsidRDefault="00054489" w:rsidP="00FE7D51">
      <w:pPr>
        <w:pStyle w:val="BodyText"/>
        <w:overflowPunct w:val="0"/>
        <w:ind w:right="168"/>
        <w:rPr>
          <w:rFonts w:cs="Arial"/>
        </w:rPr>
      </w:pPr>
      <w:r w:rsidRPr="3D787FCB">
        <w:rPr>
          <w:rFonts w:cs="Arial"/>
        </w:rPr>
        <w:t xml:space="preserve">Following the appointment of a </w:t>
      </w:r>
      <w:r w:rsidR="0061056B" w:rsidRPr="3D787FCB">
        <w:rPr>
          <w:rFonts w:cs="Arial"/>
        </w:rPr>
        <w:t>full-time</w:t>
      </w:r>
      <w:r w:rsidRPr="3D787FCB">
        <w:rPr>
          <w:rFonts w:cs="Arial"/>
        </w:rPr>
        <w:t xml:space="preserve"> Patient Safety Specialist (PSS) in September 2022, significant progress has been made in implementing the National Patient Safety Strategy within the ICB and wider ICS. All acute and community providers transitioned to the Patient Safety Incident Review Framework (PSIRF) within the national timeframe, and smaller providers are making good progress. A PSIRF </w:t>
      </w:r>
      <w:r w:rsidR="47A552E5" w:rsidRPr="3D787FCB">
        <w:rPr>
          <w:rFonts w:cs="Arial"/>
        </w:rPr>
        <w:t>p</w:t>
      </w:r>
      <w:r w:rsidRPr="3D787FCB">
        <w:rPr>
          <w:rFonts w:cs="Arial"/>
        </w:rPr>
        <w:t xml:space="preserve">eer review </w:t>
      </w:r>
      <w:r w:rsidR="033044A3" w:rsidRPr="3D787FCB">
        <w:rPr>
          <w:rFonts w:cs="Arial"/>
        </w:rPr>
        <w:t>f</w:t>
      </w:r>
      <w:r w:rsidRPr="3D787FCB">
        <w:rPr>
          <w:rFonts w:cs="Arial"/>
        </w:rPr>
        <w:t xml:space="preserve">orum has been mobilised to oversee and support effectiveness of systems for improvement following patient safety incidents, and to support providers. </w:t>
      </w:r>
    </w:p>
    <w:p w14:paraId="49E2667C" w14:textId="08BEA100" w:rsidR="00054489" w:rsidRPr="00054489" w:rsidRDefault="00054489" w:rsidP="00FE7D51">
      <w:pPr>
        <w:pStyle w:val="BodyText"/>
        <w:overflowPunct w:val="0"/>
        <w:ind w:right="168"/>
        <w:rPr>
          <w:rFonts w:cs="Arial"/>
        </w:rPr>
      </w:pPr>
      <w:r w:rsidRPr="3D787FCB">
        <w:rPr>
          <w:rFonts w:cs="Arial"/>
        </w:rPr>
        <w:t>The ICS Patient Safety Specialist Network meeting has been refreshed and relaunched as a</w:t>
      </w:r>
      <w:r w:rsidR="64B5740C" w:rsidRPr="3D787FCB">
        <w:rPr>
          <w:rFonts w:cs="Arial"/>
        </w:rPr>
        <w:t>n</w:t>
      </w:r>
      <w:r w:rsidRPr="3D787FCB">
        <w:rPr>
          <w:rFonts w:cs="Arial"/>
        </w:rPr>
        <w:t xml:space="preserve"> ICS Patient Safety Collaborative with the intention of widening membership to include hospices, independent providers, and social care. All acute and community providers have Patient Safety Partners on board who are ensuring that the patients</w:t>
      </w:r>
      <w:r w:rsidR="76F875C0" w:rsidRPr="3D787FCB">
        <w:rPr>
          <w:rFonts w:cs="Arial"/>
        </w:rPr>
        <w:t>’</w:t>
      </w:r>
      <w:r w:rsidRPr="3D787FCB">
        <w:rPr>
          <w:rFonts w:cs="Arial"/>
        </w:rPr>
        <w:t xml:space="preserve"> voice is present </w:t>
      </w:r>
      <w:r w:rsidR="00D94F11">
        <w:rPr>
          <w:rFonts w:cs="Arial"/>
        </w:rPr>
        <w:t xml:space="preserve">during </w:t>
      </w:r>
      <w:r w:rsidRPr="3D787FCB">
        <w:rPr>
          <w:rFonts w:cs="Arial"/>
        </w:rPr>
        <w:t>meetings</w:t>
      </w:r>
      <w:r w:rsidR="00F84CE0">
        <w:rPr>
          <w:rFonts w:cs="Arial"/>
        </w:rPr>
        <w:t>. F</w:t>
      </w:r>
      <w:r w:rsidRPr="3D787FCB">
        <w:rPr>
          <w:rFonts w:cs="Arial"/>
        </w:rPr>
        <w:t xml:space="preserve">urther work is planned for 2024 in measuring the impact of these roles and developing a system wide support network for the role. A system wide </w:t>
      </w:r>
      <w:r w:rsidR="75820228" w:rsidRPr="3D787FCB">
        <w:rPr>
          <w:rFonts w:cs="Arial"/>
        </w:rPr>
        <w:t>p</w:t>
      </w:r>
      <w:r w:rsidRPr="3D787FCB">
        <w:rPr>
          <w:rFonts w:cs="Arial"/>
        </w:rPr>
        <w:t xml:space="preserve">atient </w:t>
      </w:r>
      <w:r w:rsidR="72EC40D6" w:rsidRPr="3D787FCB">
        <w:rPr>
          <w:rFonts w:cs="Arial"/>
        </w:rPr>
        <w:t>s</w:t>
      </w:r>
      <w:r w:rsidRPr="3D787FCB">
        <w:rPr>
          <w:rFonts w:cs="Arial"/>
        </w:rPr>
        <w:t xml:space="preserve">afety </w:t>
      </w:r>
      <w:r w:rsidR="034B15B6" w:rsidRPr="3D787FCB">
        <w:rPr>
          <w:rFonts w:cs="Arial"/>
        </w:rPr>
        <w:t>s</w:t>
      </w:r>
      <w:r w:rsidRPr="3D787FCB">
        <w:rPr>
          <w:rFonts w:cs="Arial"/>
        </w:rPr>
        <w:t xml:space="preserve">ummit is planned for </w:t>
      </w:r>
      <w:r w:rsidR="00AE54CD">
        <w:rPr>
          <w:rFonts w:cs="Arial"/>
        </w:rPr>
        <w:t>November</w:t>
      </w:r>
      <w:r w:rsidR="00AE54CD" w:rsidRPr="3D787FCB">
        <w:rPr>
          <w:rFonts w:cs="Arial"/>
        </w:rPr>
        <w:t xml:space="preserve"> </w:t>
      </w:r>
      <w:r w:rsidRPr="3D787FCB">
        <w:rPr>
          <w:rFonts w:cs="Arial"/>
        </w:rPr>
        <w:t>2024, where partner organisations will be sharing learning from across the system</w:t>
      </w:r>
      <w:r w:rsidR="00F84CE0">
        <w:rPr>
          <w:rFonts w:cs="Arial"/>
        </w:rPr>
        <w:t>.</w:t>
      </w:r>
      <w:r w:rsidRPr="3D787FCB">
        <w:rPr>
          <w:rFonts w:cs="Arial"/>
        </w:rPr>
        <w:t xml:space="preserve"> </w:t>
      </w:r>
    </w:p>
    <w:p w14:paraId="5BE18161" w14:textId="37336B68" w:rsidR="00AB42A7" w:rsidRPr="00DC31DF" w:rsidRDefault="00AB42A7" w:rsidP="00AB42A7">
      <w:pPr>
        <w:pStyle w:val="Heading2"/>
      </w:pPr>
      <w:bookmarkStart w:id="44" w:name="_Toc164814822"/>
      <w:bookmarkStart w:id="45" w:name="_Toc164814883"/>
      <w:r w:rsidRPr="00DC31DF">
        <w:t xml:space="preserve">Children and </w:t>
      </w:r>
      <w:r w:rsidR="56363837">
        <w:t>y</w:t>
      </w:r>
      <w:r>
        <w:t xml:space="preserve">oung </w:t>
      </w:r>
      <w:r w:rsidR="15DA3275">
        <w:t>p</w:t>
      </w:r>
      <w:r>
        <w:t>eople</w:t>
      </w:r>
      <w:r w:rsidRPr="00DC31DF">
        <w:t xml:space="preserve"> (CYP) safeguarding</w:t>
      </w:r>
      <w:bookmarkEnd w:id="44"/>
      <w:bookmarkEnd w:id="45"/>
    </w:p>
    <w:p w14:paraId="752D592D" w14:textId="093E9E71" w:rsidR="00AB42A7" w:rsidRDefault="00AB42A7" w:rsidP="00AB42A7">
      <w:r>
        <w:t xml:space="preserve">ICBs are responsible for the statutory duties set out in the Children Act 2004 and the Working Together to Safeguard Children (statutory guidance) 2023. In addition, </w:t>
      </w:r>
      <w:r w:rsidR="00F46054">
        <w:t>NHSE</w:t>
      </w:r>
      <w:r>
        <w:t xml:space="preserve"> </w:t>
      </w:r>
      <w:r w:rsidRPr="000B6D0B">
        <w:rPr>
          <w:i/>
          <w:iCs/>
        </w:rPr>
        <w:t xml:space="preserve">Safeguarding Children, Young People, and Adults at Risk in the NHS - Safeguarding Accountability and Assurance </w:t>
      </w:r>
      <w:r>
        <w:rPr>
          <w:i/>
          <w:iCs/>
        </w:rPr>
        <w:t>F</w:t>
      </w:r>
      <w:r w:rsidRPr="000B6D0B">
        <w:rPr>
          <w:i/>
          <w:iCs/>
        </w:rPr>
        <w:t>ramework</w:t>
      </w:r>
      <w:r>
        <w:t xml:space="preserve"> (SAAF) sets out the safeguarding roles, duties, and responsibilities of all NHS organisations</w:t>
      </w:r>
      <w:r w:rsidR="00AF7036">
        <w:t>,</w:t>
      </w:r>
      <w:r>
        <w:t xml:space="preserve"> including ICBs.</w:t>
      </w:r>
    </w:p>
    <w:p w14:paraId="67C3059C" w14:textId="77777777" w:rsidR="00AB42A7" w:rsidRPr="000C781C" w:rsidRDefault="00AB42A7" w:rsidP="00AB42A7">
      <w:r w:rsidRPr="000C781C">
        <w:t>The ICB:</w:t>
      </w:r>
    </w:p>
    <w:p w14:paraId="3FBB3206" w14:textId="5D261579" w:rsidR="00AB42A7" w:rsidRPr="002719FB" w:rsidRDefault="00AB42A7" w:rsidP="00A24DCF">
      <w:pPr>
        <w:pStyle w:val="BodyText"/>
        <w:numPr>
          <w:ilvl w:val="0"/>
          <w:numId w:val="15"/>
        </w:numPr>
        <w:rPr>
          <w:color w:val="000000"/>
        </w:rPr>
      </w:pPr>
      <w:r w:rsidRPr="3D787FCB">
        <w:rPr>
          <w:color w:val="000000" w:themeColor="text1"/>
        </w:rPr>
        <w:t xml:space="preserve">Complies with </w:t>
      </w:r>
      <w:r w:rsidR="199F435E" w:rsidRPr="3D787FCB">
        <w:rPr>
          <w:color w:val="000000" w:themeColor="text1"/>
        </w:rPr>
        <w:t>s</w:t>
      </w:r>
      <w:r w:rsidRPr="3D787FCB">
        <w:rPr>
          <w:color w:val="000000" w:themeColor="text1"/>
        </w:rPr>
        <w:t xml:space="preserve">ection 10 and </w:t>
      </w:r>
      <w:r w:rsidR="7E9DC365" w:rsidRPr="3D787FCB">
        <w:rPr>
          <w:color w:val="000000" w:themeColor="text1"/>
        </w:rPr>
        <w:t>s</w:t>
      </w:r>
      <w:r w:rsidRPr="3D787FCB">
        <w:rPr>
          <w:color w:val="000000" w:themeColor="text1"/>
        </w:rPr>
        <w:t>ection 11 of the Children Act 2004 and any subsequent statutory guidance relating to vulnerable groups.</w:t>
      </w:r>
    </w:p>
    <w:p w14:paraId="0B7AEFCB" w14:textId="77777777" w:rsidR="00AB42A7" w:rsidRPr="002719FB" w:rsidRDefault="00AB42A7" w:rsidP="00A24DCF">
      <w:pPr>
        <w:pStyle w:val="BodyText"/>
        <w:numPr>
          <w:ilvl w:val="0"/>
          <w:numId w:val="15"/>
        </w:numPr>
        <w:rPr>
          <w:color w:val="000000"/>
        </w:rPr>
      </w:pPr>
      <w:r w:rsidRPr="002719FB">
        <w:rPr>
          <w:color w:val="000000"/>
        </w:rPr>
        <w:lastRenderedPageBreak/>
        <w:t>Provide</w:t>
      </w:r>
      <w:r>
        <w:rPr>
          <w:color w:val="000000"/>
        </w:rPr>
        <w:t>s</w:t>
      </w:r>
      <w:r w:rsidRPr="002719FB">
        <w:rPr>
          <w:color w:val="000000"/>
        </w:rPr>
        <w:t xml:space="preserve"> effective clinical, professional, and strategic leadership to child safeguarding, including the quality assurance of safeguarding through their contractual arrangements with all provider organisations and agencies, including from independent providers. </w:t>
      </w:r>
    </w:p>
    <w:p w14:paraId="064DE989" w14:textId="685C348E" w:rsidR="00AB42A7" w:rsidRDefault="00AB42A7" w:rsidP="00A24DCF">
      <w:pPr>
        <w:pStyle w:val="BodyText"/>
        <w:numPr>
          <w:ilvl w:val="0"/>
          <w:numId w:val="15"/>
        </w:numPr>
      </w:pPr>
      <w:r w:rsidRPr="32D6EA26">
        <w:rPr>
          <w:color w:val="000000" w:themeColor="text1"/>
        </w:rPr>
        <w:t xml:space="preserve">Participates in the </w:t>
      </w:r>
      <w:r w:rsidR="158CB1E6" w:rsidRPr="32D6EA26">
        <w:rPr>
          <w:color w:val="000000" w:themeColor="text1"/>
        </w:rPr>
        <w:t>m</w:t>
      </w:r>
      <w:r w:rsidRPr="32D6EA26">
        <w:rPr>
          <w:color w:val="000000" w:themeColor="text1"/>
        </w:rPr>
        <w:t>ulti</w:t>
      </w:r>
      <w:r w:rsidR="00D31462">
        <w:rPr>
          <w:color w:val="000000" w:themeColor="text1"/>
        </w:rPr>
        <w:t>-</w:t>
      </w:r>
      <w:r w:rsidRPr="32D6EA26">
        <w:rPr>
          <w:color w:val="000000" w:themeColor="text1"/>
        </w:rPr>
        <w:t xml:space="preserve">agency </w:t>
      </w:r>
      <w:r w:rsidR="448B648E" w:rsidRPr="32D6EA26">
        <w:rPr>
          <w:color w:val="000000" w:themeColor="text1"/>
        </w:rPr>
        <w:t>s</w:t>
      </w:r>
      <w:r w:rsidRPr="32D6EA26">
        <w:rPr>
          <w:color w:val="000000" w:themeColor="text1"/>
        </w:rPr>
        <w:t xml:space="preserve">afeguarding </w:t>
      </w:r>
      <w:r w:rsidR="0EDEF781" w:rsidRPr="32D6EA26">
        <w:rPr>
          <w:color w:val="000000" w:themeColor="text1"/>
        </w:rPr>
        <w:t>a</w:t>
      </w:r>
      <w:r w:rsidRPr="32D6EA26">
        <w:rPr>
          <w:color w:val="000000" w:themeColor="text1"/>
        </w:rPr>
        <w:t>rrangements (MASA)</w:t>
      </w:r>
      <w:r w:rsidR="006F0950">
        <w:rPr>
          <w:color w:val="000000" w:themeColor="text1"/>
        </w:rPr>
        <w:t xml:space="preserve"> </w:t>
      </w:r>
      <w:r w:rsidRPr="32D6EA26">
        <w:rPr>
          <w:color w:val="000000" w:themeColor="text1"/>
        </w:rPr>
        <w:t>/</w:t>
      </w:r>
      <w:r w:rsidR="006F0950">
        <w:rPr>
          <w:color w:val="000000" w:themeColor="text1"/>
        </w:rPr>
        <w:t xml:space="preserve"> </w:t>
      </w:r>
      <w:r w:rsidR="3E20EE98" w:rsidRPr="32D6EA26">
        <w:rPr>
          <w:color w:val="000000" w:themeColor="text1"/>
        </w:rPr>
        <w:t>s</w:t>
      </w:r>
      <w:r w:rsidRPr="32D6EA26">
        <w:rPr>
          <w:color w:val="000000" w:themeColor="text1"/>
        </w:rPr>
        <w:t xml:space="preserve">afeguarding </w:t>
      </w:r>
      <w:r w:rsidR="1E84B16E" w:rsidRPr="32D6EA26">
        <w:rPr>
          <w:color w:val="000000" w:themeColor="text1"/>
        </w:rPr>
        <w:t>p</w:t>
      </w:r>
      <w:r w:rsidRPr="32D6EA26">
        <w:rPr>
          <w:color w:val="000000" w:themeColor="text1"/>
        </w:rPr>
        <w:t xml:space="preserve">artnerships as one of the three </w:t>
      </w:r>
      <w:r w:rsidR="2EE3864D" w:rsidRPr="32D6EA26">
        <w:rPr>
          <w:color w:val="000000" w:themeColor="text1"/>
        </w:rPr>
        <w:t>s</w:t>
      </w:r>
      <w:r w:rsidRPr="32D6EA26">
        <w:rPr>
          <w:color w:val="000000" w:themeColor="text1"/>
        </w:rPr>
        <w:t xml:space="preserve">tatutory </w:t>
      </w:r>
      <w:r w:rsidR="2A6EFFC1" w:rsidRPr="32D6EA26">
        <w:rPr>
          <w:color w:val="000000" w:themeColor="text1"/>
        </w:rPr>
        <w:t>s</w:t>
      </w:r>
      <w:r w:rsidRPr="32D6EA26">
        <w:rPr>
          <w:color w:val="000000" w:themeColor="text1"/>
        </w:rPr>
        <w:t xml:space="preserve">afeguarding </w:t>
      </w:r>
      <w:r w:rsidR="1772FD95" w:rsidRPr="32D6EA26">
        <w:rPr>
          <w:color w:val="000000" w:themeColor="text1"/>
        </w:rPr>
        <w:t>p</w:t>
      </w:r>
      <w:r w:rsidRPr="32D6EA26">
        <w:rPr>
          <w:color w:val="000000" w:themeColor="text1"/>
        </w:rPr>
        <w:t xml:space="preserve">artners, alongside the </w:t>
      </w:r>
      <w:r w:rsidR="2DC9A02E" w:rsidRPr="32D6EA26">
        <w:rPr>
          <w:color w:val="000000" w:themeColor="text1"/>
        </w:rPr>
        <w:t>l</w:t>
      </w:r>
      <w:r w:rsidRPr="32D6EA26">
        <w:rPr>
          <w:color w:val="000000" w:themeColor="text1"/>
        </w:rPr>
        <w:t xml:space="preserve">ocal </w:t>
      </w:r>
      <w:r w:rsidR="1EE8C55C" w:rsidRPr="32D6EA26">
        <w:rPr>
          <w:color w:val="000000" w:themeColor="text1"/>
        </w:rPr>
        <w:t>a</w:t>
      </w:r>
      <w:r w:rsidRPr="32D6EA26">
        <w:rPr>
          <w:color w:val="000000" w:themeColor="text1"/>
        </w:rPr>
        <w:t xml:space="preserve">uthority and </w:t>
      </w:r>
      <w:r w:rsidR="31265F75" w:rsidRPr="32D6EA26">
        <w:rPr>
          <w:color w:val="000000" w:themeColor="text1"/>
        </w:rPr>
        <w:t>p</w:t>
      </w:r>
      <w:r w:rsidRPr="32D6EA26">
        <w:rPr>
          <w:color w:val="000000" w:themeColor="text1"/>
        </w:rPr>
        <w:t xml:space="preserve">olice. The ICB is a </w:t>
      </w:r>
      <w:r w:rsidR="283D525D" w:rsidRPr="32D6EA26">
        <w:rPr>
          <w:color w:val="000000" w:themeColor="text1"/>
        </w:rPr>
        <w:t>p</w:t>
      </w:r>
      <w:r w:rsidRPr="32D6EA26">
        <w:rPr>
          <w:color w:val="000000" w:themeColor="text1"/>
        </w:rPr>
        <w:t>artner of three local safeguarding children’s partnerships: Essex Safeguarding Children Board (ESCB), Thurrock Local Safeguarding</w:t>
      </w:r>
      <w:r>
        <w:t xml:space="preserve"> Children Partnership (TLSCP) and Southend Safeguarding Partnership (SSP). </w:t>
      </w:r>
    </w:p>
    <w:p w14:paraId="7604D561" w14:textId="608B7DCF" w:rsidR="00AB42A7" w:rsidRDefault="00AB42A7" w:rsidP="00AB42A7">
      <w:r>
        <w:t xml:space="preserve">Below, there are the respective links for each of the </w:t>
      </w:r>
      <w:r w:rsidR="5B39A5A1">
        <w:t>p</w:t>
      </w:r>
      <w:r>
        <w:t>artnerships’ latest published annual reports and MASA, demonstrating the ICB’s delivery against safeguarding statutory duties for 2023/24.</w:t>
      </w:r>
    </w:p>
    <w:p w14:paraId="327AD550" w14:textId="03765432" w:rsidR="00AB42A7" w:rsidRDefault="00AB42A7" w:rsidP="001315F7">
      <w:pPr>
        <w:pStyle w:val="ListParagraph"/>
        <w:numPr>
          <w:ilvl w:val="0"/>
          <w:numId w:val="0"/>
        </w:numPr>
        <w:spacing w:after="160" w:line="259" w:lineRule="auto"/>
        <w:ind w:left="426" w:hanging="426"/>
      </w:pPr>
      <w:r w:rsidRPr="00366769">
        <w:rPr>
          <w:b/>
        </w:rPr>
        <w:t>Essex Safeguarding Children Board (ESCB)</w:t>
      </w:r>
      <w:r>
        <w:rPr>
          <w:b/>
        </w:rPr>
        <w:br/>
      </w:r>
    </w:p>
    <w:p w14:paraId="2D562745" w14:textId="14332949" w:rsidR="00AB42A7" w:rsidRPr="0036484C" w:rsidRDefault="00AA177A" w:rsidP="001315F7">
      <w:pPr>
        <w:pStyle w:val="ListParagraph"/>
        <w:numPr>
          <w:ilvl w:val="0"/>
          <w:numId w:val="21"/>
        </w:numPr>
        <w:rPr>
          <w:color w:val="000000" w:themeColor="text1"/>
          <w:szCs w:val="24"/>
        </w:rPr>
      </w:pPr>
      <w:hyperlink r:id="rId34" w:history="1">
        <w:r w:rsidR="00AB42A7" w:rsidRPr="00E54DB9">
          <w:rPr>
            <w:rStyle w:val="Hyperlink"/>
            <w:color w:val="000000" w:themeColor="text1"/>
            <w:szCs w:val="24"/>
          </w:rPr>
          <w:t>https://www.escb.co.uk/media/2727/annual-report-2020-21.pdf</w:t>
        </w:r>
      </w:hyperlink>
      <w:r w:rsidR="00AB42A7" w:rsidRPr="00E54DB9">
        <w:rPr>
          <w:color w:val="000000" w:themeColor="text1"/>
          <w:szCs w:val="24"/>
        </w:rPr>
        <w:t xml:space="preserve"> </w:t>
      </w:r>
      <w:r w:rsidR="00AB42A7" w:rsidRPr="0036484C">
        <w:rPr>
          <w:color w:val="000000" w:themeColor="text1"/>
          <w:szCs w:val="24"/>
        </w:rPr>
        <w:br/>
      </w:r>
    </w:p>
    <w:p w14:paraId="5D2D474C" w14:textId="77777777" w:rsidR="00AB42A7" w:rsidRPr="0036484C" w:rsidRDefault="00AA177A" w:rsidP="001315F7">
      <w:pPr>
        <w:pStyle w:val="ListParagraph"/>
        <w:numPr>
          <w:ilvl w:val="0"/>
          <w:numId w:val="21"/>
        </w:numPr>
        <w:rPr>
          <w:color w:val="000000" w:themeColor="text1"/>
          <w:szCs w:val="24"/>
        </w:rPr>
      </w:pPr>
      <w:hyperlink r:id="rId35" w:history="1">
        <w:r w:rsidR="00AB42A7" w:rsidRPr="0036484C">
          <w:rPr>
            <w:rStyle w:val="Hyperlink"/>
            <w:color w:val="000000" w:themeColor="text1"/>
            <w:szCs w:val="24"/>
          </w:rPr>
          <w:t>ESCB Multi-Agency Safeguarding arrangements 2023-24 (hyperlink)</w:t>
        </w:r>
      </w:hyperlink>
    </w:p>
    <w:p w14:paraId="2D152885" w14:textId="6D88A8C0" w:rsidR="00AB42A7" w:rsidRDefault="00AB42A7" w:rsidP="001315F7">
      <w:pPr>
        <w:spacing w:after="160" w:line="259" w:lineRule="auto"/>
        <w:ind w:left="360" w:hanging="360"/>
      </w:pPr>
      <w:r w:rsidRPr="0061562A">
        <w:rPr>
          <w:b/>
        </w:rPr>
        <w:t>Thurrock Local Safeguarding Children Partnership (TLSCP)</w:t>
      </w:r>
    </w:p>
    <w:p w14:paraId="1FC03E1A" w14:textId="2F6DF929" w:rsidR="00AB42A7" w:rsidRPr="0036484C" w:rsidRDefault="00AA177A" w:rsidP="001315F7">
      <w:pPr>
        <w:pStyle w:val="ListParagraph"/>
        <w:numPr>
          <w:ilvl w:val="0"/>
          <w:numId w:val="22"/>
        </w:numPr>
        <w:rPr>
          <w:color w:val="000000" w:themeColor="text1"/>
          <w:szCs w:val="24"/>
        </w:rPr>
      </w:pPr>
      <w:hyperlink r:id="rId36" w:history="1">
        <w:r w:rsidR="00AB42A7" w:rsidRPr="0036484C">
          <w:rPr>
            <w:rStyle w:val="Hyperlink"/>
            <w:color w:val="000000" w:themeColor="text1"/>
            <w:szCs w:val="24"/>
          </w:rPr>
          <w:t>https://www.thurrocklscp.org.uk/assets/1/lscp_annual_report_2021-22.pdf</w:t>
        </w:r>
      </w:hyperlink>
      <w:r w:rsidR="00AB42A7" w:rsidRPr="0036484C">
        <w:rPr>
          <w:color w:val="000000" w:themeColor="text1"/>
          <w:szCs w:val="24"/>
        </w:rPr>
        <w:t xml:space="preserve"> </w:t>
      </w:r>
      <w:r w:rsidR="00AB42A7" w:rsidRPr="0036484C">
        <w:rPr>
          <w:color w:val="000000" w:themeColor="text1"/>
          <w:szCs w:val="24"/>
        </w:rPr>
        <w:br/>
      </w:r>
    </w:p>
    <w:p w14:paraId="2D1B1F5F" w14:textId="77777777" w:rsidR="00AB42A7" w:rsidRPr="0036484C" w:rsidRDefault="00AA177A" w:rsidP="001315F7">
      <w:pPr>
        <w:pStyle w:val="ListParagraph"/>
        <w:numPr>
          <w:ilvl w:val="0"/>
          <w:numId w:val="22"/>
        </w:numPr>
        <w:rPr>
          <w:color w:val="000000" w:themeColor="text1"/>
          <w:szCs w:val="24"/>
        </w:rPr>
      </w:pPr>
      <w:hyperlink r:id="rId37" w:history="1">
        <w:r w:rsidR="00AB42A7" w:rsidRPr="0036484C">
          <w:rPr>
            <w:rStyle w:val="Hyperlink"/>
            <w:color w:val="000000" w:themeColor="text1"/>
            <w:szCs w:val="24"/>
          </w:rPr>
          <w:t>TLSCP Multi-Agency Safeguarding Arrangements Jan 2023 (hyperlink)</w:t>
        </w:r>
      </w:hyperlink>
    </w:p>
    <w:p w14:paraId="048F54A2" w14:textId="2EBEBC7F" w:rsidR="00AB42A7" w:rsidRDefault="00AB42A7" w:rsidP="001315F7">
      <w:pPr>
        <w:spacing w:after="160" w:line="259" w:lineRule="auto"/>
        <w:ind w:left="360" w:hanging="360"/>
      </w:pPr>
      <w:r w:rsidRPr="0061562A">
        <w:rPr>
          <w:b/>
        </w:rPr>
        <w:t>Southend Safeguarding Partnership (SSP)</w:t>
      </w:r>
    </w:p>
    <w:p w14:paraId="09AE8B85" w14:textId="77777777" w:rsidR="00AB42A7" w:rsidRPr="00E54DB9" w:rsidRDefault="00AA177A" w:rsidP="001315F7">
      <w:pPr>
        <w:pStyle w:val="ListParagraph"/>
        <w:numPr>
          <w:ilvl w:val="0"/>
          <w:numId w:val="23"/>
        </w:numPr>
        <w:rPr>
          <w:color w:val="000000" w:themeColor="text1"/>
          <w:szCs w:val="24"/>
        </w:rPr>
      </w:pPr>
      <w:hyperlink r:id="rId38" w:history="1">
        <w:r w:rsidR="00AB42A7" w:rsidRPr="00E54DB9">
          <w:rPr>
            <w:rStyle w:val="Hyperlink"/>
            <w:color w:val="000000" w:themeColor="text1"/>
            <w:szCs w:val="24"/>
          </w:rPr>
          <w:t>SSP Annual Report 2022/23 (hyperlink)</w:t>
        </w:r>
      </w:hyperlink>
      <w:r w:rsidR="00AB42A7" w:rsidRPr="00E54DB9">
        <w:rPr>
          <w:color w:val="000000" w:themeColor="text1"/>
          <w:szCs w:val="24"/>
        </w:rPr>
        <w:br/>
      </w:r>
    </w:p>
    <w:p w14:paraId="082B176E" w14:textId="77777777" w:rsidR="00AB42A7" w:rsidRPr="00E54DB9" w:rsidRDefault="00AA177A" w:rsidP="001315F7">
      <w:pPr>
        <w:pStyle w:val="ListParagraph"/>
        <w:numPr>
          <w:ilvl w:val="0"/>
          <w:numId w:val="23"/>
        </w:numPr>
        <w:rPr>
          <w:color w:val="000000" w:themeColor="text1"/>
          <w:szCs w:val="24"/>
        </w:rPr>
      </w:pPr>
      <w:hyperlink r:id="rId39" w:history="1">
        <w:r w:rsidR="00AB42A7" w:rsidRPr="00E54DB9">
          <w:rPr>
            <w:rStyle w:val="Hyperlink"/>
            <w:color w:val="000000" w:themeColor="text1"/>
            <w:szCs w:val="24"/>
          </w:rPr>
          <w:t>SSP Safeguarding Partnership Arrangements (hyperlink)</w:t>
        </w:r>
      </w:hyperlink>
    </w:p>
    <w:p w14:paraId="782E8D95" w14:textId="77777777" w:rsidR="00AB42A7" w:rsidRDefault="00AB42A7" w:rsidP="00AB42A7">
      <w:pPr>
        <w:pStyle w:val="BodyText"/>
      </w:pPr>
      <w:r>
        <w:t>The ICB employs the expertise of designated clinical experts, who are strategic system and place leads for safeguarding with the team having an ‘all age safeguarding approach’.</w:t>
      </w:r>
    </w:p>
    <w:p w14:paraId="2CFA76EE" w14:textId="0D644594" w:rsidR="00AB42A7" w:rsidRDefault="00AB42A7" w:rsidP="00AB42A7">
      <w:pPr>
        <w:pStyle w:val="BodyText"/>
      </w:pPr>
      <w:r>
        <w:t xml:space="preserve">The </w:t>
      </w:r>
      <w:r w:rsidR="067C55DF">
        <w:t>s</w:t>
      </w:r>
      <w:r>
        <w:t xml:space="preserve">afeguarding </w:t>
      </w:r>
      <w:r w:rsidR="626B550E">
        <w:t>t</w:t>
      </w:r>
      <w:r>
        <w:t>eam collaborate</w:t>
      </w:r>
      <w:r w:rsidR="00515D49">
        <w:t>s</w:t>
      </w:r>
      <w:r>
        <w:t xml:space="preserve"> across the ICB to ensure that there are effective governance and quality assurance arrangements in place. This includes supporting GPs and PCNs for their roles in safeguarding adults at risk, child protection and meeting the needs of children in care.</w:t>
      </w:r>
    </w:p>
    <w:p w14:paraId="1FB14E39" w14:textId="338888D7" w:rsidR="00AB42A7" w:rsidRDefault="00AB42A7" w:rsidP="00AB42A7">
      <w:pPr>
        <w:pStyle w:val="BodyText"/>
      </w:pPr>
      <w:r>
        <w:t xml:space="preserve">A Safeguarding Assurance Framework has been developed, which will be reflected in the </w:t>
      </w:r>
      <w:r w:rsidR="044BB7E8">
        <w:t>q</w:t>
      </w:r>
      <w:r>
        <w:t xml:space="preserve">uality </w:t>
      </w:r>
      <w:r w:rsidR="45FE1E01">
        <w:t>s</w:t>
      </w:r>
      <w:r>
        <w:t>trategy in 2024</w:t>
      </w:r>
      <w:r w:rsidR="004E477F">
        <w:t>.</w:t>
      </w:r>
      <w:r>
        <w:t xml:space="preserve">  It has brought together a </w:t>
      </w:r>
      <w:r w:rsidR="433587C6">
        <w:t>h</w:t>
      </w:r>
      <w:r>
        <w:t xml:space="preserve">ealth </w:t>
      </w:r>
      <w:r w:rsidR="44B381D3">
        <w:t>sa</w:t>
      </w:r>
      <w:r>
        <w:t>feguarding strategic system group, which has co-produced a document set to provide health system safeguarding assurance to the local, regional, and national requests/requirements and priorities (information sharing; female genital mutilation; Prevent; partnership working; modern slavery and human trafficking; domestic abuse; mental capacity and deprivation of liberty safeguards). This document primarily aims to:</w:t>
      </w:r>
    </w:p>
    <w:p w14:paraId="7012984D" w14:textId="1E085B5B" w:rsidR="00AB42A7" w:rsidRPr="001315F7" w:rsidRDefault="00AB42A7" w:rsidP="001315F7">
      <w:pPr>
        <w:pStyle w:val="BodyText"/>
        <w:numPr>
          <w:ilvl w:val="0"/>
          <w:numId w:val="39"/>
        </w:numPr>
        <w:rPr>
          <w:szCs w:val="24"/>
        </w:rPr>
      </w:pPr>
      <w:r w:rsidRPr="001315F7">
        <w:rPr>
          <w:szCs w:val="24"/>
        </w:rPr>
        <w:t xml:space="preserve">Maintain the SAAF statutory reporting process to </w:t>
      </w:r>
      <w:r w:rsidR="1048416C" w:rsidRPr="001315F7">
        <w:rPr>
          <w:szCs w:val="24"/>
        </w:rPr>
        <w:t>l</w:t>
      </w:r>
      <w:r w:rsidRPr="001315F7">
        <w:rPr>
          <w:szCs w:val="24"/>
        </w:rPr>
        <w:t xml:space="preserve">ocal, </w:t>
      </w:r>
      <w:r w:rsidR="0DB06140" w:rsidRPr="001315F7">
        <w:rPr>
          <w:szCs w:val="24"/>
        </w:rPr>
        <w:t>r</w:t>
      </w:r>
      <w:r w:rsidRPr="001315F7">
        <w:rPr>
          <w:szCs w:val="24"/>
        </w:rPr>
        <w:t>egional</w:t>
      </w:r>
      <w:r w:rsidR="006F0950" w:rsidRPr="001315F7">
        <w:rPr>
          <w:szCs w:val="24"/>
        </w:rPr>
        <w:t>,</w:t>
      </w:r>
      <w:r w:rsidRPr="001315F7">
        <w:rPr>
          <w:szCs w:val="24"/>
        </w:rPr>
        <w:t xml:space="preserve"> and </w:t>
      </w:r>
      <w:r w:rsidR="7AB9AC34" w:rsidRPr="001315F7">
        <w:rPr>
          <w:szCs w:val="24"/>
        </w:rPr>
        <w:t>n</w:t>
      </w:r>
      <w:r w:rsidRPr="001315F7">
        <w:rPr>
          <w:szCs w:val="24"/>
        </w:rPr>
        <w:t>ational requests.</w:t>
      </w:r>
    </w:p>
    <w:p w14:paraId="1469B9A3" w14:textId="5CCB9020" w:rsidR="00AB42A7" w:rsidRPr="001315F7" w:rsidRDefault="00AB42A7" w:rsidP="001315F7">
      <w:pPr>
        <w:pStyle w:val="BodyText"/>
        <w:numPr>
          <w:ilvl w:val="0"/>
          <w:numId w:val="39"/>
        </w:numPr>
        <w:rPr>
          <w:szCs w:val="24"/>
        </w:rPr>
      </w:pPr>
      <w:r w:rsidRPr="001315F7">
        <w:rPr>
          <w:szCs w:val="24"/>
        </w:rPr>
        <w:lastRenderedPageBreak/>
        <w:t>Ensuring the SAAF programmes are explicitly contained with</w:t>
      </w:r>
      <w:r w:rsidR="003D65F7" w:rsidRPr="001315F7">
        <w:rPr>
          <w:szCs w:val="24"/>
        </w:rPr>
        <w:t>in</w:t>
      </w:r>
      <w:r w:rsidRPr="001315F7">
        <w:rPr>
          <w:szCs w:val="24"/>
        </w:rPr>
        <w:t xml:space="preserve"> the </w:t>
      </w:r>
      <w:r w:rsidR="00551B1F" w:rsidRPr="001315F7">
        <w:rPr>
          <w:szCs w:val="24"/>
        </w:rPr>
        <w:t xml:space="preserve">ICS’s </w:t>
      </w:r>
      <w:r w:rsidRPr="001315F7">
        <w:rPr>
          <w:szCs w:val="24"/>
        </w:rPr>
        <w:t>Joint Forward Plan.</w:t>
      </w:r>
    </w:p>
    <w:p w14:paraId="370358D7" w14:textId="77777777" w:rsidR="00AB42A7" w:rsidRPr="001315F7" w:rsidRDefault="00AB42A7" w:rsidP="001315F7">
      <w:pPr>
        <w:pStyle w:val="BodyText"/>
        <w:numPr>
          <w:ilvl w:val="0"/>
          <w:numId w:val="39"/>
        </w:numPr>
        <w:rPr>
          <w:szCs w:val="24"/>
        </w:rPr>
      </w:pPr>
      <w:r w:rsidRPr="001315F7">
        <w:rPr>
          <w:szCs w:val="24"/>
        </w:rPr>
        <w:t>Listening to the voice of children and young people, especially children in care, care leavers and young carers.</w:t>
      </w:r>
    </w:p>
    <w:p w14:paraId="1673F38B" w14:textId="77777777" w:rsidR="00AB42A7" w:rsidRPr="001315F7" w:rsidRDefault="00AB42A7" w:rsidP="001315F7">
      <w:pPr>
        <w:pStyle w:val="BodyText"/>
        <w:numPr>
          <w:ilvl w:val="0"/>
          <w:numId w:val="39"/>
        </w:numPr>
        <w:rPr>
          <w:szCs w:val="24"/>
        </w:rPr>
      </w:pPr>
      <w:r w:rsidRPr="001315F7">
        <w:rPr>
          <w:szCs w:val="24"/>
        </w:rPr>
        <w:t>Supporting workforce development strategies in the changing NHS landscape.</w:t>
      </w:r>
    </w:p>
    <w:p w14:paraId="7952E140" w14:textId="08651623" w:rsidR="00AB42A7" w:rsidRPr="001315F7" w:rsidRDefault="00AB42A7" w:rsidP="001315F7">
      <w:pPr>
        <w:pStyle w:val="BodyText"/>
        <w:numPr>
          <w:ilvl w:val="0"/>
          <w:numId w:val="39"/>
        </w:numPr>
        <w:rPr>
          <w:szCs w:val="24"/>
        </w:rPr>
      </w:pPr>
      <w:r w:rsidRPr="001315F7">
        <w:rPr>
          <w:szCs w:val="24"/>
        </w:rPr>
        <w:t xml:space="preserve">Working with </w:t>
      </w:r>
      <w:r w:rsidR="5F312A69" w:rsidRPr="001315F7">
        <w:rPr>
          <w:szCs w:val="24"/>
        </w:rPr>
        <w:t>p</w:t>
      </w:r>
      <w:r w:rsidRPr="001315F7">
        <w:rPr>
          <w:szCs w:val="24"/>
        </w:rPr>
        <w:t xml:space="preserve">artners on locally identified matters e.g., domestic abuse, non-accidental injuries. </w:t>
      </w:r>
    </w:p>
    <w:p w14:paraId="345A954B" w14:textId="77777777" w:rsidR="00AB42A7" w:rsidRPr="001315F7" w:rsidRDefault="00AB42A7" w:rsidP="001315F7">
      <w:pPr>
        <w:pStyle w:val="BodyText"/>
        <w:numPr>
          <w:ilvl w:val="0"/>
          <w:numId w:val="39"/>
        </w:numPr>
        <w:rPr>
          <w:szCs w:val="24"/>
        </w:rPr>
      </w:pPr>
      <w:r w:rsidRPr="001315F7">
        <w:rPr>
          <w:szCs w:val="24"/>
        </w:rPr>
        <w:t>Developing digital solutions to improve the information sharing for children coming into care.</w:t>
      </w:r>
    </w:p>
    <w:p w14:paraId="0A583D39" w14:textId="386FCEBA" w:rsidR="0090254C" w:rsidRPr="001315F7" w:rsidRDefault="00AB42A7" w:rsidP="001315F7">
      <w:pPr>
        <w:pStyle w:val="BodyText"/>
        <w:numPr>
          <w:ilvl w:val="0"/>
          <w:numId w:val="39"/>
        </w:numPr>
        <w:rPr>
          <w:szCs w:val="24"/>
        </w:rPr>
      </w:pPr>
      <w:r w:rsidRPr="001315F7">
        <w:rPr>
          <w:szCs w:val="24"/>
        </w:rPr>
        <w:t>Support the implementation of learning from local and national case reviews and serious incidents across the health economy.</w:t>
      </w:r>
    </w:p>
    <w:p w14:paraId="508804F4" w14:textId="620E3001" w:rsidR="001C0486" w:rsidRPr="00C65D55" w:rsidRDefault="001C0486" w:rsidP="00252B50">
      <w:pPr>
        <w:spacing w:before="0" w:after="200" w:line="276" w:lineRule="auto"/>
        <w:rPr>
          <w:rStyle w:val="Heading2Char"/>
          <w:b w:val="0"/>
          <w:bCs w:val="0"/>
          <w:highlight w:val="yellow"/>
        </w:rPr>
      </w:pPr>
      <w:bookmarkStart w:id="46" w:name="_Toc127974461"/>
      <w:bookmarkStart w:id="47" w:name="_Toc164814823"/>
      <w:bookmarkStart w:id="48" w:name="_Toc164814884"/>
      <w:r w:rsidRPr="00C65D55">
        <w:rPr>
          <w:rStyle w:val="Heading2Char"/>
        </w:rPr>
        <w:t xml:space="preserve">Reducing </w:t>
      </w:r>
      <w:r w:rsidR="00F22A85">
        <w:rPr>
          <w:rStyle w:val="Heading2Char"/>
        </w:rPr>
        <w:t>h</w:t>
      </w:r>
      <w:r w:rsidR="00F22A85" w:rsidRPr="00C65D55">
        <w:rPr>
          <w:rStyle w:val="Heading2Char"/>
        </w:rPr>
        <w:t xml:space="preserve">ealth </w:t>
      </w:r>
      <w:r w:rsidR="00F22A85">
        <w:rPr>
          <w:rStyle w:val="Heading2Char"/>
        </w:rPr>
        <w:t>i</w:t>
      </w:r>
      <w:r w:rsidR="00F22A85" w:rsidRPr="00C65D55">
        <w:rPr>
          <w:rStyle w:val="Heading2Char"/>
        </w:rPr>
        <w:t>nequalit</w:t>
      </w:r>
      <w:bookmarkEnd w:id="46"/>
      <w:r w:rsidR="00F22A85">
        <w:rPr>
          <w:rStyle w:val="Heading2Char"/>
        </w:rPr>
        <w:t>ies</w:t>
      </w:r>
      <w:bookmarkEnd w:id="47"/>
      <w:bookmarkEnd w:id="48"/>
    </w:p>
    <w:p w14:paraId="76D6EE47" w14:textId="3BAE00D8" w:rsidR="00237CAF" w:rsidRPr="00237CAF" w:rsidRDefault="00237CAF" w:rsidP="00237CAF">
      <w:pPr>
        <w:pStyle w:val="BodyText"/>
        <w:overflowPunct w:val="0"/>
        <w:ind w:right="168"/>
        <w:rPr>
          <w:rFonts w:cs="Arial"/>
          <w:szCs w:val="24"/>
        </w:rPr>
      </w:pPr>
      <w:r w:rsidRPr="00237CAF">
        <w:rPr>
          <w:rFonts w:cs="Arial"/>
          <w:szCs w:val="24"/>
        </w:rPr>
        <w:t xml:space="preserve">Reducing health inequalities is central to our delivery within the MSE </w:t>
      </w:r>
      <w:r>
        <w:rPr>
          <w:rFonts w:cs="Arial"/>
          <w:szCs w:val="24"/>
        </w:rPr>
        <w:t>ICS</w:t>
      </w:r>
      <w:r w:rsidRPr="00237CAF">
        <w:rPr>
          <w:rFonts w:cs="Arial"/>
          <w:szCs w:val="24"/>
        </w:rPr>
        <w:t>.  The ICB objective is to ensure we deliver equitable access, excellent experience</w:t>
      </w:r>
      <w:r>
        <w:rPr>
          <w:rFonts w:cs="Arial"/>
          <w:szCs w:val="24"/>
        </w:rPr>
        <w:t>,</w:t>
      </w:r>
      <w:r w:rsidRPr="00237CAF">
        <w:rPr>
          <w:rFonts w:cs="Arial"/>
          <w:szCs w:val="24"/>
        </w:rPr>
        <w:t xml:space="preserve"> and optimal outcomes for all.  The gap in life expectancy across MSE is as much as 10 years between some of the wealthiest and most deprived neighbourhoods.  Within MSE the top three contributors to premature mortality attributable to socioeconomic inequalities are cancer, cardiovascular disease</w:t>
      </w:r>
      <w:r>
        <w:rPr>
          <w:rFonts w:cs="Arial"/>
          <w:szCs w:val="24"/>
        </w:rPr>
        <w:t>,</w:t>
      </w:r>
      <w:r w:rsidRPr="00237CAF">
        <w:rPr>
          <w:rFonts w:cs="Arial"/>
          <w:szCs w:val="24"/>
        </w:rPr>
        <w:t xml:space="preserve"> and respiratory disease.</w:t>
      </w:r>
    </w:p>
    <w:p w14:paraId="2E7FFF8C" w14:textId="5C7E28E6" w:rsidR="00237CAF" w:rsidRPr="00237CAF" w:rsidRDefault="00237CAF" w:rsidP="00237CAF">
      <w:pPr>
        <w:pStyle w:val="BodyText"/>
        <w:overflowPunct w:val="0"/>
        <w:ind w:right="168"/>
        <w:rPr>
          <w:rFonts w:cs="Arial"/>
          <w:szCs w:val="24"/>
        </w:rPr>
      </w:pPr>
      <w:r w:rsidRPr="00237CAF">
        <w:rPr>
          <w:rFonts w:cs="Arial"/>
          <w:szCs w:val="24"/>
        </w:rPr>
        <w:t>The MSE ICS established a Population Health Improvement Board</w:t>
      </w:r>
      <w:r w:rsidR="00076A3B">
        <w:rPr>
          <w:rFonts w:cs="Arial"/>
          <w:szCs w:val="24"/>
        </w:rPr>
        <w:t xml:space="preserve"> (PHIB) (in November 2022)</w:t>
      </w:r>
      <w:r w:rsidRPr="00237CAF">
        <w:rPr>
          <w:rFonts w:cs="Arial"/>
          <w:szCs w:val="24"/>
        </w:rPr>
        <w:t xml:space="preserve"> with representation from partners across the system to drive an integrated approach to inequalities improvement.  This Board reports to both the MSE </w:t>
      </w:r>
      <w:r w:rsidR="00F35AD6">
        <w:rPr>
          <w:rFonts w:cs="Arial"/>
          <w:szCs w:val="24"/>
        </w:rPr>
        <w:t>ICP</w:t>
      </w:r>
      <w:r w:rsidRPr="00237CAF">
        <w:rPr>
          <w:rFonts w:cs="Arial"/>
          <w:szCs w:val="24"/>
        </w:rPr>
        <w:t xml:space="preserve"> to bring together the work around wider determinants of health and the </w:t>
      </w:r>
      <w:r w:rsidR="0027235C">
        <w:rPr>
          <w:rFonts w:cs="Arial"/>
          <w:szCs w:val="24"/>
        </w:rPr>
        <w:t>ICB</w:t>
      </w:r>
      <w:r w:rsidRPr="00237CAF">
        <w:rPr>
          <w:rFonts w:cs="Arial"/>
          <w:szCs w:val="24"/>
        </w:rPr>
        <w:t xml:space="preserve"> to deliver improvements around specific healthcare priorities.</w:t>
      </w:r>
    </w:p>
    <w:p w14:paraId="7F7B6B1B" w14:textId="53304B62" w:rsidR="00237CAF" w:rsidRPr="00237CAF" w:rsidRDefault="00237CAF" w:rsidP="00237CAF">
      <w:pPr>
        <w:pStyle w:val="BodyText"/>
        <w:overflowPunct w:val="0"/>
        <w:ind w:right="168"/>
        <w:rPr>
          <w:rFonts w:cs="Arial"/>
        </w:rPr>
      </w:pPr>
      <w:r w:rsidRPr="6CF38F3B">
        <w:rPr>
          <w:rFonts w:cs="Arial"/>
        </w:rPr>
        <w:t xml:space="preserve">The </w:t>
      </w:r>
      <w:r w:rsidR="0027235C">
        <w:rPr>
          <w:rFonts w:cs="Arial"/>
        </w:rPr>
        <w:t xml:space="preserve">(PHIB) </w:t>
      </w:r>
      <w:r w:rsidRPr="6CF38F3B">
        <w:rPr>
          <w:rFonts w:cs="Arial"/>
        </w:rPr>
        <w:t xml:space="preserve">ensures that the needs of our population and existing health inequalities are understood, and areas of interventions prioritised with an emphasis on moving towards prevention of ill health.  It does this by considering the Joint Strategic Needs Assessments undertaken by the three local authorities and by adopting a </w:t>
      </w:r>
      <w:r w:rsidR="18A75EB0" w:rsidRPr="06DC96AF">
        <w:rPr>
          <w:rFonts w:cs="Arial"/>
        </w:rPr>
        <w:t>p</w:t>
      </w:r>
      <w:r w:rsidRPr="06DC96AF">
        <w:rPr>
          <w:rFonts w:cs="Arial"/>
        </w:rPr>
        <w:t xml:space="preserve">opulation </w:t>
      </w:r>
      <w:r w:rsidR="6D1EB458" w:rsidRPr="06DC96AF">
        <w:rPr>
          <w:rFonts w:cs="Arial"/>
        </w:rPr>
        <w:t>h</w:t>
      </w:r>
      <w:r w:rsidRPr="06DC96AF">
        <w:rPr>
          <w:rFonts w:cs="Arial"/>
        </w:rPr>
        <w:t xml:space="preserve">ealth </w:t>
      </w:r>
      <w:r w:rsidR="266E5363" w:rsidRPr="06DC96AF">
        <w:rPr>
          <w:rFonts w:cs="Arial"/>
        </w:rPr>
        <w:t>m</w:t>
      </w:r>
      <w:r w:rsidRPr="6CF38F3B">
        <w:rPr>
          <w:rFonts w:cs="Arial"/>
        </w:rPr>
        <w:t>anagement (PHM) approach.</w:t>
      </w:r>
    </w:p>
    <w:p w14:paraId="3CC8F56D" w14:textId="1FF606FF" w:rsidR="00237CAF" w:rsidRPr="00237CAF" w:rsidRDefault="00237CAF" w:rsidP="00237CAF">
      <w:pPr>
        <w:pStyle w:val="BodyText"/>
        <w:overflowPunct w:val="0"/>
        <w:ind w:right="168"/>
        <w:rPr>
          <w:rFonts w:cs="Arial"/>
        </w:rPr>
      </w:pPr>
      <w:r w:rsidRPr="06DC96AF">
        <w:rPr>
          <w:rFonts w:cs="Arial"/>
        </w:rPr>
        <w:t xml:space="preserve">During 2023/24 the ICB had developed an integrated data set that pulls together data across the health and care system.  This drives a population segmentation tool and provides insights where health inequalities exist at an </w:t>
      </w:r>
      <w:r w:rsidR="2B4A1C24" w:rsidRPr="06DC96AF">
        <w:rPr>
          <w:rFonts w:cs="Arial"/>
        </w:rPr>
        <w:t>a</w:t>
      </w:r>
      <w:r w:rsidRPr="06DC96AF">
        <w:rPr>
          <w:rFonts w:cs="Arial"/>
        </w:rPr>
        <w:t xml:space="preserve">lliance and PCN level. Work has commenced on a health inequalities dashboard to support priority setting and tracking impact of current interventions.  </w:t>
      </w:r>
    </w:p>
    <w:p w14:paraId="047C31F0" w14:textId="7B57A4A6" w:rsidR="00237CAF" w:rsidRPr="00237CAF" w:rsidRDefault="00237CAF" w:rsidP="00237CAF">
      <w:pPr>
        <w:pStyle w:val="BodyText"/>
        <w:overflowPunct w:val="0"/>
        <w:ind w:right="168"/>
        <w:rPr>
          <w:rFonts w:cs="Arial"/>
        </w:rPr>
      </w:pPr>
      <w:r w:rsidRPr="06DC96AF">
        <w:rPr>
          <w:rFonts w:cs="Arial"/>
        </w:rPr>
        <w:t xml:space="preserve">The ICB </w:t>
      </w:r>
      <w:r w:rsidR="00CA33C6">
        <w:rPr>
          <w:rFonts w:cs="Arial"/>
        </w:rPr>
        <w:t>Health Inequalities Information S</w:t>
      </w:r>
      <w:r w:rsidRPr="06DC96AF">
        <w:rPr>
          <w:rFonts w:cs="Arial"/>
        </w:rPr>
        <w:t>tatement</w:t>
      </w:r>
      <w:r w:rsidR="00CA33C6">
        <w:rPr>
          <w:rFonts w:cs="Arial"/>
        </w:rPr>
        <w:t xml:space="preserve">, published alongside this annual report, </w:t>
      </w:r>
      <w:r w:rsidRPr="06DC96AF">
        <w:rPr>
          <w:rFonts w:cs="Arial"/>
        </w:rPr>
        <w:t xml:space="preserve">provides key outputs from the PHM team, insight to where health inequalities exist, and an overview of actions being taken at a system and </w:t>
      </w:r>
      <w:r w:rsidR="7A3CAA70" w:rsidRPr="5A461D68">
        <w:rPr>
          <w:rFonts w:cs="Arial"/>
        </w:rPr>
        <w:t>a</w:t>
      </w:r>
      <w:r w:rsidRPr="06DC96AF">
        <w:rPr>
          <w:rFonts w:cs="Arial"/>
        </w:rPr>
        <w:t>lliance level to address these gaps.</w:t>
      </w:r>
    </w:p>
    <w:p w14:paraId="2B9487C6" w14:textId="4E6225A2" w:rsidR="00237CAF" w:rsidRPr="00237CAF" w:rsidRDefault="00237CAF" w:rsidP="00237CAF">
      <w:pPr>
        <w:pStyle w:val="BodyText"/>
        <w:overflowPunct w:val="0"/>
        <w:ind w:right="168"/>
        <w:rPr>
          <w:rFonts w:cs="Arial"/>
        </w:rPr>
      </w:pPr>
      <w:r w:rsidRPr="5A461D68">
        <w:rPr>
          <w:rFonts w:cs="Arial"/>
        </w:rPr>
        <w:t>In 2023/</w:t>
      </w:r>
      <w:r w:rsidR="00EC3B3F" w:rsidRPr="5A461D68">
        <w:rPr>
          <w:rFonts w:cs="Arial"/>
        </w:rPr>
        <w:t>2</w:t>
      </w:r>
      <w:r w:rsidR="00EC3B3F">
        <w:rPr>
          <w:rFonts w:cs="Arial"/>
        </w:rPr>
        <w:t>4</w:t>
      </w:r>
      <w:r w:rsidR="00EC3B3F" w:rsidRPr="5A461D68">
        <w:rPr>
          <w:rFonts w:cs="Arial"/>
        </w:rPr>
        <w:t xml:space="preserve"> </w:t>
      </w:r>
      <w:r w:rsidRPr="5A461D68">
        <w:rPr>
          <w:rFonts w:cs="Arial"/>
        </w:rPr>
        <w:t xml:space="preserve">the MSE health inequalities programme focused on delivering a culture of addressing health inequalities across all business areas. The ICB continues to ensure that equitable access is achieved using </w:t>
      </w:r>
      <w:r w:rsidR="32D10FAF" w:rsidRPr="5A461D68">
        <w:rPr>
          <w:rFonts w:cs="Arial"/>
        </w:rPr>
        <w:t>e</w:t>
      </w:r>
      <w:r w:rsidRPr="5A461D68">
        <w:rPr>
          <w:rFonts w:cs="Arial"/>
        </w:rPr>
        <w:t xml:space="preserve">quality and </w:t>
      </w:r>
      <w:r w:rsidR="51B2130D" w:rsidRPr="5A461D68">
        <w:rPr>
          <w:rFonts w:cs="Arial"/>
        </w:rPr>
        <w:t>h</w:t>
      </w:r>
      <w:r w:rsidRPr="5A461D68">
        <w:rPr>
          <w:rFonts w:cs="Arial"/>
        </w:rPr>
        <w:t xml:space="preserve">ealth </w:t>
      </w:r>
      <w:r w:rsidR="44AFFD75" w:rsidRPr="5A461D68">
        <w:rPr>
          <w:rFonts w:cs="Arial"/>
        </w:rPr>
        <w:t>i</w:t>
      </w:r>
      <w:r w:rsidRPr="5A461D68">
        <w:rPr>
          <w:rFonts w:cs="Arial"/>
        </w:rPr>
        <w:t xml:space="preserve">nequalities </w:t>
      </w:r>
      <w:r w:rsidR="35D1417D" w:rsidRPr="5A461D68">
        <w:rPr>
          <w:rFonts w:cs="Arial"/>
        </w:rPr>
        <w:t>i</w:t>
      </w:r>
      <w:r w:rsidRPr="5A461D68">
        <w:rPr>
          <w:rFonts w:cs="Arial"/>
        </w:rPr>
        <w:t xml:space="preserve">mpact </w:t>
      </w:r>
      <w:r w:rsidR="28CF2BE5" w:rsidRPr="5A461D68">
        <w:rPr>
          <w:rFonts w:cs="Arial"/>
        </w:rPr>
        <w:lastRenderedPageBreak/>
        <w:t>a</w:t>
      </w:r>
      <w:r w:rsidRPr="5A461D68">
        <w:rPr>
          <w:rFonts w:cs="Arial"/>
        </w:rPr>
        <w:t>ssessments to identify impacts of service changes and set out appropriate mitigations to ensure health inequalities are addressed.</w:t>
      </w:r>
    </w:p>
    <w:p w14:paraId="7C298A9F" w14:textId="7690F117" w:rsidR="00237CAF" w:rsidRPr="00237CAF" w:rsidRDefault="00237CAF" w:rsidP="00237CAF">
      <w:pPr>
        <w:pStyle w:val="BodyText"/>
        <w:overflowPunct w:val="0"/>
        <w:ind w:right="168"/>
        <w:rPr>
          <w:rFonts w:cs="Arial"/>
        </w:rPr>
      </w:pPr>
      <w:r w:rsidRPr="1AFFCBCD">
        <w:rPr>
          <w:rFonts w:cs="Arial"/>
        </w:rPr>
        <w:t>The ICB has adopted the NHS Core20</w:t>
      </w:r>
      <w:r w:rsidR="002F6177" w:rsidRPr="1AFFCBCD">
        <w:rPr>
          <w:rFonts w:cs="Arial"/>
        </w:rPr>
        <w:t>PLUS</w:t>
      </w:r>
      <w:r w:rsidRPr="1AFFCBCD">
        <w:rPr>
          <w:rFonts w:cs="Arial"/>
        </w:rPr>
        <w:t xml:space="preserve">5 frameworks for both </w:t>
      </w:r>
      <w:r w:rsidR="68114B88" w:rsidRPr="1AFFCBCD">
        <w:rPr>
          <w:rFonts w:cs="Arial"/>
        </w:rPr>
        <w:t>a</w:t>
      </w:r>
      <w:r w:rsidRPr="1AFFCBCD">
        <w:rPr>
          <w:rFonts w:cs="Arial"/>
        </w:rPr>
        <w:t xml:space="preserve">dults and </w:t>
      </w:r>
      <w:r w:rsidR="639AA622" w:rsidRPr="1AFFCBCD">
        <w:rPr>
          <w:rFonts w:cs="Arial"/>
        </w:rPr>
        <w:t>c</w:t>
      </w:r>
      <w:r w:rsidRPr="1AFFCBCD">
        <w:rPr>
          <w:rFonts w:cs="Arial"/>
        </w:rPr>
        <w:t xml:space="preserve">hildren and </w:t>
      </w:r>
      <w:r w:rsidR="60BB3C93" w:rsidRPr="1AFFCBCD">
        <w:rPr>
          <w:rFonts w:cs="Arial"/>
        </w:rPr>
        <w:t>y</w:t>
      </w:r>
      <w:r w:rsidRPr="1AFFCBCD">
        <w:rPr>
          <w:rFonts w:cs="Arial"/>
        </w:rPr>
        <w:t xml:space="preserve">oung </w:t>
      </w:r>
      <w:r w:rsidR="3FE66FE5" w:rsidRPr="1AFFCBCD">
        <w:rPr>
          <w:rFonts w:cs="Arial"/>
        </w:rPr>
        <w:t>p</w:t>
      </w:r>
      <w:r w:rsidRPr="1AFFCBCD">
        <w:rPr>
          <w:rFonts w:cs="Arial"/>
        </w:rPr>
        <w:t xml:space="preserve">eople to prioritise activities </w:t>
      </w:r>
      <w:r w:rsidR="002F6177" w:rsidRPr="1AFFCBCD">
        <w:rPr>
          <w:rFonts w:cs="Arial"/>
        </w:rPr>
        <w:t xml:space="preserve">both </w:t>
      </w:r>
      <w:r w:rsidRPr="1AFFCBCD">
        <w:rPr>
          <w:rFonts w:cs="Arial"/>
        </w:rPr>
        <w:t xml:space="preserve">across the system and through the local work delivered by </w:t>
      </w:r>
      <w:r w:rsidR="563D127E" w:rsidRPr="1AFFCBCD">
        <w:rPr>
          <w:rFonts w:cs="Arial"/>
        </w:rPr>
        <w:t>a</w:t>
      </w:r>
      <w:r w:rsidRPr="1AFFCBCD">
        <w:rPr>
          <w:rFonts w:cs="Arial"/>
        </w:rPr>
        <w:t>lliance partnerships.</w:t>
      </w:r>
    </w:p>
    <w:p w14:paraId="60B7F1D7" w14:textId="77777777" w:rsidR="00237CAF" w:rsidRPr="00237CAF" w:rsidRDefault="00237CAF" w:rsidP="00237CAF">
      <w:pPr>
        <w:pStyle w:val="BodyText"/>
        <w:overflowPunct w:val="0"/>
        <w:ind w:right="168"/>
        <w:rPr>
          <w:rFonts w:cs="Arial"/>
          <w:szCs w:val="24"/>
        </w:rPr>
      </w:pPr>
      <w:r w:rsidRPr="00237CAF">
        <w:rPr>
          <w:rFonts w:cs="Arial"/>
          <w:szCs w:val="24"/>
        </w:rPr>
        <w:t>Below are some examples of achievements from the health inequalities work:</w:t>
      </w:r>
    </w:p>
    <w:p w14:paraId="0BC5BD85" w14:textId="2F1C7AE1" w:rsidR="00237CAF" w:rsidRPr="00237CAF" w:rsidRDefault="00237CAF" w:rsidP="00A24DCF">
      <w:pPr>
        <w:pStyle w:val="BodyText"/>
        <w:numPr>
          <w:ilvl w:val="0"/>
          <w:numId w:val="26"/>
        </w:numPr>
        <w:overflowPunct w:val="0"/>
        <w:ind w:right="168"/>
        <w:rPr>
          <w:rFonts w:cs="Arial"/>
        </w:rPr>
      </w:pPr>
      <w:r w:rsidRPr="1AFFCBCD">
        <w:rPr>
          <w:rFonts w:cs="Arial"/>
        </w:rPr>
        <w:t xml:space="preserve">Invested in the development of a digital </w:t>
      </w:r>
      <w:r w:rsidR="0AB97EAA" w:rsidRPr="1AFFCBCD">
        <w:rPr>
          <w:rFonts w:cs="Arial"/>
        </w:rPr>
        <w:t>e</w:t>
      </w:r>
      <w:r w:rsidRPr="1AFFCBCD">
        <w:rPr>
          <w:rFonts w:cs="Arial"/>
        </w:rPr>
        <w:t xml:space="preserve">quality and </w:t>
      </w:r>
      <w:r w:rsidR="56FFD2BF" w:rsidRPr="1AFFCBCD">
        <w:rPr>
          <w:rFonts w:cs="Arial"/>
        </w:rPr>
        <w:t>h</w:t>
      </w:r>
      <w:r w:rsidRPr="1AFFCBCD">
        <w:rPr>
          <w:rFonts w:cs="Arial"/>
        </w:rPr>
        <w:t xml:space="preserve">ealth </w:t>
      </w:r>
      <w:r w:rsidR="1ED1A049" w:rsidRPr="1AFFCBCD">
        <w:rPr>
          <w:rFonts w:cs="Arial"/>
        </w:rPr>
        <w:t>i</w:t>
      </w:r>
      <w:r w:rsidRPr="1AFFCBCD">
        <w:rPr>
          <w:rFonts w:cs="Arial"/>
        </w:rPr>
        <w:t xml:space="preserve">nequalities </w:t>
      </w:r>
      <w:r w:rsidR="09FB1697" w:rsidRPr="7AD4E4FE">
        <w:rPr>
          <w:rFonts w:cs="Arial"/>
        </w:rPr>
        <w:t>i</w:t>
      </w:r>
      <w:r w:rsidRPr="7AD4E4FE">
        <w:rPr>
          <w:rFonts w:cs="Arial"/>
        </w:rPr>
        <w:t xml:space="preserve">mpact </w:t>
      </w:r>
      <w:r w:rsidR="035E87F6" w:rsidRPr="7AD4E4FE">
        <w:rPr>
          <w:rFonts w:cs="Arial"/>
        </w:rPr>
        <w:t>a</w:t>
      </w:r>
      <w:r w:rsidRPr="1AFFCBCD">
        <w:rPr>
          <w:rFonts w:cs="Arial"/>
        </w:rPr>
        <w:t xml:space="preserve">ssessment tool ‘ImpactEQ’ to ensure high quality </w:t>
      </w:r>
      <w:r w:rsidRPr="58D9A869">
        <w:rPr>
          <w:rFonts w:cs="Arial"/>
        </w:rPr>
        <w:t>assessment</w:t>
      </w:r>
      <w:r w:rsidR="542526C0" w:rsidRPr="58D9A869">
        <w:rPr>
          <w:rFonts w:cs="Arial"/>
        </w:rPr>
        <w:t>s</w:t>
      </w:r>
      <w:r w:rsidRPr="1AFFCBCD">
        <w:rPr>
          <w:rFonts w:cs="Arial"/>
        </w:rPr>
        <w:t xml:space="preserve"> are delivered consistently with an emphasis on co-designing of services with residents and engaging with those from vulnerable groups. </w:t>
      </w:r>
    </w:p>
    <w:p w14:paraId="3C0446D2" w14:textId="57CB2169" w:rsidR="00237CAF" w:rsidRPr="00237CAF" w:rsidRDefault="00237CAF" w:rsidP="00A24DCF">
      <w:pPr>
        <w:pStyle w:val="BodyText"/>
        <w:numPr>
          <w:ilvl w:val="0"/>
          <w:numId w:val="26"/>
        </w:numPr>
        <w:overflowPunct w:val="0"/>
        <w:ind w:right="168"/>
        <w:rPr>
          <w:rFonts w:cs="Arial"/>
          <w:szCs w:val="24"/>
        </w:rPr>
      </w:pPr>
      <w:r w:rsidRPr="00237CAF">
        <w:rPr>
          <w:rFonts w:cs="Arial"/>
          <w:szCs w:val="24"/>
        </w:rPr>
        <w:t>Hosted the first joint conference with the Royal College of GPs to showcase the work across MSE and provide insights on impactful interventions</w:t>
      </w:r>
      <w:r w:rsidR="002F6177">
        <w:rPr>
          <w:rFonts w:cs="Arial"/>
          <w:szCs w:val="24"/>
        </w:rPr>
        <w:t>.</w:t>
      </w:r>
    </w:p>
    <w:p w14:paraId="0B1DC647" w14:textId="72A2DBC8" w:rsidR="00237CAF" w:rsidRPr="00237CAF" w:rsidRDefault="00237CAF" w:rsidP="00A24DCF">
      <w:pPr>
        <w:pStyle w:val="BodyText"/>
        <w:numPr>
          <w:ilvl w:val="0"/>
          <w:numId w:val="26"/>
        </w:numPr>
        <w:overflowPunct w:val="0"/>
        <w:ind w:right="168"/>
        <w:rPr>
          <w:rFonts w:cs="Arial"/>
        </w:rPr>
      </w:pPr>
      <w:r w:rsidRPr="58D9A869">
        <w:rPr>
          <w:rFonts w:cs="Arial"/>
        </w:rPr>
        <w:t xml:space="preserve">Established </w:t>
      </w:r>
      <w:r w:rsidR="7DDAD006" w:rsidRPr="58D9A869">
        <w:rPr>
          <w:rFonts w:cs="Arial"/>
        </w:rPr>
        <w:t>w</w:t>
      </w:r>
      <w:r w:rsidRPr="58D9A869">
        <w:rPr>
          <w:rFonts w:cs="Arial"/>
        </w:rPr>
        <w:t>ellbeing cafes across Basildon and Brentwood Alliance in collaboration with community and voluntary sector groups to support residents with the greatest and most complex health and social needs</w:t>
      </w:r>
      <w:r w:rsidR="002F6177" w:rsidRPr="58D9A869">
        <w:rPr>
          <w:rFonts w:cs="Arial"/>
        </w:rPr>
        <w:t>.</w:t>
      </w:r>
      <w:r w:rsidRPr="58D9A869">
        <w:rPr>
          <w:rFonts w:cs="Arial"/>
        </w:rPr>
        <w:t xml:space="preserve"> </w:t>
      </w:r>
    </w:p>
    <w:p w14:paraId="104C390F" w14:textId="6CD683E3" w:rsidR="00237CAF" w:rsidRPr="00237CAF" w:rsidRDefault="00237CAF" w:rsidP="00A24DCF">
      <w:pPr>
        <w:pStyle w:val="BodyText"/>
        <w:numPr>
          <w:ilvl w:val="0"/>
          <w:numId w:val="26"/>
        </w:numPr>
        <w:overflowPunct w:val="0"/>
        <w:ind w:right="168"/>
        <w:rPr>
          <w:rFonts w:cs="Arial"/>
        </w:rPr>
      </w:pPr>
      <w:r w:rsidRPr="0703086C">
        <w:rPr>
          <w:rFonts w:cs="Arial"/>
        </w:rPr>
        <w:t xml:space="preserve">Delivery of </w:t>
      </w:r>
      <w:r w:rsidR="0A87DE9B" w:rsidRPr="0703086C">
        <w:rPr>
          <w:rFonts w:cs="Arial"/>
        </w:rPr>
        <w:t>h</w:t>
      </w:r>
      <w:r w:rsidRPr="0703086C">
        <w:rPr>
          <w:rFonts w:cs="Arial"/>
        </w:rPr>
        <w:t>ealthy lifestyle clinics in Thurrock Alliance with a focus on reducing obesity for a target cohort of over 9,000 patients</w:t>
      </w:r>
      <w:r w:rsidR="002F6177" w:rsidRPr="0703086C">
        <w:rPr>
          <w:rFonts w:cs="Arial"/>
        </w:rPr>
        <w:t>.</w:t>
      </w:r>
    </w:p>
    <w:p w14:paraId="5735AED1" w14:textId="5520213F" w:rsidR="00237CAF" w:rsidRPr="00237CAF" w:rsidRDefault="00237CAF" w:rsidP="00A24DCF">
      <w:pPr>
        <w:pStyle w:val="BodyText"/>
        <w:numPr>
          <w:ilvl w:val="0"/>
          <w:numId w:val="26"/>
        </w:numPr>
        <w:overflowPunct w:val="0"/>
        <w:ind w:right="168"/>
        <w:rPr>
          <w:rFonts w:cs="Arial"/>
        </w:rPr>
      </w:pPr>
      <w:r w:rsidRPr="0703086C">
        <w:rPr>
          <w:rFonts w:cs="Arial"/>
        </w:rPr>
        <w:t xml:space="preserve">Utilisation of </w:t>
      </w:r>
      <w:r w:rsidR="543761F1" w:rsidRPr="0703086C">
        <w:rPr>
          <w:rFonts w:cs="Arial"/>
        </w:rPr>
        <w:t>an</w:t>
      </w:r>
      <w:r w:rsidRPr="0703086C">
        <w:rPr>
          <w:rFonts w:cs="Arial"/>
        </w:rPr>
        <w:t xml:space="preserve"> outreach vehicle to deliver </w:t>
      </w:r>
      <w:r w:rsidR="44FB0913" w:rsidRPr="0703086C">
        <w:rPr>
          <w:rFonts w:cs="Arial"/>
        </w:rPr>
        <w:t>a</w:t>
      </w:r>
      <w:r w:rsidRPr="0703086C">
        <w:rPr>
          <w:rFonts w:cs="Arial"/>
        </w:rPr>
        <w:t xml:space="preserve"> holistic health and wellbeing service with a focus on hypertension case finding, health screening, access to weight management and tobacco cessation services</w:t>
      </w:r>
      <w:r w:rsidR="002F6177" w:rsidRPr="0703086C">
        <w:rPr>
          <w:rFonts w:cs="Arial"/>
        </w:rPr>
        <w:t>.</w:t>
      </w:r>
    </w:p>
    <w:p w14:paraId="418074DF" w14:textId="7C8E7B98" w:rsidR="00237CAF" w:rsidRPr="00237CAF" w:rsidRDefault="00237CAF" w:rsidP="00A24DCF">
      <w:pPr>
        <w:pStyle w:val="BodyText"/>
        <w:numPr>
          <w:ilvl w:val="0"/>
          <w:numId w:val="26"/>
        </w:numPr>
        <w:overflowPunct w:val="0"/>
        <w:ind w:right="168"/>
        <w:rPr>
          <w:rFonts w:cs="Arial"/>
        </w:rPr>
      </w:pPr>
      <w:r w:rsidRPr="0703086C">
        <w:rPr>
          <w:rFonts w:cs="Arial"/>
        </w:rPr>
        <w:t xml:space="preserve">MSE </w:t>
      </w:r>
      <w:r w:rsidR="002F6177" w:rsidRPr="0703086C">
        <w:rPr>
          <w:rFonts w:cs="Arial"/>
        </w:rPr>
        <w:t xml:space="preserve">was </w:t>
      </w:r>
      <w:r w:rsidR="773C228B" w:rsidRPr="0703086C">
        <w:rPr>
          <w:rFonts w:cs="Arial"/>
        </w:rPr>
        <w:t xml:space="preserve">the </w:t>
      </w:r>
      <w:r w:rsidRPr="0703086C">
        <w:rPr>
          <w:rFonts w:cs="Arial"/>
        </w:rPr>
        <w:t xml:space="preserve">first health and care system in </w:t>
      </w:r>
      <w:r w:rsidR="69DB60A0" w:rsidRPr="0703086C">
        <w:rPr>
          <w:rFonts w:cs="Arial"/>
        </w:rPr>
        <w:t xml:space="preserve">the </w:t>
      </w:r>
      <w:r w:rsidR="591BC094" w:rsidRPr="489FD569">
        <w:rPr>
          <w:rFonts w:cs="Arial"/>
        </w:rPr>
        <w:t>e</w:t>
      </w:r>
      <w:r w:rsidRPr="489FD569">
        <w:rPr>
          <w:rFonts w:cs="Arial"/>
        </w:rPr>
        <w:t>ast</w:t>
      </w:r>
      <w:r w:rsidRPr="0703086C">
        <w:rPr>
          <w:rFonts w:cs="Arial"/>
        </w:rPr>
        <w:t xml:space="preserve"> of England to commission Pride in Practice to offer free training, support assessment and accreditation of over 25 practices</w:t>
      </w:r>
      <w:r w:rsidR="002F6177" w:rsidRPr="0703086C">
        <w:rPr>
          <w:rFonts w:cs="Arial"/>
        </w:rPr>
        <w:t>.</w:t>
      </w:r>
    </w:p>
    <w:p w14:paraId="78106CE5" w14:textId="14E82C25" w:rsidR="00237CAF" w:rsidRPr="00237CAF" w:rsidRDefault="00237CAF" w:rsidP="00A24DCF">
      <w:pPr>
        <w:pStyle w:val="BodyText"/>
        <w:numPr>
          <w:ilvl w:val="0"/>
          <w:numId w:val="26"/>
        </w:numPr>
        <w:overflowPunct w:val="0"/>
        <w:ind w:right="168"/>
        <w:rPr>
          <w:rFonts w:cs="Arial"/>
          <w:szCs w:val="24"/>
        </w:rPr>
      </w:pPr>
      <w:r w:rsidRPr="00237CAF">
        <w:rPr>
          <w:rFonts w:cs="Arial"/>
          <w:szCs w:val="24"/>
        </w:rPr>
        <w:t>Improving access to health services for Gypsy, Roma, traveller</w:t>
      </w:r>
      <w:r w:rsidR="002F6177">
        <w:rPr>
          <w:rFonts w:cs="Arial"/>
          <w:szCs w:val="24"/>
        </w:rPr>
        <w:t>,</w:t>
      </w:r>
      <w:r w:rsidRPr="00237CAF">
        <w:rPr>
          <w:rFonts w:cs="Arial"/>
          <w:szCs w:val="24"/>
        </w:rPr>
        <w:t xml:space="preserve"> and showman communities by establishing a monthly programme of visits to key sites to deliver preventative health interventions and encourage registration with a GP practice</w:t>
      </w:r>
      <w:r w:rsidR="002F6177">
        <w:rPr>
          <w:rFonts w:cs="Arial"/>
          <w:szCs w:val="24"/>
        </w:rPr>
        <w:t>.</w:t>
      </w:r>
    </w:p>
    <w:p w14:paraId="292E7DE3" w14:textId="08DC9426" w:rsidR="00237CAF" w:rsidRPr="00237CAF" w:rsidRDefault="00237CAF" w:rsidP="00A24DCF">
      <w:pPr>
        <w:pStyle w:val="BodyText"/>
        <w:numPr>
          <w:ilvl w:val="0"/>
          <w:numId w:val="26"/>
        </w:numPr>
        <w:overflowPunct w:val="0"/>
        <w:ind w:right="168"/>
        <w:rPr>
          <w:rFonts w:cs="Arial"/>
          <w:szCs w:val="24"/>
        </w:rPr>
      </w:pPr>
      <w:r w:rsidRPr="00237CAF">
        <w:rPr>
          <w:rFonts w:cs="Arial"/>
          <w:szCs w:val="24"/>
        </w:rPr>
        <w:t xml:space="preserve">Launch of </w:t>
      </w:r>
      <w:r w:rsidR="002F6177">
        <w:rPr>
          <w:rFonts w:cs="Arial"/>
          <w:szCs w:val="24"/>
        </w:rPr>
        <w:t>p</w:t>
      </w:r>
      <w:r w:rsidRPr="00237CAF">
        <w:rPr>
          <w:rFonts w:cs="Arial"/>
          <w:szCs w:val="24"/>
        </w:rPr>
        <w:t>neumococcal vaccine awareness and education campaign with easy-to-read document to support awareness and access among those with learning disabilities</w:t>
      </w:r>
      <w:r w:rsidR="002F6177">
        <w:rPr>
          <w:rFonts w:cs="Arial"/>
          <w:szCs w:val="24"/>
        </w:rPr>
        <w:t>.</w:t>
      </w:r>
    </w:p>
    <w:p w14:paraId="77A02821" w14:textId="53440C03" w:rsidR="00237CAF" w:rsidRPr="00237CAF" w:rsidRDefault="00237CAF" w:rsidP="00A24DCF">
      <w:pPr>
        <w:pStyle w:val="BodyText"/>
        <w:numPr>
          <w:ilvl w:val="0"/>
          <w:numId w:val="26"/>
        </w:numPr>
        <w:overflowPunct w:val="0"/>
        <w:ind w:right="168"/>
        <w:rPr>
          <w:rFonts w:cs="Arial"/>
        </w:rPr>
      </w:pPr>
      <w:r w:rsidRPr="425DF60E">
        <w:rPr>
          <w:rFonts w:cs="Arial"/>
        </w:rPr>
        <w:t xml:space="preserve">Introduction of </w:t>
      </w:r>
      <w:r w:rsidR="704A8CE6" w:rsidRPr="425DF60E">
        <w:rPr>
          <w:rFonts w:cs="Arial"/>
        </w:rPr>
        <w:t>the</w:t>
      </w:r>
      <w:r w:rsidRPr="425DF60E">
        <w:rPr>
          <w:rFonts w:cs="Arial"/>
        </w:rPr>
        <w:t xml:space="preserve"> </w:t>
      </w:r>
      <w:r w:rsidR="002F6177" w:rsidRPr="425DF60E">
        <w:rPr>
          <w:rFonts w:cs="Arial"/>
        </w:rPr>
        <w:t>s</w:t>
      </w:r>
      <w:r w:rsidRPr="425DF60E">
        <w:rPr>
          <w:rFonts w:cs="Arial"/>
        </w:rPr>
        <w:t xml:space="preserve">moke </w:t>
      </w:r>
      <w:r w:rsidR="002F6177" w:rsidRPr="425DF60E">
        <w:rPr>
          <w:rFonts w:cs="Arial"/>
        </w:rPr>
        <w:t>f</w:t>
      </w:r>
      <w:r w:rsidRPr="425DF60E">
        <w:rPr>
          <w:rFonts w:cs="Arial"/>
        </w:rPr>
        <w:t xml:space="preserve">ree </w:t>
      </w:r>
      <w:r w:rsidR="002F6177" w:rsidRPr="425DF60E">
        <w:rPr>
          <w:rFonts w:cs="Arial"/>
        </w:rPr>
        <w:t>p</w:t>
      </w:r>
      <w:r w:rsidRPr="425DF60E">
        <w:rPr>
          <w:rFonts w:cs="Arial"/>
        </w:rPr>
        <w:t>athway in maternity with provision of in-house smoking cessation behaviour support</w:t>
      </w:r>
      <w:r w:rsidR="002F6177" w:rsidRPr="425DF60E">
        <w:rPr>
          <w:rFonts w:cs="Arial"/>
        </w:rPr>
        <w:t>.</w:t>
      </w:r>
    </w:p>
    <w:p w14:paraId="563082CE" w14:textId="252FD540" w:rsidR="00237CAF" w:rsidRPr="00237CAF" w:rsidRDefault="00237CAF" w:rsidP="00A24DCF">
      <w:pPr>
        <w:pStyle w:val="BodyText"/>
        <w:numPr>
          <w:ilvl w:val="0"/>
          <w:numId w:val="26"/>
        </w:numPr>
        <w:overflowPunct w:val="0"/>
        <w:ind w:right="168"/>
        <w:rPr>
          <w:rFonts w:cs="Arial"/>
        </w:rPr>
      </w:pPr>
      <w:r w:rsidRPr="425DF60E">
        <w:rPr>
          <w:rFonts w:cs="Arial"/>
        </w:rPr>
        <w:t xml:space="preserve">92,000 residents participating in the BP@Home system and distribution of </w:t>
      </w:r>
      <w:r w:rsidR="61CFE4DC" w:rsidRPr="425DF60E">
        <w:rPr>
          <w:rFonts w:cs="Arial"/>
        </w:rPr>
        <w:t>a</w:t>
      </w:r>
      <w:r w:rsidRPr="425DF60E">
        <w:rPr>
          <w:rFonts w:cs="Arial"/>
        </w:rPr>
        <w:t xml:space="preserve"> further 2,000 blood pressure machines across 80 practices in areas of greatest deprivation and health need</w:t>
      </w:r>
      <w:r w:rsidR="002F6177" w:rsidRPr="425DF60E">
        <w:rPr>
          <w:rFonts w:cs="Arial"/>
        </w:rPr>
        <w:t>.</w:t>
      </w:r>
    </w:p>
    <w:p w14:paraId="1E170CC1" w14:textId="6B3810EB" w:rsidR="00237CAF" w:rsidRPr="00237CAF" w:rsidRDefault="00237CAF" w:rsidP="00A24DCF">
      <w:pPr>
        <w:pStyle w:val="BodyText"/>
        <w:numPr>
          <w:ilvl w:val="0"/>
          <w:numId w:val="26"/>
        </w:numPr>
        <w:overflowPunct w:val="0"/>
        <w:ind w:right="168"/>
        <w:rPr>
          <w:rFonts w:cs="Arial"/>
        </w:rPr>
      </w:pPr>
      <w:r w:rsidRPr="425DF60E">
        <w:rPr>
          <w:rFonts w:cs="Arial"/>
        </w:rPr>
        <w:t>Roll</w:t>
      </w:r>
      <w:r w:rsidR="24CD701A" w:rsidRPr="75AF00BB">
        <w:rPr>
          <w:rFonts w:cs="Arial"/>
        </w:rPr>
        <w:t>-</w:t>
      </w:r>
      <w:r w:rsidRPr="425DF60E">
        <w:rPr>
          <w:rFonts w:cs="Arial"/>
        </w:rPr>
        <w:t xml:space="preserve">out of lung cancer screening </w:t>
      </w:r>
      <w:r w:rsidR="38E8C000" w:rsidRPr="75AF00BB">
        <w:rPr>
          <w:rFonts w:cs="Arial"/>
        </w:rPr>
        <w:t>in</w:t>
      </w:r>
      <w:r w:rsidRPr="425DF60E">
        <w:rPr>
          <w:rFonts w:cs="Arial"/>
        </w:rPr>
        <w:t xml:space="preserve"> Thurrock and Southend with over 17,000 checks completed resulting in </w:t>
      </w:r>
      <w:r w:rsidR="004561B2">
        <w:rPr>
          <w:rFonts w:cs="Arial"/>
        </w:rPr>
        <w:t xml:space="preserve">over </w:t>
      </w:r>
      <w:r w:rsidRPr="425DF60E">
        <w:rPr>
          <w:rFonts w:cs="Arial"/>
        </w:rPr>
        <w:t xml:space="preserve">100 local people </w:t>
      </w:r>
      <w:r w:rsidR="5417FD13" w:rsidRPr="75AF00BB">
        <w:rPr>
          <w:rFonts w:cs="Arial"/>
        </w:rPr>
        <w:t xml:space="preserve">with </w:t>
      </w:r>
      <w:r w:rsidRPr="425DF60E">
        <w:rPr>
          <w:rFonts w:cs="Arial"/>
        </w:rPr>
        <w:t>previously undiscover</w:t>
      </w:r>
      <w:r w:rsidR="002F6177" w:rsidRPr="425DF60E">
        <w:rPr>
          <w:rFonts w:cs="Arial"/>
        </w:rPr>
        <w:t>ed</w:t>
      </w:r>
      <w:r w:rsidRPr="425DF60E">
        <w:rPr>
          <w:rFonts w:cs="Arial"/>
        </w:rPr>
        <w:t xml:space="preserve"> lung cancer</w:t>
      </w:r>
      <w:r w:rsidR="002F6177" w:rsidRPr="425DF60E">
        <w:rPr>
          <w:rFonts w:cs="Arial"/>
        </w:rPr>
        <w:t>,</w:t>
      </w:r>
      <w:r w:rsidRPr="425DF60E">
        <w:rPr>
          <w:rFonts w:cs="Arial"/>
        </w:rPr>
        <w:t xml:space="preserve"> found and treated.</w:t>
      </w:r>
    </w:p>
    <w:p w14:paraId="7550FB83" w14:textId="219C2E31" w:rsidR="00237CAF" w:rsidRPr="00237CAF" w:rsidRDefault="00237CAF" w:rsidP="00A24DCF">
      <w:pPr>
        <w:pStyle w:val="BodyText"/>
        <w:numPr>
          <w:ilvl w:val="0"/>
          <w:numId w:val="26"/>
        </w:numPr>
        <w:overflowPunct w:val="0"/>
        <w:ind w:right="168"/>
        <w:rPr>
          <w:rFonts w:cs="Arial"/>
        </w:rPr>
      </w:pPr>
      <w:r w:rsidRPr="75AF00BB">
        <w:rPr>
          <w:rFonts w:cs="Arial"/>
        </w:rPr>
        <w:t xml:space="preserve">Pilot for </w:t>
      </w:r>
      <w:r w:rsidR="002F6177" w:rsidRPr="75AF00BB">
        <w:rPr>
          <w:rFonts w:cs="Arial"/>
        </w:rPr>
        <w:t>e</w:t>
      </w:r>
      <w:r w:rsidRPr="75AF00BB">
        <w:rPr>
          <w:rFonts w:cs="Arial"/>
        </w:rPr>
        <w:t xml:space="preserve">arly </w:t>
      </w:r>
      <w:r w:rsidR="002F6177" w:rsidRPr="75AF00BB">
        <w:rPr>
          <w:rFonts w:cs="Arial"/>
        </w:rPr>
        <w:t>y</w:t>
      </w:r>
      <w:r w:rsidRPr="75AF00BB">
        <w:rPr>
          <w:rFonts w:cs="Arial"/>
        </w:rPr>
        <w:t xml:space="preserve">ears </w:t>
      </w:r>
      <w:r w:rsidR="002F6177" w:rsidRPr="75AF00BB">
        <w:rPr>
          <w:rFonts w:cs="Arial"/>
        </w:rPr>
        <w:t>o</w:t>
      </w:r>
      <w:r w:rsidRPr="75AF00BB">
        <w:rPr>
          <w:rFonts w:cs="Arial"/>
        </w:rPr>
        <w:t xml:space="preserve">ral </w:t>
      </w:r>
      <w:r w:rsidR="002F6177" w:rsidRPr="75AF00BB">
        <w:rPr>
          <w:rFonts w:cs="Arial"/>
        </w:rPr>
        <w:t>h</w:t>
      </w:r>
      <w:r w:rsidRPr="75AF00BB">
        <w:rPr>
          <w:rFonts w:cs="Arial"/>
        </w:rPr>
        <w:t xml:space="preserve">ealth </w:t>
      </w:r>
      <w:r w:rsidR="002F6177" w:rsidRPr="75AF00BB">
        <w:rPr>
          <w:rFonts w:cs="Arial"/>
        </w:rPr>
        <w:t>i</w:t>
      </w:r>
      <w:r w:rsidRPr="75AF00BB">
        <w:rPr>
          <w:rFonts w:cs="Arial"/>
        </w:rPr>
        <w:t xml:space="preserve">mprovement in Thurrock with delivery of supervised toothbrushing through the </w:t>
      </w:r>
      <w:r w:rsidR="31279684" w:rsidRPr="75AF00BB">
        <w:rPr>
          <w:rFonts w:cs="Arial"/>
        </w:rPr>
        <w:t>f</w:t>
      </w:r>
      <w:r w:rsidRPr="75AF00BB">
        <w:rPr>
          <w:rFonts w:cs="Arial"/>
        </w:rPr>
        <w:t xml:space="preserve">amily </w:t>
      </w:r>
      <w:r w:rsidR="74E389D4" w:rsidRPr="7C2D84D8">
        <w:rPr>
          <w:rFonts w:cs="Arial"/>
        </w:rPr>
        <w:t>h</w:t>
      </w:r>
      <w:r w:rsidRPr="75AF00BB">
        <w:rPr>
          <w:rFonts w:cs="Arial"/>
        </w:rPr>
        <w:t>ubs</w:t>
      </w:r>
      <w:r w:rsidR="0085239D">
        <w:rPr>
          <w:rFonts w:cs="Arial"/>
        </w:rPr>
        <w:t>.</w:t>
      </w:r>
    </w:p>
    <w:p w14:paraId="3ECDC1A8" w14:textId="142F4415" w:rsidR="00237CAF" w:rsidRPr="00237CAF" w:rsidRDefault="00237CAF" w:rsidP="00A24DCF">
      <w:pPr>
        <w:pStyle w:val="BodyText"/>
        <w:numPr>
          <w:ilvl w:val="0"/>
          <w:numId w:val="26"/>
        </w:numPr>
        <w:overflowPunct w:val="0"/>
        <w:ind w:right="168"/>
        <w:rPr>
          <w:rFonts w:cs="Arial"/>
          <w:szCs w:val="24"/>
        </w:rPr>
      </w:pPr>
      <w:r w:rsidRPr="00237CAF">
        <w:rPr>
          <w:rFonts w:cs="Arial"/>
          <w:szCs w:val="24"/>
        </w:rPr>
        <w:lastRenderedPageBreak/>
        <w:t>Anchor programme</w:t>
      </w:r>
      <w:r w:rsidR="003C1AFA">
        <w:rPr>
          <w:rFonts w:cs="Arial"/>
          <w:szCs w:val="24"/>
        </w:rPr>
        <w:t xml:space="preserve"> (see case study </w:t>
      </w:r>
      <w:r w:rsidR="003C1AFA" w:rsidRPr="00B24841">
        <w:rPr>
          <w:rFonts w:cs="Arial"/>
          <w:szCs w:val="24"/>
        </w:rPr>
        <w:t>on page 37)</w:t>
      </w:r>
      <w:r w:rsidR="00616F23" w:rsidRPr="00B24841">
        <w:rPr>
          <w:rFonts w:cs="Arial"/>
          <w:szCs w:val="24"/>
        </w:rPr>
        <w:t>.</w:t>
      </w:r>
    </w:p>
    <w:p w14:paraId="768B279D" w14:textId="78AA5763" w:rsidR="00237CAF" w:rsidRPr="00237CAF" w:rsidRDefault="00237CAF" w:rsidP="00237CAF">
      <w:pPr>
        <w:pStyle w:val="BodyText"/>
        <w:overflowPunct w:val="0"/>
        <w:ind w:right="168"/>
        <w:rPr>
          <w:rFonts w:cs="Arial"/>
          <w:szCs w:val="24"/>
        </w:rPr>
      </w:pPr>
      <w:r w:rsidRPr="00237CAF">
        <w:rPr>
          <w:rFonts w:cs="Arial"/>
          <w:szCs w:val="24"/>
        </w:rPr>
        <w:t xml:space="preserve">MSE ICB continues to </w:t>
      </w:r>
      <w:r w:rsidR="002F6177">
        <w:rPr>
          <w:rFonts w:cs="Arial"/>
          <w:szCs w:val="24"/>
        </w:rPr>
        <w:t xml:space="preserve">make </w:t>
      </w:r>
      <w:r w:rsidRPr="00237CAF">
        <w:rPr>
          <w:rFonts w:cs="Arial"/>
          <w:szCs w:val="24"/>
        </w:rPr>
        <w:t>progress against the NHS health inequalities planning priorities</w:t>
      </w:r>
      <w:r w:rsidR="002F6177">
        <w:rPr>
          <w:rFonts w:cs="Arial"/>
          <w:szCs w:val="24"/>
        </w:rPr>
        <w:t>:</w:t>
      </w:r>
    </w:p>
    <w:p w14:paraId="537BAD37" w14:textId="425107ED" w:rsidR="00237CAF" w:rsidRPr="00237CAF" w:rsidRDefault="00237CAF" w:rsidP="00A24DCF">
      <w:pPr>
        <w:pStyle w:val="BodyText"/>
        <w:numPr>
          <w:ilvl w:val="0"/>
          <w:numId w:val="27"/>
        </w:numPr>
        <w:overflowPunct w:val="0"/>
        <w:ind w:right="168"/>
        <w:rPr>
          <w:rFonts w:cs="Arial"/>
        </w:rPr>
      </w:pPr>
      <w:r w:rsidRPr="7C2D84D8">
        <w:rPr>
          <w:rFonts w:cs="Arial"/>
          <w:b/>
        </w:rPr>
        <w:t xml:space="preserve">Priority 1:  </w:t>
      </w:r>
      <w:r w:rsidR="003C1AFA">
        <w:rPr>
          <w:rFonts w:cs="Arial"/>
          <w:b/>
        </w:rPr>
        <w:t>R</w:t>
      </w:r>
      <w:r w:rsidRPr="7C2D84D8">
        <w:rPr>
          <w:rFonts w:cs="Arial"/>
          <w:b/>
        </w:rPr>
        <w:t xml:space="preserve">estore NHS </w:t>
      </w:r>
      <w:r w:rsidR="00EC7CFD">
        <w:rPr>
          <w:rFonts w:cs="Arial"/>
          <w:b/>
        </w:rPr>
        <w:t>s</w:t>
      </w:r>
      <w:r w:rsidRPr="7C2D84D8">
        <w:rPr>
          <w:rFonts w:cs="Arial"/>
          <w:b/>
        </w:rPr>
        <w:t>ervices inclusively.</w:t>
      </w:r>
      <w:r w:rsidRPr="7C2D84D8">
        <w:rPr>
          <w:rFonts w:cs="Arial"/>
        </w:rPr>
        <w:t xml:space="preserve">  An </w:t>
      </w:r>
      <w:r w:rsidR="2CBBA5DA" w:rsidRPr="7C2D84D8">
        <w:rPr>
          <w:rFonts w:cs="Arial"/>
        </w:rPr>
        <w:t>e</w:t>
      </w:r>
      <w:r w:rsidRPr="7C2D84D8">
        <w:rPr>
          <w:rFonts w:cs="Arial"/>
        </w:rPr>
        <w:t xml:space="preserve">lective </w:t>
      </w:r>
      <w:r w:rsidR="4F570565" w:rsidRPr="7C2D84D8">
        <w:rPr>
          <w:rFonts w:cs="Arial"/>
        </w:rPr>
        <w:t>r</w:t>
      </w:r>
      <w:r w:rsidRPr="7C2D84D8">
        <w:rPr>
          <w:rFonts w:cs="Arial"/>
        </w:rPr>
        <w:t xml:space="preserve">ecovery </w:t>
      </w:r>
      <w:r w:rsidR="4CDA89BD" w:rsidRPr="7C2D84D8">
        <w:rPr>
          <w:rFonts w:cs="Arial"/>
        </w:rPr>
        <w:t>e</w:t>
      </w:r>
      <w:r w:rsidRPr="7C2D84D8">
        <w:rPr>
          <w:rFonts w:cs="Arial"/>
        </w:rPr>
        <w:t xml:space="preserve">quality </w:t>
      </w:r>
      <w:r w:rsidR="1312F8B6" w:rsidRPr="7C2D84D8">
        <w:rPr>
          <w:rFonts w:cs="Arial"/>
        </w:rPr>
        <w:t>h</w:t>
      </w:r>
      <w:r w:rsidRPr="7C2D84D8">
        <w:rPr>
          <w:rFonts w:cs="Arial"/>
        </w:rPr>
        <w:t xml:space="preserve">ealth </w:t>
      </w:r>
      <w:r w:rsidR="4431962D" w:rsidRPr="7C2D84D8">
        <w:rPr>
          <w:rFonts w:cs="Arial"/>
        </w:rPr>
        <w:t>i</w:t>
      </w:r>
      <w:r w:rsidRPr="7C2D84D8">
        <w:rPr>
          <w:rFonts w:cs="Arial"/>
        </w:rPr>
        <w:t xml:space="preserve">mpact </w:t>
      </w:r>
      <w:r w:rsidR="330F52D8" w:rsidRPr="7C2D84D8">
        <w:rPr>
          <w:rFonts w:cs="Arial"/>
        </w:rPr>
        <w:t>a</w:t>
      </w:r>
      <w:r w:rsidRPr="7C2D84D8">
        <w:rPr>
          <w:rFonts w:cs="Arial"/>
        </w:rPr>
        <w:t xml:space="preserve">ssessment </w:t>
      </w:r>
      <w:r w:rsidR="002F6177" w:rsidRPr="7C2D84D8">
        <w:rPr>
          <w:rFonts w:cs="Arial"/>
        </w:rPr>
        <w:t xml:space="preserve">was </w:t>
      </w:r>
      <w:r w:rsidRPr="7C2D84D8">
        <w:rPr>
          <w:rFonts w:cs="Arial"/>
        </w:rPr>
        <w:t>completed that sets out mitigating actions to increase access and improve outcomes.  The gap in waiting times between the most and second most deprived areas halved in the last 12 months.</w:t>
      </w:r>
    </w:p>
    <w:p w14:paraId="4AB1087F" w14:textId="261EAD58" w:rsidR="00237CAF" w:rsidRPr="00237CAF" w:rsidRDefault="00237CAF" w:rsidP="00A24DCF">
      <w:pPr>
        <w:pStyle w:val="BodyText"/>
        <w:numPr>
          <w:ilvl w:val="0"/>
          <w:numId w:val="27"/>
        </w:numPr>
        <w:overflowPunct w:val="0"/>
        <w:ind w:right="168"/>
        <w:rPr>
          <w:rFonts w:cs="Arial"/>
        </w:rPr>
      </w:pPr>
      <w:r w:rsidRPr="6A30A571">
        <w:rPr>
          <w:rFonts w:cs="Arial"/>
          <w:b/>
        </w:rPr>
        <w:t>Priority 2: Mitigate against digital exclusion.</w:t>
      </w:r>
      <w:r w:rsidRPr="6A30A571">
        <w:rPr>
          <w:rFonts w:cs="Arial"/>
        </w:rPr>
        <w:t xml:space="preserve">  </w:t>
      </w:r>
      <w:r w:rsidR="7863B010" w:rsidRPr="16529996">
        <w:rPr>
          <w:rFonts w:cs="Arial"/>
        </w:rPr>
        <w:t>A d</w:t>
      </w:r>
      <w:r w:rsidRPr="16529996">
        <w:rPr>
          <w:rFonts w:cs="Arial"/>
        </w:rPr>
        <w:t xml:space="preserve">igital </w:t>
      </w:r>
      <w:r w:rsidR="52742720" w:rsidRPr="16529996">
        <w:rPr>
          <w:rFonts w:cs="Arial"/>
        </w:rPr>
        <w:t>i</w:t>
      </w:r>
      <w:r w:rsidRPr="16529996">
        <w:rPr>
          <w:rFonts w:cs="Arial"/>
        </w:rPr>
        <w:t xml:space="preserve">nclusion </w:t>
      </w:r>
      <w:r w:rsidR="6CE0A3F2" w:rsidRPr="16529996">
        <w:rPr>
          <w:rFonts w:cs="Arial"/>
        </w:rPr>
        <w:t>f</w:t>
      </w:r>
      <w:r w:rsidRPr="6A30A571">
        <w:rPr>
          <w:rFonts w:cs="Arial"/>
        </w:rPr>
        <w:t xml:space="preserve">ramework </w:t>
      </w:r>
      <w:r w:rsidR="00B54F73" w:rsidRPr="6A30A571">
        <w:rPr>
          <w:rFonts w:cs="Arial"/>
        </w:rPr>
        <w:t xml:space="preserve">was </w:t>
      </w:r>
      <w:r w:rsidRPr="6A30A571">
        <w:rPr>
          <w:rFonts w:cs="Arial"/>
        </w:rPr>
        <w:t xml:space="preserve">established with principles adopted across partner organisations.  New </w:t>
      </w:r>
      <w:r w:rsidR="0513ECEC" w:rsidRPr="16529996">
        <w:rPr>
          <w:rFonts w:cs="Arial"/>
        </w:rPr>
        <w:t>d</w:t>
      </w:r>
      <w:r w:rsidRPr="6A30A571">
        <w:rPr>
          <w:rFonts w:cs="Arial"/>
        </w:rPr>
        <w:t xml:space="preserve">igital transformation </w:t>
      </w:r>
      <w:r w:rsidR="00B54F73" w:rsidRPr="6A30A571">
        <w:rPr>
          <w:rFonts w:cs="Arial"/>
        </w:rPr>
        <w:t>Additional Roles Reimbursement Scheme (</w:t>
      </w:r>
      <w:r w:rsidRPr="6A30A571">
        <w:rPr>
          <w:rFonts w:cs="Arial"/>
        </w:rPr>
        <w:t>AR</w:t>
      </w:r>
      <w:r w:rsidR="00B54F73" w:rsidRPr="6A30A571">
        <w:rPr>
          <w:rFonts w:cs="Arial"/>
        </w:rPr>
        <w:t>R</w:t>
      </w:r>
      <w:r w:rsidRPr="6A30A571">
        <w:rPr>
          <w:rFonts w:cs="Arial"/>
        </w:rPr>
        <w:t>S</w:t>
      </w:r>
      <w:r w:rsidR="00B54F73" w:rsidRPr="6A30A571">
        <w:rPr>
          <w:rFonts w:cs="Arial"/>
        </w:rPr>
        <w:t>)</w:t>
      </w:r>
      <w:r w:rsidRPr="6A30A571">
        <w:rPr>
          <w:rFonts w:cs="Arial"/>
        </w:rPr>
        <w:t xml:space="preserve"> roles appointed alongside existing social prescribing link works and health and wellbeing coaches to support </w:t>
      </w:r>
      <w:r w:rsidR="11C31A5A" w:rsidRPr="16529996">
        <w:rPr>
          <w:rFonts w:cs="Arial"/>
        </w:rPr>
        <w:t xml:space="preserve">the </w:t>
      </w:r>
      <w:r w:rsidRPr="6A30A571">
        <w:rPr>
          <w:rFonts w:cs="Arial"/>
        </w:rPr>
        <w:t xml:space="preserve">use of health apps and </w:t>
      </w:r>
      <w:r w:rsidRPr="6CCE7E44">
        <w:rPr>
          <w:rFonts w:cs="Arial"/>
        </w:rPr>
        <w:t>improv</w:t>
      </w:r>
      <w:r w:rsidR="3E6B126B" w:rsidRPr="6CCE7E44">
        <w:rPr>
          <w:rFonts w:cs="Arial"/>
        </w:rPr>
        <w:t>e</w:t>
      </w:r>
      <w:r w:rsidRPr="6A30A571">
        <w:rPr>
          <w:rFonts w:cs="Arial"/>
        </w:rPr>
        <w:t xml:space="preserve"> digital and health literacy.</w:t>
      </w:r>
    </w:p>
    <w:p w14:paraId="049FD119" w14:textId="4789FAA2" w:rsidR="00237CAF" w:rsidRPr="00237CAF" w:rsidRDefault="00237CAF" w:rsidP="00A24DCF">
      <w:pPr>
        <w:pStyle w:val="BodyText"/>
        <w:numPr>
          <w:ilvl w:val="0"/>
          <w:numId w:val="27"/>
        </w:numPr>
        <w:overflowPunct w:val="0"/>
        <w:ind w:right="168"/>
        <w:rPr>
          <w:rFonts w:cs="Arial"/>
        </w:rPr>
      </w:pPr>
      <w:r w:rsidRPr="6CCE7E44">
        <w:rPr>
          <w:rFonts w:cs="Arial"/>
          <w:b/>
        </w:rPr>
        <w:t>Priority 3: Ensure datasets are complete and timely.</w:t>
      </w:r>
      <w:r w:rsidRPr="6CCE7E44">
        <w:rPr>
          <w:rFonts w:cs="Arial"/>
        </w:rPr>
        <w:t xml:space="preserve"> Year on year improvement in ethnicity recording with 95% of primary care records having a recorded ethnicity.  </w:t>
      </w:r>
    </w:p>
    <w:p w14:paraId="02256136" w14:textId="4ACEFCB6" w:rsidR="00237CAF" w:rsidRPr="00237CAF" w:rsidRDefault="00237CAF" w:rsidP="00A24DCF">
      <w:pPr>
        <w:pStyle w:val="BodyText"/>
        <w:numPr>
          <w:ilvl w:val="0"/>
          <w:numId w:val="27"/>
        </w:numPr>
        <w:overflowPunct w:val="0"/>
        <w:ind w:right="168"/>
        <w:rPr>
          <w:rFonts w:cs="Arial"/>
        </w:rPr>
      </w:pPr>
      <w:r w:rsidRPr="6CCE7E44">
        <w:rPr>
          <w:rFonts w:cs="Arial"/>
          <w:b/>
        </w:rPr>
        <w:t xml:space="preserve">Priority 4: Accelerate preventative programmes that proactively engage those at greatest risk of poor health outcomes. </w:t>
      </w:r>
      <w:r w:rsidRPr="6CCE7E44">
        <w:rPr>
          <w:rFonts w:cs="Arial"/>
        </w:rPr>
        <w:t xml:space="preserve">  </w:t>
      </w:r>
      <w:r w:rsidR="00B54F73" w:rsidRPr="6CCE7E44">
        <w:rPr>
          <w:rFonts w:cs="Arial"/>
        </w:rPr>
        <w:t xml:space="preserve">The </w:t>
      </w:r>
      <w:r w:rsidRPr="6CCE7E44">
        <w:rPr>
          <w:rFonts w:cs="Arial"/>
        </w:rPr>
        <w:t>ICB continues to accelerate work through adoption of Core20</w:t>
      </w:r>
      <w:r w:rsidR="00B54F73" w:rsidRPr="6CCE7E44">
        <w:rPr>
          <w:rFonts w:cs="Arial"/>
        </w:rPr>
        <w:t>PLUS</w:t>
      </w:r>
      <w:r w:rsidRPr="6CCE7E44">
        <w:rPr>
          <w:rFonts w:cs="Arial"/>
        </w:rPr>
        <w:t>5 frameworks.</w:t>
      </w:r>
    </w:p>
    <w:p w14:paraId="6F0EFFC6" w14:textId="359CFDAF" w:rsidR="00237CAF" w:rsidRPr="00237CAF" w:rsidRDefault="00237CAF" w:rsidP="00A24DCF">
      <w:pPr>
        <w:pStyle w:val="BodyText"/>
        <w:numPr>
          <w:ilvl w:val="0"/>
          <w:numId w:val="27"/>
        </w:numPr>
        <w:overflowPunct w:val="0"/>
        <w:ind w:right="168"/>
        <w:rPr>
          <w:rFonts w:cs="Arial"/>
        </w:rPr>
      </w:pPr>
      <w:r w:rsidRPr="6CCE7E44">
        <w:rPr>
          <w:rFonts w:cs="Arial"/>
          <w:b/>
        </w:rPr>
        <w:t>Priority 5: Strengthen leadership and accountability.</w:t>
      </w:r>
      <w:r w:rsidRPr="6CCE7E44">
        <w:rPr>
          <w:rFonts w:cs="Arial"/>
        </w:rPr>
        <w:t xml:space="preserve"> Clear leadership roles establish</w:t>
      </w:r>
      <w:r w:rsidR="5B84D8E1" w:rsidRPr="6CCE7E44">
        <w:rPr>
          <w:rFonts w:cs="Arial"/>
        </w:rPr>
        <w:t>ed</w:t>
      </w:r>
      <w:r w:rsidRPr="6CCE7E44">
        <w:rPr>
          <w:rFonts w:cs="Arial"/>
        </w:rPr>
        <w:t xml:space="preserve"> with </w:t>
      </w:r>
      <w:r w:rsidR="00FF28B8">
        <w:rPr>
          <w:rFonts w:cs="Arial"/>
        </w:rPr>
        <w:t>senior responsible officer</w:t>
      </w:r>
      <w:r w:rsidRPr="6CCE7E44">
        <w:rPr>
          <w:rFonts w:cs="Arial"/>
        </w:rPr>
        <w:t>, system</w:t>
      </w:r>
      <w:r w:rsidR="00B54F73" w:rsidRPr="6CCE7E44">
        <w:rPr>
          <w:rFonts w:cs="Arial"/>
        </w:rPr>
        <w:t>,</w:t>
      </w:r>
      <w:r w:rsidRPr="6CCE7E44">
        <w:rPr>
          <w:rFonts w:cs="Arial"/>
        </w:rPr>
        <w:t xml:space="preserve"> and </w:t>
      </w:r>
      <w:r w:rsidR="3E7E5D09" w:rsidRPr="6CCE7E44">
        <w:rPr>
          <w:rFonts w:cs="Arial"/>
        </w:rPr>
        <w:t>a</w:t>
      </w:r>
      <w:r w:rsidRPr="6CCE7E44">
        <w:rPr>
          <w:rFonts w:cs="Arial"/>
        </w:rPr>
        <w:t xml:space="preserve">lliance clinical leadership for health inequalities, </w:t>
      </w:r>
      <w:r w:rsidR="00BF0B01">
        <w:rPr>
          <w:rFonts w:cs="Arial"/>
        </w:rPr>
        <w:t xml:space="preserve">and </w:t>
      </w:r>
      <w:r w:rsidRPr="6CCE7E44">
        <w:rPr>
          <w:rFonts w:cs="Arial"/>
        </w:rPr>
        <w:t xml:space="preserve">PCN </w:t>
      </w:r>
      <w:r w:rsidR="03B959D4" w:rsidRPr="289BF7D0">
        <w:rPr>
          <w:rFonts w:cs="Arial"/>
        </w:rPr>
        <w:t>h</w:t>
      </w:r>
      <w:r w:rsidRPr="289BF7D0">
        <w:rPr>
          <w:rFonts w:cs="Arial"/>
        </w:rPr>
        <w:t xml:space="preserve">ealth </w:t>
      </w:r>
      <w:r w:rsidR="14160FD9" w:rsidRPr="289BF7D0">
        <w:rPr>
          <w:rFonts w:cs="Arial"/>
        </w:rPr>
        <w:t>i</w:t>
      </w:r>
      <w:r w:rsidRPr="6CCE7E44">
        <w:rPr>
          <w:rFonts w:cs="Arial"/>
        </w:rPr>
        <w:t xml:space="preserve">nequalities leads.  </w:t>
      </w:r>
      <w:r w:rsidR="00BF0B01">
        <w:rPr>
          <w:rFonts w:cs="Arial"/>
        </w:rPr>
        <w:t>PHIB</w:t>
      </w:r>
      <w:r w:rsidRPr="6CCE7E44">
        <w:rPr>
          <w:rFonts w:cs="Arial"/>
        </w:rPr>
        <w:t xml:space="preserve"> and supporting governance structures embedded.</w:t>
      </w:r>
    </w:p>
    <w:p w14:paraId="2D7740C0" w14:textId="22114D23" w:rsidR="00237CAF" w:rsidRPr="00237CAF" w:rsidRDefault="00237CAF" w:rsidP="00237CAF">
      <w:pPr>
        <w:pStyle w:val="BodyText"/>
        <w:overflowPunct w:val="0"/>
        <w:ind w:right="168"/>
        <w:rPr>
          <w:rFonts w:cs="Arial"/>
        </w:rPr>
      </w:pPr>
      <w:r w:rsidRPr="289BF7D0">
        <w:rPr>
          <w:rFonts w:cs="Arial"/>
        </w:rPr>
        <w:t xml:space="preserve">The </w:t>
      </w:r>
      <w:r w:rsidR="0CAAFCCE" w:rsidRPr="289BF7D0">
        <w:rPr>
          <w:rFonts w:cs="Arial"/>
        </w:rPr>
        <w:t>s</w:t>
      </w:r>
      <w:r w:rsidRPr="289BF7D0">
        <w:rPr>
          <w:rFonts w:cs="Arial"/>
        </w:rPr>
        <w:t xml:space="preserve">tatement on </w:t>
      </w:r>
      <w:r w:rsidR="4A6F2264" w:rsidRPr="289BF7D0">
        <w:rPr>
          <w:rFonts w:cs="Arial"/>
        </w:rPr>
        <w:t>i</w:t>
      </w:r>
      <w:r w:rsidRPr="289BF7D0">
        <w:rPr>
          <w:rFonts w:cs="Arial"/>
        </w:rPr>
        <w:t xml:space="preserve">nformation on </w:t>
      </w:r>
      <w:r w:rsidR="2D0E37ED" w:rsidRPr="289BF7D0">
        <w:rPr>
          <w:rFonts w:cs="Arial"/>
        </w:rPr>
        <w:t>h</w:t>
      </w:r>
      <w:r w:rsidRPr="289BF7D0">
        <w:rPr>
          <w:rFonts w:cs="Arial"/>
        </w:rPr>
        <w:t xml:space="preserve">ealth inequalities provides a more extensive overview of the programme of work and outcomes </w:t>
      </w:r>
      <w:r w:rsidR="00724317" w:rsidRPr="289BF7D0">
        <w:rPr>
          <w:rFonts w:cs="Arial"/>
        </w:rPr>
        <w:t>about</w:t>
      </w:r>
      <w:r w:rsidRPr="289BF7D0">
        <w:rPr>
          <w:rFonts w:cs="Arial"/>
        </w:rPr>
        <w:t xml:space="preserve"> </w:t>
      </w:r>
      <w:r w:rsidR="00353854">
        <w:rPr>
          <w:rFonts w:cs="Arial"/>
        </w:rPr>
        <w:t xml:space="preserve">the </w:t>
      </w:r>
      <w:r w:rsidRPr="289BF7D0">
        <w:rPr>
          <w:rFonts w:cs="Arial"/>
        </w:rPr>
        <w:t>Core20</w:t>
      </w:r>
      <w:r w:rsidR="00B54F73" w:rsidRPr="289BF7D0">
        <w:rPr>
          <w:rFonts w:cs="Arial"/>
        </w:rPr>
        <w:t>PLUS</w:t>
      </w:r>
      <w:r w:rsidRPr="289BF7D0">
        <w:rPr>
          <w:rFonts w:cs="Arial"/>
        </w:rPr>
        <w:t>5 framework and five planning priorities.</w:t>
      </w:r>
    </w:p>
    <w:p w14:paraId="52FBCCDB" w14:textId="03102BD9" w:rsidR="00237CAF" w:rsidRPr="00237CAF" w:rsidRDefault="00237CAF" w:rsidP="00237CAF">
      <w:pPr>
        <w:pStyle w:val="BodyText"/>
        <w:overflowPunct w:val="0"/>
        <w:ind w:right="168"/>
        <w:rPr>
          <w:rFonts w:cs="Arial"/>
        </w:rPr>
      </w:pPr>
      <w:r w:rsidRPr="296AD678">
        <w:rPr>
          <w:rFonts w:cs="Arial"/>
        </w:rPr>
        <w:t>In 2022/23 the ICB received an additional £3.4m health inequalities</w:t>
      </w:r>
      <w:r w:rsidR="00D81970" w:rsidRPr="296AD678">
        <w:rPr>
          <w:rFonts w:cs="Arial"/>
        </w:rPr>
        <w:t xml:space="preserve"> funding</w:t>
      </w:r>
      <w:r w:rsidRPr="296AD678">
        <w:rPr>
          <w:rFonts w:cs="Arial"/>
        </w:rPr>
        <w:t xml:space="preserve"> from NHSE.  The funding was utilised to support innovative partnership solutions to reduce health inequalities.  During 2023/24, over 70 projects were implemented to support delivery of </w:t>
      </w:r>
      <w:r w:rsidR="00D81970" w:rsidRPr="296AD678">
        <w:rPr>
          <w:rFonts w:cs="Arial"/>
        </w:rPr>
        <w:t xml:space="preserve">the </w:t>
      </w:r>
      <w:r w:rsidRPr="296AD678">
        <w:rPr>
          <w:rFonts w:cs="Arial"/>
        </w:rPr>
        <w:t>Core20</w:t>
      </w:r>
      <w:r w:rsidR="00D81970" w:rsidRPr="296AD678">
        <w:rPr>
          <w:rFonts w:cs="Arial"/>
        </w:rPr>
        <w:t>PLUS</w:t>
      </w:r>
      <w:r w:rsidRPr="296AD678">
        <w:rPr>
          <w:rFonts w:cs="Arial"/>
        </w:rPr>
        <w:t xml:space="preserve">5 framework and local population needs as identified by the four </w:t>
      </w:r>
      <w:r w:rsidR="2C1F39AB" w:rsidRPr="296AD678">
        <w:rPr>
          <w:rFonts w:cs="Arial"/>
        </w:rPr>
        <w:t>a</w:t>
      </w:r>
      <w:r w:rsidRPr="296AD678">
        <w:rPr>
          <w:rFonts w:cs="Arial"/>
        </w:rPr>
        <w:t>lliances.  The ICB has engaged the University of Essex to evaluate the outcomes and learn lessons for future scale and spread of the work.</w:t>
      </w:r>
    </w:p>
    <w:p w14:paraId="20EED5DC" w14:textId="2CAB167A" w:rsidR="00237CAF" w:rsidRPr="00D81970" w:rsidRDefault="00237CAF" w:rsidP="00237CAF">
      <w:pPr>
        <w:pStyle w:val="BodyText"/>
        <w:overflowPunct w:val="0"/>
        <w:ind w:right="168"/>
        <w:rPr>
          <w:rFonts w:cs="Arial"/>
          <w:b/>
          <w:bCs/>
          <w:szCs w:val="24"/>
        </w:rPr>
      </w:pPr>
      <w:r w:rsidRPr="26A9CB3C">
        <w:rPr>
          <w:rFonts w:cs="Arial"/>
          <w:b/>
          <w:bCs/>
        </w:rPr>
        <w:t xml:space="preserve">Public </w:t>
      </w:r>
      <w:r w:rsidR="441146C9" w:rsidRPr="26A9CB3C">
        <w:rPr>
          <w:rFonts w:cs="Arial"/>
          <w:b/>
          <w:bCs/>
        </w:rPr>
        <w:t>s</w:t>
      </w:r>
      <w:r w:rsidRPr="26A9CB3C">
        <w:rPr>
          <w:rFonts w:cs="Arial"/>
          <w:b/>
          <w:bCs/>
        </w:rPr>
        <w:t xml:space="preserve">ector </w:t>
      </w:r>
      <w:r w:rsidR="5C37A887" w:rsidRPr="26A9CB3C">
        <w:rPr>
          <w:rFonts w:cs="Arial"/>
          <w:b/>
          <w:bCs/>
        </w:rPr>
        <w:t>e</w:t>
      </w:r>
      <w:r w:rsidRPr="26A9CB3C">
        <w:rPr>
          <w:rFonts w:cs="Arial"/>
          <w:b/>
          <w:bCs/>
        </w:rPr>
        <w:t xml:space="preserve">quality </w:t>
      </w:r>
      <w:r w:rsidR="533BBBB9" w:rsidRPr="26A9CB3C">
        <w:rPr>
          <w:rFonts w:cs="Arial"/>
          <w:b/>
          <w:bCs/>
        </w:rPr>
        <w:t>d</w:t>
      </w:r>
      <w:r w:rsidRPr="26A9CB3C">
        <w:rPr>
          <w:rFonts w:cs="Arial"/>
          <w:b/>
          <w:bCs/>
        </w:rPr>
        <w:t>uty</w:t>
      </w:r>
    </w:p>
    <w:p w14:paraId="058F2CC5" w14:textId="558F19B8" w:rsidR="00237CAF" w:rsidRPr="00237CAF" w:rsidRDefault="00D81970" w:rsidP="00237CAF">
      <w:pPr>
        <w:pStyle w:val="BodyText"/>
        <w:overflowPunct w:val="0"/>
        <w:ind w:right="168"/>
        <w:rPr>
          <w:rFonts w:cs="Arial"/>
        </w:rPr>
      </w:pPr>
      <w:r w:rsidRPr="02D8C5F5">
        <w:rPr>
          <w:rFonts w:cs="Arial"/>
        </w:rPr>
        <w:t>The</w:t>
      </w:r>
      <w:r w:rsidR="00237CAF" w:rsidRPr="02D8C5F5">
        <w:rPr>
          <w:rFonts w:cs="Arial"/>
        </w:rPr>
        <w:t xml:space="preserve"> ICB recognises and meets the requirements of the </w:t>
      </w:r>
      <w:r w:rsidR="79F08309" w:rsidRPr="02D8C5F5">
        <w:rPr>
          <w:rFonts w:cs="Arial"/>
        </w:rPr>
        <w:t>p</w:t>
      </w:r>
      <w:r w:rsidR="00237CAF" w:rsidRPr="6AFB3C81">
        <w:rPr>
          <w:rFonts w:cs="Arial"/>
        </w:rPr>
        <w:t xml:space="preserve">ublic </w:t>
      </w:r>
      <w:r w:rsidR="385DEC7B" w:rsidRPr="02D8C5F5">
        <w:rPr>
          <w:rFonts w:cs="Arial"/>
        </w:rPr>
        <w:t>s</w:t>
      </w:r>
      <w:r w:rsidR="00237CAF" w:rsidRPr="6AFB3C81">
        <w:rPr>
          <w:rFonts w:cs="Arial"/>
        </w:rPr>
        <w:t xml:space="preserve">ector </w:t>
      </w:r>
      <w:r w:rsidR="61195E18" w:rsidRPr="02D8C5F5">
        <w:rPr>
          <w:rFonts w:cs="Arial"/>
        </w:rPr>
        <w:t>e</w:t>
      </w:r>
      <w:r w:rsidR="00237CAF" w:rsidRPr="02D8C5F5">
        <w:rPr>
          <w:rFonts w:cs="Arial"/>
        </w:rPr>
        <w:t xml:space="preserve">quality </w:t>
      </w:r>
      <w:r w:rsidR="70F3A76A" w:rsidRPr="02D8C5F5">
        <w:rPr>
          <w:rFonts w:cs="Arial"/>
        </w:rPr>
        <w:t>d</w:t>
      </w:r>
      <w:r w:rsidR="00237CAF" w:rsidRPr="02D8C5F5">
        <w:rPr>
          <w:rFonts w:cs="Arial"/>
        </w:rPr>
        <w:t xml:space="preserve">uty, which applies to both workforce and service delivery. The ICB publishes the required information on its website </w:t>
      </w:r>
      <w:hyperlink r:id="rId40" w:anchor="backgroundpublicsectorequalityduty" w:history="1">
        <w:r w:rsidR="00237CAF" w:rsidRPr="02D8C5F5">
          <w:rPr>
            <w:rFonts w:cs="Arial"/>
            <w:color w:val="1F497D" w:themeColor="text2"/>
          </w:rPr>
          <w:t>Interim Equality Objectives - Mid and South Essex Integrated Care System (ics.nhs.uk)</w:t>
        </w:r>
      </w:hyperlink>
      <w:r w:rsidRPr="02D8C5F5">
        <w:rPr>
          <w:rFonts w:cs="Arial"/>
          <w:color w:val="1F497D" w:themeColor="text2"/>
        </w:rPr>
        <w:t xml:space="preserve"> [hyperlinks]</w:t>
      </w:r>
      <w:r w:rsidR="00237CAF" w:rsidRPr="02D8C5F5">
        <w:rPr>
          <w:rFonts w:cs="Arial"/>
        </w:rPr>
        <w:t xml:space="preserve"> with additional service delivery actions published as part of the Joint Forward Plan </w:t>
      </w:r>
      <w:r w:rsidR="00237CAF" w:rsidRPr="02D8C5F5">
        <w:rPr>
          <w:rFonts w:cs="Arial"/>
          <w:color w:val="1F497D" w:themeColor="text2"/>
        </w:rPr>
        <w:t>(</w:t>
      </w:r>
      <w:hyperlink r:id="rId41" w:history="1">
        <w:r w:rsidR="00237CAF" w:rsidRPr="02D8C5F5">
          <w:rPr>
            <w:rFonts w:cs="Arial"/>
            <w:color w:val="1F497D" w:themeColor="text2"/>
          </w:rPr>
          <w:t>Joint Forward Plan - Mid and South Essex Integrated Care System (ics.nhs.uk)</w:t>
        </w:r>
      </w:hyperlink>
      <w:r w:rsidRPr="02D8C5F5">
        <w:rPr>
          <w:rFonts w:cs="Arial"/>
          <w:color w:val="1F497D" w:themeColor="text2"/>
        </w:rPr>
        <w:t xml:space="preserve"> [hyperlinks]</w:t>
      </w:r>
      <w:r w:rsidR="00237CAF" w:rsidRPr="02D8C5F5">
        <w:rPr>
          <w:rFonts w:cs="Arial"/>
        </w:rPr>
        <w:t>.</w:t>
      </w:r>
    </w:p>
    <w:p w14:paraId="60B53EDB" w14:textId="269BD918" w:rsidR="00237CAF" w:rsidRPr="00237CAF" w:rsidRDefault="00237CAF" w:rsidP="00237CAF">
      <w:pPr>
        <w:pStyle w:val="BodyText"/>
        <w:overflowPunct w:val="0"/>
        <w:ind w:right="168"/>
        <w:rPr>
          <w:rFonts w:cs="Arial"/>
        </w:rPr>
      </w:pPr>
      <w:r w:rsidRPr="02D8C5F5">
        <w:rPr>
          <w:rFonts w:cs="Arial"/>
        </w:rPr>
        <w:t xml:space="preserve">The Equality and Human Rights Commission, </w:t>
      </w:r>
      <w:r w:rsidR="00813123">
        <w:rPr>
          <w:rFonts w:cs="Arial"/>
        </w:rPr>
        <w:t>which</w:t>
      </w:r>
      <w:r w:rsidR="00813123" w:rsidRPr="02D8C5F5">
        <w:rPr>
          <w:rFonts w:cs="Arial"/>
        </w:rPr>
        <w:t xml:space="preserve"> </w:t>
      </w:r>
      <w:r w:rsidRPr="02D8C5F5">
        <w:rPr>
          <w:rFonts w:cs="Arial"/>
        </w:rPr>
        <w:t>oversee</w:t>
      </w:r>
      <w:r w:rsidR="00813123">
        <w:rPr>
          <w:rFonts w:cs="Arial"/>
        </w:rPr>
        <w:t>s</w:t>
      </w:r>
      <w:r w:rsidRPr="02D8C5F5">
        <w:rPr>
          <w:rFonts w:cs="Arial"/>
        </w:rPr>
        <w:t xml:space="preserve"> compliance with the Equality Act, recently reviewed all ICBs. As part of that review </w:t>
      </w:r>
      <w:r w:rsidR="00D81970" w:rsidRPr="02D8C5F5">
        <w:rPr>
          <w:rFonts w:cs="Arial"/>
        </w:rPr>
        <w:t xml:space="preserve">the </w:t>
      </w:r>
      <w:r w:rsidRPr="02D8C5F5">
        <w:rPr>
          <w:rFonts w:cs="Arial"/>
        </w:rPr>
        <w:t>ICB met with the Commission. Whilst the feedback from the Commission was favourable there were actions suggested to strengthen the objectives and improve the clarity of our service delivery actions</w:t>
      </w:r>
      <w:r w:rsidR="00B153F4">
        <w:rPr>
          <w:rFonts w:cs="Arial"/>
        </w:rPr>
        <w:t xml:space="preserve"> which </w:t>
      </w:r>
      <w:r w:rsidRPr="02D8C5F5">
        <w:rPr>
          <w:rFonts w:cs="Arial"/>
        </w:rPr>
        <w:t>will be address</w:t>
      </w:r>
      <w:r w:rsidR="51E89123" w:rsidRPr="02D8C5F5">
        <w:rPr>
          <w:rFonts w:cs="Arial"/>
        </w:rPr>
        <w:t>ed</w:t>
      </w:r>
      <w:r w:rsidRPr="02D8C5F5">
        <w:rPr>
          <w:rFonts w:cs="Arial"/>
        </w:rPr>
        <w:t xml:space="preserve"> during the forthcoming year. </w:t>
      </w:r>
    </w:p>
    <w:p w14:paraId="243947BA" w14:textId="5705657E" w:rsidR="00237CAF" w:rsidRPr="00D81970" w:rsidRDefault="00237CAF" w:rsidP="00237CAF">
      <w:pPr>
        <w:pStyle w:val="BodyText"/>
        <w:overflowPunct w:val="0"/>
        <w:ind w:right="168"/>
        <w:rPr>
          <w:rFonts w:cs="Arial"/>
          <w:b/>
        </w:rPr>
      </w:pPr>
      <w:r w:rsidRPr="26A9CB3C">
        <w:rPr>
          <w:rFonts w:cs="Arial"/>
          <w:b/>
        </w:rPr>
        <w:lastRenderedPageBreak/>
        <w:t xml:space="preserve">Equality </w:t>
      </w:r>
      <w:r w:rsidRPr="26A9CB3C">
        <w:rPr>
          <w:rFonts w:cs="Arial"/>
          <w:b/>
          <w:bCs/>
        </w:rPr>
        <w:t xml:space="preserve">Delivery </w:t>
      </w:r>
      <w:r w:rsidRPr="26A9CB3C">
        <w:rPr>
          <w:rFonts w:cs="Arial"/>
          <w:b/>
        </w:rPr>
        <w:t>System</w:t>
      </w:r>
      <w:r w:rsidR="00201BFF">
        <w:rPr>
          <w:rFonts w:cs="Arial"/>
          <w:b/>
        </w:rPr>
        <w:t xml:space="preserve"> (EDS)</w:t>
      </w:r>
      <w:r w:rsidR="002F42DE" w:rsidRPr="002F42DE">
        <w:rPr>
          <w:rFonts w:cs="Arial"/>
          <w:b/>
        </w:rPr>
        <w:t xml:space="preserve"> </w:t>
      </w:r>
      <w:r w:rsidR="002F42DE">
        <w:rPr>
          <w:rFonts w:cs="Arial"/>
          <w:b/>
        </w:rPr>
        <w:t>2022</w:t>
      </w:r>
    </w:p>
    <w:p w14:paraId="3745E761" w14:textId="39A9F5C0" w:rsidR="00237CAF" w:rsidRPr="00237CAF" w:rsidRDefault="00237CAF" w:rsidP="00237CAF">
      <w:pPr>
        <w:pStyle w:val="BodyText"/>
        <w:overflowPunct w:val="0"/>
        <w:ind w:right="168"/>
        <w:rPr>
          <w:rFonts w:cs="Arial"/>
        </w:rPr>
      </w:pPr>
      <w:r w:rsidRPr="1B929D67">
        <w:rPr>
          <w:rFonts w:cs="Arial"/>
        </w:rPr>
        <w:t xml:space="preserve">Within </w:t>
      </w:r>
      <w:r w:rsidR="00D81970" w:rsidRPr="1B929D67">
        <w:rPr>
          <w:rFonts w:cs="Arial"/>
        </w:rPr>
        <w:t>the</w:t>
      </w:r>
      <w:r w:rsidRPr="1B929D67">
        <w:rPr>
          <w:rFonts w:cs="Arial"/>
        </w:rPr>
        <w:t xml:space="preserve"> </w:t>
      </w:r>
      <w:r w:rsidR="00D81970" w:rsidRPr="1B929D67">
        <w:rPr>
          <w:rFonts w:cs="Arial"/>
        </w:rPr>
        <w:t>system</w:t>
      </w:r>
      <w:r w:rsidRPr="1B929D67">
        <w:rPr>
          <w:rFonts w:cs="Arial"/>
        </w:rPr>
        <w:t xml:space="preserve">, NHS </w:t>
      </w:r>
      <w:r w:rsidR="0FDC54FD" w:rsidRPr="1B929D67">
        <w:rPr>
          <w:rFonts w:cs="Arial"/>
        </w:rPr>
        <w:t>p</w:t>
      </w:r>
      <w:r w:rsidRPr="1B929D67">
        <w:rPr>
          <w:rFonts w:cs="Arial"/>
        </w:rPr>
        <w:t>roviders have agreed to work together to implement the EDS 2022 on an ICS footprint</w:t>
      </w:r>
      <w:r w:rsidR="003C1AFA">
        <w:rPr>
          <w:rFonts w:cs="Arial"/>
        </w:rPr>
        <w:t>.  The EDS has three sections or ‘domains’.</w:t>
      </w:r>
      <w:r w:rsidRPr="1B929D67">
        <w:rPr>
          <w:rFonts w:cs="Arial"/>
        </w:rPr>
        <w:t xml:space="preserve"> </w:t>
      </w:r>
      <w:r w:rsidR="003C1AFA">
        <w:rPr>
          <w:rFonts w:cs="Arial"/>
        </w:rPr>
        <w:t xml:space="preserve"> F</w:t>
      </w:r>
      <w:r w:rsidRPr="1B929D67">
        <w:rPr>
          <w:rFonts w:cs="Arial"/>
        </w:rPr>
        <w:t>or Domain 1</w:t>
      </w:r>
      <w:r w:rsidR="009F45CE">
        <w:rPr>
          <w:rFonts w:cs="Arial"/>
        </w:rPr>
        <w:t>:</w:t>
      </w:r>
      <w:r w:rsidRPr="1B929D67">
        <w:rPr>
          <w:rFonts w:cs="Arial"/>
        </w:rPr>
        <w:t xml:space="preserve"> Commissioned or </w:t>
      </w:r>
      <w:r w:rsidR="10672299" w:rsidRPr="1B929D67">
        <w:rPr>
          <w:rFonts w:cs="Arial"/>
        </w:rPr>
        <w:t>p</w:t>
      </w:r>
      <w:r w:rsidRPr="1B929D67">
        <w:rPr>
          <w:rFonts w:cs="Arial"/>
        </w:rPr>
        <w:t xml:space="preserve">rovided services. The theme selected for 2022/23 was </w:t>
      </w:r>
      <w:r w:rsidR="672ED76A" w:rsidRPr="1B929D67">
        <w:rPr>
          <w:rFonts w:cs="Arial"/>
        </w:rPr>
        <w:t>m</w:t>
      </w:r>
      <w:r w:rsidRPr="1B929D67">
        <w:rPr>
          <w:rFonts w:cs="Arial"/>
        </w:rPr>
        <w:t xml:space="preserve">aternity and </w:t>
      </w:r>
      <w:r w:rsidR="47D0F6EC" w:rsidRPr="1B929D67">
        <w:rPr>
          <w:rFonts w:cs="Arial"/>
        </w:rPr>
        <w:t>a</w:t>
      </w:r>
      <w:r w:rsidRPr="1B929D67">
        <w:rPr>
          <w:rFonts w:cs="Arial"/>
        </w:rPr>
        <w:t xml:space="preserve">ntenatal </w:t>
      </w:r>
      <w:r w:rsidR="1CB394D5" w:rsidRPr="1B929D67">
        <w:rPr>
          <w:rFonts w:cs="Arial"/>
        </w:rPr>
        <w:t>m</w:t>
      </w:r>
      <w:r w:rsidRPr="1B929D67">
        <w:rPr>
          <w:rFonts w:cs="Arial"/>
        </w:rPr>
        <w:t xml:space="preserve">ental </w:t>
      </w:r>
      <w:r w:rsidR="53171EE0" w:rsidRPr="1B929D67">
        <w:rPr>
          <w:rFonts w:cs="Arial"/>
        </w:rPr>
        <w:t>h</w:t>
      </w:r>
      <w:r w:rsidRPr="1B929D67">
        <w:rPr>
          <w:rFonts w:cs="Arial"/>
        </w:rPr>
        <w:t xml:space="preserve">ealth </w:t>
      </w:r>
      <w:r w:rsidR="27F383D3" w:rsidRPr="1B929D67">
        <w:rPr>
          <w:rFonts w:cs="Arial"/>
        </w:rPr>
        <w:t>s</w:t>
      </w:r>
      <w:r w:rsidRPr="1B929D67">
        <w:rPr>
          <w:rFonts w:cs="Arial"/>
        </w:rPr>
        <w:t xml:space="preserve">ervices.  </w:t>
      </w:r>
    </w:p>
    <w:p w14:paraId="5CE060EE" w14:textId="20EEF9DD" w:rsidR="00237CAF" w:rsidRPr="00237CAF" w:rsidRDefault="00237CAF" w:rsidP="00237CAF">
      <w:pPr>
        <w:pStyle w:val="BodyText"/>
        <w:overflowPunct w:val="0"/>
        <w:ind w:right="168"/>
        <w:rPr>
          <w:rFonts w:cs="Arial"/>
        </w:rPr>
      </w:pPr>
      <w:r w:rsidRPr="024A986D">
        <w:rPr>
          <w:rFonts w:cs="Arial"/>
        </w:rPr>
        <w:t>Both services were reviewed against the eleven outcomes, to measure successes and challenges with protected characteristic</w:t>
      </w:r>
      <w:r w:rsidR="009F45CE">
        <w:rPr>
          <w:rFonts w:cs="Arial"/>
        </w:rPr>
        <w:t xml:space="preserve"> groups</w:t>
      </w:r>
      <w:r w:rsidRPr="024A986D">
        <w:rPr>
          <w:rFonts w:cs="Arial"/>
        </w:rPr>
        <w:t xml:space="preserve"> and vulnerable community groups using evidence and insight. MSEFT and EPUT have engaged with service users, patients, community, and faith groups and with other stakeholders who support or represent the views of patients, to gain feedback on current service provisions and how they can be improved to meet the needs of groups of patients. The outcome of the assessment alongside those in Domains 2 and 3 are published on the ICB website.</w:t>
      </w:r>
    </w:p>
    <w:p w14:paraId="65B1693C" w14:textId="63B86AE8" w:rsidR="00237CAF" w:rsidRPr="00237CAF" w:rsidRDefault="00237CAF" w:rsidP="00237CAF">
      <w:pPr>
        <w:pStyle w:val="BodyText"/>
        <w:overflowPunct w:val="0"/>
        <w:ind w:right="168"/>
        <w:rPr>
          <w:rFonts w:cs="Arial"/>
        </w:rPr>
      </w:pPr>
      <w:r w:rsidRPr="4A8E5CE7">
        <w:rPr>
          <w:rFonts w:cs="Arial"/>
        </w:rPr>
        <w:t xml:space="preserve">EDS </w:t>
      </w:r>
      <w:r w:rsidR="2D164E3B" w:rsidRPr="4A8E5CE7">
        <w:rPr>
          <w:rFonts w:cs="Arial"/>
        </w:rPr>
        <w:t>a</w:t>
      </w:r>
      <w:r w:rsidRPr="4A8E5CE7">
        <w:rPr>
          <w:rFonts w:cs="Arial"/>
        </w:rPr>
        <w:t xml:space="preserve">ction plans have been developed for both services and are being monitored via the </w:t>
      </w:r>
      <w:r w:rsidR="4063ACC8" w:rsidRPr="4A8E5CE7">
        <w:rPr>
          <w:rFonts w:cs="Arial"/>
        </w:rPr>
        <w:t>h</w:t>
      </w:r>
      <w:r w:rsidRPr="4A8E5CE7">
        <w:rPr>
          <w:rFonts w:cs="Arial"/>
        </w:rPr>
        <w:t xml:space="preserve">ealth </w:t>
      </w:r>
      <w:r w:rsidR="738CE47D" w:rsidRPr="4A8E5CE7">
        <w:rPr>
          <w:rFonts w:cs="Arial"/>
        </w:rPr>
        <w:t>i</w:t>
      </w:r>
      <w:r w:rsidRPr="4A8E5CE7">
        <w:rPr>
          <w:rFonts w:cs="Arial"/>
        </w:rPr>
        <w:t xml:space="preserve">nequalities </w:t>
      </w:r>
      <w:r w:rsidR="6225EA60" w:rsidRPr="4A8E5CE7">
        <w:rPr>
          <w:rFonts w:cs="Arial"/>
        </w:rPr>
        <w:t>d</w:t>
      </w:r>
      <w:r w:rsidRPr="4A8E5CE7">
        <w:rPr>
          <w:rFonts w:cs="Arial"/>
        </w:rPr>
        <w:t xml:space="preserve">elivery </w:t>
      </w:r>
      <w:r w:rsidR="69A715FC" w:rsidRPr="4A8E5CE7">
        <w:rPr>
          <w:rFonts w:cs="Arial"/>
        </w:rPr>
        <w:t>g</w:t>
      </w:r>
      <w:r w:rsidRPr="4A8E5CE7">
        <w:rPr>
          <w:rFonts w:cs="Arial"/>
        </w:rPr>
        <w:t xml:space="preserve">roup and through the individual NHS </w:t>
      </w:r>
      <w:r w:rsidR="7CAF3EEE" w:rsidRPr="4A8E5CE7">
        <w:rPr>
          <w:rFonts w:cs="Arial"/>
        </w:rPr>
        <w:t>o</w:t>
      </w:r>
      <w:r w:rsidRPr="4A8E5CE7">
        <w:rPr>
          <w:rFonts w:cs="Arial"/>
        </w:rPr>
        <w:t>rganisational governance.</w:t>
      </w:r>
    </w:p>
    <w:p w14:paraId="621EFFDB" w14:textId="160FC93A" w:rsidR="00237CAF" w:rsidRPr="00237CAF" w:rsidRDefault="00237CAF" w:rsidP="00237CAF">
      <w:pPr>
        <w:pStyle w:val="BodyText"/>
        <w:overflowPunct w:val="0"/>
        <w:ind w:right="168"/>
        <w:rPr>
          <w:rFonts w:cs="Arial"/>
        </w:rPr>
      </w:pPr>
      <w:r w:rsidRPr="4A8E5CE7">
        <w:rPr>
          <w:rFonts w:cs="Arial"/>
        </w:rPr>
        <w:t xml:space="preserve">For 2023/24, the MSE system </w:t>
      </w:r>
      <w:r w:rsidR="009F45CE">
        <w:rPr>
          <w:rFonts w:cs="Arial"/>
        </w:rPr>
        <w:t>has</w:t>
      </w:r>
      <w:r w:rsidR="009F45CE" w:rsidRPr="4A8E5CE7">
        <w:rPr>
          <w:rFonts w:cs="Arial"/>
        </w:rPr>
        <w:t xml:space="preserve"> </w:t>
      </w:r>
      <w:r w:rsidRPr="4A8E5CE7">
        <w:rPr>
          <w:rFonts w:cs="Arial"/>
        </w:rPr>
        <w:t xml:space="preserve">collectively selected the following services for a Domain </w:t>
      </w:r>
      <w:r w:rsidR="009F45CE">
        <w:rPr>
          <w:rFonts w:cs="Arial"/>
        </w:rPr>
        <w:t>1</w:t>
      </w:r>
      <w:r w:rsidR="009F45CE" w:rsidRPr="4A8E5CE7">
        <w:rPr>
          <w:rFonts w:cs="Arial"/>
        </w:rPr>
        <w:t xml:space="preserve"> </w:t>
      </w:r>
      <w:r w:rsidRPr="4A8E5CE7">
        <w:rPr>
          <w:rFonts w:cs="Arial"/>
        </w:rPr>
        <w:t>review:</w:t>
      </w:r>
    </w:p>
    <w:p w14:paraId="5A4A6553" w14:textId="578552BC" w:rsidR="00237CAF" w:rsidRPr="00237CAF" w:rsidRDefault="00237CAF" w:rsidP="00A24DCF">
      <w:pPr>
        <w:pStyle w:val="BodyText"/>
        <w:numPr>
          <w:ilvl w:val="0"/>
          <w:numId w:val="28"/>
        </w:numPr>
        <w:overflowPunct w:val="0"/>
        <w:ind w:right="168"/>
        <w:rPr>
          <w:rFonts w:cs="Arial"/>
          <w:szCs w:val="24"/>
        </w:rPr>
      </w:pPr>
      <w:r w:rsidRPr="00237CAF">
        <w:rPr>
          <w:rFonts w:cs="Arial"/>
          <w:szCs w:val="24"/>
        </w:rPr>
        <w:t>Urgent Community Response Team delivered via EPUT</w:t>
      </w:r>
      <w:r w:rsidR="009F45CE">
        <w:rPr>
          <w:rFonts w:cs="Arial"/>
          <w:szCs w:val="24"/>
        </w:rPr>
        <w:t>.</w:t>
      </w:r>
    </w:p>
    <w:p w14:paraId="731E0926" w14:textId="5042B413" w:rsidR="00237CAF" w:rsidRPr="00237CAF" w:rsidRDefault="00237CAF" w:rsidP="00A24DCF">
      <w:pPr>
        <w:pStyle w:val="BodyText"/>
        <w:numPr>
          <w:ilvl w:val="0"/>
          <w:numId w:val="28"/>
        </w:numPr>
        <w:overflowPunct w:val="0"/>
        <w:ind w:right="168"/>
        <w:rPr>
          <w:rFonts w:cs="Arial"/>
        </w:rPr>
      </w:pPr>
      <w:r w:rsidRPr="4A8E5CE7">
        <w:rPr>
          <w:rFonts w:cs="Arial"/>
        </w:rPr>
        <w:t>Inpatient Detox service delivered via EPUT</w:t>
      </w:r>
      <w:r w:rsidR="009F45CE">
        <w:rPr>
          <w:rFonts w:cs="Arial"/>
        </w:rPr>
        <w:t>.</w:t>
      </w:r>
    </w:p>
    <w:p w14:paraId="7E2A51B6" w14:textId="76A7809F" w:rsidR="00237CAF" w:rsidRPr="00237CAF" w:rsidRDefault="00237CAF" w:rsidP="00A24DCF">
      <w:pPr>
        <w:pStyle w:val="BodyText"/>
        <w:numPr>
          <w:ilvl w:val="0"/>
          <w:numId w:val="28"/>
        </w:numPr>
        <w:overflowPunct w:val="0"/>
        <w:ind w:right="168"/>
        <w:rPr>
          <w:rFonts w:cs="Arial"/>
        </w:rPr>
      </w:pPr>
      <w:r w:rsidRPr="4A8E5CE7">
        <w:rPr>
          <w:rFonts w:cs="Arial"/>
        </w:rPr>
        <w:t xml:space="preserve">Learning </w:t>
      </w:r>
      <w:r w:rsidRPr="4A8E5CE7" w:rsidDel="00237CAF">
        <w:rPr>
          <w:rFonts w:cs="Arial"/>
        </w:rPr>
        <w:t>D</w:t>
      </w:r>
      <w:r w:rsidRPr="4A8E5CE7">
        <w:rPr>
          <w:rFonts w:cs="Arial"/>
        </w:rPr>
        <w:t xml:space="preserve">isability </w:t>
      </w:r>
      <w:r w:rsidR="5D61083C" w:rsidRPr="4A8E5CE7">
        <w:rPr>
          <w:rFonts w:cs="Arial"/>
        </w:rPr>
        <w:t>s</w:t>
      </w:r>
      <w:r w:rsidRPr="4A8E5CE7">
        <w:rPr>
          <w:rFonts w:cs="Arial"/>
        </w:rPr>
        <w:t>ervices delivered by MSEFT.</w:t>
      </w:r>
    </w:p>
    <w:p w14:paraId="557C7AFC" w14:textId="070A795D" w:rsidR="0004107A" w:rsidRPr="006075FD" w:rsidRDefault="00237CAF" w:rsidP="006075FD">
      <w:pPr>
        <w:pStyle w:val="BodyText"/>
        <w:overflowPunct w:val="0"/>
        <w:ind w:right="168"/>
        <w:rPr>
          <w:rFonts w:cs="Arial"/>
          <w:szCs w:val="24"/>
        </w:rPr>
      </w:pPr>
      <w:r w:rsidRPr="00237CAF">
        <w:rPr>
          <w:rFonts w:cs="Arial"/>
          <w:szCs w:val="24"/>
        </w:rPr>
        <w:t xml:space="preserve">The engagement work with patients and those with lived experience has been completed alongside the evidence review.  </w:t>
      </w:r>
      <w:r w:rsidR="000A06DA">
        <w:rPr>
          <w:rFonts w:cs="Arial"/>
          <w:szCs w:val="24"/>
        </w:rPr>
        <w:t>Delivering t</w:t>
      </w:r>
      <w:r w:rsidRPr="00237CAF">
        <w:rPr>
          <w:rFonts w:cs="Arial"/>
          <w:szCs w:val="24"/>
        </w:rPr>
        <w:t xml:space="preserve">he </w:t>
      </w:r>
      <w:r w:rsidR="000A06DA">
        <w:rPr>
          <w:rFonts w:cs="Arial"/>
          <w:szCs w:val="24"/>
        </w:rPr>
        <w:t xml:space="preserve">action plan against the </w:t>
      </w:r>
      <w:r w:rsidRPr="00237CAF">
        <w:rPr>
          <w:rFonts w:cs="Arial"/>
          <w:szCs w:val="24"/>
        </w:rPr>
        <w:t xml:space="preserve">assessment </w:t>
      </w:r>
      <w:r w:rsidRPr="00D25EA2">
        <w:rPr>
          <w:rFonts w:cs="Arial"/>
          <w:szCs w:val="24"/>
        </w:rPr>
        <w:t>will be</w:t>
      </w:r>
      <w:r w:rsidR="000A06DA">
        <w:rPr>
          <w:rFonts w:cs="Arial"/>
          <w:szCs w:val="24"/>
        </w:rPr>
        <w:t>gin during</w:t>
      </w:r>
      <w:r w:rsidRPr="00D25EA2">
        <w:rPr>
          <w:rFonts w:cs="Arial"/>
          <w:szCs w:val="24"/>
        </w:rPr>
        <w:t xml:space="preserve"> 202</w:t>
      </w:r>
      <w:r w:rsidR="000A06DA">
        <w:rPr>
          <w:rFonts w:cs="Arial"/>
          <w:szCs w:val="24"/>
        </w:rPr>
        <w:t>4</w:t>
      </w:r>
      <w:r w:rsidRPr="00D25EA2">
        <w:rPr>
          <w:rFonts w:cs="Arial"/>
          <w:szCs w:val="24"/>
        </w:rPr>
        <w:t>/2</w:t>
      </w:r>
      <w:r w:rsidR="000A06DA">
        <w:rPr>
          <w:rFonts w:cs="Arial"/>
          <w:szCs w:val="24"/>
        </w:rPr>
        <w:t>5</w:t>
      </w:r>
      <w:r w:rsidRPr="00D25EA2">
        <w:rPr>
          <w:rFonts w:cs="Arial"/>
          <w:szCs w:val="24"/>
        </w:rPr>
        <w:t>.</w:t>
      </w:r>
    </w:p>
    <w:p w14:paraId="6F28B451" w14:textId="78457930" w:rsidR="001C0486" w:rsidRPr="00DC31DF" w:rsidRDefault="001C0486" w:rsidP="00FA77A5">
      <w:pPr>
        <w:pStyle w:val="Heading2"/>
      </w:pPr>
      <w:bookmarkStart w:id="49" w:name="_Toc164814824"/>
      <w:bookmarkStart w:id="50" w:name="_Toc164814885"/>
      <w:r w:rsidRPr="00DC31DF">
        <w:t>Health and wellbeing strategy</w:t>
      </w:r>
      <w:bookmarkEnd w:id="49"/>
      <w:bookmarkEnd w:id="50"/>
      <w:r w:rsidRPr="00DC31DF">
        <w:t xml:space="preserve"> </w:t>
      </w:r>
    </w:p>
    <w:p w14:paraId="1D2D1EA9" w14:textId="48459ABF" w:rsidR="00CC668C" w:rsidRPr="0016475C" w:rsidRDefault="00CC668C" w:rsidP="00CC668C">
      <w:r w:rsidRPr="0016475C">
        <w:t xml:space="preserve">The ICB engages regularly with the three </w:t>
      </w:r>
      <w:r w:rsidR="0029169E">
        <w:t>H</w:t>
      </w:r>
      <w:r w:rsidR="0029169E" w:rsidRPr="0016475C">
        <w:t xml:space="preserve">ealth and </w:t>
      </w:r>
      <w:r w:rsidR="0029169E">
        <w:t>Wellbeing B</w:t>
      </w:r>
      <w:r w:rsidR="0029169E" w:rsidRPr="0016475C">
        <w:t>oard</w:t>
      </w:r>
      <w:r w:rsidRPr="0016475C">
        <w:t xml:space="preserve">s of the </w:t>
      </w:r>
      <w:r w:rsidR="05BEF733">
        <w:t>u</w:t>
      </w:r>
      <w:r>
        <w:t xml:space="preserve">pper </w:t>
      </w:r>
      <w:r w:rsidR="03976550">
        <w:t>t</w:t>
      </w:r>
      <w:r>
        <w:t xml:space="preserve">ier </w:t>
      </w:r>
      <w:r w:rsidR="744C9C0F">
        <w:t>l</w:t>
      </w:r>
      <w:r>
        <w:t xml:space="preserve">ocal </w:t>
      </w:r>
      <w:r w:rsidR="702AA3E5">
        <w:t>a</w:t>
      </w:r>
      <w:r w:rsidRPr="0016475C">
        <w:t xml:space="preserve">uthorities (Essex County Council, Southend City Council and Thurrock Council). </w:t>
      </w:r>
      <w:r w:rsidR="006C584E">
        <w:t>Members of the ICB regularly attend Health and Well Being Boards by agreement</w:t>
      </w:r>
      <w:r>
        <w:t>.</w:t>
      </w:r>
      <w:r w:rsidRPr="0016475C">
        <w:t xml:space="preserve">  Regular updates are provided on the work of the </w:t>
      </w:r>
      <w:r w:rsidR="00471C4B">
        <w:t>ICB</w:t>
      </w:r>
      <w:r w:rsidRPr="0016475C">
        <w:t xml:space="preserve"> specifically and NHS providers more broadly. There are also regular presentations on specific strategic priorities and care areas, </w:t>
      </w:r>
      <w:r w:rsidR="2DD43269">
        <w:t>for example,</w:t>
      </w:r>
      <w:r>
        <w:t xml:space="preserve"> </w:t>
      </w:r>
      <w:r w:rsidR="621F1E4D">
        <w:t>p</w:t>
      </w:r>
      <w:r>
        <w:t xml:space="preserve">rimary </w:t>
      </w:r>
      <w:r w:rsidR="215AB1E2">
        <w:t>c</w:t>
      </w:r>
      <w:r w:rsidRPr="0016475C">
        <w:t xml:space="preserve">are development, </w:t>
      </w:r>
      <w:r w:rsidR="1C47BF92">
        <w:t>p</w:t>
      </w:r>
      <w:r>
        <w:t xml:space="preserve">harmacy, </w:t>
      </w:r>
      <w:r w:rsidR="4CA26666">
        <w:t>o</w:t>
      </w:r>
      <w:r w:rsidRPr="0016475C">
        <w:t>ptometry</w:t>
      </w:r>
      <w:r w:rsidR="00391958">
        <w:t>,</w:t>
      </w:r>
      <w:r w:rsidRPr="0016475C">
        <w:t xml:space="preserve"> and </w:t>
      </w:r>
      <w:r w:rsidR="44A983F2">
        <w:t>d</w:t>
      </w:r>
      <w:r w:rsidRPr="0016475C">
        <w:t xml:space="preserve">entistry delegation. </w:t>
      </w:r>
    </w:p>
    <w:p w14:paraId="5427FD4C" w14:textId="2385580B" w:rsidR="00CC668C" w:rsidRDefault="00CC668C" w:rsidP="00CC668C">
      <w:pPr>
        <w:pStyle w:val="BodyText"/>
      </w:pPr>
      <w:r w:rsidRPr="0016475C">
        <w:t xml:space="preserve">Senior representatives from each </w:t>
      </w:r>
      <w:r w:rsidR="0151FDA5">
        <w:t>u</w:t>
      </w:r>
      <w:r>
        <w:t xml:space="preserve">pper </w:t>
      </w:r>
      <w:r w:rsidR="34415EB1">
        <w:t>t</w:t>
      </w:r>
      <w:r>
        <w:t xml:space="preserve">ier </w:t>
      </w:r>
      <w:r w:rsidR="605A4193">
        <w:t>l</w:t>
      </w:r>
      <w:r>
        <w:t xml:space="preserve">ocal </w:t>
      </w:r>
      <w:r w:rsidR="22612924">
        <w:t>a</w:t>
      </w:r>
      <w:r>
        <w:t>uthorit</w:t>
      </w:r>
      <w:r w:rsidR="5814B49D">
        <w:t>y</w:t>
      </w:r>
      <w:r w:rsidRPr="0016475C">
        <w:t xml:space="preserve"> sit on the ICB </w:t>
      </w:r>
      <w:r w:rsidR="00F46054">
        <w:t>B</w:t>
      </w:r>
      <w:r w:rsidR="00F46054" w:rsidRPr="0016475C">
        <w:t xml:space="preserve">oard </w:t>
      </w:r>
      <w:r w:rsidRPr="0016475C">
        <w:t xml:space="preserve">and the ICB </w:t>
      </w:r>
      <w:r w:rsidR="001165F2">
        <w:t xml:space="preserve">Executive </w:t>
      </w:r>
      <w:r w:rsidRPr="0016475C">
        <w:t>Director of Strateg</w:t>
      </w:r>
      <w:r w:rsidR="001165F2">
        <w:t>y and Corporate Services</w:t>
      </w:r>
      <w:r w:rsidRPr="0016475C">
        <w:t xml:space="preserve"> supports agenda setting for the </w:t>
      </w:r>
      <w:r w:rsidR="0029169E">
        <w:t>H</w:t>
      </w:r>
      <w:r w:rsidR="0029169E" w:rsidRPr="0016475C">
        <w:t xml:space="preserve">ealth and </w:t>
      </w:r>
      <w:r w:rsidR="0029169E">
        <w:t>Wellbeing B</w:t>
      </w:r>
      <w:r w:rsidR="0029169E" w:rsidRPr="0016475C">
        <w:t>oards</w:t>
      </w:r>
      <w:r w:rsidRPr="0016475C">
        <w:t xml:space="preserve">, maintaining a close working relationship with the three </w:t>
      </w:r>
      <w:r w:rsidR="384A0CD4">
        <w:t>c</w:t>
      </w:r>
      <w:r w:rsidRPr="0016475C">
        <w:t>hairs.</w:t>
      </w:r>
      <w:r w:rsidR="000B4A7F">
        <w:t xml:space="preserve"> </w:t>
      </w:r>
      <w:r w:rsidR="000B4A7F" w:rsidRPr="0016475C">
        <w:t xml:space="preserve">Due to the heavy programme of work for the ICB (with the </w:t>
      </w:r>
      <w:r w:rsidR="0029169E">
        <w:t>H</w:t>
      </w:r>
      <w:r w:rsidR="0029169E" w:rsidRPr="0016475C">
        <w:t xml:space="preserve">ealth and </w:t>
      </w:r>
      <w:r w:rsidR="0029169E">
        <w:t>Wellbeing B</w:t>
      </w:r>
      <w:r w:rsidR="0029169E" w:rsidRPr="0016475C">
        <w:t>oard</w:t>
      </w:r>
      <w:r w:rsidR="000B4A7F" w:rsidRPr="0016475C">
        <w:t xml:space="preserve">s being required to receive and comment on both the Integrated Care Strategy and the Joint Forward Plan) the </w:t>
      </w:r>
      <w:r w:rsidR="0029169E">
        <w:t>H</w:t>
      </w:r>
      <w:r w:rsidR="0029169E" w:rsidRPr="0016475C">
        <w:t xml:space="preserve">ealth and </w:t>
      </w:r>
      <w:r w:rsidR="0029169E">
        <w:t>Wellbeing B</w:t>
      </w:r>
      <w:r w:rsidR="0029169E" w:rsidRPr="0016475C">
        <w:t>oard</w:t>
      </w:r>
      <w:r w:rsidR="000B4A7F" w:rsidRPr="0016475C">
        <w:t xml:space="preserve">s have not been asked to specifically receive and comment on this </w:t>
      </w:r>
      <w:r w:rsidR="299B0134">
        <w:t>a</w:t>
      </w:r>
      <w:r w:rsidR="000B4A7F">
        <w:t xml:space="preserve">nnual </w:t>
      </w:r>
      <w:r w:rsidR="0648EB2D">
        <w:t>r</w:t>
      </w:r>
      <w:r w:rsidR="000B4A7F" w:rsidRPr="0016475C">
        <w:t>eport at this time</w:t>
      </w:r>
      <w:r w:rsidR="006C584E">
        <w:t xml:space="preserve">, although a verbal update on the themes within this report was provided to the </w:t>
      </w:r>
      <w:r w:rsidR="00F46054">
        <w:t xml:space="preserve">Boards </w:t>
      </w:r>
      <w:r w:rsidR="006C584E">
        <w:t>in March 2024</w:t>
      </w:r>
      <w:r w:rsidR="000B4A7F" w:rsidRPr="0016475C">
        <w:t>.</w:t>
      </w:r>
    </w:p>
    <w:p w14:paraId="302EADD8" w14:textId="314E5C9E" w:rsidR="002C1BAD" w:rsidRPr="0016475C" w:rsidRDefault="002C1BAD" w:rsidP="002C1BAD">
      <w:r w:rsidRPr="0016475C">
        <w:lastRenderedPageBreak/>
        <w:t xml:space="preserve">The </w:t>
      </w:r>
      <w:r w:rsidR="51FA7E73">
        <w:t>a</w:t>
      </w:r>
      <w:r>
        <w:t xml:space="preserve">nnual </w:t>
      </w:r>
      <w:r w:rsidR="7BA46390">
        <w:t>r</w:t>
      </w:r>
      <w:r w:rsidRPr="0016475C">
        <w:t xml:space="preserve">eport will be brought to all three </w:t>
      </w:r>
      <w:r w:rsidR="0029169E">
        <w:t>Health</w:t>
      </w:r>
      <w:r w:rsidR="0029169E" w:rsidRPr="0016475C">
        <w:t xml:space="preserve"> and </w:t>
      </w:r>
      <w:r w:rsidR="0029169E">
        <w:t>Wellbeing Board</w:t>
      </w:r>
      <w:r>
        <w:t>s</w:t>
      </w:r>
      <w:r w:rsidRPr="0016475C">
        <w:t xml:space="preserve"> at the earliest opportunity and the ICB is confident that there is regular engagement in the spirit of an </w:t>
      </w:r>
      <w:r w:rsidR="00471C4B">
        <w:t>ICS</w:t>
      </w:r>
      <w:r w:rsidRPr="0016475C">
        <w:t xml:space="preserve"> and the </w:t>
      </w:r>
      <w:r w:rsidR="0029169E">
        <w:t>H</w:t>
      </w:r>
      <w:r w:rsidR="0029169E" w:rsidRPr="0016475C">
        <w:t xml:space="preserve">ealth and </w:t>
      </w:r>
      <w:r w:rsidR="0029169E">
        <w:t>Wellbeing B</w:t>
      </w:r>
      <w:r w:rsidR="0029169E" w:rsidRPr="0016475C">
        <w:t>oard</w:t>
      </w:r>
      <w:r w:rsidRPr="0016475C">
        <w:t xml:space="preserve">s will be aware of and engaged in the work presented in this </w:t>
      </w:r>
      <w:r w:rsidR="5C009FF1">
        <w:t>a</w:t>
      </w:r>
      <w:r>
        <w:t xml:space="preserve">nnual </w:t>
      </w:r>
      <w:r w:rsidR="3F58D06C">
        <w:t>r</w:t>
      </w:r>
      <w:r w:rsidRPr="0016475C">
        <w:t>eport.</w:t>
      </w:r>
    </w:p>
    <w:p w14:paraId="09CFFE0E" w14:textId="7896AC9A" w:rsidR="002C1BAD" w:rsidRDefault="002C1BAD" w:rsidP="002C1BAD">
      <w:pPr>
        <w:pStyle w:val="BodyText"/>
      </w:pPr>
      <w:r>
        <w:t xml:space="preserve">The ICB participates fully in the work of the three </w:t>
      </w:r>
      <w:r w:rsidR="004D0F14">
        <w:t xml:space="preserve">Health </w:t>
      </w:r>
      <w:r w:rsidR="00D12DD7">
        <w:t xml:space="preserve">and </w:t>
      </w:r>
      <w:r w:rsidR="004D0F14">
        <w:t xml:space="preserve">Wellbeing Boards </w:t>
      </w:r>
      <w:r>
        <w:t xml:space="preserve">and their work continues to underpin our priorities as an ICB. The ICB supports the development of Joint Strategic Needs Assessments and Local Health and Wellbeing Strategies and meets with the three </w:t>
      </w:r>
      <w:r w:rsidR="118C3D80">
        <w:t>c</w:t>
      </w:r>
      <w:r>
        <w:t xml:space="preserve">hairs of the </w:t>
      </w:r>
      <w:r w:rsidR="00D12DD7">
        <w:t>Health and Wellbeing Board</w:t>
      </w:r>
      <w:r>
        <w:t xml:space="preserve">s and the three </w:t>
      </w:r>
      <w:r w:rsidR="059FD053">
        <w:t>d</w:t>
      </w:r>
      <w:r>
        <w:t xml:space="preserve">irectors of </w:t>
      </w:r>
      <w:r w:rsidR="165F705F">
        <w:t>p</w:t>
      </w:r>
      <w:r>
        <w:t xml:space="preserve">ublic </w:t>
      </w:r>
      <w:r w:rsidR="4CA8D979">
        <w:t>h</w:t>
      </w:r>
      <w:r>
        <w:t xml:space="preserve">ealth regularly to share insights, data, and business intelligence. </w:t>
      </w:r>
    </w:p>
    <w:p w14:paraId="69698E6A" w14:textId="563A2218" w:rsidR="009E73CB" w:rsidRDefault="002C1BAD" w:rsidP="004A6A89">
      <w:pPr>
        <w:pStyle w:val="BodyText"/>
        <w:rPr>
          <w:rFonts w:eastAsia="Times" w:cs="Times New Roman"/>
          <w:color w:val="0070C0"/>
          <w:sz w:val="28"/>
          <w:szCs w:val="28"/>
        </w:rPr>
      </w:pPr>
      <w:r w:rsidRPr="1B475259">
        <w:rPr>
          <w:rFonts w:cs="Arial"/>
        </w:rPr>
        <w:t xml:space="preserve">The three </w:t>
      </w:r>
      <w:r w:rsidR="238980B7" w:rsidRPr="1B475259">
        <w:rPr>
          <w:rFonts w:cs="Arial"/>
        </w:rPr>
        <w:t>c</w:t>
      </w:r>
      <w:r w:rsidRPr="1B475259">
        <w:rPr>
          <w:rFonts w:cs="Arial"/>
        </w:rPr>
        <w:t xml:space="preserve">hairs of the </w:t>
      </w:r>
      <w:r w:rsidR="00D12DD7" w:rsidRPr="1B475259">
        <w:rPr>
          <w:rFonts w:cs="Arial"/>
        </w:rPr>
        <w:t>Health and Wellbeing Board</w:t>
      </w:r>
      <w:r w:rsidRPr="1B475259">
        <w:rPr>
          <w:rFonts w:cs="Arial"/>
        </w:rPr>
        <w:t xml:space="preserve">s sit as </w:t>
      </w:r>
      <w:r w:rsidR="68B9C8C5" w:rsidRPr="1B475259">
        <w:rPr>
          <w:rFonts w:cs="Arial"/>
        </w:rPr>
        <w:t>v</w:t>
      </w:r>
      <w:r w:rsidRPr="1B475259">
        <w:rPr>
          <w:rFonts w:cs="Arial"/>
        </w:rPr>
        <w:t xml:space="preserve">ice </w:t>
      </w:r>
      <w:r w:rsidR="6AF51B78" w:rsidRPr="1B475259">
        <w:rPr>
          <w:rFonts w:cs="Arial"/>
        </w:rPr>
        <w:t>c</w:t>
      </w:r>
      <w:r w:rsidRPr="1B475259">
        <w:rPr>
          <w:rFonts w:cs="Arial"/>
        </w:rPr>
        <w:t xml:space="preserve">hairs of our </w:t>
      </w:r>
      <w:r w:rsidR="00471C4B">
        <w:rPr>
          <w:rFonts w:cs="Arial"/>
        </w:rPr>
        <w:t>ICP</w:t>
      </w:r>
      <w:r w:rsidRPr="1B475259">
        <w:rPr>
          <w:rFonts w:cs="Arial"/>
        </w:rPr>
        <w:t xml:space="preserve">, and other senior officers, including </w:t>
      </w:r>
      <w:r w:rsidR="3B963474" w:rsidRPr="1B475259">
        <w:rPr>
          <w:rFonts w:cs="Arial"/>
        </w:rPr>
        <w:t>d</w:t>
      </w:r>
      <w:r w:rsidRPr="1B475259">
        <w:rPr>
          <w:rFonts w:cs="Arial"/>
        </w:rPr>
        <w:t xml:space="preserve">irectors of </w:t>
      </w:r>
      <w:r w:rsidR="6692BFE2" w:rsidRPr="1B475259">
        <w:rPr>
          <w:rFonts w:cs="Arial"/>
        </w:rPr>
        <w:t>a</w:t>
      </w:r>
      <w:r w:rsidRPr="1B475259">
        <w:rPr>
          <w:rFonts w:cs="Arial"/>
        </w:rPr>
        <w:t xml:space="preserve">dult </w:t>
      </w:r>
      <w:r w:rsidR="009E73CB">
        <w:rPr>
          <w:rFonts w:cs="Arial"/>
        </w:rPr>
        <w:t>s</w:t>
      </w:r>
      <w:r w:rsidRPr="1B475259">
        <w:rPr>
          <w:rFonts w:cs="Arial"/>
        </w:rPr>
        <w:t xml:space="preserve">ocial </w:t>
      </w:r>
      <w:r w:rsidR="18F8B60F" w:rsidRPr="1B475259">
        <w:rPr>
          <w:rFonts w:cs="Arial"/>
        </w:rPr>
        <w:t>c</w:t>
      </w:r>
      <w:r w:rsidRPr="1B475259">
        <w:rPr>
          <w:rFonts w:cs="Arial"/>
        </w:rPr>
        <w:t xml:space="preserve">are and </w:t>
      </w:r>
      <w:r w:rsidR="783B0C50" w:rsidRPr="1B475259">
        <w:rPr>
          <w:rFonts w:cs="Arial"/>
        </w:rPr>
        <w:t>d</w:t>
      </w:r>
      <w:r w:rsidRPr="1B475259">
        <w:rPr>
          <w:rFonts w:cs="Arial"/>
        </w:rPr>
        <w:t xml:space="preserve">irectors of </w:t>
      </w:r>
      <w:r w:rsidR="1BEF428E" w:rsidRPr="1B475259">
        <w:rPr>
          <w:rFonts w:cs="Arial"/>
        </w:rPr>
        <w:t>p</w:t>
      </w:r>
      <w:r w:rsidRPr="1B475259">
        <w:rPr>
          <w:rFonts w:cs="Arial"/>
        </w:rPr>
        <w:t>ublic health also attend. This ensures close cooperation, regular sharing of ideas and opportunities and prompt and effective resolution of strategic issues as and when they occur.</w:t>
      </w:r>
    </w:p>
    <w:p w14:paraId="32FD0065" w14:textId="3200F2A6" w:rsidR="00AB42A7" w:rsidRPr="006C38E6" w:rsidRDefault="00AB42A7" w:rsidP="00AB42A7">
      <w:pPr>
        <w:pStyle w:val="Heading2"/>
      </w:pPr>
      <w:bookmarkStart w:id="51" w:name="_Toc164814825"/>
      <w:bookmarkStart w:id="52" w:name="_Toc164814886"/>
      <w:r w:rsidRPr="006C38E6">
        <w:t>Engaging people and communities</w:t>
      </w:r>
      <w:bookmarkEnd w:id="51"/>
      <w:bookmarkEnd w:id="52"/>
    </w:p>
    <w:p w14:paraId="2F05036D" w14:textId="7EED4CA7" w:rsidR="00AB42A7" w:rsidRDefault="00AB42A7" w:rsidP="00AB42A7">
      <w:r>
        <w:t xml:space="preserve">During </w:t>
      </w:r>
      <w:r w:rsidR="00085DBC">
        <w:t>20</w:t>
      </w:r>
      <w:r>
        <w:t>23/24 we have continued to deliver our duty (Health Act 2022) with our healthcare planners to involve the public in developing NHS services. This duty is known as “working with people and communities”.</w:t>
      </w:r>
    </w:p>
    <w:p w14:paraId="6E61332D" w14:textId="77777777" w:rsidR="00AB42A7" w:rsidRDefault="00AB42A7" w:rsidP="00AB42A7">
      <w:r w:rsidRPr="00E75457">
        <w:t xml:space="preserve">Despite organisational transformations in 2023, our </w:t>
      </w:r>
      <w:r>
        <w:t>commitment</w:t>
      </w:r>
      <w:r w:rsidRPr="00E75457">
        <w:t xml:space="preserve"> to engaging with the public, particularly underserved groups, has remained strong. We are in the process of revising our "Working with People and Communities" strategy to further this commitment.</w:t>
      </w:r>
    </w:p>
    <w:p w14:paraId="21F54999" w14:textId="77777777" w:rsidR="00AB42A7" w:rsidRDefault="00AB42A7" w:rsidP="00AB42A7">
      <w:r>
        <w:t>Although the new strategy has not yet been published, we have continued to involve the public, particularly those from groups who experience worse health outcomes, have limited access to care and generally experience poorer quality of care. This engagement supports NHS planning and delivers two of the core ICB duties of delivering improved services and reducing health inequalities.</w:t>
      </w:r>
    </w:p>
    <w:p w14:paraId="5A153CFC" w14:textId="67DD8529" w:rsidR="00AB42A7" w:rsidRPr="00C52532" w:rsidRDefault="00AB42A7" w:rsidP="00AB42A7">
      <w:pPr>
        <w:rPr>
          <w:b/>
          <w:bCs/>
        </w:rPr>
      </w:pPr>
      <w:r w:rsidRPr="00C52532">
        <w:rPr>
          <w:b/>
          <w:bCs/>
        </w:rPr>
        <w:t xml:space="preserve">Digital </w:t>
      </w:r>
      <w:r w:rsidR="71CAD09D" w:rsidRPr="1B475259">
        <w:rPr>
          <w:b/>
          <w:bCs/>
        </w:rPr>
        <w:t>e</w:t>
      </w:r>
      <w:r w:rsidRPr="1B475259">
        <w:rPr>
          <w:b/>
          <w:bCs/>
        </w:rPr>
        <w:t xml:space="preserve">ngagement </w:t>
      </w:r>
      <w:r w:rsidR="6C32BEA3" w:rsidRPr="1B475259">
        <w:rPr>
          <w:b/>
          <w:bCs/>
        </w:rPr>
        <w:t>i</w:t>
      </w:r>
      <w:r w:rsidRPr="00C52532">
        <w:rPr>
          <w:b/>
          <w:bCs/>
        </w:rPr>
        <w:t>nitiative: MSE Virtual Views</w:t>
      </w:r>
    </w:p>
    <w:p w14:paraId="7BD1778B" w14:textId="384A60D1" w:rsidR="00AB42A7" w:rsidRDefault="00AB42A7" w:rsidP="00AB42A7">
      <w:r>
        <w:t xml:space="preserve">In November 2023, we introduced MSE Virtual Views, a web-based platform that has developed our approach to public engagement and consultation. It features interactive capabilities like forums, polls, and workshops, accommodating both digital and face-to-face engagement. The platform's analytics enable us to craft engagement strategies that reflect the diverse makeup of our community. It has also enabled us to link the work of </w:t>
      </w:r>
      <w:r w:rsidR="7AAE761A">
        <w:t>a</w:t>
      </w:r>
      <w:r>
        <w:t>lliances through bespoke hubs, that helps ensure insight gained at a more local level is captured and fed into our decision-making processes.</w:t>
      </w:r>
    </w:p>
    <w:p w14:paraId="2DE41432" w14:textId="77777777" w:rsidR="00AB42A7" w:rsidRDefault="00AB42A7" w:rsidP="00AB42A7">
      <w:r>
        <w:t>There is also a function for the participant to choose which language they would like it in, helping us reach those communities where English is not their first language.</w:t>
      </w:r>
    </w:p>
    <w:p w14:paraId="21E79004" w14:textId="77777777" w:rsidR="00AB42A7" w:rsidRDefault="00AB42A7" w:rsidP="00AB42A7">
      <w:r>
        <w:t>Virtual Views allows us not only to target populations via postcode data, but those with specific health conditions, if they are a carer, or a member of staff for example. We also encourage people who sign up to provide their demographic characteristics, age, ethnicity, the more information provided the better targeted and more suitable our engagement can be.</w:t>
      </w:r>
    </w:p>
    <w:p w14:paraId="4B8CB8BA" w14:textId="70649018" w:rsidR="00AB42A7" w:rsidRDefault="00AB42A7" w:rsidP="00AB42A7">
      <w:r w:rsidRPr="00D656EB">
        <w:lastRenderedPageBreak/>
        <w:t xml:space="preserve">During the initial five months since the system went live, we have had 12,794 </w:t>
      </w:r>
      <w:r>
        <w:t xml:space="preserve">unique </w:t>
      </w:r>
      <w:r w:rsidRPr="00D656EB">
        <w:t xml:space="preserve">visits to the site. </w:t>
      </w:r>
      <w:r w:rsidRPr="00110780">
        <w:rPr>
          <w:color w:val="1F497D" w:themeColor="text2"/>
        </w:rPr>
        <w:t xml:space="preserve">https://virtualviews.midandsouthessex.ics.nhs.uk/ </w:t>
      </w:r>
      <w:r w:rsidR="00654AEE" w:rsidRPr="00110780">
        <w:rPr>
          <w:color w:val="1F497D" w:themeColor="text2"/>
        </w:rPr>
        <w:t>[</w:t>
      </w:r>
      <w:r w:rsidRPr="00110780">
        <w:rPr>
          <w:color w:val="1F497D" w:themeColor="text2"/>
        </w:rPr>
        <w:t>Hyperlink</w:t>
      </w:r>
      <w:r w:rsidR="00654AEE" w:rsidRPr="00110780">
        <w:rPr>
          <w:color w:val="1F497D" w:themeColor="text2"/>
        </w:rPr>
        <w:t>s</w:t>
      </w:r>
      <w:r w:rsidR="009E73CB" w:rsidRPr="00110780">
        <w:rPr>
          <w:color w:val="1F497D" w:themeColor="text2"/>
        </w:rPr>
        <w:t>]</w:t>
      </w:r>
    </w:p>
    <w:p w14:paraId="70979826" w14:textId="1871137C" w:rsidR="00AB42A7" w:rsidRPr="00C52532" w:rsidRDefault="00AB42A7" w:rsidP="00AB42A7">
      <w:pPr>
        <w:rPr>
          <w:b/>
          <w:bCs/>
        </w:rPr>
      </w:pPr>
      <w:r w:rsidRPr="00C52532">
        <w:rPr>
          <w:b/>
          <w:bCs/>
        </w:rPr>
        <w:t xml:space="preserve">Public </w:t>
      </w:r>
      <w:r w:rsidR="16E33F42" w:rsidRPr="1B475259">
        <w:rPr>
          <w:b/>
          <w:bCs/>
        </w:rPr>
        <w:t>c</w:t>
      </w:r>
      <w:r w:rsidRPr="00C52532">
        <w:rPr>
          <w:b/>
          <w:bCs/>
        </w:rPr>
        <w:t>onsultation</w:t>
      </w:r>
    </w:p>
    <w:p w14:paraId="02B4EF2E" w14:textId="75D71880" w:rsidR="00AB42A7" w:rsidRDefault="00AB42A7" w:rsidP="00AB42A7">
      <w:r>
        <w:t>Our most extensive consultation to date revolved around proposed changes to community hospital services and launched on 24 Jan</w:t>
      </w:r>
      <w:r w:rsidR="38616FED">
        <w:t>uary</w:t>
      </w:r>
      <w:r>
        <w:t xml:space="preserve"> 2024 running for 11 weeks to 11</w:t>
      </w:r>
      <w:r>
        <w:rPr>
          <w:vertAlign w:val="superscript"/>
        </w:rPr>
        <w:t xml:space="preserve"> </w:t>
      </w:r>
      <w:r>
        <w:t>April. We invited local people to give their views on potential changes to</w:t>
      </w:r>
      <w:r w:rsidR="004A6CD4">
        <w:t>:</w:t>
      </w:r>
    </w:p>
    <w:p w14:paraId="72487779" w14:textId="330CDB1B" w:rsidR="00AB42A7" w:rsidRPr="001C5F69" w:rsidRDefault="00A82EDC" w:rsidP="001C5F69">
      <w:pPr>
        <w:pStyle w:val="BodyText"/>
        <w:numPr>
          <w:ilvl w:val="0"/>
          <w:numId w:val="39"/>
        </w:numPr>
        <w:rPr>
          <w:szCs w:val="24"/>
        </w:rPr>
      </w:pPr>
      <w:r>
        <w:rPr>
          <w:szCs w:val="24"/>
        </w:rPr>
        <w:t>T</w:t>
      </w:r>
      <w:r w:rsidRPr="001C5F69">
        <w:rPr>
          <w:szCs w:val="24"/>
        </w:rPr>
        <w:t xml:space="preserve">he </w:t>
      </w:r>
      <w:r w:rsidR="00AB42A7" w:rsidRPr="001C5F69">
        <w:rPr>
          <w:szCs w:val="24"/>
        </w:rPr>
        <w:t>locations where we provide some of our inpatient services for community hospital intermediate care and stroke rehabilitation, and freestanding midwife-led birthing services</w:t>
      </w:r>
      <w:r>
        <w:rPr>
          <w:szCs w:val="24"/>
        </w:rPr>
        <w:t>.</w:t>
      </w:r>
    </w:p>
    <w:p w14:paraId="611C4CE7" w14:textId="2DC3B126" w:rsidR="00AB42A7" w:rsidRPr="001C5F69" w:rsidRDefault="00A82EDC" w:rsidP="001C5F69">
      <w:pPr>
        <w:pStyle w:val="BodyText"/>
        <w:numPr>
          <w:ilvl w:val="0"/>
          <w:numId w:val="39"/>
        </w:numPr>
        <w:rPr>
          <w:szCs w:val="24"/>
        </w:rPr>
      </w:pPr>
      <w:r>
        <w:rPr>
          <w:szCs w:val="24"/>
        </w:rPr>
        <w:t>T</w:t>
      </w:r>
      <w:r w:rsidRPr="001C5F69">
        <w:rPr>
          <w:szCs w:val="24"/>
        </w:rPr>
        <w:t xml:space="preserve">he </w:t>
      </w:r>
      <w:r w:rsidR="00AB42A7" w:rsidRPr="001C5F69">
        <w:rPr>
          <w:szCs w:val="24"/>
        </w:rPr>
        <w:t>possibility of moving all other patient services at St Peter’s Hospital, Maldon to other locations.</w:t>
      </w:r>
    </w:p>
    <w:p w14:paraId="15BF12B6" w14:textId="77777777" w:rsidR="00AB42A7" w:rsidRDefault="00AB42A7" w:rsidP="00AB42A7">
      <w:r>
        <w:t>Leveraging MSE Virtual Views, we garnered more than 5000 online survey responses, setting a record for our participation feedback. To ensure wide-reaching accessibility, we distributed consultation materials in various formats and languages, organised in-person events, and made use of local distribution networks for consultation documents and surveys to support those without digital accessibility to participate.</w:t>
      </w:r>
    </w:p>
    <w:p w14:paraId="5E3D8CF5" w14:textId="77777777" w:rsidR="00AB42A7" w:rsidRDefault="00AB42A7" w:rsidP="00AB42A7">
      <w:r w:rsidRPr="00D656EB">
        <w:t>The process also included a consultation hearing at Maldon Town Hall, where members of the public were offered the opportunity to present their evidence to a panel of NHS leaders. It was live streamed on You Tube to maximise the number of people able to watch and be engaged in the process.</w:t>
      </w:r>
    </w:p>
    <w:p w14:paraId="7A557FB9" w14:textId="77777777" w:rsidR="00AB42A7" w:rsidRDefault="00AB42A7" w:rsidP="00AB42A7">
      <w:r>
        <w:t>The insight received during the consultation process is being collated into an independently analysed outcome report which will form part of the decision-making business case due to be considered in the summer of 2025.</w:t>
      </w:r>
    </w:p>
    <w:p w14:paraId="3D11CB8D" w14:textId="77777777" w:rsidR="00AB42A7" w:rsidRPr="00C52532" w:rsidRDefault="00AB42A7" w:rsidP="00AB42A7">
      <w:pPr>
        <w:rPr>
          <w:b/>
          <w:bCs/>
        </w:rPr>
      </w:pPr>
      <w:r w:rsidRPr="00C52532">
        <w:rPr>
          <w:b/>
          <w:bCs/>
        </w:rPr>
        <w:t>Research Engagement Network (REN)</w:t>
      </w:r>
    </w:p>
    <w:p w14:paraId="6EBAB710" w14:textId="28E02856" w:rsidR="00AB42A7" w:rsidRDefault="00AB42A7" w:rsidP="00AB42A7">
      <w:r>
        <w:t xml:space="preserve">The establishment of the REN in November 2023 aims to ensure that health and social care research aligns with the community's needs. By focusing on marginalised groups, the REN promotes research practices that effectively address health inequalities. </w:t>
      </w:r>
      <w:r w:rsidRPr="00D656EB">
        <w:t>Through an expression of interest</w:t>
      </w:r>
      <w:r>
        <w:t xml:space="preserve"> process</w:t>
      </w:r>
      <w:r w:rsidRPr="00D656EB">
        <w:t>, we successfully received 25 applications from the targeted community groups, resulting in 18 organisations being offered grants. 19 community champions from these groups are being funded and trained to support the REN pro</w:t>
      </w:r>
      <w:r>
        <w:t>gramme</w:t>
      </w:r>
      <w:r w:rsidRPr="00D656EB">
        <w:t>.</w:t>
      </w:r>
    </w:p>
    <w:p w14:paraId="0C0DCEA9" w14:textId="77777777" w:rsidR="00AB42A7" w:rsidRPr="00C52532" w:rsidRDefault="00AB42A7" w:rsidP="00AB42A7">
      <w:pPr>
        <w:rPr>
          <w:b/>
          <w:bCs/>
        </w:rPr>
      </w:pPr>
      <w:r w:rsidRPr="00C52532">
        <w:rPr>
          <w:b/>
          <w:bCs/>
        </w:rPr>
        <w:t>Collaborative working</w:t>
      </w:r>
    </w:p>
    <w:p w14:paraId="08BDE7F7" w14:textId="77777777" w:rsidR="00AB42A7" w:rsidRDefault="00AB42A7" w:rsidP="00AB42A7">
      <w:r w:rsidRPr="00D656EB">
        <w:t>We continue to work collaboratively with our partners such as local authorities</w:t>
      </w:r>
      <w:r>
        <w:t xml:space="preserve"> and voluntary and community sector organisations</w:t>
      </w:r>
      <w:r w:rsidRPr="00D656EB">
        <w:t xml:space="preserve"> to engage with residents and avoid duplication, sharing resources</w:t>
      </w:r>
      <w:r>
        <w:t xml:space="preserve"> and insight across the system.</w:t>
      </w:r>
    </w:p>
    <w:p w14:paraId="7878958A" w14:textId="4C95EE9C" w:rsidR="00AB42A7" w:rsidRDefault="00AB42A7" w:rsidP="00AB42A7">
      <w:r>
        <w:t>Topics we have explored with our population include women's health and the menopause, using the insights gained to shape our policies and practices. Programmes like the Shared Care Record and information usage projects have also benefi</w:t>
      </w:r>
      <w:r w:rsidR="3FFB93EF">
        <w:t>t</w:t>
      </w:r>
      <w:r>
        <w:t>ted from these partnerships and insights.</w:t>
      </w:r>
    </w:p>
    <w:p w14:paraId="450DD2C8" w14:textId="77777777" w:rsidR="00AB42A7" w:rsidRDefault="00AB42A7" w:rsidP="00AB42A7">
      <w:r>
        <w:t>Our three Healthwatch organisations have again been supportive and constructively challenged our approaches where appropriate, helping us to adapt our work as needed.</w:t>
      </w:r>
    </w:p>
    <w:p w14:paraId="3E5C220A" w14:textId="77777777" w:rsidR="00AB42A7" w:rsidRDefault="00AB42A7" w:rsidP="00AB42A7">
      <w:r>
        <w:lastRenderedPageBreak/>
        <w:t>We have also continued to work with our dedicated readers panel, who help support the development of our communications approaches and content to ensure they are accessible and understandable to the public.</w:t>
      </w:r>
    </w:p>
    <w:p w14:paraId="6F92BC3C" w14:textId="0F3ADAF3" w:rsidR="00AB42A7" w:rsidRPr="00E1068D" w:rsidRDefault="00471C4B" w:rsidP="00AB42A7">
      <w:pPr>
        <w:rPr>
          <w:b/>
        </w:rPr>
      </w:pPr>
      <w:r>
        <w:rPr>
          <w:b/>
        </w:rPr>
        <w:t>ICP</w:t>
      </w:r>
      <w:r w:rsidR="00AB42A7" w:rsidRPr="00E1068D">
        <w:rPr>
          <w:b/>
        </w:rPr>
        <w:t xml:space="preserve">: </w:t>
      </w:r>
      <w:r w:rsidR="00086DB4">
        <w:rPr>
          <w:b/>
        </w:rPr>
        <w:t>s</w:t>
      </w:r>
      <w:r w:rsidR="00AB42A7" w:rsidRPr="00E1068D">
        <w:rPr>
          <w:b/>
        </w:rPr>
        <w:t xml:space="preserve">pring </w:t>
      </w:r>
      <w:r w:rsidR="00086DB4">
        <w:rPr>
          <w:b/>
        </w:rPr>
        <w:t>c</w:t>
      </w:r>
      <w:r w:rsidR="00AB42A7" w:rsidRPr="00E1068D">
        <w:rPr>
          <w:b/>
        </w:rPr>
        <w:t>onversations</w:t>
      </w:r>
    </w:p>
    <w:p w14:paraId="6B4C4B7F" w14:textId="77777777" w:rsidR="00AB42A7" w:rsidRDefault="00AB42A7" w:rsidP="00AB42A7">
      <w:r>
        <w:t xml:space="preserve">The 'Spring Conversations' events offered a vehicle for discussing the strengths and challenges within health and care, fostering collaborative approaches among healthcare partners and community members. </w:t>
      </w:r>
      <w:r w:rsidRPr="005C4FA4">
        <w:t>The ‘Spring Conversations’ focused on</w:t>
      </w:r>
      <w:r>
        <w:t xml:space="preserve"> supporting the development of our</w:t>
      </w:r>
      <w:r w:rsidRPr="005C4FA4">
        <w:t xml:space="preserve"> Integrated Care Strategy and Joint Forward Plan.</w:t>
      </w:r>
    </w:p>
    <w:p w14:paraId="68F93128" w14:textId="71279BA8" w:rsidR="00AB42A7" w:rsidRPr="00C52532" w:rsidRDefault="00AB42A7" w:rsidP="00AB42A7">
      <w:pPr>
        <w:rPr>
          <w:b/>
          <w:bCs/>
        </w:rPr>
      </w:pPr>
      <w:r w:rsidRPr="00C52532">
        <w:rPr>
          <w:b/>
          <w:bCs/>
        </w:rPr>
        <w:t xml:space="preserve">Community </w:t>
      </w:r>
      <w:r w:rsidR="67489BF9" w:rsidRPr="1F0A1A81">
        <w:rPr>
          <w:b/>
          <w:bCs/>
        </w:rPr>
        <w:t>a</w:t>
      </w:r>
      <w:r w:rsidRPr="00C52532">
        <w:rPr>
          <w:b/>
          <w:bCs/>
        </w:rPr>
        <w:t>ssembly</w:t>
      </w:r>
    </w:p>
    <w:p w14:paraId="3ADFCCA2" w14:textId="4B9D9C4B" w:rsidR="00AB42A7" w:rsidRDefault="00AB42A7" w:rsidP="00AB42A7">
      <w:r>
        <w:t xml:space="preserve">Our community assembly, drawn from a wide range of community and voluntary sector partners continued to meet and provide much-valued insight throughout </w:t>
      </w:r>
      <w:r w:rsidR="0020695F">
        <w:t>20</w:t>
      </w:r>
      <w:r>
        <w:t>23/24.</w:t>
      </w:r>
    </w:p>
    <w:p w14:paraId="36BA3B6B" w14:textId="178B68C1" w:rsidR="00AB42A7" w:rsidRDefault="00AB42A7" w:rsidP="00AB42A7">
      <w:r>
        <w:t xml:space="preserve">This included a session to help identify the key priorities for the </w:t>
      </w:r>
      <w:r w:rsidR="00245B22">
        <w:t>ICP</w:t>
      </w:r>
      <w:r>
        <w:t xml:space="preserve"> to focus delivery on from the overarching integrated care strategy.</w:t>
      </w:r>
    </w:p>
    <w:p w14:paraId="2186462C" w14:textId="77777777" w:rsidR="00AB42A7" w:rsidRDefault="00AB42A7" w:rsidP="00AB42A7">
      <w:r>
        <w:t>Following the ICB restructure and a change in personnel the opportunity was taken to “pause and reflect” on the assembly’s role.</w:t>
      </w:r>
    </w:p>
    <w:p w14:paraId="373ED8B5" w14:textId="77777777" w:rsidR="00AB42A7" w:rsidRDefault="00AB42A7" w:rsidP="00AB42A7">
      <w:r>
        <w:t>One-to-one conversations were undertaken with members of the assembly leadership team to identify challenges and opportunities.</w:t>
      </w:r>
    </w:p>
    <w:p w14:paraId="010C5F9D" w14:textId="77777777" w:rsidR="00AB42A7" w:rsidRDefault="00AB42A7" w:rsidP="00AB42A7">
      <w:r>
        <w:t>A key theme was the desire to see the assembly operate in a more strategic space and to lessen the frequency of meetings but make them more impactful.</w:t>
      </w:r>
    </w:p>
    <w:p w14:paraId="112EB86B" w14:textId="52BCC4EE" w:rsidR="00AB42A7" w:rsidRDefault="00AB42A7" w:rsidP="00AB42A7">
      <w:r>
        <w:t>Work is now underway with the leadership group to progress how we develop going forward.</w:t>
      </w:r>
    </w:p>
    <w:p w14:paraId="643AC933" w14:textId="77777777" w:rsidR="00AB42A7" w:rsidRPr="00F22A85" w:rsidRDefault="00AB42A7" w:rsidP="00AB42A7">
      <w:pPr>
        <w:pStyle w:val="Heading2"/>
      </w:pPr>
      <w:bookmarkStart w:id="53" w:name="_Toc164814826"/>
      <w:bookmarkStart w:id="54" w:name="_Toc164814887"/>
      <w:r>
        <w:t>Supporting our workforce and social value</w:t>
      </w:r>
      <w:bookmarkEnd w:id="53"/>
      <w:bookmarkEnd w:id="54"/>
    </w:p>
    <w:p w14:paraId="064115A8" w14:textId="2A54B848" w:rsidR="00744B1A" w:rsidRPr="00744B1A" w:rsidRDefault="00744B1A" w:rsidP="00AB42A7">
      <w:pPr>
        <w:pStyle w:val="Heading2"/>
        <w:rPr>
          <w:rFonts w:eastAsiaTheme="minorEastAsia" w:cstheme="minorBidi"/>
          <w:color w:val="auto"/>
          <w:sz w:val="24"/>
          <w:szCs w:val="24"/>
        </w:rPr>
      </w:pPr>
      <w:bookmarkStart w:id="55" w:name="_Toc164814827"/>
      <w:bookmarkStart w:id="56" w:name="_Toc164814888"/>
      <w:r w:rsidRPr="4B521BBB">
        <w:rPr>
          <w:rFonts w:eastAsiaTheme="minorEastAsia" w:cstheme="minorBidi"/>
          <w:color w:val="auto"/>
          <w:sz w:val="24"/>
          <w:szCs w:val="24"/>
        </w:rPr>
        <w:t xml:space="preserve">ICB </w:t>
      </w:r>
      <w:r w:rsidR="2C726D00" w:rsidRPr="4B521BBB">
        <w:rPr>
          <w:rFonts w:eastAsiaTheme="minorEastAsia" w:cstheme="minorBidi"/>
          <w:color w:val="auto"/>
          <w:sz w:val="24"/>
          <w:szCs w:val="24"/>
        </w:rPr>
        <w:t>c</w:t>
      </w:r>
      <w:r w:rsidRPr="4B521BBB">
        <w:rPr>
          <w:rFonts w:eastAsiaTheme="minorEastAsia" w:cstheme="minorBidi"/>
          <w:color w:val="auto"/>
          <w:sz w:val="24"/>
          <w:szCs w:val="24"/>
        </w:rPr>
        <w:t xml:space="preserve">orporate </w:t>
      </w:r>
      <w:r w:rsidR="6941E58F" w:rsidRPr="4B521BBB">
        <w:rPr>
          <w:rFonts w:eastAsiaTheme="minorEastAsia" w:cstheme="minorBidi"/>
          <w:color w:val="auto"/>
          <w:sz w:val="24"/>
          <w:szCs w:val="24"/>
        </w:rPr>
        <w:t>r</w:t>
      </w:r>
      <w:r w:rsidRPr="4B521BBB">
        <w:rPr>
          <w:rFonts w:eastAsiaTheme="minorEastAsia" w:cstheme="minorBidi"/>
          <w:color w:val="auto"/>
          <w:sz w:val="24"/>
          <w:szCs w:val="24"/>
        </w:rPr>
        <w:t>eview</w:t>
      </w:r>
      <w:bookmarkEnd w:id="55"/>
      <w:bookmarkEnd w:id="56"/>
    </w:p>
    <w:p w14:paraId="79EEECC7" w14:textId="04A280A7" w:rsidR="00AB42A7" w:rsidRPr="0070700A" w:rsidRDefault="00744B1A" w:rsidP="0070700A">
      <w:bookmarkStart w:id="57" w:name="_Toc164470266"/>
      <w:r>
        <w:t>Having been established for 18 months, the ICB embarked on a corporate review to understand the effectiveness of its systems of governance, operating model, and decision making.  The aim of the review was to identify improved ways of working to support the recovery model and strengthen governance.</w:t>
      </w:r>
      <w:bookmarkEnd w:id="57"/>
    </w:p>
    <w:p w14:paraId="2B740665" w14:textId="13657BE3" w:rsidR="00744B1A" w:rsidRDefault="00744B1A" w:rsidP="00744B1A">
      <w:r>
        <w:t xml:space="preserve">Consequently, ICB teams have embarked on </w:t>
      </w:r>
      <w:r w:rsidR="00552E59">
        <w:t>several</w:t>
      </w:r>
      <w:r>
        <w:t xml:space="preserve"> projects to improve risk management, health &amp; safety, contracting and organisational budget management practices</w:t>
      </w:r>
      <w:r w:rsidR="000F07D0">
        <w:t xml:space="preserve">.  Implementation of digital solutions for risk management, </w:t>
      </w:r>
      <w:r w:rsidR="00F46054">
        <w:t>Board</w:t>
      </w:r>
      <w:r w:rsidR="000F07D0">
        <w:t>/committee papers management, contract management and business intelligence are underway to support improvement projects.</w:t>
      </w:r>
    </w:p>
    <w:p w14:paraId="564AB2B4" w14:textId="1ED7F2E4" w:rsidR="000F07D0" w:rsidRPr="000F07D0" w:rsidRDefault="000F07D0" w:rsidP="00744B1A">
      <w:pPr>
        <w:rPr>
          <w:b/>
          <w:bCs/>
        </w:rPr>
      </w:pPr>
      <w:r w:rsidRPr="000F07D0">
        <w:rPr>
          <w:b/>
          <w:bCs/>
        </w:rPr>
        <w:t xml:space="preserve">ICB </w:t>
      </w:r>
      <w:r w:rsidR="57F0629B" w:rsidRPr="4B521BBB">
        <w:rPr>
          <w:b/>
          <w:bCs/>
        </w:rPr>
        <w:t>w</w:t>
      </w:r>
      <w:r w:rsidRPr="000F07D0">
        <w:rPr>
          <w:b/>
          <w:bCs/>
        </w:rPr>
        <w:t>orkforce</w:t>
      </w:r>
    </w:p>
    <w:p w14:paraId="1C6A457C" w14:textId="5FEE42CA" w:rsidR="000F07D0" w:rsidRDefault="000F07D0" w:rsidP="00744B1A">
      <w:r>
        <w:t xml:space="preserve">During 2023/24, the ICB underwent a reorganisation to achieve the 30% reduction in staff costs required by </w:t>
      </w:r>
      <w:r w:rsidR="00F46054">
        <w:t>NHSE</w:t>
      </w:r>
      <w:r>
        <w:t xml:space="preserve">.  Consequently, the impact on staff morale has been significant, evidenced through the results of the staff survey, with </w:t>
      </w:r>
      <w:r w:rsidR="00C210FE">
        <w:t>our ICB</w:t>
      </w:r>
      <w:r>
        <w:t xml:space="preserve"> having the lowest staff survey results in England.</w:t>
      </w:r>
    </w:p>
    <w:p w14:paraId="15C94E7B" w14:textId="70D82CD1" w:rsidR="000F07D0" w:rsidRDefault="00416499" w:rsidP="00744B1A">
      <w:r>
        <w:lastRenderedPageBreak/>
        <w:t>In the final quarter of the year, the HR team supported the ICB through a period of ‘repair and recover’ where organisational mission and vision and its core values were refreshed, being co-produced with staff.  Programmes of work were established to reinvigorate staff networks, improve mandatory training compliance, staff appraisals, and wellbeing.</w:t>
      </w:r>
    </w:p>
    <w:p w14:paraId="149F58F6" w14:textId="33B4ED5E" w:rsidR="00416499" w:rsidRDefault="00BF2DCB" w:rsidP="00744B1A">
      <w:r>
        <w:t>Moving into 2024/25 the ICB organisational development plan moves through a period of ‘reset &amp; rebuild’ as well as ‘re-focus &amp; re-energise’ where the focus will include publication of a new people management strategy, focussing on development of staff and building morale as well as learning and recognition to celebrate ICB achievements.</w:t>
      </w:r>
    </w:p>
    <w:p w14:paraId="6FFE804A" w14:textId="6083C7E9" w:rsidR="00BF2DCB" w:rsidRPr="00BF2DCB" w:rsidRDefault="00BF2DCB" w:rsidP="00744B1A">
      <w:pPr>
        <w:rPr>
          <w:b/>
          <w:bCs/>
        </w:rPr>
      </w:pPr>
      <w:r w:rsidRPr="00BF2DCB">
        <w:rPr>
          <w:b/>
          <w:bCs/>
        </w:rPr>
        <w:t>System workforce planning</w:t>
      </w:r>
    </w:p>
    <w:p w14:paraId="26C70E51" w14:textId="7A0AFF9B" w:rsidR="00BF2DCB" w:rsidRDefault="00BF2DCB" w:rsidP="00744B1A">
      <w:r>
        <w:t>Following the COVID-19 pandemic, workforce levels have not yet rebased to pre-covid activity and consequently there is a need to right-size establishment and reduce temporary staffing.</w:t>
      </w:r>
      <w:r w:rsidR="00321E1B">
        <w:t xml:space="preserve">  As part of system workforce planning within our acute trust, consideration has been given to how we can improve the social value of recruitment and </w:t>
      </w:r>
      <w:r w:rsidR="00552E59">
        <w:t>retention,</w:t>
      </w:r>
      <w:r w:rsidR="00321E1B">
        <w:t xml:space="preserve"> employing workforce within our geographical area and consequently reinvesting in MSE.</w:t>
      </w:r>
    </w:p>
    <w:p w14:paraId="6827DC11" w14:textId="23C2E494" w:rsidR="00321E1B" w:rsidRPr="00261D42" w:rsidRDefault="00321E1B" w:rsidP="00321E1B">
      <w:pPr>
        <w:tabs>
          <w:tab w:val="left" w:pos="275"/>
        </w:tabs>
        <w:spacing w:before="0" w:after="0" w:line="216" w:lineRule="auto"/>
        <w:rPr>
          <w:b/>
          <w:bCs/>
          <w:color w:val="005EB8"/>
          <w:sz w:val="22"/>
        </w:rPr>
      </w:pPr>
      <w:r w:rsidRPr="00261D42">
        <w:rPr>
          <w:b/>
          <w:bCs/>
          <w:color w:val="005EB8"/>
          <w:sz w:val="22"/>
        </w:rPr>
        <w:t xml:space="preserve">Case </w:t>
      </w:r>
      <w:r w:rsidR="095C80A2" w:rsidRPr="0CDDDFB8">
        <w:rPr>
          <w:b/>
          <w:bCs/>
          <w:color w:val="005EB8"/>
          <w:sz w:val="22"/>
        </w:rPr>
        <w:t>s</w:t>
      </w:r>
      <w:r w:rsidRPr="00261D42">
        <w:rPr>
          <w:b/>
          <w:bCs/>
          <w:color w:val="005EB8"/>
          <w:sz w:val="22"/>
        </w:rPr>
        <w:t xml:space="preserve">tudy: </w:t>
      </w:r>
      <w:r>
        <w:rPr>
          <w:b/>
          <w:bCs/>
          <w:color w:val="005EB8"/>
          <w:sz w:val="22"/>
        </w:rPr>
        <w:t>Anchor Programme – supporting our workforce</w:t>
      </w:r>
    </w:p>
    <w:p w14:paraId="508160DC" w14:textId="68544643" w:rsidR="00321E1B" w:rsidRPr="00744B1A" w:rsidRDefault="00321E1B" w:rsidP="00744B1A">
      <w:r w:rsidRPr="0095777A">
        <w:rPr>
          <w:noProof/>
        </w:rPr>
        <w:drawing>
          <wp:inline distT="0" distB="0" distL="0" distR="0" wp14:anchorId="14EB0DD0" wp14:editId="187DA4C7">
            <wp:extent cx="2464546" cy="2295525"/>
            <wp:effectExtent l="0" t="0" r="0" b="0"/>
            <wp:docPr id="2050" name="Picture 2050" descr="Generation Medics wearing scrubs">
              <a:extLst xmlns:a="http://schemas.openxmlformats.org/drawingml/2006/main">
                <a:ext uri="{FF2B5EF4-FFF2-40B4-BE49-F238E27FC236}">
                  <a16:creationId xmlns:a16="http://schemas.microsoft.com/office/drawing/2014/main" id="{FC57D99B-584C-6E69-2911-04424149AE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Generation Medics wearing scrubs">
                      <a:extLst>
                        <a:ext uri="{FF2B5EF4-FFF2-40B4-BE49-F238E27FC236}">
                          <a16:creationId xmlns:a16="http://schemas.microsoft.com/office/drawing/2014/main" id="{FC57D99B-584C-6E69-2911-04424149AE6E}"/>
                        </a:ext>
                      </a:extLst>
                    </pic:cNvPr>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5436"/>
                    <a:stretch/>
                  </pic:blipFill>
                  <pic:spPr bwMode="auto">
                    <a:xfrm>
                      <a:off x="0" y="0"/>
                      <a:ext cx="2471394" cy="2301904"/>
                    </a:xfrm>
                    <a:prstGeom prst="rect">
                      <a:avLst/>
                    </a:prstGeom>
                    <a:noFill/>
                  </pic:spPr>
                </pic:pic>
              </a:graphicData>
            </a:graphic>
          </wp:inline>
        </w:drawing>
      </w:r>
      <w:r w:rsidRPr="0095777A">
        <w:rPr>
          <w:noProof/>
        </w:rPr>
        <mc:AlternateContent>
          <mc:Choice Requires="wps">
            <w:drawing>
              <wp:inline distT="0" distB="0" distL="0" distR="0" wp14:anchorId="27273352" wp14:editId="25E8A024">
                <wp:extent cx="3390900" cy="2343150"/>
                <wp:effectExtent l="0" t="0" r="0" b="0"/>
                <wp:docPr id="4" name="Text Box 4">
                  <a:extLst xmlns:a="http://schemas.openxmlformats.org/drawingml/2006/main">
                    <a:ext uri="{FF2B5EF4-FFF2-40B4-BE49-F238E27FC236}">
                      <a16:creationId xmlns:a16="http://schemas.microsoft.com/office/drawing/2014/main" id="{B728BAB6-8695-1CC9-54B8-941572C9B69B}"/>
                    </a:ext>
                  </a:extLst>
                </wp:docPr>
                <wp:cNvGraphicFramePr/>
                <a:graphic xmlns:a="http://schemas.openxmlformats.org/drawingml/2006/main">
                  <a:graphicData uri="http://schemas.microsoft.com/office/word/2010/wordprocessingShape">
                    <wps:wsp>
                      <wps:cNvSpPr txBox="1"/>
                      <wps:spPr>
                        <a:xfrm>
                          <a:off x="0" y="0"/>
                          <a:ext cx="3390900" cy="2343150"/>
                        </a:xfrm>
                        <a:prstGeom prst="rect">
                          <a:avLst/>
                        </a:prstGeom>
                      </wps:spPr>
                      <wps:txbx>
                        <w:txbxContent>
                          <w:p w14:paraId="0E6DB49D" w14:textId="56C399E9" w:rsidR="00321E1B" w:rsidRPr="00AD6D71" w:rsidRDefault="00321E1B" w:rsidP="00321E1B">
                            <w:pPr>
                              <w:tabs>
                                <w:tab w:val="left" w:pos="275"/>
                              </w:tabs>
                              <w:spacing w:before="0" w:after="0" w:line="216" w:lineRule="auto"/>
                              <w:rPr>
                                <w:rFonts w:cs="Arial"/>
                                <w:color w:val="000000" w:themeColor="text1"/>
                                <w:kern w:val="24"/>
                                <w:sz w:val="21"/>
                                <w:szCs w:val="21"/>
                                <w:lang w:val="en-US"/>
                              </w:rPr>
                            </w:pPr>
                            <w:r w:rsidRPr="00AD6D71">
                              <w:rPr>
                                <w:rFonts w:cs="Arial"/>
                                <w:color w:val="000000" w:themeColor="text1"/>
                                <w:kern w:val="24"/>
                                <w:sz w:val="21"/>
                                <w:szCs w:val="21"/>
                                <w:lang w:val="en-US"/>
                              </w:rPr>
                              <w:t xml:space="preserve">In partnership with health and care (local councils) and the education sector in mid and south Essex, MSEFT </w:t>
                            </w:r>
                            <w:r w:rsidR="006D491D">
                              <w:rPr>
                                <w:rFonts w:cs="Arial"/>
                                <w:color w:val="000000" w:themeColor="text1"/>
                                <w:kern w:val="24"/>
                                <w:sz w:val="21"/>
                                <w:szCs w:val="21"/>
                                <w:lang w:val="en-US"/>
                              </w:rPr>
                              <w:t>(</w:t>
                            </w:r>
                            <w:r w:rsidRPr="00AD6D71">
                              <w:rPr>
                                <w:rFonts w:cs="Arial"/>
                                <w:color w:val="000000" w:themeColor="text1"/>
                                <w:kern w:val="24"/>
                                <w:sz w:val="21"/>
                                <w:szCs w:val="21"/>
                                <w:lang w:val="en-US"/>
                              </w:rPr>
                              <w:t>as one of the largest employers in the region</w:t>
                            </w:r>
                            <w:r w:rsidR="006D491D">
                              <w:rPr>
                                <w:rFonts w:cs="Arial"/>
                                <w:color w:val="000000" w:themeColor="text1"/>
                                <w:kern w:val="24"/>
                                <w:sz w:val="21"/>
                                <w:szCs w:val="21"/>
                                <w:lang w:val="en-US"/>
                              </w:rPr>
                              <w:t>)</w:t>
                            </w:r>
                            <w:r w:rsidRPr="00AD6D71">
                              <w:rPr>
                                <w:rFonts w:cs="Arial"/>
                                <w:color w:val="000000" w:themeColor="text1"/>
                                <w:kern w:val="24"/>
                                <w:sz w:val="21"/>
                                <w:szCs w:val="21"/>
                                <w:lang w:val="en-US"/>
                              </w:rPr>
                              <w:t xml:space="preserve"> aims to provide more opportunities for young people, reduce their environmental impact and create volunteering opportunities, through the Anchor programme.</w:t>
                            </w:r>
                          </w:p>
                          <w:p w14:paraId="21B69299" w14:textId="77777777" w:rsidR="00321E1B" w:rsidRPr="00AD6D71" w:rsidRDefault="00321E1B" w:rsidP="00321E1B">
                            <w:pPr>
                              <w:tabs>
                                <w:tab w:val="left" w:pos="275"/>
                              </w:tabs>
                              <w:spacing w:after="0" w:line="216" w:lineRule="auto"/>
                              <w:rPr>
                                <w:rFonts w:cs="Arial"/>
                                <w:color w:val="000000" w:themeColor="text1"/>
                                <w:kern w:val="24"/>
                                <w:sz w:val="21"/>
                                <w:szCs w:val="21"/>
                                <w:lang w:val="en-US"/>
                              </w:rPr>
                            </w:pPr>
                            <w:r w:rsidRPr="00AD6D71">
                              <w:rPr>
                                <w:rFonts w:cs="Arial"/>
                                <w:color w:val="000000" w:themeColor="text1"/>
                                <w:kern w:val="24"/>
                                <w:sz w:val="21"/>
                                <w:szCs w:val="21"/>
                                <w:lang w:val="en-US"/>
                              </w:rPr>
                              <w:t>The programme brings high-quality local employment, supports staff in their professional development, and reaches out to local partners to help them succeed.</w:t>
                            </w:r>
                          </w:p>
                          <w:p w14:paraId="7422CDD2" w14:textId="77777777" w:rsidR="00321E1B" w:rsidRPr="00AD6D71" w:rsidRDefault="00321E1B" w:rsidP="00321E1B">
                            <w:pPr>
                              <w:tabs>
                                <w:tab w:val="left" w:pos="275"/>
                              </w:tabs>
                              <w:spacing w:after="0" w:line="216" w:lineRule="auto"/>
                              <w:rPr>
                                <w:rFonts w:cs="Arial"/>
                                <w:color w:val="000000" w:themeColor="text1"/>
                                <w:kern w:val="24"/>
                                <w:sz w:val="21"/>
                                <w:szCs w:val="21"/>
                                <w:lang w:val="en-US"/>
                              </w:rPr>
                            </w:pPr>
                            <w:r w:rsidRPr="00AD6D71">
                              <w:rPr>
                                <w:rFonts w:cs="Arial"/>
                                <w:color w:val="000000" w:themeColor="text1"/>
                                <w:kern w:val="24"/>
                                <w:sz w:val="21"/>
                                <w:szCs w:val="21"/>
                                <w:lang w:val="en-US"/>
                              </w:rPr>
                              <w:t>Basildon Hospital is the pilot site, with the programme set to expand to include all three hospital sites and communities across mid and south Essex later this year.</w:t>
                            </w:r>
                          </w:p>
                          <w:p w14:paraId="763EF41C" w14:textId="77777777" w:rsidR="00321E1B" w:rsidRPr="0095777A" w:rsidRDefault="00321E1B" w:rsidP="00321E1B">
                            <w:pPr>
                              <w:tabs>
                                <w:tab w:val="left" w:pos="275"/>
                              </w:tabs>
                              <w:spacing w:after="0" w:line="216" w:lineRule="auto"/>
                              <w:rPr>
                                <w:rFonts w:cs="Arial"/>
                                <w:color w:val="000000" w:themeColor="text1"/>
                                <w:kern w:val="24"/>
                                <w:sz w:val="20"/>
                                <w:szCs w:val="20"/>
                                <w:lang w:val="en-US"/>
                              </w:rPr>
                            </w:pPr>
                          </w:p>
                        </w:txbxContent>
                      </wps:txbx>
                      <wps:bodyPr vert="horz" wrap="square" lIns="91440" tIns="45720" rIns="91440" bIns="45720" rtlCol="0">
                        <a:noAutofit/>
                      </wps:bodyPr>
                    </wps:wsp>
                  </a:graphicData>
                </a:graphic>
              </wp:inline>
            </w:drawing>
          </mc:Choice>
          <mc:Fallback>
            <w:pict>
              <v:shape w14:anchorId="27273352" id="Text Box 4" o:spid="_x0000_s1037" type="#_x0000_t202" style="width:267pt;height:1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" filled="f" stroked="f">
                <v:textbox>
                  <w:txbxContent>
                    <w:p w14:paraId="0E6DB49D" w14:textId="56C399E9" w:rsidR="00321E1B" w:rsidRPr="00AD6D71" w:rsidRDefault="00321E1B" w:rsidP="00321E1B">
                      <w:pPr>
                        <w:tabs>
                          <w:tab w:val="left" w:pos="275"/>
                        </w:tabs>
                        <w:spacing w:before="0" w:after="0" w:line="216" w:lineRule="auto"/>
                        <w:rPr>
                          <w:rFonts w:cs="Arial"/>
                          <w:color w:val="000000" w:themeColor="text1"/>
                          <w:kern w:val="24"/>
                          <w:sz w:val="21"/>
                          <w:szCs w:val="21"/>
                          <w:lang w:val="en-US"/>
                        </w:rPr>
                      </w:pPr>
                      <w:r w:rsidRPr="00AD6D71">
                        <w:rPr>
                          <w:rFonts w:cs="Arial"/>
                          <w:color w:val="000000" w:themeColor="text1"/>
                          <w:kern w:val="24"/>
                          <w:sz w:val="21"/>
                          <w:szCs w:val="21"/>
                          <w:lang w:val="en-US"/>
                        </w:rPr>
                        <w:t xml:space="preserve">In partnership with health and care (local councils) and the education sector in mid and south Essex, MSEFT </w:t>
                      </w:r>
                      <w:r w:rsidR="006D491D">
                        <w:rPr>
                          <w:rFonts w:cs="Arial"/>
                          <w:color w:val="000000" w:themeColor="text1"/>
                          <w:kern w:val="24"/>
                          <w:sz w:val="21"/>
                          <w:szCs w:val="21"/>
                          <w:lang w:val="en-US"/>
                        </w:rPr>
                        <w:t>(</w:t>
                      </w:r>
                      <w:r w:rsidRPr="00AD6D71">
                        <w:rPr>
                          <w:rFonts w:cs="Arial"/>
                          <w:color w:val="000000" w:themeColor="text1"/>
                          <w:kern w:val="24"/>
                          <w:sz w:val="21"/>
                          <w:szCs w:val="21"/>
                          <w:lang w:val="en-US"/>
                        </w:rPr>
                        <w:t>as one of the largest employers in the region</w:t>
                      </w:r>
                      <w:r w:rsidR="006D491D">
                        <w:rPr>
                          <w:rFonts w:cs="Arial"/>
                          <w:color w:val="000000" w:themeColor="text1"/>
                          <w:kern w:val="24"/>
                          <w:sz w:val="21"/>
                          <w:szCs w:val="21"/>
                          <w:lang w:val="en-US"/>
                        </w:rPr>
                        <w:t>)</w:t>
                      </w:r>
                      <w:r w:rsidRPr="00AD6D71">
                        <w:rPr>
                          <w:rFonts w:cs="Arial"/>
                          <w:color w:val="000000" w:themeColor="text1"/>
                          <w:kern w:val="24"/>
                          <w:sz w:val="21"/>
                          <w:szCs w:val="21"/>
                          <w:lang w:val="en-US"/>
                        </w:rPr>
                        <w:t xml:space="preserve"> aims to provide more opportunities for young people, reduce their environmental impact and create volunteering opportunities, through the Anchor programme.</w:t>
                      </w:r>
                    </w:p>
                    <w:p w14:paraId="21B69299" w14:textId="77777777" w:rsidR="00321E1B" w:rsidRPr="00AD6D71" w:rsidRDefault="00321E1B" w:rsidP="00321E1B">
                      <w:pPr>
                        <w:tabs>
                          <w:tab w:val="left" w:pos="275"/>
                        </w:tabs>
                        <w:spacing w:after="0" w:line="216" w:lineRule="auto"/>
                        <w:rPr>
                          <w:rFonts w:cs="Arial"/>
                          <w:color w:val="000000" w:themeColor="text1"/>
                          <w:kern w:val="24"/>
                          <w:sz w:val="21"/>
                          <w:szCs w:val="21"/>
                          <w:lang w:val="en-US"/>
                        </w:rPr>
                      </w:pPr>
                      <w:r w:rsidRPr="00AD6D71">
                        <w:rPr>
                          <w:rFonts w:cs="Arial"/>
                          <w:color w:val="000000" w:themeColor="text1"/>
                          <w:kern w:val="24"/>
                          <w:sz w:val="21"/>
                          <w:szCs w:val="21"/>
                          <w:lang w:val="en-US"/>
                        </w:rPr>
                        <w:t>The programme brings high-quality local employment, supports staff in their professional development, and reaches out to local partners to help them succeed.</w:t>
                      </w:r>
                    </w:p>
                    <w:p w14:paraId="7422CDD2" w14:textId="77777777" w:rsidR="00321E1B" w:rsidRPr="00AD6D71" w:rsidRDefault="00321E1B" w:rsidP="00321E1B">
                      <w:pPr>
                        <w:tabs>
                          <w:tab w:val="left" w:pos="275"/>
                        </w:tabs>
                        <w:spacing w:after="0" w:line="216" w:lineRule="auto"/>
                        <w:rPr>
                          <w:rFonts w:cs="Arial"/>
                          <w:color w:val="000000" w:themeColor="text1"/>
                          <w:kern w:val="24"/>
                          <w:sz w:val="21"/>
                          <w:szCs w:val="21"/>
                          <w:lang w:val="en-US"/>
                        </w:rPr>
                      </w:pPr>
                      <w:r w:rsidRPr="00AD6D71">
                        <w:rPr>
                          <w:rFonts w:cs="Arial"/>
                          <w:color w:val="000000" w:themeColor="text1"/>
                          <w:kern w:val="24"/>
                          <w:sz w:val="21"/>
                          <w:szCs w:val="21"/>
                          <w:lang w:val="en-US"/>
                        </w:rPr>
                        <w:t>Basildon Hospital is the pilot site, with the programme set to expand to include all three hospital sites and communities across mid and south Essex later this year.</w:t>
                      </w:r>
                    </w:p>
                    <w:p w14:paraId="763EF41C" w14:textId="77777777" w:rsidR="00321E1B" w:rsidRPr="0095777A" w:rsidRDefault="00321E1B" w:rsidP="00321E1B">
                      <w:pPr>
                        <w:tabs>
                          <w:tab w:val="left" w:pos="275"/>
                        </w:tabs>
                        <w:spacing w:after="0" w:line="216" w:lineRule="auto"/>
                        <w:rPr>
                          <w:rFonts w:cs="Arial"/>
                          <w:color w:val="000000" w:themeColor="text1"/>
                          <w:kern w:val="24"/>
                          <w:sz w:val="20"/>
                          <w:szCs w:val="20"/>
                          <w:lang w:val="en-US"/>
                        </w:rPr>
                      </w:pPr>
                    </w:p>
                  </w:txbxContent>
                </v:textbox>
                <w10:anchorlock/>
              </v:shape>
            </w:pict>
          </mc:Fallback>
        </mc:AlternateContent>
      </w:r>
    </w:p>
    <w:p w14:paraId="62D23C75" w14:textId="7E576FAE" w:rsidR="00321E1B" w:rsidRDefault="00321E1B" w:rsidP="00321E1B">
      <w:r>
        <w:t>2023/24 has brought into focus the inter-relationships of activity, workforce</w:t>
      </w:r>
      <w:r w:rsidR="00EA74C5">
        <w:t>,</w:t>
      </w:r>
      <w:r>
        <w:t xml:space="preserve"> and finance; identifying the need for stronger accountability and a culture of leadership and accountability to facilitate more effective financial control.  It has also identified the need for a ‘left shift’ in the alignment of workforce outside of acute to primary and community care and virtual ward to enable greater agility in moving staff to pivot to priorities.</w:t>
      </w:r>
    </w:p>
    <w:p w14:paraId="68485563" w14:textId="23CF8DE1" w:rsidR="00AB42A7" w:rsidRPr="00AB42A7" w:rsidRDefault="00AB42A7" w:rsidP="00AB42A7">
      <w:pPr>
        <w:pStyle w:val="Heading2"/>
        <w:rPr>
          <w:rFonts w:eastAsiaTheme="minorEastAsia" w:cstheme="minorBidi"/>
          <w:color w:val="auto"/>
          <w:sz w:val="24"/>
          <w:szCs w:val="24"/>
        </w:rPr>
      </w:pPr>
      <w:bookmarkStart w:id="58" w:name="_Toc164814828"/>
      <w:bookmarkStart w:id="59" w:name="_Toc164814889"/>
      <w:r w:rsidRPr="502CB01B">
        <w:rPr>
          <w:rFonts w:eastAsiaTheme="minorEastAsia" w:cstheme="minorBidi"/>
          <w:color w:val="auto"/>
          <w:sz w:val="24"/>
          <w:szCs w:val="24"/>
        </w:rPr>
        <w:t xml:space="preserve">Clinical and </w:t>
      </w:r>
      <w:r w:rsidR="0C841785" w:rsidRPr="502CB01B">
        <w:rPr>
          <w:rFonts w:eastAsiaTheme="minorEastAsia" w:cstheme="minorBidi"/>
          <w:color w:val="auto"/>
          <w:sz w:val="24"/>
          <w:szCs w:val="24"/>
        </w:rPr>
        <w:t>p</w:t>
      </w:r>
      <w:r w:rsidRPr="502CB01B">
        <w:rPr>
          <w:rFonts w:eastAsiaTheme="minorEastAsia" w:cstheme="minorBidi"/>
          <w:color w:val="auto"/>
          <w:sz w:val="24"/>
          <w:szCs w:val="24"/>
        </w:rPr>
        <w:t xml:space="preserve">rofessional </w:t>
      </w:r>
      <w:r w:rsidR="4B537D7C" w:rsidRPr="502CB01B">
        <w:rPr>
          <w:rFonts w:eastAsiaTheme="minorEastAsia" w:cstheme="minorBidi"/>
          <w:color w:val="auto"/>
          <w:sz w:val="24"/>
          <w:szCs w:val="24"/>
        </w:rPr>
        <w:t>l</w:t>
      </w:r>
      <w:r w:rsidRPr="502CB01B">
        <w:rPr>
          <w:rFonts w:eastAsiaTheme="minorEastAsia" w:cstheme="minorBidi"/>
          <w:color w:val="auto"/>
          <w:sz w:val="24"/>
          <w:szCs w:val="24"/>
        </w:rPr>
        <w:t xml:space="preserve">eadership - </w:t>
      </w:r>
      <w:r w:rsidR="65F86782" w:rsidRPr="502CB01B">
        <w:rPr>
          <w:rFonts w:eastAsiaTheme="minorEastAsia" w:cstheme="minorBidi"/>
          <w:color w:val="auto"/>
          <w:sz w:val="24"/>
          <w:szCs w:val="24"/>
        </w:rPr>
        <w:t>s</w:t>
      </w:r>
      <w:r w:rsidRPr="502CB01B">
        <w:rPr>
          <w:rFonts w:eastAsiaTheme="minorEastAsia" w:cstheme="minorBidi"/>
          <w:color w:val="auto"/>
          <w:sz w:val="24"/>
          <w:szCs w:val="24"/>
        </w:rPr>
        <w:t>tewardship</w:t>
      </w:r>
      <w:bookmarkEnd w:id="58"/>
      <w:bookmarkEnd w:id="59"/>
    </w:p>
    <w:p w14:paraId="3A009A18" w14:textId="4AAE6ED3" w:rsidR="00AB42A7" w:rsidRDefault="00AB42A7" w:rsidP="00AB42A7">
      <w:pPr>
        <w:rPr>
          <w:rFonts w:ascii="Calibri" w:hAnsi="Calibri"/>
          <w:sz w:val="22"/>
        </w:rPr>
      </w:pPr>
      <w:r>
        <w:t xml:space="preserve">The ICB has developed 10 </w:t>
      </w:r>
      <w:r w:rsidR="5D928F6A">
        <w:t>s</w:t>
      </w:r>
      <w:r>
        <w:t>tewardship groups</w:t>
      </w:r>
      <w:r>
        <w:rPr>
          <w:b/>
          <w:bCs/>
        </w:rPr>
        <w:t xml:space="preserve"> </w:t>
      </w:r>
      <w:r>
        <w:t xml:space="preserve">including </w:t>
      </w:r>
      <w:r w:rsidR="425379B4">
        <w:t>a</w:t>
      </w:r>
      <w:r>
        <w:t xml:space="preserve">geing </w:t>
      </w:r>
      <w:r w:rsidR="6EDA18E9">
        <w:t>w</w:t>
      </w:r>
      <w:r>
        <w:t xml:space="preserve">ell, </w:t>
      </w:r>
      <w:r w:rsidR="066F35AC">
        <w:t>c</w:t>
      </w:r>
      <w:r>
        <w:t xml:space="preserve">ancer, </w:t>
      </w:r>
      <w:r w:rsidR="430212E7">
        <w:t>c</w:t>
      </w:r>
      <w:r>
        <w:t xml:space="preserve">hildren and </w:t>
      </w:r>
      <w:r w:rsidR="1FAFFCE0">
        <w:t>y</w:t>
      </w:r>
      <w:r>
        <w:t xml:space="preserve">oung </w:t>
      </w:r>
      <w:r w:rsidR="29DF069C">
        <w:t>p</w:t>
      </w:r>
      <w:r>
        <w:t xml:space="preserve">eople, </w:t>
      </w:r>
      <w:r w:rsidR="6100E282">
        <w:t>d</w:t>
      </w:r>
      <w:r>
        <w:t xml:space="preserve">ermatology, </w:t>
      </w:r>
      <w:r w:rsidR="4855B381">
        <w:t>d</w:t>
      </w:r>
      <w:r>
        <w:t xml:space="preserve">iabetes, </w:t>
      </w:r>
      <w:r w:rsidR="5A92CFEE">
        <w:t>e</w:t>
      </w:r>
      <w:r>
        <w:t xml:space="preserve">yes, </w:t>
      </w:r>
      <w:r w:rsidR="18F602F1">
        <w:t>m</w:t>
      </w:r>
      <w:r>
        <w:t xml:space="preserve">ental </w:t>
      </w:r>
      <w:r w:rsidR="1E4258F1">
        <w:t>h</w:t>
      </w:r>
      <w:r>
        <w:t xml:space="preserve">ealth, </w:t>
      </w:r>
      <w:r w:rsidR="43A9BBAE">
        <w:t>m</w:t>
      </w:r>
      <w:r>
        <w:t xml:space="preserve">usculoskeletal, </w:t>
      </w:r>
      <w:r w:rsidR="2C6B3CA2">
        <w:t>s</w:t>
      </w:r>
      <w:r>
        <w:t xml:space="preserve">troke and </w:t>
      </w:r>
      <w:r w:rsidR="00E04535">
        <w:t>u</w:t>
      </w:r>
      <w:r>
        <w:t xml:space="preserve">rgent and </w:t>
      </w:r>
      <w:r w:rsidR="290C5E81">
        <w:t>e</w:t>
      </w:r>
      <w:r>
        <w:t xml:space="preserve">mergency </w:t>
      </w:r>
      <w:r w:rsidR="25E8F296">
        <w:t>c</w:t>
      </w:r>
      <w:r>
        <w:t xml:space="preserve">are. These include 82 stewards from at least 14 health and care organisations including </w:t>
      </w:r>
      <w:r w:rsidR="48194C09">
        <w:t>p</w:t>
      </w:r>
      <w:r>
        <w:t xml:space="preserve">rimary, </w:t>
      </w:r>
      <w:r w:rsidR="407CE739">
        <w:t>s</w:t>
      </w:r>
      <w:r>
        <w:t xml:space="preserve">econdary and </w:t>
      </w:r>
      <w:r w:rsidR="305F83F2">
        <w:t>c</w:t>
      </w:r>
      <w:r>
        <w:t xml:space="preserve">ommunity care, voluntary sector, ICB and residents. We also have a central </w:t>
      </w:r>
      <w:r w:rsidR="2ED19469">
        <w:t>s</w:t>
      </w:r>
      <w:r>
        <w:t xml:space="preserve">tewardship </w:t>
      </w:r>
      <w:r w:rsidR="4BB597DC">
        <w:t>p</w:t>
      </w:r>
      <w:r>
        <w:t xml:space="preserve">rogramme team to support the efforts and outputs from the programme. </w:t>
      </w:r>
    </w:p>
    <w:p w14:paraId="44247079" w14:textId="77777777" w:rsidR="00AB42A7" w:rsidRDefault="00AB42A7" w:rsidP="00AB42A7">
      <w:r>
        <w:t>Some selected highlights from projects completed over the last year include:</w:t>
      </w:r>
    </w:p>
    <w:tbl>
      <w:tblPr>
        <w:tblStyle w:val="TableGrid"/>
        <w:tblW w:w="0" w:type="auto"/>
        <w:tblLook w:val="04A0" w:firstRow="1" w:lastRow="0" w:firstColumn="1" w:lastColumn="0" w:noHBand="0" w:noVBand="1"/>
      </w:tblPr>
      <w:tblGrid>
        <w:gridCol w:w="1696"/>
        <w:gridCol w:w="7626"/>
      </w:tblGrid>
      <w:tr w:rsidR="00AB42A7" w14:paraId="3BB5BAA2" w14:textId="77777777" w:rsidTr="00E04535">
        <w:trPr>
          <w:tblHeader/>
        </w:trPr>
        <w:tc>
          <w:tcPr>
            <w:tcW w:w="1696" w:type="dxa"/>
            <w:tcMar>
              <w:top w:w="108" w:type="dxa"/>
              <w:bottom w:w="108" w:type="dxa"/>
            </w:tcMar>
          </w:tcPr>
          <w:p w14:paraId="44FB9F0F" w14:textId="77777777" w:rsidR="00AB42A7" w:rsidRDefault="00AB42A7" w:rsidP="009115F7">
            <w:pPr>
              <w:spacing w:before="0" w:after="0"/>
              <w:rPr>
                <w:b/>
                <w:bCs/>
              </w:rPr>
            </w:pPr>
            <w:r>
              <w:rPr>
                <w:b/>
                <w:bCs/>
              </w:rPr>
              <w:lastRenderedPageBreak/>
              <w:t>Area</w:t>
            </w:r>
          </w:p>
        </w:tc>
        <w:tc>
          <w:tcPr>
            <w:tcW w:w="7626" w:type="dxa"/>
            <w:tcMar>
              <w:top w:w="108" w:type="dxa"/>
              <w:bottom w:w="108" w:type="dxa"/>
            </w:tcMar>
          </w:tcPr>
          <w:p w14:paraId="0411D8C5" w14:textId="77777777" w:rsidR="00AB42A7" w:rsidRDefault="00AB42A7" w:rsidP="009115F7">
            <w:pPr>
              <w:spacing w:before="0" w:after="0"/>
              <w:rPr>
                <w:b/>
                <w:bCs/>
              </w:rPr>
            </w:pPr>
            <w:r>
              <w:rPr>
                <w:b/>
                <w:bCs/>
              </w:rPr>
              <w:t>Achievement</w:t>
            </w:r>
          </w:p>
        </w:tc>
      </w:tr>
      <w:tr w:rsidR="00AB42A7" w14:paraId="094362C6" w14:textId="77777777" w:rsidTr="009115F7">
        <w:tc>
          <w:tcPr>
            <w:tcW w:w="1696" w:type="dxa"/>
            <w:tcMar>
              <w:top w:w="108" w:type="dxa"/>
              <w:bottom w:w="108" w:type="dxa"/>
            </w:tcMar>
          </w:tcPr>
          <w:p w14:paraId="45C5B41D" w14:textId="77777777" w:rsidR="00AB42A7" w:rsidRDefault="00AB42A7" w:rsidP="009115F7">
            <w:pPr>
              <w:spacing w:before="0" w:after="0"/>
              <w:rPr>
                <w:b/>
                <w:bCs/>
              </w:rPr>
            </w:pPr>
            <w:r>
              <w:rPr>
                <w:rFonts w:eastAsia="Times New Roman"/>
                <w:b/>
                <w:bCs/>
              </w:rPr>
              <w:t>Cancer:</w:t>
            </w:r>
          </w:p>
        </w:tc>
        <w:tc>
          <w:tcPr>
            <w:tcW w:w="7626" w:type="dxa"/>
            <w:tcMar>
              <w:top w:w="108" w:type="dxa"/>
              <w:bottom w:w="108" w:type="dxa"/>
            </w:tcMar>
          </w:tcPr>
          <w:p w14:paraId="4C9B9F84" w14:textId="5961D44B" w:rsidR="00AB42A7" w:rsidRPr="0059280B" w:rsidRDefault="00AB42A7" w:rsidP="009115F7">
            <w:pPr>
              <w:spacing w:before="0" w:after="0"/>
              <w:rPr>
                <w:rFonts w:eastAsia="Times New Roman"/>
              </w:rPr>
            </w:pPr>
            <w:r w:rsidRPr="0059280B">
              <w:rPr>
                <w:rFonts w:eastAsia="Times New Roman"/>
              </w:rPr>
              <w:t xml:space="preserve">Improved skin cancer </w:t>
            </w:r>
            <w:r w:rsidR="518D5095" w:rsidRPr="0DB516B2">
              <w:rPr>
                <w:rFonts w:eastAsia="Times New Roman"/>
              </w:rPr>
              <w:t>f</w:t>
            </w:r>
            <w:r w:rsidRPr="0DB516B2">
              <w:rPr>
                <w:rFonts w:eastAsia="Times New Roman"/>
              </w:rPr>
              <w:t xml:space="preserve">aster </w:t>
            </w:r>
            <w:r w:rsidR="7306341F" w:rsidRPr="0DB516B2">
              <w:rPr>
                <w:rFonts w:eastAsia="Times New Roman"/>
              </w:rPr>
              <w:t>d</w:t>
            </w:r>
            <w:r w:rsidRPr="0DB516B2">
              <w:rPr>
                <w:rFonts w:eastAsia="Times New Roman"/>
              </w:rPr>
              <w:t xml:space="preserve">iagnostic </w:t>
            </w:r>
            <w:r w:rsidR="6B56D56E" w:rsidRPr="0DB516B2">
              <w:rPr>
                <w:rFonts w:eastAsia="Times New Roman"/>
              </w:rPr>
              <w:t>s</w:t>
            </w:r>
            <w:r w:rsidRPr="0059280B">
              <w:rPr>
                <w:rFonts w:eastAsia="Times New Roman"/>
              </w:rPr>
              <w:t>tandard (FDS) performance from 25% to 69%, reducing the number of people waiting longer than 62 days from 1240 in Aug</w:t>
            </w:r>
            <w:r w:rsidR="009B4E4F">
              <w:rPr>
                <w:rFonts w:eastAsia="Times New Roman"/>
              </w:rPr>
              <w:t>ust</w:t>
            </w:r>
            <w:r w:rsidRPr="0059280B">
              <w:rPr>
                <w:rFonts w:eastAsia="Times New Roman"/>
              </w:rPr>
              <w:t xml:space="preserve"> </w:t>
            </w:r>
            <w:r w:rsidR="009B4E4F">
              <w:rPr>
                <w:rFonts w:eastAsia="Times New Roman"/>
              </w:rPr>
              <w:t>20</w:t>
            </w:r>
            <w:r w:rsidRPr="0059280B">
              <w:rPr>
                <w:rFonts w:eastAsia="Times New Roman"/>
              </w:rPr>
              <w:t>22, to 109 in Feb</w:t>
            </w:r>
            <w:r w:rsidR="009B4E4F">
              <w:rPr>
                <w:rFonts w:eastAsia="Times New Roman"/>
              </w:rPr>
              <w:t>ruary</w:t>
            </w:r>
            <w:r w:rsidRPr="0059280B">
              <w:rPr>
                <w:rFonts w:eastAsia="Times New Roman"/>
              </w:rPr>
              <w:t xml:space="preserve"> </w:t>
            </w:r>
            <w:r w:rsidR="00BC134E">
              <w:rPr>
                <w:rFonts w:eastAsia="Times New Roman"/>
              </w:rPr>
              <w:t>20</w:t>
            </w:r>
            <w:r w:rsidRPr="0059280B">
              <w:rPr>
                <w:rFonts w:eastAsia="Times New Roman"/>
              </w:rPr>
              <w:t>24.</w:t>
            </w:r>
          </w:p>
        </w:tc>
      </w:tr>
      <w:tr w:rsidR="00AB42A7" w14:paraId="6981563D" w14:textId="77777777" w:rsidTr="009115F7">
        <w:tc>
          <w:tcPr>
            <w:tcW w:w="1696" w:type="dxa"/>
            <w:tcMar>
              <w:top w:w="108" w:type="dxa"/>
              <w:bottom w:w="108" w:type="dxa"/>
            </w:tcMar>
          </w:tcPr>
          <w:p w14:paraId="7930F4E8" w14:textId="77777777" w:rsidR="00AB42A7" w:rsidRDefault="00AB42A7" w:rsidP="009115F7">
            <w:pPr>
              <w:spacing w:before="0" w:after="0"/>
              <w:rPr>
                <w:b/>
                <w:bCs/>
              </w:rPr>
            </w:pPr>
            <w:r>
              <w:rPr>
                <w:rFonts w:eastAsia="Times New Roman"/>
                <w:b/>
                <w:bCs/>
              </w:rPr>
              <w:t>MSK:</w:t>
            </w:r>
          </w:p>
        </w:tc>
        <w:tc>
          <w:tcPr>
            <w:tcW w:w="7626" w:type="dxa"/>
            <w:tcMar>
              <w:top w:w="108" w:type="dxa"/>
              <w:bottom w:w="108" w:type="dxa"/>
            </w:tcMar>
          </w:tcPr>
          <w:p w14:paraId="66306436" w14:textId="1BB5D3D6" w:rsidR="00AB42A7" w:rsidRDefault="00AB42A7" w:rsidP="009115F7">
            <w:pPr>
              <w:spacing w:before="0" w:after="0"/>
              <w:rPr>
                <w:b/>
                <w:bCs/>
              </w:rPr>
            </w:pPr>
            <w:r>
              <w:rPr>
                <w:rFonts w:eastAsia="Times New Roman"/>
              </w:rPr>
              <w:t>Led</w:t>
            </w:r>
            <w:r>
              <w:rPr>
                <w:rFonts w:eastAsia="Times New Roman"/>
                <w:b/>
                <w:bCs/>
              </w:rPr>
              <w:t xml:space="preserve"> </w:t>
            </w:r>
            <w:r>
              <w:rPr>
                <w:rFonts w:eastAsia="Times New Roman"/>
              </w:rPr>
              <w:t>development</w:t>
            </w:r>
            <w:r>
              <w:rPr>
                <w:rFonts w:eastAsia="Times New Roman"/>
                <w:b/>
                <w:bCs/>
              </w:rPr>
              <w:t xml:space="preserve"> </w:t>
            </w:r>
            <w:r>
              <w:rPr>
                <w:rFonts w:eastAsia="Times New Roman"/>
              </w:rPr>
              <w:t>of</w:t>
            </w:r>
            <w:r>
              <w:rPr>
                <w:rFonts w:eastAsia="Times New Roman"/>
                <w:b/>
                <w:bCs/>
              </w:rPr>
              <w:t xml:space="preserve"> </w:t>
            </w:r>
            <w:r>
              <w:rPr>
                <w:rFonts w:eastAsia="Times New Roman"/>
              </w:rPr>
              <w:t xml:space="preserve">our Fracture Liaison Service, due to launch in May 2024, which will see </w:t>
            </w:r>
            <w:r w:rsidR="006719BB">
              <w:rPr>
                <w:rFonts w:eastAsia="Times New Roman"/>
              </w:rPr>
              <w:t>more than</w:t>
            </w:r>
            <w:r>
              <w:rPr>
                <w:rFonts w:eastAsia="Times New Roman"/>
              </w:rPr>
              <w:t xml:space="preserve">2500 people each year, and </w:t>
            </w:r>
            <w:r w:rsidR="006719BB">
              <w:rPr>
                <w:rFonts w:eastAsia="Times New Roman"/>
              </w:rPr>
              <w:t>more than</w:t>
            </w:r>
            <w:r>
              <w:rPr>
                <w:rFonts w:eastAsia="Times New Roman"/>
              </w:rPr>
              <w:t>£450K benefits within the NHS delivered each year.</w:t>
            </w:r>
          </w:p>
        </w:tc>
      </w:tr>
      <w:tr w:rsidR="00AB42A7" w14:paraId="022C2C4F" w14:textId="77777777" w:rsidTr="009115F7">
        <w:tc>
          <w:tcPr>
            <w:tcW w:w="1696" w:type="dxa"/>
            <w:tcMar>
              <w:top w:w="108" w:type="dxa"/>
              <w:bottom w:w="108" w:type="dxa"/>
            </w:tcMar>
          </w:tcPr>
          <w:p w14:paraId="21D64E35" w14:textId="77777777" w:rsidR="00AB42A7" w:rsidRDefault="00AB42A7" w:rsidP="009115F7">
            <w:pPr>
              <w:spacing w:before="0" w:after="0"/>
              <w:rPr>
                <w:b/>
                <w:bCs/>
              </w:rPr>
            </w:pPr>
            <w:r>
              <w:rPr>
                <w:rFonts w:eastAsia="Times New Roman"/>
                <w:b/>
                <w:bCs/>
              </w:rPr>
              <w:t>UEC</w:t>
            </w:r>
            <w:r>
              <w:rPr>
                <w:rFonts w:eastAsia="Times New Roman"/>
              </w:rPr>
              <w:t>:</w:t>
            </w:r>
          </w:p>
        </w:tc>
        <w:tc>
          <w:tcPr>
            <w:tcW w:w="7626" w:type="dxa"/>
            <w:tcMar>
              <w:top w:w="108" w:type="dxa"/>
              <w:bottom w:w="108" w:type="dxa"/>
            </w:tcMar>
          </w:tcPr>
          <w:p w14:paraId="35831E3F" w14:textId="298C7A28" w:rsidR="00AB42A7" w:rsidRPr="0059280B" w:rsidRDefault="00AB42A7" w:rsidP="009115F7">
            <w:pPr>
              <w:spacing w:before="0" w:after="0"/>
              <w:rPr>
                <w:rFonts w:eastAsia="Times New Roman"/>
              </w:rPr>
            </w:pPr>
            <w:r w:rsidRPr="0059280B">
              <w:rPr>
                <w:rFonts w:eastAsia="Times New Roman"/>
              </w:rPr>
              <w:t xml:space="preserve">Implemented </w:t>
            </w:r>
            <w:r>
              <w:rPr>
                <w:rFonts w:eastAsia="Times New Roman"/>
              </w:rPr>
              <w:t xml:space="preserve">the </w:t>
            </w:r>
            <w:r w:rsidRPr="0059280B">
              <w:rPr>
                <w:rFonts w:eastAsia="Times New Roman"/>
              </w:rPr>
              <w:t>Unscheduled Care Coordination Hub</w:t>
            </w:r>
            <w:r>
              <w:rPr>
                <w:rFonts w:eastAsia="Times New Roman"/>
              </w:rPr>
              <w:t xml:space="preserve"> (UCCH)</w:t>
            </w:r>
            <w:r w:rsidRPr="0059280B">
              <w:rPr>
                <w:rFonts w:eastAsia="Times New Roman"/>
              </w:rPr>
              <w:t>, resulting in just 50% of calls being conveyed</w:t>
            </w:r>
            <w:r>
              <w:rPr>
                <w:rFonts w:eastAsia="Times New Roman"/>
              </w:rPr>
              <w:t xml:space="preserve"> to </w:t>
            </w:r>
            <w:r w:rsidR="009B4E4F">
              <w:rPr>
                <w:rFonts w:eastAsia="Times New Roman"/>
              </w:rPr>
              <w:t>hospital,</w:t>
            </w:r>
            <w:r w:rsidRPr="0059280B">
              <w:rPr>
                <w:rFonts w:eastAsia="Times New Roman"/>
              </w:rPr>
              <w:t xml:space="preserve"> avoiding 140 conveyances per month. </w:t>
            </w:r>
          </w:p>
        </w:tc>
      </w:tr>
      <w:tr w:rsidR="00AB42A7" w14:paraId="05D31A5A" w14:textId="77777777" w:rsidTr="009115F7">
        <w:tc>
          <w:tcPr>
            <w:tcW w:w="1696" w:type="dxa"/>
            <w:tcMar>
              <w:top w:w="108" w:type="dxa"/>
              <w:bottom w:w="108" w:type="dxa"/>
            </w:tcMar>
          </w:tcPr>
          <w:p w14:paraId="73AC88DF" w14:textId="77777777" w:rsidR="00AB42A7" w:rsidRDefault="00AB42A7" w:rsidP="009115F7">
            <w:pPr>
              <w:spacing w:before="0" w:after="0"/>
              <w:rPr>
                <w:b/>
                <w:bCs/>
              </w:rPr>
            </w:pPr>
            <w:r>
              <w:rPr>
                <w:rFonts w:eastAsia="Times New Roman"/>
                <w:b/>
                <w:bCs/>
              </w:rPr>
              <w:t>Diabetes:</w:t>
            </w:r>
          </w:p>
        </w:tc>
        <w:tc>
          <w:tcPr>
            <w:tcW w:w="7626" w:type="dxa"/>
            <w:tcMar>
              <w:top w:w="108" w:type="dxa"/>
              <w:bottom w:w="108" w:type="dxa"/>
            </w:tcMar>
          </w:tcPr>
          <w:p w14:paraId="3D0BB95E" w14:textId="6606B963" w:rsidR="00AB42A7" w:rsidRPr="0059280B" w:rsidRDefault="00AB42A7" w:rsidP="009115F7">
            <w:pPr>
              <w:spacing w:before="0" w:after="0"/>
              <w:rPr>
                <w:rFonts w:eastAsia="Times New Roman"/>
              </w:rPr>
            </w:pPr>
            <w:r w:rsidRPr="0059280B">
              <w:rPr>
                <w:rFonts w:eastAsia="Times New Roman"/>
              </w:rPr>
              <w:t xml:space="preserve">Increased referrals into </w:t>
            </w:r>
            <w:r w:rsidR="7537E183" w:rsidRPr="6B1EE33D">
              <w:rPr>
                <w:rFonts w:eastAsia="Times New Roman"/>
              </w:rPr>
              <w:t>n</w:t>
            </w:r>
            <w:r w:rsidRPr="0059280B">
              <w:rPr>
                <w:rFonts w:eastAsia="Times New Roman"/>
              </w:rPr>
              <w:t>ational T</w:t>
            </w:r>
            <w:r>
              <w:rPr>
                <w:rFonts w:eastAsia="Times New Roman"/>
              </w:rPr>
              <w:t xml:space="preserve">ype </w:t>
            </w:r>
            <w:r w:rsidRPr="0059280B">
              <w:rPr>
                <w:rFonts w:eastAsia="Times New Roman"/>
              </w:rPr>
              <w:t xml:space="preserve">2 </w:t>
            </w:r>
            <w:r w:rsidR="67167E31" w:rsidRPr="6B1EE33D">
              <w:rPr>
                <w:rFonts w:eastAsia="Times New Roman"/>
              </w:rPr>
              <w:t>p</w:t>
            </w:r>
            <w:r w:rsidRPr="0059280B">
              <w:rPr>
                <w:rFonts w:eastAsia="Times New Roman"/>
              </w:rPr>
              <w:t xml:space="preserve">ath to </w:t>
            </w:r>
            <w:r w:rsidR="7C466715" w:rsidRPr="6B1EE33D">
              <w:rPr>
                <w:rFonts w:eastAsia="Times New Roman"/>
              </w:rPr>
              <w:t>r</w:t>
            </w:r>
            <w:r w:rsidRPr="6B1EE33D">
              <w:rPr>
                <w:rFonts w:eastAsia="Times New Roman"/>
              </w:rPr>
              <w:t xml:space="preserve">emission </w:t>
            </w:r>
            <w:r w:rsidR="61D9EA43" w:rsidRPr="6B1EE33D">
              <w:rPr>
                <w:rFonts w:eastAsia="Times New Roman"/>
              </w:rPr>
              <w:t>p</w:t>
            </w:r>
            <w:r w:rsidRPr="0059280B">
              <w:rPr>
                <w:rFonts w:eastAsia="Times New Roman"/>
              </w:rPr>
              <w:t xml:space="preserve">rogramme from </w:t>
            </w:r>
            <w:r w:rsidR="006C584E">
              <w:rPr>
                <w:rFonts w:eastAsia="Times New Roman"/>
              </w:rPr>
              <w:t>fewer</w:t>
            </w:r>
            <w:r w:rsidR="009B4E4F">
              <w:rPr>
                <w:rFonts w:eastAsia="Times New Roman"/>
              </w:rPr>
              <w:t xml:space="preserve"> than</w:t>
            </w:r>
            <w:r w:rsidR="006C584E">
              <w:rPr>
                <w:rFonts w:eastAsia="Times New Roman"/>
              </w:rPr>
              <w:t xml:space="preserve"> </w:t>
            </w:r>
            <w:r w:rsidRPr="0059280B">
              <w:rPr>
                <w:rFonts w:eastAsia="Times New Roman"/>
              </w:rPr>
              <w:t xml:space="preserve">30 to </w:t>
            </w:r>
            <w:r w:rsidR="009B4E4F">
              <w:rPr>
                <w:rFonts w:eastAsia="Times New Roman"/>
              </w:rPr>
              <w:t>more than</w:t>
            </w:r>
            <w:r w:rsidRPr="0059280B">
              <w:rPr>
                <w:rFonts w:eastAsia="Times New Roman"/>
              </w:rPr>
              <w:t>100</w:t>
            </w:r>
            <w:r w:rsidR="009B4E4F">
              <w:rPr>
                <w:rFonts w:eastAsia="Times New Roman"/>
              </w:rPr>
              <w:t xml:space="preserve"> per</w:t>
            </w:r>
            <w:r w:rsidRPr="0059280B">
              <w:rPr>
                <w:rFonts w:eastAsia="Times New Roman"/>
              </w:rPr>
              <w:t xml:space="preserve"> month (highest in </w:t>
            </w:r>
            <w:r w:rsidR="000C4568">
              <w:rPr>
                <w:rFonts w:eastAsia="Times New Roman"/>
              </w:rPr>
              <w:t xml:space="preserve">the </w:t>
            </w:r>
            <w:r w:rsidRPr="0059280B">
              <w:rPr>
                <w:rFonts w:eastAsia="Times New Roman"/>
              </w:rPr>
              <w:t>region).</w:t>
            </w:r>
          </w:p>
        </w:tc>
      </w:tr>
      <w:tr w:rsidR="00AB42A7" w14:paraId="6C651FBF" w14:textId="77777777" w:rsidTr="00E04535">
        <w:trPr>
          <w:cantSplit/>
        </w:trPr>
        <w:tc>
          <w:tcPr>
            <w:tcW w:w="1696" w:type="dxa"/>
            <w:tcMar>
              <w:top w:w="108" w:type="dxa"/>
              <w:bottom w:w="108" w:type="dxa"/>
            </w:tcMar>
          </w:tcPr>
          <w:p w14:paraId="0EA6A1F3" w14:textId="77777777" w:rsidR="00AB42A7" w:rsidRDefault="00AB42A7" w:rsidP="009115F7">
            <w:pPr>
              <w:spacing w:before="0" w:after="0"/>
              <w:rPr>
                <w:b/>
                <w:bCs/>
              </w:rPr>
            </w:pPr>
            <w:r>
              <w:rPr>
                <w:b/>
                <w:bCs/>
              </w:rPr>
              <w:t>Ageing Well:</w:t>
            </w:r>
          </w:p>
        </w:tc>
        <w:tc>
          <w:tcPr>
            <w:tcW w:w="7626" w:type="dxa"/>
            <w:tcMar>
              <w:top w:w="108" w:type="dxa"/>
              <w:bottom w:w="108" w:type="dxa"/>
            </w:tcMar>
          </w:tcPr>
          <w:p w14:paraId="7347D905" w14:textId="77777777" w:rsidR="007E29D7" w:rsidRPr="007E29D7" w:rsidRDefault="007E29D7" w:rsidP="00A24DCF">
            <w:pPr>
              <w:numPr>
                <w:ilvl w:val="0"/>
                <w:numId w:val="32"/>
              </w:numPr>
              <w:spacing w:before="100" w:beforeAutospacing="1" w:after="100" w:afterAutospacing="1"/>
              <w:rPr>
                <w:rFonts w:eastAsia="Times New Roman" w:cs="Arial"/>
                <w:szCs w:val="24"/>
                <w:lang w:eastAsia="en-GB"/>
              </w:rPr>
            </w:pPr>
            <w:r w:rsidRPr="007E29D7">
              <w:rPr>
                <w:rFonts w:eastAsia="Times New Roman" w:cs="Arial"/>
                <w:szCs w:val="24"/>
                <w:lang w:eastAsia="en-GB"/>
              </w:rPr>
              <w:t>Identified over 12,000 people with frailty needs.</w:t>
            </w:r>
          </w:p>
          <w:p w14:paraId="265D995E" w14:textId="25A10A0B" w:rsidR="007E29D7" w:rsidRPr="007E29D7" w:rsidRDefault="000C4568" w:rsidP="00A24DCF">
            <w:pPr>
              <w:numPr>
                <w:ilvl w:val="0"/>
                <w:numId w:val="32"/>
              </w:numPr>
              <w:spacing w:before="100" w:beforeAutospacing="1" w:after="100" w:afterAutospacing="1"/>
              <w:rPr>
                <w:rFonts w:eastAsia="Times New Roman" w:cs="Arial"/>
                <w:szCs w:val="24"/>
                <w:lang w:eastAsia="en-GB"/>
              </w:rPr>
            </w:pPr>
            <w:r>
              <w:rPr>
                <w:rFonts w:eastAsia="Times New Roman" w:cs="Arial"/>
                <w:szCs w:val="24"/>
                <w:lang w:eastAsia="en-GB"/>
              </w:rPr>
              <w:t>Achieved</w:t>
            </w:r>
            <w:r w:rsidRPr="007E29D7">
              <w:rPr>
                <w:rFonts w:eastAsia="Times New Roman" w:cs="Arial"/>
                <w:szCs w:val="24"/>
                <w:lang w:eastAsia="en-GB"/>
              </w:rPr>
              <w:t xml:space="preserve"> </w:t>
            </w:r>
            <w:r w:rsidR="007E29D7" w:rsidRPr="007E29D7">
              <w:rPr>
                <w:rFonts w:eastAsia="Times New Roman" w:cs="Arial"/>
                <w:szCs w:val="24"/>
                <w:lang w:eastAsia="en-GB"/>
              </w:rPr>
              <w:t>a 50% reduction in the number of people going to hospital multiple times in the last year of their life (often a marker of poor joined up care).</w:t>
            </w:r>
          </w:p>
          <w:p w14:paraId="6FD16B0F" w14:textId="091A5E73" w:rsidR="007E29D7" w:rsidRPr="007E29D7" w:rsidRDefault="007E29D7" w:rsidP="00A24DCF">
            <w:pPr>
              <w:numPr>
                <w:ilvl w:val="0"/>
                <w:numId w:val="32"/>
              </w:numPr>
              <w:spacing w:before="100" w:beforeAutospacing="1" w:after="100" w:afterAutospacing="1"/>
              <w:rPr>
                <w:rFonts w:eastAsia="Times New Roman" w:cs="Arial"/>
                <w:lang w:eastAsia="en-GB"/>
              </w:rPr>
            </w:pPr>
            <w:r w:rsidRPr="007E29D7">
              <w:rPr>
                <w:rFonts w:eastAsia="Times New Roman" w:cs="Arial"/>
                <w:lang w:eastAsia="en-GB"/>
              </w:rPr>
              <w:t>Seen up to a 70% reduction in hospital re</w:t>
            </w:r>
            <w:r w:rsidRPr="6B1EE33D">
              <w:rPr>
                <w:rFonts w:eastAsia="Times New Roman" w:cs="Arial"/>
                <w:lang w:eastAsia="en-GB"/>
              </w:rPr>
              <w:t>-admis</w:t>
            </w:r>
            <w:r w:rsidR="5CFE2182" w:rsidRPr="6B1EE33D">
              <w:rPr>
                <w:rFonts w:eastAsia="Times New Roman" w:cs="Arial"/>
                <w:lang w:eastAsia="en-GB"/>
              </w:rPr>
              <w:t>si</w:t>
            </w:r>
            <w:r w:rsidRPr="6B1EE33D">
              <w:rPr>
                <w:rFonts w:eastAsia="Times New Roman" w:cs="Arial"/>
                <w:lang w:eastAsia="en-GB"/>
              </w:rPr>
              <w:t>on</w:t>
            </w:r>
            <w:r w:rsidRPr="007E29D7">
              <w:rPr>
                <w:rFonts w:eastAsia="Times New Roman" w:cs="Arial"/>
                <w:lang w:eastAsia="en-GB"/>
              </w:rPr>
              <w:t xml:space="preserve"> rates where FrEDA </w:t>
            </w:r>
            <w:r w:rsidRPr="6B1EE33D">
              <w:rPr>
                <w:rFonts w:eastAsia="Times New Roman" w:cs="Arial"/>
                <w:lang w:eastAsia="en-GB"/>
              </w:rPr>
              <w:t xml:space="preserve">(an award-winning electronic template for evidence-based interventions such as medication reviews and care planning) </w:t>
            </w:r>
            <w:r w:rsidRPr="007E29D7">
              <w:rPr>
                <w:rFonts w:eastAsia="Times New Roman" w:cs="Arial"/>
                <w:lang w:eastAsia="en-GB"/>
              </w:rPr>
              <w:t xml:space="preserve">has been adopted at a local level </w:t>
            </w:r>
            <w:r w:rsidRPr="6B1EE33D">
              <w:rPr>
                <w:rFonts w:eastAsia="Times New Roman" w:cs="Arial"/>
                <w:lang w:eastAsia="en-GB"/>
              </w:rPr>
              <w:t>i.e.</w:t>
            </w:r>
            <w:r w:rsidR="008B7BEA">
              <w:rPr>
                <w:rFonts w:eastAsia="Times New Roman" w:cs="Arial"/>
                <w:lang w:eastAsia="en-GB"/>
              </w:rPr>
              <w:t>,</w:t>
            </w:r>
            <w:r w:rsidRPr="007E29D7">
              <w:rPr>
                <w:rFonts w:eastAsia="Times New Roman" w:cs="Arial"/>
                <w:lang w:eastAsia="en-GB"/>
              </w:rPr>
              <w:t xml:space="preserve"> INT</w:t>
            </w:r>
            <w:r w:rsidRPr="6B1EE33D">
              <w:rPr>
                <w:rFonts w:eastAsia="Times New Roman" w:cs="Arial"/>
                <w:lang w:eastAsia="en-GB"/>
              </w:rPr>
              <w:t>s</w:t>
            </w:r>
            <w:r w:rsidRPr="007E29D7">
              <w:rPr>
                <w:rFonts w:eastAsia="Times New Roman" w:cs="Arial"/>
                <w:lang w:eastAsia="en-GB"/>
              </w:rPr>
              <w:t>.   </w:t>
            </w:r>
          </w:p>
          <w:p w14:paraId="299FA40C" w14:textId="6C75BFBF" w:rsidR="00AB42A7" w:rsidRPr="007E29D7" w:rsidRDefault="007E29D7" w:rsidP="00A24DCF">
            <w:pPr>
              <w:numPr>
                <w:ilvl w:val="0"/>
                <w:numId w:val="32"/>
              </w:numPr>
              <w:spacing w:before="100" w:beforeAutospacing="1" w:after="0"/>
              <w:rPr>
                <w:rFonts w:eastAsia="Times New Roman" w:cs="Arial"/>
                <w:lang w:eastAsia="en-GB"/>
              </w:rPr>
            </w:pPr>
            <w:r w:rsidRPr="007E29D7">
              <w:rPr>
                <w:rFonts w:eastAsia="Times New Roman" w:cs="Arial"/>
                <w:lang w:eastAsia="en-GB"/>
              </w:rPr>
              <w:t xml:space="preserve">Supported the </w:t>
            </w:r>
            <w:r w:rsidR="12238C49" w:rsidRPr="0C444A9A">
              <w:rPr>
                <w:rFonts w:eastAsia="Times New Roman" w:cs="Arial"/>
                <w:lang w:eastAsia="en-GB"/>
              </w:rPr>
              <w:t>v</w:t>
            </w:r>
            <w:r w:rsidRPr="0C444A9A">
              <w:rPr>
                <w:rFonts w:eastAsia="Times New Roman" w:cs="Arial"/>
                <w:lang w:eastAsia="en-GB"/>
              </w:rPr>
              <w:t xml:space="preserve">irtual </w:t>
            </w:r>
            <w:r w:rsidR="22E10D7B" w:rsidRPr="0C444A9A">
              <w:rPr>
                <w:rFonts w:eastAsia="Times New Roman" w:cs="Arial"/>
                <w:lang w:eastAsia="en-GB"/>
              </w:rPr>
              <w:t>h</w:t>
            </w:r>
            <w:r w:rsidRPr="0C444A9A">
              <w:rPr>
                <w:rFonts w:eastAsia="Times New Roman" w:cs="Arial"/>
                <w:lang w:eastAsia="en-GB"/>
              </w:rPr>
              <w:t xml:space="preserve">ospital </w:t>
            </w:r>
            <w:r w:rsidR="3FE898C0" w:rsidRPr="0C444A9A">
              <w:rPr>
                <w:rFonts w:eastAsia="Times New Roman" w:cs="Arial"/>
                <w:lang w:eastAsia="en-GB"/>
              </w:rPr>
              <w:t>to</w:t>
            </w:r>
            <w:r w:rsidRPr="007E29D7">
              <w:rPr>
                <w:rFonts w:eastAsia="Times New Roman" w:cs="Arial"/>
                <w:lang w:eastAsia="en-GB"/>
              </w:rPr>
              <w:t xml:space="preserve"> deliver care to over 3500 </w:t>
            </w:r>
            <w:r w:rsidR="00D6316C">
              <w:rPr>
                <w:rFonts w:eastAsia="Times New Roman" w:cs="Arial"/>
                <w:lang w:eastAsia="en-GB"/>
              </w:rPr>
              <w:t xml:space="preserve">patients </w:t>
            </w:r>
            <w:r w:rsidRPr="007E29D7">
              <w:rPr>
                <w:rFonts w:eastAsia="Times New Roman" w:cs="Arial"/>
                <w:lang w:eastAsia="en-GB"/>
              </w:rPr>
              <w:t>in their own homes in partnership with our community providers.</w:t>
            </w:r>
          </w:p>
        </w:tc>
      </w:tr>
      <w:tr w:rsidR="00AB42A7" w14:paraId="59707EF7" w14:textId="77777777" w:rsidTr="009115F7">
        <w:tc>
          <w:tcPr>
            <w:tcW w:w="1696" w:type="dxa"/>
            <w:tcMar>
              <w:top w:w="108" w:type="dxa"/>
              <w:bottom w:w="108" w:type="dxa"/>
            </w:tcMar>
          </w:tcPr>
          <w:p w14:paraId="7E7FD5D9" w14:textId="77777777" w:rsidR="00AB42A7" w:rsidRDefault="00AB42A7" w:rsidP="009115F7">
            <w:pPr>
              <w:spacing w:before="0" w:after="0"/>
              <w:rPr>
                <w:b/>
                <w:bCs/>
              </w:rPr>
            </w:pPr>
            <w:r>
              <w:rPr>
                <w:b/>
                <w:bCs/>
              </w:rPr>
              <w:t>Stroke:</w:t>
            </w:r>
          </w:p>
        </w:tc>
        <w:tc>
          <w:tcPr>
            <w:tcW w:w="7626" w:type="dxa"/>
            <w:tcMar>
              <w:top w:w="108" w:type="dxa"/>
              <w:bottom w:w="108" w:type="dxa"/>
            </w:tcMar>
          </w:tcPr>
          <w:p w14:paraId="093BE297" w14:textId="51A3ACC8" w:rsidR="00AB42A7" w:rsidRDefault="00AB42A7" w:rsidP="009115F7">
            <w:pPr>
              <w:spacing w:before="0" w:after="0"/>
            </w:pPr>
            <w:r>
              <w:t>Underpinned and fronted our system public consultation on community stroke rehabilitation and intermediate care beds, with 14 events, 2 podcasts, 87</w:t>
            </w:r>
            <w:r w:rsidR="00A60A1C">
              <w:t>,</w:t>
            </w:r>
            <w:r>
              <w:t>000 social media impressions and 11</w:t>
            </w:r>
            <w:r w:rsidR="003503A7">
              <w:t>,</w:t>
            </w:r>
            <w:r>
              <w:t>000 web page visits and counting.</w:t>
            </w:r>
          </w:p>
        </w:tc>
      </w:tr>
    </w:tbl>
    <w:p w14:paraId="2C0AC257" w14:textId="77777777" w:rsidR="00AB42A7" w:rsidRDefault="00AB42A7" w:rsidP="00AB42A7">
      <w:r>
        <w:t>The stewardship approach and successes have received national recognition during 2023-24 as follows:</w:t>
      </w:r>
    </w:p>
    <w:p w14:paraId="33CE5847" w14:textId="77777777" w:rsidR="00AB42A7" w:rsidRPr="001C5F69" w:rsidRDefault="00AB42A7" w:rsidP="001C5F69">
      <w:pPr>
        <w:pStyle w:val="BodyText"/>
        <w:numPr>
          <w:ilvl w:val="0"/>
          <w:numId w:val="39"/>
        </w:numPr>
        <w:rPr>
          <w:szCs w:val="24"/>
        </w:rPr>
      </w:pPr>
      <w:r w:rsidRPr="00C73B9F">
        <w:rPr>
          <w:b/>
          <w:bCs/>
          <w:szCs w:val="24"/>
        </w:rPr>
        <w:t>NHS Confederation CEO Matthew Taylor visited</w:t>
      </w:r>
      <w:r w:rsidRPr="001C5F69">
        <w:rPr>
          <w:szCs w:val="24"/>
        </w:rPr>
        <w:t xml:space="preserve"> us twice in the last six months to spend time with our stewards, to hear more about the stewardship model and achievements in MSE. </w:t>
      </w:r>
    </w:p>
    <w:p w14:paraId="0E1D5903" w14:textId="12506DC9" w:rsidR="00AB42A7" w:rsidRPr="001C5F69" w:rsidRDefault="00AB42A7" w:rsidP="001C5F69">
      <w:pPr>
        <w:pStyle w:val="BodyText"/>
        <w:numPr>
          <w:ilvl w:val="0"/>
          <w:numId w:val="39"/>
        </w:numPr>
        <w:rPr>
          <w:szCs w:val="24"/>
        </w:rPr>
      </w:pPr>
      <w:r w:rsidRPr="00C73B9F">
        <w:rPr>
          <w:b/>
          <w:bCs/>
          <w:szCs w:val="24"/>
        </w:rPr>
        <w:t>HSJ Awards (2023) Data-Driven Transformation Award</w:t>
      </w:r>
      <w:r w:rsidRPr="001C5F69">
        <w:rPr>
          <w:szCs w:val="24"/>
        </w:rPr>
        <w:t xml:space="preserve"> for Ageing Well stewards work on the Frailty End-of-Life Dementia Assessment (FrEDA) and Electronic Frailty Care Coordination System (eFraCCS). </w:t>
      </w:r>
    </w:p>
    <w:p w14:paraId="7879809F" w14:textId="7C49FB05" w:rsidR="00AB42A7" w:rsidRPr="001C5F69" w:rsidRDefault="00AB42A7" w:rsidP="001C5F69">
      <w:pPr>
        <w:pStyle w:val="BodyText"/>
        <w:numPr>
          <w:ilvl w:val="0"/>
          <w:numId w:val="39"/>
        </w:numPr>
        <w:rPr>
          <w:szCs w:val="24"/>
        </w:rPr>
      </w:pPr>
      <w:r w:rsidRPr="00C73B9F">
        <w:rPr>
          <w:b/>
          <w:bCs/>
          <w:szCs w:val="24"/>
        </w:rPr>
        <w:t>HFMA Costing Award (2023)</w:t>
      </w:r>
      <w:r w:rsidRPr="001C5F69">
        <w:rPr>
          <w:szCs w:val="24"/>
        </w:rPr>
        <w:t xml:space="preserve"> to the MSE Costing Hub for innovative approach to system-wide costing within </w:t>
      </w:r>
      <w:r w:rsidR="79D462CF" w:rsidRPr="001C5F69">
        <w:rPr>
          <w:szCs w:val="24"/>
        </w:rPr>
        <w:t>s</w:t>
      </w:r>
      <w:r w:rsidRPr="001C5F69">
        <w:rPr>
          <w:szCs w:val="24"/>
        </w:rPr>
        <w:t>tewardship.</w:t>
      </w:r>
    </w:p>
    <w:p w14:paraId="4B4A3316" w14:textId="77777777" w:rsidR="00C73B9F" w:rsidRDefault="00C73B9F">
      <w:pPr>
        <w:spacing w:before="0" w:after="200" w:line="276" w:lineRule="auto"/>
        <w:rPr>
          <w:rFonts w:eastAsia="Times" w:cs="Times New Roman"/>
          <w:b/>
          <w:bCs/>
          <w:color w:val="0070C0"/>
          <w:sz w:val="28"/>
          <w:szCs w:val="28"/>
        </w:rPr>
      </w:pPr>
      <w:bookmarkStart w:id="60" w:name="_Toc164814829"/>
      <w:bookmarkStart w:id="61" w:name="_Toc164814890"/>
      <w:r>
        <w:br w:type="page"/>
      </w:r>
    </w:p>
    <w:p w14:paraId="7D04FC96" w14:textId="1005D85D" w:rsidR="00AB42A7" w:rsidRPr="00B86602" w:rsidRDefault="00AB42A7" w:rsidP="00AB42A7">
      <w:pPr>
        <w:pStyle w:val="Heading2"/>
      </w:pPr>
      <w:r w:rsidRPr="00B86602">
        <w:lastRenderedPageBreak/>
        <w:t>Environmental matters</w:t>
      </w:r>
      <w:r>
        <w:t xml:space="preserve"> (</w:t>
      </w:r>
      <w:r w:rsidR="4F0A208B">
        <w:t>s</w:t>
      </w:r>
      <w:r>
        <w:t>ustainability)</w:t>
      </w:r>
      <w:bookmarkEnd w:id="60"/>
      <w:bookmarkEnd w:id="61"/>
    </w:p>
    <w:p w14:paraId="435B0678" w14:textId="38C31982" w:rsidR="00AB42A7" w:rsidRPr="00330811" w:rsidRDefault="00AB42A7" w:rsidP="00AB42A7">
      <w:pPr>
        <w:spacing w:after="160" w:line="256" w:lineRule="auto"/>
        <w:jc w:val="both"/>
        <w:rPr>
          <w:rFonts w:eastAsia="Times New Roman"/>
        </w:rPr>
      </w:pPr>
      <w:r w:rsidRPr="7CE60E4E">
        <w:rPr>
          <w:rFonts w:eastAsia="Times New Roman"/>
        </w:rPr>
        <w:t xml:space="preserve">In October 2020, the Greener NHS </w:t>
      </w:r>
      <w:r w:rsidR="74F9A97B" w:rsidRPr="7CE60E4E">
        <w:rPr>
          <w:rFonts w:eastAsia="Times New Roman"/>
        </w:rPr>
        <w:t>n</w:t>
      </w:r>
      <w:r w:rsidRPr="7CE60E4E">
        <w:rPr>
          <w:rFonts w:eastAsia="Times New Roman"/>
        </w:rPr>
        <w:t xml:space="preserve">ational </w:t>
      </w:r>
      <w:r w:rsidR="5853F8D0" w:rsidRPr="7CE60E4E">
        <w:rPr>
          <w:rFonts w:eastAsia="Times New Roman"/>
        </w:rPr>
        <w:t>p</w:t>
      </w:r>
      <w:r w:rsidRPr="7CE60E4E">
        <w:rPr>
          <w:rFonts w:eastAsia="Times New Roman"/>
        </w:rPr>
        <w:t xml:space="preserve">rogramme published its new strategy, </w:t>
      </w:r>
      <w:hyperlink r:id="rId43">
        <w:r w:rsidRPr="003E381E">
          <w:rPr>
            <w:rFonts w:eastAsia="Times New Roman"/>
            <w:color w:val="1F497D" w:themeColor="text2"/>
            <w:u w:val="single"/>
          </w:rPr>
          <w:t>Delivering a Net Zero National Health Service</w:t>
        </w:r>
      </w:hyperlink>
      <w:r w:rsidR="00E04535" w:rsidRPr="003E381E">
        <w:rPr>
          <w:rFonts w:eastAsia="Times New Roman"/>
          <w:color w:val="1F497D" w:themeColor="text2"/>
          <w:u w:val="single"/>
        </w:rPr>
        <w:t xml:space="preserve"> [hyperlinks]</w:t>
      </w:r>
      <w:r w:rsidRPr="7CE60E4E">
        <w:rPr>
          <w:rFonts w:eastAsia="Times New Roman"/>
        </w:rPr>
        <w:t>. This report highlighted that left unabated climate change will disrupt care, with poor environmental health contributing to major diseases, including cardiac problems, asthma</w:t>
      </w:r>
      <w:r w:rsidR="004B4C7A">
        <w:rPr>
          <w:rFonts w:eastAsia="Times New Roman"/>
        </w:rPr>
        <w:t>,</w:t>
      </w:r>
      <w:r w:rsidRPr="7CE60E4E">
        <w:rPr>
          <w:rFonts w:eastAsia="Times New Roman"/>
        </w:rPr>
        <w:t xml:space="preserve"> and cancer. The report set out trajectories and actions for the entire NHS to reach net zero carbon emissions by 2040 for the emissions it controls directly, and 2045 for those it can influence (such as the supply chain). </w:t>
      </w:r>
    </w:p>
    <w:p w14:paraId="16140CBA" w14:textId="77777777" w:rsidR="00AB42A7" w:rsidRDefault="00AB42A7" w:rsidP="00AB42A7">
      <w:pPr>
        <w:jc w:val="both"/>
        <w:rPr>
          <w:rFonts w:eastAsia="Times New Roman" w:cstheme="minorHAnsi"/>
          <w:szCs w:val="24"/>
        </w:rPr>
      </w:pPr>
      <w:r w:rsidRPr="00330811">
        <w:rPr>
          <w:rFonts w:eastAsia="Times New Roman" w:cstheme="minorHAnsi"/>
          <w:szCs w:val="24"/>
        </w:rPr>
        <w:t>As part of the NHS, MSE ICS must play its part in reducing the environmental impact and carbon footprint of its operation.</w:t>
      </w:r>
      <w:r w:rsidRPr="00AC5F27">
        <w:rPr>
          <w:rFonts w:eastAsia="Times New Roman" w:cstheme="minorHAnsi"/>
          <w:szCs w:val="24"/>
        </w:rPr>
        <w:t xml:space="preserve"> </w:t>
      </w:r>
      <w:r>
        <w:rPr>
          <w:rFonts w:eastAsia="Times New Roman" w:cstheme="minorHAnsi"/>
          <w:szCs w:val="24"/>
        </w:rPr>
        <w:t xml:space="preserve"> </w:t>
      </w:r>
      <w:r w:rsidRPr="00330811">
        <w:rPr>
          <w:rFonts w:eastAsia="Times New Roman" w:cstheme="minorHAnsi"/>
          <w:szCs w:val="24"/>
        </w:rPr>
        <w:t xml:space="preserve">MSE ICS’s </w:t>
      </w:r>
      <w:r>
        <w:rPr>
          <w:rFonts w:eastAsia="Times New Roman" w:cstheme="minorHAnsi"/>
          <w:szCs w:val="24"/>
        </w:rPr>
        <w:t xml:space="preserve">first </w:t>
      </w:r>
      <w:r w:rsidRPr="00330811">
        <w:rPr>
          <w:rFonts w:eastAsia="Times New Roman" w:cstheme="minorHAnsi"/>
          <w:szCs w:val="24"/>
        </w:rPr>
        <w:t>Green Plan</w:t>
      </w:r>
      <w:r>
        <w:rPr>
          <w:rFonts w:eastAsia="Times New Roman" w:cstheme="minorHAnsi"/>
          <w:szCs w:val="24"/>
        </w:rPr>
        <w:t xml:space="preserve"> was published in March 2022 to </w:t>
      </w:r>
      <w:r w:rsidRPr="00330811">
        <w:rPr>
          <w:rFonts w:eastAsia="Times New Roman" w:cstheme="minorHAnsi"/>
          <w:szCs w:val="24"/>
        </w:rPr>
        <w:t>align with the NHS Long-Term Plan</w:t>
      </w:r>
      <w:r>
        <w:rPr>
          <w:rFonts w:eastAsia="Times New Roman" w:cstheme="minorHAnsi"/>
          <w:szCs w:val="24"/>
        </w:rPr>
        <w:t xml:space="preserve">.  Progress against the system’s plan, and the plans for individual NHS organisations will be reviewed in 2024/25 to inform an updated Greener NHS Plan for MSE.  </w:t>
      </w:r>
      <w:r w:rsidRPr="00330811">
        <w:rPr>
          <w:rFonts w:eastAsia="Times New Roman" w:cstheme="minorHAnsi"/>
          <w:szCs w:val="24"/>
        </w:rPr>
        <w:t>As the ICS and ICB develop, and work programmes become clearer, the areas of focus of this Green Plan will be developed, and sustainability will be seen as business as usual.</w:t>
      </w:r>
    </w:p>
    <w:p w14:paraId="1A38FAF6" w14:textId="77777777" w:rsidR="00AB42A7" w:rsidRPr="00330811" w:rsidRDefault="00AB42A7" w:rsidP="00AB42A7">
      <w:pPr>
        <w:jc w:val="both"/>
        <w:rPr>
          <w:rFonts w:eastAsia="Times New Roman" w:cstheme="minorHAnsi"/>
          <w:szCs w:val="24"/>
        </w:rPr>
      </w:pPr>
      <w:r>
        <w:rPr>
          <w:rFonts w:eastAsia="Times New Roman" w:cstheme="minorHAnsi"/>
          <w:szCs w:val="24"/>
        </w:rPr>
        <w:t xml:space="preserve">MSE is keen to support all those working within our health and care system to play a role in helping the NHS to reduce its environmental impact.  Empowering our staff to act is key to both delivering on the Greener NHS ambitions, but also a priority for many of our staff who want to see the NHS act to address climate change.  The MSE ICS Sustainability Forum </w:t>
      </w:r>
      <w:r w:rsidRPr="00AC5F27">
        <w:rPr>
          <w:rFonts w:eastAsia="Times New Roman" w:cstheme="minorHAnsi"/>
          <w:szCs w:val="24"/>
        </w:rPr>
        <w:t>promote</w:t>
      </w:r>
      <w:r>
        <w:rPr>
          <w:rFonts w:eastAsia="Times New Roman" w:cstheme="minorHAnsi"/>
          <w:szCs w:val="24"/>
        </w:rPr>
        <w:t>s</w:t>
      </w:r>
      <w:r w:rsidRPr="00AC5F27">
        <w:rPr>
          <w:rFonts w:eastAsia="Times New Roman" w:cstheme="minorHAnsi"/>
          <w:szCs w:val="24"/>
        </w:rPr>
        <w:t xml:space="preserve"> and coordinate</w:t>
      </w:r>
      <w:r>
        <w:rPr>
          <w:rFonts w:eastAsia="Times New Roman" w:cstheme="minorHAnsi"/>
          <w:szCs w:val="24"/>
        </w:rPr>
        <w:t>s</w:t>
      </w:r>
      <w:r w:rsidRPr="00AC5F27">
        <w:rPr>
          <w:rFonts w:eastAsia="Times New Roman" w:cstheme="minorHAnsi"/>
          <w:szCs w:val="24"/>
        </w:rPr>
        <w:t xml:space="preserve"> the development and implementation of sustainability initiatives, to ensure that members meet the diverse health needs of people in existing and future communities, and to promote wellbeing, social value, reducing health inequalities and inclusion.</w:t>
      </w:r>
    </w:p>
    <w:p w14:paraId="17007C79" w14:textId="04136D34" w:rsidR="00AB42A7" w:rsidRPr="00330811" w:rsidRDefault="00AB42A7" w:rsidP="09CDDF0D">
      <w:pPr>
        <w:spacing w:after="160"/>
        <w:jc w:val="both"/>
        <w:rPr>
          <w:rFonts w:eastAsia="Times New Roman" w:cstheme="minorHAnsi"/>
          <w:b/>
          <w:bCs/>
          <w:szCs w:val="24"/>
        </w:rPr>
      </w:pPr>
      <w:r w:rsidRPr="00330811">
        <w:rPr>
          <w:rFonts w:eastAsia="Times New Roman" w:cstheme="minorHAnsi"/>
          <w:b/>
          <w:bCs/>
          <w:szCs w:val="24"/>
        </w:rPr>
        <w:t xml:space="preserve">Established </w:t>
      </w:r>
      <w:r w:rsidR="621D5070" w:rsidRPr="09CDDF0D">
        <w:rPr>
          <w:rFonts w:eastAsia="Times New Roman"/>
          <w:b/>
          <w:bCs/>
        </w:rPr>
        <w:t>g</w:t>
      </w:r>
      <w:r w:rsidRPr="09CDDF0D">
        <w:rPr>
          <w:rFonts w:eastAsia="Times New Roman"/>
          <w:b/>
          <w:bCs/>
        </w:rPr>
        <w:t>overnance</w:t>
      </w:r>
      <w:r w:rsidRPr="00330811">
        <w:rPr>
          <w:rFonts w:eastAsia="Times New Roman" w:cstheme="minorHAnsi"/>
          <w:b/>
          <w:bCs/>
          <w:szCs w:val="24"/>
        </w:rPr>
        <w:t xml:space="preserve"> arrangements </w:t>
      </w:r>
    </w:p>
    <w:p w14:paraId="08B3DDEA" w14:textId="39E2290F" w:rsidR="00AB42A7" w:rsidRDefault="00AB42A7" w:rsidP="366CD5EB">
      <w:pPr>
        <w:contextualSpacing/>
      </w:pPr>
      <w:r w:rsidRPr="366CD5EB">
        <w:t xml:space="preserve">Each NHS organisation is required to have a </w:t>
      </w:r>
      <w:r w:rsidR="2B04F5A7" w:rsidRPr="366CD5EB">
        <w:t>B</w:t>
      </w:r>
      <w:r w:rsidRPr="366CD5EB">
        <w:t xml:space="preserve">oard </w:t>
      </w:r>
      <w:r w:rsidR="1EFC1507" w:rsidRPr="366CD5EB">
        <w:t>l</w:t>
      </w:r>
      <w:r w:rsidRPr="366CD5EB">
        <w:t xml:space="preserve">evel lead for their Greener NHS programme.  For the ICB, this is Emily Hough, Executive Director of Strategy and Corporate Services.  </w:t>
      </w:r>
    </w:p>
    <w:p w14:paraId="77551712" w14:textId="77777777" w:rsidR="00AB42A7" w:rsidRDefault="00AB42A7" w:rsidP="00AB42A7">
      <w:pPr>
        <w:contextualSpacing/>
        <w:rPr>
          <w:rFonts w:cstheme="minorHAnsi"/>
          <w:szCs w:val="24"/>
        </w:rPr>
      </w:pPr>
    </w:p>
    <w:p w14:paraId="16630F2B" w14:textId="0C78F511" w:rsidR="00AB42A7" w:rsidRPr="00330811" w:rsidRDefault="00AB42A7" w:rsidP="366CD5EB">
      <w:pPr>
        <w:spacing w:after="160"/>
        <w:jc w:val="both"/>
        <w:rPr>
          <w:rFonts w:eastAsia="Times New Roman"/>
        </w:rPr>
      </w:pPr>
      <w:r w:rsidRPr="366CD5EB">
        <w:rPr>
          <w:rFonts w:eastAsia="Times New Roman"/>
        </w:rPr>
        <w:t xml:space="preserve">As part of the overall governance arrangements, and on behalf of the system, the MSE Operational Steering Group was established in May 2022 by MSEFT, with agreed </w:t>
      </w:r>
      <w:r w:rsidR="5C1C1D33" w:rsidRPr="366CD5EB">
        <w:rPr>
          <w:rFonts w:eastAsia="Times New Roman"/>
        </w:rPr>
        <w:t>terms of reference</w:t>
      </w:r>
      <w:r w:rsidRPr="366CD5EB">
        <w:rPr>
          <w:rFonts w:eastAsia="Times New Roman"/>
        </w:rPr>
        <w:t xml:space="preserve">, chaired by the Director of Specialist Services. This group was revised in September 2023, to have a more focused look at cost saving initiatives and energy management. It’s now </w:t>
      </w:r>
      <w:r w:rsidR="5F22C609" w:rsidRPr="366CD5EB">
        <w:rPr>
          <w:rFonts w:eastAsia="Times New Roman"/>
        </w:rPr>
        <w:t>c</w:t>
      </w:r>
      <w:r w:rsidRPr="366CD5EB">
        <w:rPr>
          <w:rFonts w:eastAsia="Times New Roman"/>
        </w:rPr>
        <w:t xml:space="preserve">haired by the Head of Sustainability within MSEFT.  The ICB will be working more collaboratively with the group during 2024/25 to ensure there is a true system focus to how we address sustainability. </w:t>
      </w:r>
    </w:p>
    <w:p w14:paraId="7149A163" w14:textId="1F7E8C55" w:rsidR="00AB42A7" w:rsidRDefault="00AB42A7" w:rsidP="366CD5EB">
      <w:pPr>
        <w:contextualSpacing/>
      </w:pPr>
      <w:r w:rsidRPr="366CD5EB">
        <w:t xml:space="preserve">A Greener NHS </w:t>
      </w:r>
      <w:r w:rsidR="00F46054" w:rsidRPr="366CD5EB">
        <w:t xml:space="preserve">Programme Board </w:t>
      </w:r>
      <w:r w:rsidRPr="366CD5EB">
        <w:t xml:space="preserve">for MSE is being re-established to bring together the organisational leads for this work.  The </w:t>
      </w:r>
      <w:r w:rsidRPr="366CD5EB">
        <w:rPr>
          <w:rFonts w:eastAsia="Times New Roman"/>
        </w:rPr>
        <w:t xml:space="preserve">MSE ICS Sustainability Forum will report into this group.  </w:t>
      </w:r>
    </w:p>
    <w:p w14:paraId="30C138B8" w14:textId="77777777" w:rsidR="00AB42A7" w:rsidRPr="00330811" w:rsidRDefault="00AB42A7" w:rsidP="00AB42A7">
      <w:pPr>
        <w:contextualSpacing/>
        <w:rPr>
          <w:rFonts w:cstheme="minorHAnsi"/>
          <w:szCs w:val="24"/>
        </w:rPr>
      </w:pPr>
    </w:p>
    <w:p w14:paraId="7FA9B817" w14:textId="77777777" w:rsidR="00AB42A7" w:rsidRPr="00330811" w:rsidRDefault="00AB42A7" w:rsidP="00AB42A7">
      <w:pPr>
        <w:spacing w:after="160"/>
        <w:jc w:val="both"/>
        <w:rPr>
          <w:rFonts w:eastAsia="Times New Roman" w:cstheme="minorHAnsi"/>
          <w:b/>
          <w:bCs/>
          <w:szCs w:val="24"/>
        </w:rPr>
      </w:pPr>
      <w:r w:rsidRPr="00330811">
        <w:rPr>
          <w:rFonts w:eastAsia="Times New Roman" w:cstheme="minorHAnsi"/>
          <w:b/>
          <w:bCs/>
          <w:szCs w:val="24"/>
        </w:rPr>
        <w:t>Links to social value</w:t>
      </w:r>
    </w:p>
    <w:p w14:paraId="2D0854F9" w14:textId="77777777" w:rsidR="00AB42A7" w:rsidRPr="00330811" w:rsidRDefault="00AB42A7" w:rsidP="00AB42A7">
      <w:pPr>
        <w:spacing w:after="160"/>
        <w:jc w:val="both"/>
        <w:rPr>
          <w:rFonts w:cstheme="minorHAnsi"/>
          <w:szCs w:val="24"/>
        </w:rPr>
      </w:pPr>
      <w:r w:rsidRPr="00330811">
        <w:rPr>
          <w:rFonts w:eastAsia="Times New Roman" w:cstheme="minorHAnsi"/>
          <w:szCs w:val="24"/>
        </w:rPr>
        <w:t xml:space="preserve">It is extremely important that there is a close relationship between sustainability and social value teams. This has been a focus this year and a series of workshops have been provided to demonstrate the linkages between </w:t>
      </w:r>
      <w:r>
        <w:rPr>
          <w:rFonts w:eastAsia="Times New Roman" w:cstheme="minorHAnsi"/>
          <w:szCs w:val="24"/>
        </w:rPr>
        <w:t>t</w:t>
      </w:r>
      <w:r w:rsidRPr="00330811">
        <w:rPr>
          <w:rFonts w:eastAsia="Times New Roman" w:cstheme="minorHAnsi"/>
          <w:szCs w:val="24"/>
        </w:rPr>
        <w:t>he two areas. It is envisioned that a joint set of priorities will be identified, to help this work become more closely aligned.</w:t>
      </w:r>
    </w:p>
    <w:p w14:paraId="2C7AA759" w14:textId="77777777" w:rsidR="002E0003" w:rsidRDefault="002E0003" w:rsidP="00AB42A7">
      <w:pPr>
        <w:jc w:val="both"/>
        <w:rPr>
          <w:rFonts w:cstheme="minorHAnsi"/>
          <w:b/>
          <w:bCs/>
          <w:szCs w:val="24"/>
        </w:rPr>
      </w:pPr>
    </w:p>
    <w:p w14:paraId="33B0AFCC" w14:textId="7A51BADD" w:rsidR="00AB42A7" w:rsidRPr="00330811" w:rsidRDefault="00AB42A7" w:rsidP="00AB42A7">
      <w:pPr>
        <w:jc w:val="both"/>
        <w:rPr>
          <w:rFonts w:cstheme="minorHAnsi"/>
          <w:b/>
          <w:bCs/>
          <w:szCs w:val="24"/>
        </w:rPr>
      </w:pPr>
      <w:r w:rsidRPr="00330811">
        <w:rPr>
          <w:rFonts w:cstheme="minorHAnsi"/>
          <w:b/>
          <w:bCs/>
          <w:szCs w:val="24"/>
        </w:rPr>
        <w:lastRenderedPageBreak/>
        <w:t>Revised Green Plan and dashboard</w:t>
      </w:r>
    </w:p>
    <w:p w14:paraId="1C54E8B2" w14:textId="419B335A" w:rsidR="00AB42A7" w:rsidRPr="00330811" w:rsidRDefault="00AB42A7" w:rsidP="366CD5EB">
      <w:pPr>
        <w:jc w:val="both"/>
        <w:rPr>
          <w:rFonts w:eastAsia="Times New Roman"/>
        </w:rPr>
      </w:pPr>
      <w:r w:rsidRPr="366CD5EB">
        <w:rPr>
          <w:rFonts w:eastAsia="Times New Roman"/>
        </w:rPr>
        <w:t xml:space="preserve">MSE published its first Greener NHS plan in 2022.  That plan is being reviewed with the goal of aligning a single set of system-wide targets. A dashboard has been developed to demonstrate progress against this </w:t>
      </w:r>
      <w:r w:rsidR="300654C1" w:rsidRPr="366CD5EB">
        <w:rPr>
          <w:rFonts w:eastAsia="Times New Roman"/>
        </w:rPr>
        <w:t>p</w:t>
      </w:r>
      <w:r w:rsidRPr="366CD5EB">
        <w:rPr>
          <w:rFonts w:eastAsia="Times New Roman"/>
        </w:rPr>
        <w:t xml:space="preserve">lan. This revised </w:t>
      </w:r>
      <w:r w:rsidR="148210AA" w:rsidRPr="366CD5EB">
        <w:rPr>
          <w:rFonts w:eastAsia="Times New Roman"/>
        </w:rPr>
        <w:t>p</w:t>
      </w:r>
      <w:r w:rsidRPr="366CD5EB">
        <w:rPr>
          <w:rFonts w:eastAsia="Times New Roman"/>
        </w:rPr>
        <w:t>lan is still in draft form but will be shared with the relevant committees in the coming months.</w:t>
      </w:r>
    </w:p>
    <w:p w14:paraId="006FC85D" w14:textId="77777777" w:rsidR="00AB42A7" w:rsidRPr="00330811" w:rsidRDefault="00AB42A7" w:rsidP="00AB42A7">
      <w:pPr>
        <w:jc w:val="both"/>
        <w:rPr>
          <w:rFonts w:eastAsia="Times New Roman" w:cstheme="minorHAnsi"/>
          <w:b/>
          <w:bCs/>
          <w:szCs w:val="24"/>
        </w:rPr>
      </w:pPr>
      <w:r w:rsidRPr="00330811">
        <w:rPr>
          <w:rFonts w:eastAsia="Times New Roman" w:cstheme="minorHAnsi"/>
          <w:b/>
          <w:bCs/>
          <w:szCs w:val="24"/>
        </w:rPr>
        <w:t>Successful projects and initiatives</w:t>
      </w:r>
    </w:p>
    <w:p w14:paraId="5B664723" w14:textId="01B37A0A" w:rsidR="00AB42A7" w:rsidRDefault="00AB42A7" w:rsidP="366CD5EB">
      <w:pPr>
        <w:jc w:val="both"/>
        <w:rPr>
          <w:rFonts w:eastAsia="Times New Roman"/>
        </w:rPr>
      </w:pPr>
      <w:r w:rsidRPr="366CD5EB">
        <w:rPr>
          <w:rFonts w:eastAsia="Times New Roman"/>
        </w:rPr>
        <w:t xml:space="preserve">The opportunity for immediate impact on sustainability lies with our </w:t>
      </w:r>
      <w:r w:rsidR="4FAD46A7" w:rsidRPr="366CD5EB">
        <w:rPr>
          <w:rFonts w:eastAsia="Times New Roman"/>
        </w:rPr>
        <w:t>p</w:t>
      </w:r>
      <w:r w:rsidRPr="366CD5EB">
        <w:rPr>
          <w:rFonts w:eastAsia="Times New Roman"/>
        </w:rPr>
        <w:t xml:space="preserve">roviders who can effect change through their practices within </w:t>
      </w:r>
      <w:r w:rsidR="2C548E76" w:rsidRPr="366CD5EB">
        <w:rPr>
          <w:rFonts w:eastAsia="Times New Roman"/>
        </w:rPr>
        <w:t>e</w:t>
      </w:r>
      <w:r w:rsidRPr="366CD5EB">
        <w:rPr>
          <w:rFonts w:eastAsia="Times New Roman"/>
        </w:rPr>
        <w:t>states and with suppliers.  There have been a great deal of initiatives and projects that have been delivered this year across MSEFT. That will be reviewed during 2024/25 to determine whether they can be mirrored across other health organisations within MSE.</w:t>
      </w:r>
    </w:p>
    <w:p w14:paraId="5296C4B4" w14:textId="2CD938ED" w:rsidR="00AB42A7" w:rsidRPr="005946D0" w:rsidRDefault="00AB42A7" w:rsidP="005946D0">
      <w:pPr>
        <w:jc w:val="both"/>
        <w:rPr>
          <w:rFonts w:eastAsia="Times New Roman"/>
        </w:rPr>
      </w:pPr>
      <w:r w:rsidRPr="366CD5EB">
        <w:rPr>
          <w:rFonts w:eastAsia="Times New Roman"/>
        </w:rPr>
        <w:t xml:space="preserve">The ICB programme of work focuses on the redesign of the services we commission being closer to home and therefore reducing the carbon footprint of our patients. Further to this the ICB is now largely paperless and encourages flexible working with </w:t>
      </w:r>
      <w:r w:rsidR="00976277" w:rsidRPr="366CD5EB">
        <w:rPr>
          <w:rFonts w:eastAsia="Times New Roman"/>
        </w:rPr>
        <w:t>many</w:t>
      </w:r>
      <w:r w:rsidRPr="366CD5EB">
        <w:rPr>
          <w:rFonts w:eastAsia="Times New Roman"/>
        </w:rPr>
        <w:t xml:space="preserve"> staff working from home and travelling to the office when absolutely necessary. </w:t>
      </w:r>
    </w:p>
    <w:p w14:paraId="2CC80758" w14:textId="77777777" w:rsidR="005946D0" w:rsidRDefault="005946D0">
      <w:pPr>
        <w:spacing w:before="0" w:after="200" w:line="276" w:lineRule="auto"/>
        <w:rPr>
          <w:rStyle w:val="Heading2Char"/>
          <w:sz w:val="32"/>
          <w:szCs w:val="32"/>
        </w:rPr>
      </w:pPr>
      <w:r>
        <w:rPr>
          <w:rStyle w:val="Heading2Char"/>
          <w:b w:val="0"/>
          <w:bCs w:val="0"/>
          <w:sz w:val="32"/>
          <w:szCs w:val="32"/>
        </w:rPr>
        <w:br w:type="page"/>
      </w:r>
    </w:p>
    <w:p w14:paraId="4D1B8B34" w14:textId="78068277" w:rsidR="001C0486" w:rsidRPr="007D45E5" w:rsidRDefault="001C0486" w:rsidP="007D45E5">
      <w:pPr>
        <w:pStyle w:val="Heading2"/>
        <w:rPr>
          <w:rStyle w:val="Heading2Char"/>
          <w:b/>
          <w:bCs/>
          <w:sz w:val="32"/>
          <w:szCs w:val="32"/>
        </w:rPr>
      </w:pPr>
      <w:bookmarkStart w:id="62" w:name="_Toc164814830"/>
      <w:bookmarkStart w:id="63" w:name="_Toc164814891"/>
      <w:r w:rsidRPr="007D45E5">
        <w:rPr>
          <w:rStyle w:val="Heading2Char"/>
          <w:b/>
          <w:bCs/>
          <w:sz w:val="32"/>
          <w:szCs w:val="32"/>
        </w:rPr>
        <w:lastRenderedPageBreak/>
        <w:t>Financial review</w:t>
      </w:r>
      <w:bookmarkEnd w:id="62"/>
      <w:bookmarkEnd w:id="63"/>
    </w:p>
    <w:p w14:paraId="70F1BB17" w14:textId="76805004" w:rsidR="00035D1A" w:rsidRPr="003B4A85" w:rsidRDefault="00035D1A" w:rsidP="003B4A85">
      <w:pPr>
        <w:pStyle w:val="BodyText"/>
      </w:pPr>
      <w:r w:rsidRPr="003B4A85">
        <w:t xml:space="preserve">Our full statutory financial accounts are included from page </w:t>
      </w:r>
      <w:r w:rsidR="00B24841">
        <w:t>88</w:t>
      </w:r>
      <w:r w:rsidRPr="003B4A85">
        <w:t xml:space="preserve">. This section provides a summary of our 2023/24 12-month financial position. Our Head of Internal Audit offers an opinion on Financial Systems Key Controls and other matters which can be found on page </w:t>
      </w:r>
      <w:r w:rsidR="00B24841">
        <w:t>64</w:t>
      </w:r>
      <w:r w:rsidRPr="003B4A85">
        <w:t xml:space="preserve">. Our overall financial management arrangements and financial statements were subject to audit review and opinion by our external auditors, </w:t>
      </w:r>
      <w:hyperlink r:id="rId44" w:history="1">
        <w:r w:rsidRPr="003B4A85">
          <w:t>KPMG (hyperlinks),</w:t>
        </w:r>
      </w:hyperlink>
      <w:r w:rsidRPr="003B4A85">
        <w:t xml:space="preserve"> as part of their annual review of our accounts (see page </w:t>
      </w:r>
      <w:r w:rsidR="00B24841">
        <w:t>32 of the Annual Accounts section</w:t>
      </w:r>
      <w:r w:rsidRPr="003B4A85">
        <w:t xml:space="preserve"> for their full audit opinion).</w:t>
      </w:r>
    </w:p>
    <w:p w14:paraId="06EBCA6D" w14:textId="77777777" w:rsidR="00035D1A" w:rsidRPr="00205B22" w:rsidRDefault="00035D1A" w:rsidP="00205B22">
      <w:pPr>
        <w:pStyle w:val="BodyText"/>
        <w:rPr>
          <w:b/>
        </w:rPr>
      </w:pPr>
      <w:r w:rsidRPr="00205B22">
        <w:rPr>
          <w:b/>
        </w:rPr>
        <w:t>ICB funding</w:t>
      </w:r>
    </w:p>
    <w:p w14:paraId="7EC51798" w14:textId="52852728" w:rsidR="00035D1A" w:rsidRDefault="00035D1A" w:rsidP="00222004">
      <w:pPr>
        <w:pStyle w:val="BodyText"/>
      </w:pPr>
      <w:r w:rsidRPr="00222004">
        <w:t>The</w:t>
      </w:r>
      <w:r w:rsidR="00471C4B">
        <w:t xml:space="preserve"> MSE ICB</w:t>
      </w:r>
      <w:r w:rsidRPr="00222004">
        <w:t xml:space="preserve"> in-year total healthcare funding was £</w:t>
      </w:r>
      <w:r w:rsidR="004579BF">
        <w:t>2,</w:t>
      </w:r>
      <w:r w:rsidR="00936CE0">
        <w:t>682.8</w:t>
      </w:r>
      <w:r w:rsidRPr="00222004">
        <w:t>m and funding for running the ICB (called “running cost expenditure”) was £</w:t>
      </w:r>
      <w:r w:rsidR="00936CE0">
        <w:t>25.4</w:t>
      </w:r>
      <w:r w:rsidRPr="00222004">
        <w:t>m, resulting in total overall funding of £</w:t>
      </w:r>
      <w:r w:rsidR="00936CE0">
        <w:t>2,708</w:t>
      </w:r>
      <w:r w:rsidR="00A73119">
        <w:t>.2</w:t>
      </w:r>
      <w:r w:rsidRPr="00222004">
        <w:t>m. ICB expenditure was £</w:t>
      </w:r>
      <w:r w:rsidR="00A73119">
        <w:t>2,686</w:t>
      </w:r>
      <w:r w:rsidRPr="00222004">
        <w:t>m, resulting in £</w:t>
      </w:r>
      <w:r w:rsidR="00A73119">
        <w:t>22.3m</w:t>
      </w:r>
      <w:r w:rsidRPr="00222004">
        <w:t xml:space="preserve"> surplus for the financial year.</w:t>
      </w:r>
    </w:p>
    <w:p w14:paraId="1B7B6690" w14:textId="343D21A5" w:rsidR="000032DD" w:rsidRPr="00222004" w:rsidRDefault="000032DD" w:rsidP="00222004">
      <w:pPr>
        <w:pStyle w:val="BodyText"/>
      </w:pPr>
      <w:r>
        <w:t>The ICB had an agreed plan to deliver £9.7m surplus to contribute towards the broader system position.  The ICB retained £12.6m of funding received during the year in relation to the impact of industrial action to improve the ICB position by the same amount and offset the overall system position.</w:t>
      </w:r>
    </w:p>
    <w:p w14:paraId="7AB3B727" w14:textId="3D52601F" w:rsidR="00035D1A" w:rsidRPr="00222004" w:rsidRDefault="00035D1A" w:rsidP="00222004">
      <w:pPr>
        <w:pStyle w:val="BodyText"/>
      </w:pPr>
      <w:r>
        <w:t>There was additional income received relating to</w:t>
      </w:r>
      <w:r w:rsidR="13FB6997">
        <w:t xml:space="preserve"> the</w:t>
      </w:r>
      <w:r>
        <w:t xml:space="preserve"> </w:t>
      </w:r>
      <w:r w:rsidR="3E03FB07">
        <w:t>e</w:t>
      </w:r>
      <w:r>
        <w:t xml:space="preserve">lective </w:t>
      </w:r>
      <w:r w:rsidR="5C8870EC">
        <w:t>r</w:t>
      </w:r>
      <w:r>
        <w:t xml:space="preserve">ecovery </w:t>
      </w:r>
      <w:r w:rsidR="0C0C3401">
        <w:t>f</w:t>
      </w:r>
      <w:r>
        <w:t xml:space="preserve">und (ERF). The ICB has a delegated </w:t>
      </w:r>
      <w:r w:rsidR="73FF70AC">
        <w:t>p</w:t>
      </w:r>
      <w:r>
        <w:t xml:space="preserve">rimary </w:t>
      </w:r>
      <w:r w:rsidR="47DD9EF8">
        <w:t>m</w:t>
      </w:r>
      <w:r>
        <w:t xml:space="preserve">edical </w:t>
      </w:r>
      <w:r w:rsidR="022511B3">
        <w:t>s</w:t>
      </w:r>
      <w:r>
        <w:t>ervices budget of £</w:t>
      </w:r>
      <w:r w:rsidR="007F1EE1">
        <w:t>219.5</w:t>
      </w:r>
      <w:r>
        <w:t xml:space="preserve">m which included additional funding for Additional Roles Reimbursements for PCNs (ARRS) for commissioning </w:t>
      </w:r>
      <w:r w:rsidR="70AB4747">
        <w:t>g</w:t>
      </w:r>
      <w:r>
        <w:t xml:space="preserve">eneral </w:t>
      </w:r>
      <w:r w:rsidR="2BD9AB8C">
        <w:t>p</w:t>
      </w:r>
      <w:r>
        <w:t xml:space="preserve">ractice and a delegated budget for commissioning </w:t>
      </w:r>
      <w:r w:rsidR="2110C9CD">
        <w:t>p</w:t>
      </w:r>
      <w:r>
        <w:t xml:space="preserve">harmacy, </w:t>
      </w:r>
      <w:r w:rsidR="564A8E9E">
        <w:t>o</w:t>
      </w:r>
      <w:r>
        <w:t xml:space="preserve">ptometry and </w:t>
      </w:r>
      <w:r w:rsidR="11D5805C">
        <w:t>d</w:t>
      </w:r>
      <w:r>
        <w:t xml:space="preserve">entistry of </w:t>
      </w:r>
      <w:r w:rsidR="00EA6972">
        <w:t>£105</w:t>
      </w:r>
      <w:r>
        <w:t>m.</w:t>
      </w:r>
    </w:p>
    <w:p w14:paraId="4A7E5DBD" w14:textId="215468CA" w:rsidR="00035D1A" w:rsidRPr="00222004" w:rsidRDefault="00035D1A" w:rsidP="00222004">
      <w:pPr>
        <w:pStyle w:val="BodyText"/>
      </w:pPr>
      <w:r>
        <w:t xml:space="preserve">NHS planning guidance requires ICBs to meet the ‘Mental Health Investment Standard’ (MHIS). This requires ICBs to demonstrate that expenditure on mental health services has grown year on year. In 2023/24 the ICB has achieved the MHIS by increasing all </w:t>
      </w:r>
      <w:r w:rsidR="5B8B7ABA">
        <w:t>m</w:t>
      </w:r>
      <w:r>
        <w:t xml:space="preserve">ental </w:t>
      </w:r>
      <w:r w:rsidR="041FB76D">
        <w:t>h</w:t>
      </w:r>
      <w:r>
        <w:t xml:space="preserve">ealth related expenditure by </w:t>
      </w:r>
      <w:r w:rsidR="00EA6972">
        <w:t>9.2</w:t>
      </w:r>
      <w:r>
        <w:t>%.</w:t>
      </w:r>
    </w:p>
    <w:p w14:paraId="42688B0F" w14:textId="77777777" w:rsidR="00035D1A" w:rsidRPr="00205B22" w:rsidRDefault="00035D1A" w:rsidP="00205B22">
      <w:pPr>
        <w:pStyle w:val="BodyText"/>
        <w:rPr>
          <w:b/>
        </w:rPr>
      </w:pPr>
      <w:r w:rsidRPr="00205B22">
        <w:rPr>
          <w:b/>
        </w:rPr>
        <w:t>How your money was spent</w:t>
      </w:r>
    </w:p>
    <w:p w14:paraId="32D079A5" w14:textId="311B83AE" w:rsidR="00035D1A" w:rsidRDefault="00035D1A" w:rsidP="003B4A85">
      <w:pPr>
        <w:pStyle w:val="BodyText"/>
      </w:pPr>
      <w:r>
        <w:t>In 2023/24 we spent £</w:t>
      </w:r>
      <w:r w:rsidR="00EA6972">
        <w:t>2,661.8</w:t>
      </w:r>
      <w:r>
        <w:t>m on healthcare services and a further £</w:t>
      </w:r>
      <w:r w:rsidR="0038746E">
        <w:t>24.1</w:t>
      </w:r>
      <w:r>
        <w:t>m on running costs, totalling £</w:t>
      </w:r>
      <w:r w:rsidR="0038746E">
        <w:t>2,686</w:t>
      </w:r>
      <w:r>
        <w:t>m.</w:t>
      </w:r>
    </w:p>
    <w:p w14:paraId="20AA3DB6" w14:textId="1BB2FD07" w:rsidR="00035D1A" w:rsidRDefault="00035D1A" w:rsidP="003B4A85">
      <w:pPr>
        <w:pStyle w:val="BodyText"/>
      </w:pPr>
      <w:r>
        <w:t xml:space="preserve">The following chart shows the major areas of expenditure for healthcare (including ICB running costs). </w:t>
      </w:r>
    </w:p>
    <w:p w14:paraId="4FA513A2" w14:textId="4333E462" w:rsidR="002F2788" w:rsidRDefault="002F2788" w:rsidP="003B4A85">
      <w:pPr>
        <w:pStyle w:val="BodyText"/>
      </w:pPr>
      <w:r>
        <w:rPr>
          <w:noProof/>
        </w:rPr>
        <w:lastRenderedPageBreak/>
        <w:drawing>
          <wp:inline distT="0" distB="0" distL="0" distR="0" wp14:anchorId="38CD6E26" wp14:editId="45B648A7">
            <wp:extent cx="5753686" cy="3439551"/>
            <wp:effectExtent l="0" t="0" r="0" b="8890"/>
            <wp:docPr id="62" name="Chart 62" descr="Pie chart showing the breakdown of ICB expenditure for April 2023 to March 2024.">
              <a:extLst xmlns:a="http://schemas.openxmlformats.org/drawingml/2006/main">
                <a:ext uri="{FF2B5EF4-FFF2-40B4-BE49-F238E27FC236}">
                  <a16:creationId xmlns:a16="http://schemas.microsoft.com/office/drawing/2014/main" id="{E891CCA7-D993-440F-B6BD-E2361FE125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37BE1CE" w14:textId="77777777" w:rsidR="00035D1A" w:rsidRPr="00205B22" w:rsidRDefault="00035D1A" w:rsidP="00205B22">
      <w:pPr>
        <w:pStyle w:val="BodyText"/>
        <w:rPr>
          <w:b/>
        </w:rPr>
      </w:pPr>
      <w:r w:rsidRPr="00205B22">
        <w:rPr>
          <w:b/>
        </w:rPr>
        <w:t>Capital spending</w:t>
      </w:r>
    </w:p>
    <w:p w14:paraId="274C0470" w14:textId="593C1953" w:rsidR="00035D1A" w:rsidRDefault="00035D1A" w:rsidP="003B4A85">
      <w:pPr>
        <w:pStyle w:val="BodyText"/>
      </w:pPr>
      <w:r>
        <w:t xml:space="preserve">The ICB did not receive an individual capital allocation for 2023/24, but accessed </w:t>
      </w:r>
      <w:r w:rsidR="642A358A">
        <w:t>p</w:t>
      </w:r>
      <w:r>
        <w:t xml:space="preserve">rimary </w:t>
      </w:r>
      <w:r w:rsidR="554B7992">
        <w:t>c</w:t>
      </w:r>
      <w:r>
        <w:t xml:space="preserve">are </w:t>
      </w:r>
      <w:r w:rsidR="3B4601A2">
        <w:t>c</w:t>
      </w:r>
      <w:r>
        <w:t xml:space="preserve">apital held by </w:t>
      </w:r>
      <w:r w:rsidR="00F46054">
        <w:t>NHSE</w:t>
      </w:r>
      <w:r>
        <w:t xml:space="preserve"> on behalf of the ICB towards primary care estates projects and GP IT.</w:t>
      </w:r>
    </w:p>
    <w:p w14:paraId="4B3BC846" w14:textId="77777777" w:rsidR="00035D1A" w:rsidRPr="00205B22" w:rsidRDefault="00035D1A" w:rsidP="00205B22">
      <w:pPr>
        <w:pStyle w:val="BodyText"/>
        <w:rPr>
          <w:b/>
        </w:rPr>
      </w:pPr>
      <w:r w:rsidRPr="00205B22">
        <w:rPr>
          <w:b/>
        </w:rPr>
        <w:t>Paying our suppliers and providers</w:t>
      </w:r>
    </w:p>
    <w:p w14:paraId="56C603B8" w14:textId="305F3196" w:rsidR="00035D1A" w:rsidRDefault="00035D1A" w:rsidP="003B4A85">
      <w:pPr>
        <w:pStyle w:val="BodyText"/>
      </w:pPr>
      <w:r>
        <w:t xml:space="preserve">National rules mean the ICB must aim to pay all valid invoices by the due date or within 30 days of receiving them, whichever is later. The NHS aims to pay at least 95% of invoices within 30 days of receipt, or within agreed contract terms. In 2023/24 the ICB </w:t>
      </w:r>
      <w:r w:rsidR="00BD7113">
        <w:t>met three targets and came very close</w:t>
      </w:r>
      <w:r w:rsidR="000560D5">
        <w:t xml:space="preserve"> to achieving the fourth target</w:t>
      </w:r>
      <w:r>
        <w:t xml:space="preserve"> (based on invoice numbers and value of expenditure) for NHS and non-NHS invoices (see </w:t>
      </w:r>
      <w:r w:rsidR="24FA5118">
        <w:t>n</w:t>
      </w:r>
      <w:r>
        <w:t xml:space="preserve">ote </w:t>
      </w:r>
      <w:r w:rsidR="00980C18">
        <w:t>6</w:t>
      </w:r>
      <w:r>
        <w:t xml:space="preserve"> of the </w:t>
      </w:r>
      <w:r w:rsidR="379259D0">
        <w:t>f</w:t>
      </w:r>
      <w:r>
        <w:t xml:space="preserve">inancial </w:t>
      </w:r>
      <w:r w:rsidR="41459324">
        <w:t>s</w:t>
      </w:r>
      <w:r>
        <w:t>tatements for details).</w:t>
      </w:r>
    </w:p>
    <w:p w14:paraId="305869F7" w14:textId="77777777" w:rsidR="00F47C89" w:rsidRPr="00F47C89" w:rsidRDefault="00035D1A" w:rsidP="00F47C89">
      <w:pPr>
        <w:pStyle w:val="BodyText"/>
      </w:pPr>
      <w:r>
        <w:t xml:space="preserve">The ICB adheres to the Prompt Payment Code. The government designed this initiative with the </w:t>
      </w:r>
      <w:hyperlink r:id="rId46">
        <w:r w:rsidRPr="00F47C89">
          <w:rPr>
            <w:color w:val="0070C0"/>
          </w:rPr>
          <w:t>Chartered Institute of Credit Management (hyperlinks)</w:t>
        </w:r>
        <w:r w:rsidRPr="00F47C89">
          <w:t xml:space="preserve"> </w:t>
        </w:r>
      </w:hyperlink>
      <w:r>
        <w:t>to tackle the crucial issue of late payment and to help small businesses. Suppliers can have confidence that any organisation adhering to the code will pay them within clearly defined terms and that proper processes are in place to deal with any disputed payments. The ICB has committed to:</w:t>
      </w:r>
    </w:p>
    <w:p w14:paraId="480F2815" w14:textId="37792D48" w:rsidR="00035D1A" w:rsidRDefault="006C3FDF" w:rsidP="00F47C89">
      <w:pPr>
        <w:pStyle w:val="Heading4"/>
        <w:numPr>
          <w:ilvl w:val="0"/>
          <w:numId w:val="1"/>
        </w:numPr>
        <w:spacing w:before="0"/>
        <w:rPr>
          <w:rFonts w:ascii="Symbol" w:hAnsi="Symbol" w:hint="eastAsia"/>
          <w:b w:val="0"/>
          <w:bCs w:val="0"/>
          <w:color w:val="000000"/>
        </w:rPr>
      </w:pPr>
      <w:r>
        <w:rPr>
          <w:b w:val="0"/>
          <w:bCs w:val="0"/>
        </w:rPr>
        <w:t xml:space="preserve">Paying </w:t>
      </w:r>
      <w:r w:rsidR="00035D1A">
        <w:rPr>
          <w:b w:val="0"/>
          <w:bCs w:val="0"/>
        </w:rPr>
        <w:t>suppliers on</w:t>
      </w:r>
      <w:r w:rsidR="00035D1A">
        <w:rPr>
          <w:b w:val="0"/>
          <w:bCs w:val="0"/>
          <w:spacing w:val="-1"/>
        </w:rPr>
        <w:t xml:space="preserve"> </w:t>
      </w:r>
      <w:r w:rsidR="00035D1A">
        <w:rPr>
          <w:b w:val="0"/>
          <w:bCs w:val="0"/>
        </w:rPr>
        <w:t>time</w:t>
      </w:r>
      <w:r>
        <w:rPr>
          <w:b w:val="0"/>
          <w:bCs w:val="0"/>
        </w:rPr>
        <w:t>.</w:t>
      </w:r>
    </w:p>
    <w:p w14:paraId="08818F90" w14:textId="555FD598" w:rsidR="00035D1A" w:rsidRDefault="006C3FDF" w:rsidP="00E1068D">
      <w:pPr>
        <w:pStyle w:val="BodyText"/>
        <w:numPr>
          <w:ilvl w:val="0"/>
          <w:numId w:val="1"/>
        </w:numPr>
        <w:rPr>
          <w:rFonts w:ascii="Symbol" w:hAnsi="Symbol"/>
          <w:color w:val="000000"/>
        </w:rPr>
      </w:pPr>
      <w:r>
        <w:t xml:space="preserve">Giving </w:t>
      </w:r>
      <w:r w:rsidR="00035D1A">
        <w:t>clear guidance to suppliers and resolving disputes as quickly as</w:t>
      </w:r>
      <w:r w:rsidR="00035D1A">
        <w:rPr>
          <w:spacing w:val="-23"/>
        </w:rPr>
        <w:t xml:space="preserve"> </w:t>
      </w:r>
      <w:r w:rsidR="00035D1A">
        <w:t>possible</w:t>
      </w:r>
      <w:r>
        <w:t>.</w:t>
      </w:r>
    </w:p>
    <w:p w14:paraId="6D6D4A4C" w14:textId="183D1F18" w:rsidR="00035D1A" w:rsidRDefault="006C3FDF" w:rsidP="00E1068D">
      <w:pPr>
        <w:pStyle w:val="BodyText"/>
        <w:numPr>
          <w:ilvl w:val="0"/>
          <w:numId w:val="1"/>
        </w:numPr>
      </w:pPr>
      <w:r>
        <w:t xml:space="preserve">Ensuring </w:t>
      </w:r>
      <w:r w:rsidR="3CAE7973">
        <w:t>t</w:t>
      </w:r>
      <w:r w:rsidR="00035D1A">
        <w:t>he national measures for payment performance do not include any delays in payment during the time that an invoice is on hold.</w:t>
      </w:r>
    </w:p>
    <w:p w14:paraId="02D636E0" w14:textId="77777777" w:rsidR="00F47C89" w:rsidRDefault="00F47C89">
      <w:pPr>
        <w:spacing w:before="0" w:after="200" w:line="276" w:lineRule="auto"/>
        <w:rPr>
          <w:b/>
        </w:rPr>
      </w:pPr>
      <w:r>
        <w:rPr>
          <w:b/>
        </w:rPr>
        <w:br w:type="page"/>
      </w:r>
    </w:p>
    <w:p w14:paraId="14C82E4A" w14:textId="21422D72" w:rsidR="00035D1A" w:rsidRPr="00205B22" w:rsidRDefault="00035D1A" w:rsidP="00205B22">
      <w:pPr>
        <w:pStyle w:val="BodyText"/>
        <w:rPr>
          <w:b/>
        </w:rPr>
      </w:pPr>
      <w:r w:rsidRPr="00205B22">
        <w:rPr>
          <w:b/>
        </w:rPr>
        <w:lastRenderedPageBreak/>
        <w:t>2024/25 financial plans and looking to the future</w:t>
      </w:r>
    </w:p>
    <w:p w14:paraId="6672EB63" w14:textId="723B803A" w:rsidR="00035D1A" w:rsidRDefault="00BA5174" w:rsidP="003B4A85">
      <w:pPr>
        <w:pStyle w:val="BodyText"/>
      </w:pPr>
      <w:r>
        <w:t xml:space="preserve">In line </w:t>
      </w:r>
      <w:r w:rsidRPr="00495DC3">
        <w:t>with the NHSE planning process, t</w:t>
      </w:r>
      <w:r w:rsidR="00035D1A" w:rsidRPr="00495DC3">
        <w:t xml:space="preserve">he 2024/25 Financial Plan was submitted on </w:t>
      </w:r>
      <w:r w:rsidR="00495DC3" w:rsidRPr="00495DC3">
        <w:t>12 June 2024</w:t>
      </w:r>
      <w:r w:rsidR="00035D1A" w:rsidRPr="00495DC3">
        <w:t xml:space="preserve"> with </w:t>
      </w:r>
      <w:r w:rsidR="00495DC3" w:rsidRPr="00495DC3">
        <w:t>a breakeven position for the ICB.</w:t>
      </w:r>
      <w:r w:rsidR="00035D1A" w:rsidRPr="00495DC3">
        <w:t xml:space="preserve"> Allocations</w:t>
      </w:r>
      <w:r w:rsidR="00035D1A">
        <w:t xml:space="preserve"> for 2024/25 have been given on a system level and it is expected that the ICB will achieve its control total noting any risks and mitigations.</w:t>
      </w:r>
    </w:p>
    <w:p w14:paraId="2FF023DA" w14:textId="77777777" w:rsidR="00035D1A" w:rsidRDefault="00035D1A" w:rsidP="003B4A85">
      <w:pPr>
        <w:pStyle w:val="BodyText"/>
      </w:pPr>
      <w:r>
        <w:t>The ICB will continue to work with system partners over the coming months to prioritise programmes of work towards achieving a financially sustainable health and social care system.</w:t>
      </w:r>
    </w:p>
    <w:p w14:paraId="421D6BF7" w14:textId="7F25D9EC" w:rsidR="00035D1A" w:rsidRDefault="00035D1A" w:rsidP="003B4A85">
      <w:pPr>
        <w:pStyle w:val="BodyText"/>
      </w:pPr>
      <w:r>
        <w:t xml:space="preserve">The ICB manages the system allocation to buy services for the population of </w:t>
      </w:r>
      <w:r w:rsidR="00471C4B">
        <w:t>MSE</w:t>
      </w:r>
      <w:r>
        <w:t>. MSEFT and EPUT are part of our system control total, and our finances are reported separately and together to NHSE. As a system we expect to have a shortfall between our available funding and the spending we expect to incur during the year. We continue to work together with our regulators to improve our financial position aiming and ensure the sustainability of our services.</w:t>
      </w:r>
    </w:p>
    <w:p w14:paraId="7DC3BDC4" w14:textId="77777777" w:rsidR="00035D1A" w:rsidRDefault="00035D1A" w:rsidP="003B4A85">
      <w:pPr>
        <w:pStyle w:val="BodyText"/>
        <w:rPr>
          <w:sz w:val="22"/>
        </w:rPr>
      </w:pPr>
    </w:p>
    <w:p w14:paraId="69259F16" w14:textId="06E662C8" w:rsidR="001C0486" w:rsidRDefault="001C0486" w:rsidP="003B4A85">
      <w:pPr>
        <w:pStyle w:val="BodyText"/>
      </w:pPr>
      <w:r>
        <w:br w:type="page"/>
      </w:r>
    </w:p>
    <w:p w14:paraId="63550A19" w14:textId="77777777" w:rsidR="001C0486" w:rsidRPr="001C0486" w:rsidRDefault="001C0486" w:rsidP="00FB01A6">
      <w:pPr>
        <w:pStyle w:val="Subtitle"/>
      </w:pPr>
      <w:bookmarkStart w:id="64" w:name="_Toc126572829"/>
      <w:bookmarkStart w:id="65" w:name="_Toc164814691"/>
      <w:bookmarkStart w:id="66" w:name="_Toc164814831"/>
      <w:bookmarkStart w:id="67" w:name="_Toc164814892"/>
      <w:r w:rsidRPr="001C0486">
        <w:lastRenderedPageBreak/>
        <w:t>ACCOUNTABILITY REPORT</w:t>
      </w:r>
      <w:bookmarkEnd w:id="64"/>
      <w:bookmarkEnd w:id="65"/>
      <w:bookmarkEnd w:id="66"/>
      <w:bookmarkEnd w:id="67"/>
    </w:p>
    <w:p w14:paraId="256F4492" w14:textId="4521C83D" w:rsidR="001C0486" w:rsidRDefault="001C0486" w:rsidP="001C0486"/>
    <w:p w14:paraId="3C0BA686" w14:textId="7BBB832F" w:rsidR="00C74B46" w:rsidRDefault="00C74B46" w:rsidP="001C0486"/>
    <w:p w14:paraId="63A48A99" w14:textId="3A65F868" w:rsidR="00C74B46" w:rsidRDefault="00C74B46" w:rsidP="001C0486"/>
    <w:p w14:paraId="74F78C0A" w14:textId="57C448CD" w:rsidR="00C74B46" w:rsidRDefault="00C74B46" w:rsidP="001C0486"/>
    <w:p w14:paraId="2029D357" w14:textId="7F9D7589" w:rsidR="00C74B46" w:rsidRDefault="00C74B46" w:rsidP="001C0486"/>
    <w:p w14:paraId="56B30D2B" w14:textId="2E0D02F7" w:rsidR="00C74B46" w:rsidRDefault="00C74B46" w:rsidP="001C0486"/>
    <w:p w14:paraId="44377720" w14:textId="1EE1E5B6" w:rsidR="00C74B46" w:rsidRDefault="00C74B46" w:rsidP="001C0486"/>
    <w:p w14:paraId="5B363DD9" w14:textId="4AEF99A7" w:rsidR="00C74B46" w:rsidRDefault="00C74B46" w:rsidP="001C0486"/>
    <w:p w14:paraId="64E6841E" w14:textId="7A6754AD" w:rsidR="00C74B46" w:rsidRDefault="00C74B46" w:rsidP="001C0486"/>
    <w:p w14:paraId="6928729F" w14:textId="4FC22EAE" w:rsidR="00C74B46" w:rsidRDefault="00C74B46" w:rsidP="001C0486"/>
    <w:p w14:paraId="678598C8" w14:textId="0B432D1E" w:rsidR="00C74B46" w:rsidRDefault="00C74B46" w:rsidP="001C0486"/>
    <w:p w14:paraId="2B268010" w14:textId="7F0BA712" w:rsidR="00C74B46" w:rsidRDefault="00C74B46" w:rsidP="001C0486"/>
    <w:p w14:paraId="7D1565C1" w14:textId="38EDA602" w:rsidR="00C74B46" w:rsidRDefault="00C74B46" w:rsidP="001C0486"/>
    <w:p w14:paraId="10066F2D" w14:textId="61E3B9A8" w:rsidR="00C74B46" w:rsidRDefault="00C74B46" w:rsidP="001C0486"/>
    <w:p w14:paraId="63E33D82" w14:textId="77777777" w:rsidR="00C74B46" w:rsidRDefault="00C74B46" w:rsidP="001C0486"/>
    <w:p w14:paraId="38A649CA" w14:textId="77777777" w:rsidR="001C0486" w:rsidRDefault="001C0486" w:rsidP="001C0486"/>
    <w:p w14:paraId="17E0A264" w14:textId="77777777" w:rsidR="00142A02" w:rsidRPr="00A862DE" w:rsidRDefault="00142A02" w:rsidP="00142A02">
      <w:pPr>
        <w:spacing w:line="360" w:lineRule="auto"/>
        <w:rPr>
          <w:rFonts w:cs="Arial"/>
          <w:b/>
          <w:szCs w:val="24"/>
          <w:highlight w:val="yellow"/>
        </w:rPr>
      </w:pPr>
      <w:r w:rsidRPr="00A862DE">
        <w:rPr>
          <w:rFonts w:cs="Arial"/>
          <w:b/>
          <w:szCs w:val="24"/>
          <w:highlight w:val="yellow"/>
        </w:rPr>
        <w:t>[Insert signature]</w:t>
      </w:r>
    </w:p>
    <w:p w14:paraId="1B012750" w14:textId="77777777" w:rsidR="005B7F19" w:rsidRPr="00C05C9B" w:rsidRDefault="005B7F19" w:rsidP="001C0486"/>
    <w:p w14:paraId="7F83C141" w14:textId="14C46931" w:rsidR="00C74B46" w:rsidRDefault="006B0483" w:rsidP="00C74B46">
      <w:pPr>
        <w:spacing w:before="0" w:after="0"/>
        <w:rPr>
          <w:b/>
          <w:bCs/>
        </w:rPr>
      </w:pPr>
      <w:r>
        <w:rPr>
          <w:b/>
          <w:bCs/>
        </w:rPr>
        <w:t>Tracy Dowling</w:t>
      </w:r>
    </w:p>
    <w:p w14:paraId="7C99C8FB" w14:textId="095C94D3" w:rsidR="00C74B46" w:rsidRDefault="006B0483" w:rsidP="00C74B46">
      <w:pPr>
        <w:spacing w:before="0" w:after="0"/>
      </w:pPr>
      <w:r>
        <w:t xml:space="preserve">Interim </w:t>
      </w:r>
      <w:r w:rsidR="00C74B46" w:rsidRPr="00717BD0">
        <w:t>Chief Executive of Mid and South Essex Integrated Care Board</w:t>
      </w:r>
    </w:p>
    <w:p w14:paraId="32C03474" w14:textId="77777777" w:rsidR="00C74B46" w:rsidRDefault="00C74B46" w:rsidP="00C74B46">
      <w:pPr>
        <w:spacing w:before="0" w:after="0"/>
      </w:pPr>
    </w:p>
    <w:p w14:paraId="43766E05" w14:textId="77777777" w:rsidR="00E57AFE" w:rsidRPr="00FD7877" w:rsidRDefault="00E57AFE" w:rsidP="00E57AFE">
      <w:pPr>
        <w:pStyle w:val="BodyText"/>
        <w:rPr>
          <w:b/>
        </w:rPr>
      </w:pPr>
      <w:r>
        <w:t xml:space="preserve">24 June </w:t>
      </w:r>
      <w:r w:rsidRPr="00FD7877">
        <w:t>202</w:t>
      </w:r>
      <w:r>
        <w:t>4</w:t>
      </w:r>
    </w:p>
    <w:p w14:paraId="57F01FC3" w14:textId="77777777" w:rsidR="001C0486" w:rsidRDefault="001C0486" w:rsidP="001C0486"/>
    <w:p w14:paraId="31FF57EE" w14:textId="77777777" w:rsidR="001C0486" w:rsidRDefault="001C0486" w:rsidP="001C0486"/>
    <w:p w14:paraId="74753E14" w14:textId="77777777" w:rsidR="001C0486" w:rsidRPr="00C55899" w:rsidRDefault="001C0486" w:rsidP="001C0486"/>
    <w:p w14:paraId="50DB80D2" w14:textId="77777777" w:rsidR="001C0486" w:rsidRDefault="001C0486" w:rsidP="001C0486">
      <w:pPr>
        <w:spacing w:before="0" w:after="0"/>
        <w:rPr>
          <w:rFonts w:eastAsiaTheme="majorEastAsia" w:cs="Arial"/>
          <w:b/>
          <w:spacing w:val="-10"/>
          <w:kern w:val="28"/>
        </w:rPr>
      </w:pPr>
      <w:r>
        <w:rPr>
          <w:rFonts w:cs="Arial"/>
        </w:rPr>
        <w:br w:type="page"/>
      </w:r>
    </w:p>
    <w:p w14:paraId="0FE9E65D" w14:textId="77777777" w:rsidR="001C0486" w:rsidRPr="00084218" w:rsidRDefault="001C0486" w:rsidP="007623F7">
      <w:pPr>
        <w:pStyle w:val="Subtitle"/>
      </w:pPr>
      <w:bookmarkStart w:id="68" w:name="_Toc126572830"/>
      <w:bookmarkStart w:id="69" w:name="_Toc133356633"/>
      <w:bookmarkStart w:id="70" w:name="_Toc164470271"/>
      <w:bookmarkStart w:id="71" w:name="_Toc164814832"/>
      <w:bookmarkStart w:id="72" w:name="_Toc164814893"/>
      <w:r w:rsidRPr="00084218">
        <w:lastRenderedPageBreak/>
        <w:t>Accountability Report</w:t>
      </w:r>
      <w:bookmarkEnd w:id="68"/>
      <w:bookmarkEnd w:id="69"/>
      <w:bookmarkEnd w:id="70"/>
      <w:bookmarkEnd w:id="71"/>
      <w:bookmarkEnd w:id="72"/>
    </w:p>
    <w:p w14:paraId="1B372ABF" w14:textId="098BBC95" w:rsidR="001C0486" w:rsidRDefault="001C0486" w:rsidP="001C0486">
      <w:r>
        <w:t xml:space="preserve">The </w:t>
      </w:r>
      <w:r w:rsidR="2A988403">
        <w:t>a</w:t>
      </w:r>
      <w:r>
        <w:t xml:space="preserve">ccountability </w:t>
      </w:r>
      <w:r w:rsidR="662375C0">
        <w:t>r</w:t>
      </w:r>
      <w:r>
        <w:t>eport describes how we meet key accountability requirements and embody best practice to comply</w:t>
      </w:r>
      <w:r w:rsidRPr="366CD5EB">
        <w:rPr>
          <w:b/>
          <w:bCs/>
        </w:rPr>
        <w:t xml:space="preserve"> </w:t>
      </w:r>
      <w:r>
        <w:t xml:space="preserve">with corporate governance norms and regulations. </w:t>
      </w:r>
    </w:p>
    <w:p w14:paraId="2E6F9444" w14:textId="77777777" w:rsidR="001C0486" w:rsidRPr="0044021C" w:rsidRDefault="001C0486" w:rsidP="001C0486">
      <w:r w:rsidRPr="0044021C">
        <w:t>It comprises three sections:</w:t>
      </w:r>
    </w:p>
    <w:p w14:paraId="0997B4FF" w14:textId="4C71D1EB" w:rsidR="001C0486" w:rsidRPr="0044021C" w:rsidRDefault="001C0486" w:rsidP="001C0486">
      <w:r w:rsidRPr="0044021C">
        <w:t xml:space="preserve">The </w:t>
      </w:r>
      <w:r w:rsidRPr="0044021C">
        <w:rPr>
          <w:b/>
          <w:bCs/>
        </w:rPr>
        <w:t>Corporate Governance Report</w:t>
      </w:r>
      <w:r w:rsidRPr="0044021C">
        <w:t xml:space="preserve"> sets out how we have governed the organisation during the period 1 </w:t>
      </w:r>
      <w:r w:rsidR="00470575">
        <w:t xml:space="preserve">April 2023 </w:t>
      </w:r>
      <w:r w:rsidRPr="0044021C">
        <w:t>to 3</w:t>
      </w:r>
      <w:r w:rsidR="004A08A8" w:rsidRPr="0044021C">
        <w:t>1</w:t>
      </w:r>
      <w:r w:rsidRPr="0044021C">
        <w:t xml:space="preserve"> </w:t>
      </w:r>
      <w:r w:rsidR="004A08A8" w:rsidRPr="0044021C">
        <w:t xml:space="preserve">March </w:t>
      </w:r>
      <w:r w:rsidRPr="0044021C">
        <w:t>202</w:t>
      </w:r>
      <w:r w:rsidR="00470575">
        <w:t>4</w:t>
      </w:r>
      <w:r w:rsidRPr="0044021C">
        <w:t>, including membership and organisation of our governance structures and how they supported the achievement of our objectives.</w:t>
      </w:r>
    </w:p>
    <w:p w14:paraId="1C074845" w14:textId="77777777" w:rsidR="001C0486" w:rsidRPr="0044021C" w:rsidRDefault="001C0486" w:rsidP="001C0486">
      <w:r w:rsidRPr="0044021C">
        <w:t xml:space="preserve">The </w:t>
      </w:r>
      <w:r w:rsidRPr="0044021C">
        <w:rPr>
          <w:b/>
          <w:bCs/>
        </w:rPr>
        <w:t>Remuneration and Staff Report</w:t>
      </w:r>
      <w:r w:rsidRPr="0044021C">
        <w:t xml:space="preserve"> describes our remuneration polices for executive and non-executive directors, including salary and pension liability information. It also provides further information on our workforce, remuneration and staff policies.</w:t>
      </w:r>
    </w:p>
    <w:p w14:paraId="5E6C4A4B" w14:textId="77777777" w:rsidR="001C0486" w:rsidRPr="006B2C2C" w:rsidRDefault="001C0486" w:rsidP="001C0486">
      <w:r w:rsidRPr="0044021C">
        <w:t xml:space="preserve">The </w:t>
      </w:r>
      <w:r w:rsidRPr="0044021C">
        <w:rPr>
          <w:b/>
          <w:bCs/>
        </w:rPr>
        <w:t xml:space="preserve">Parliamentary Accountability and Audit Report </w:t>
      </w:r>
      <w:r w:rsidRPr="0044021C">
        <w:t xml:space="preserve">brings together key information to support accountability, including a summary of </w:t>
      </w:r>
      <w:r w:rsidRPr="0044021C">
        <w:rPr>
          <w:iCs/>
        </w:rPr>
        <w:t>fees and charges, remote contingent liabilities, and an audit report and certificate</w:t>
      </w:r>
      <w:r w:rsidRPr="0044021C">
        <w:t>.</w:t>
      </w:r>
      <w:r>
        <w:t xml:space="preserve"> </w:t>
      </w:r>
    </w:p>
    <w:p w14:paraId="7B6B072B" w14:textId="77777777" w:rsidR="001C0486" w:rsidRPr="00084218" w:rsidRDefault="001C0486" w:rsidP="004C79FC">
      <w:pPr>
        <w:pStyle w:val="Subtitle"/>
      </w:pPr>
      <w:bookmarkStart w:id="73" w:name="_Toc126572831"/>
      <w:bookmarkStart w:id="74" w:name="_Toc164814833"/>
      <w:bookmarkStart w:id="75" w:name="_Toc164814894"/>
      <w:r w:rsidRPr="00084218">
        <w:t>Corporate Governance Report</w:t>
      </w:r>
      <w:bookmarkEnd w:id="73"/>
      <w:bookmarkEnd w:id="74"/>
      <w:bookmarkEnd w:id="75"/>
    </w:p>
    <w:p w14:paraId="5EE33122" w14:textId="372D8262" w:rsidR="004C79FC" w:rsidRDefault="004C79FC" w:rsidP="004C79FC">
      <w:pPr>
        <w:pStyle w:val="Heading2"/>
      </w:pPr>
      <w:bookmarkStart w:id="76" w:name="_Toc164814834"/>
      <w:bookmarkStart w:id="77" w:name="_Toc164814895"/>
      <w:r>
        <w:t>Members Report</w:t>
      </w:r>
      <w:bookmarkEnd w:id="76"/>
      <w:bookmarkEnd w:id="77"/>
    </w:p>
    <w:p w14:paraId="601F6CC4" w14:textId="0FDAFB31" w:rsidR="001C0486" w:rsidRDefault="001C0486" w:rsidP="00CD6C10">
      <w:pPr>
        <w:pStyle w:val="Heading4"/>
      </w:pPr>
      <w:r w:rsidRPr="00D3403F">
        <w:t>Composition of Governing Body</w:t>
      </w:r>
    </w:p>
    <w:p w14:paraId="6003E13D" w14:textId="33E3BB4A" w:rsidR="00EE0795" w:rsidRPr="00C66B76" w:rsidRDefault="00FB6DAB" w:rsidP="00EE0795">
      <w:r w:rsidRPr="00C66B76">
        <w:t>As at 31 March 202</w:t>
      </w:r>
      <w:r w:rsidR="006B0483" w:rsidRPr="00C66B76">
        <w:t>4</w:t>
      </w:r>
      <w:r w:rsidRPr="00C66B76">
        <w:t>, t</w:t>
      </w:r>
      <w:r w:rsidR="00EE0795" w:rsidRPr="00C66B76">
        <w:t xml:space="preserve">he composition of the ICB Board </w:t>
      </w:r>
      <w:r w:rsidRPr="00C66B76">
        <w:t>wa</w:t>
      </w:r>
      <w:r w:rsidR="00EE0795" w:rsidRPr="00C66B76">
        <w:t>s as follows:</w:t>
      </w:r>
    </w:p>
    <w:p w14:paraId="0EC1BB3A" w14:textId="537C33E8" w:rsidR="00156BAC" w:rsidRPr="00C66B76" w:rsidRDefault="00156BAC" w:rsidP="00A24DCF">
      <w:pPr>
        <w:pStyle w:val="BodyText"/>
        <w:numPr>
          <w:ilvl w:val="0"/>
          <w:numId w:val="16"/>
        </w:numPr>
      </w:pPr>
      <w:r w:rsidRPr="00C66B76">
        <w:t>Professor Michael Thorne CBE, Chair</w:t>
      </w:r>
    </w:p>
    <w:p w14:paraId="3938660E" w14:textId="56A55983" w:rsidR="00156BAC" w:rsidRPr="00C66B76" w:rsidRDefault="006B0483" w:rsidP="00A24DCF">
      <w:pPr>
        <w:pStyle w:val="BodyText"/>
        <w:numPr>
          <w:ilvl w:val="0"/>
          <w:numId w:val="16"/>
        </w:numPr>
      </w:pPr>
      <w:r w:rsidRPr="00C66B76">
        <w:t>Tracy Dowling</w:t>
      </w:r>
      <w:r w:rsidR="00156BAC" w:rsidRPr="00C66B76">
        <w:t xml:space="preserve">, </w:t>
      </w:r>
      <w:r w:rsidRPr="00C66B76">
        <w:t xml:space="preserve">Interim </w:t>
      </w:r>
      <w:r w:rsidR="00156BAC" w:rsidRPr="00C66B76">
        <w:t>Chief Executive Officer</w:t>
      </w:r>
    </w:p>
    <w:p w14:paraId="43AFF396" w14:textId="1FB1AB25" w:rsidR="00156BAC" w:rsidRPr="00C66B76" w:rsidRDefault="007A6C9C" w:rsidP="00A24DCF">
      <w:pPr>
        <w:pStyle w:val="BodyText"/>
        <w:numPr>
          <w:ilvl w:val="0"/>
          <w:numId w:val="16"/>
        </w:numPr>
      </w:pPr>
      <w:r w:rsidRPr="00C66B76">
        <w:t>Dr Giles Thorpe</w:t>
      </w:r>
      <w:r w:rsidR="00156BAC" w:rsidRPr="00C66B76">
        <w:t>, Executive Chief Nursing Officer</w:t>
      </w:r>
    </w:p>
    <w:p w14:paraId="5020ACCA" w14:textId="010E8DFD" w:rsidR="00156BAC" w:rsidRPr="00C66B76" w:rsidRDefault="007A6C9C" w:rsidP="00A24DCF">
      <w:pPr>
        <w:pStyle w:val="BodyText"/>
        <w:numPr>
          <w:ilvl w:val="0"/>
          <w:numId w:val="16"/>
        </w:numPr>
      </w:pPr>
      <w:r w:rsidRPr="00C66B76">
        <w:t>Dr Matthew Sweeting</w:t>
      </w:r>
      <w:r w:rsidR="00156BAC" w:rsidRPr="00C66B76">
        <w:t>, System Medical Director</w:t>
      </w:r>
    </w:p>
    <w:p w14:paraId="10919F6C" w14:textId="0D46BB9D" w:rsidR="00156BAC" w:rsidRPr="00C66B76" w:rsidRDefault="007A6C9C" w:rsidP="00A24DCF">
      <w:pPr>
        <w:pStyle w:val="BodyText"/>
        <w:numPr>
          <w:ilvl w:val="0"/>
          <w:numId w:val="16"/>
        </w:numPr>
      </w:pPr>
      <w:r w:rsidRPr="00C66B76">
        <w:t>Lisa Adams</w:t>
      </w:r>
      <w:r w:rsidR="00156BAC" w:rsidRPr="00C66B76">
        <w:t>,</w:t>
      </w:r>
      <w:r w:rsidRPr="00C66B76">
        <w:t xml:space="preserve"> Interim</w:t>
      </w:r>
      <w:r w:rsidR="00156BAC" w:rsidRPr="00C66B76">
        <w:t xml:space="preserve"> Executive Chief People Officer</w:t>
      </w:r>
    </w:p>
    <w:p w14:paraId="3D9DA423" w14:textId="41085C78" w:rsidR="00156BAC" w:rsidRPr="00C66B76" w:rsidRDefault="00156BAC" w:rsidP="00A24DCF">
      <w:pPr>
        <w:pStyle w:val="BodyText"/>
        <w:numPr>
          <w:ilvl w:val="0"/>
          <w:numId w:val="16"/>
        </w:numPr>
      </w:pPr>
      <w:r w:rsidRPr="00C66B76">
        <w:t>Jennifer Kearton,</w:t>
      </w:r>
      <w:r w:rsidR="007A6C9C" w:rsidRPr="00C66B76">
        <w:t xml:space="preserve"> </w:t>
      </w:r>
      <w:r w:rsidR="0008661F">
        <w:t xml:space="preserve">Executive </w:t>
      </w:r>
      <w:r w:rsidR="007A6C9C" w:rsidRPr="00C66B76">
        <w:t>Chief Finance Officer</w:t>
      </w:r>
    </w:p>
    <w:p w14:paraId="63AEAB81" w14:textId="77777777" w:rsidR="00156BAC" w:rsidRPr="00C66B76" w:rsidRDefault="00156BAC" w:rsidP="00A24DCF">
      <w:pPr>
        <w:pStyle w:val="BodyText"/>
        <w:numPr>
          <w:ilvl w:val="0"/>
          <w:numId w:val="16"/>
        </w:numPr>
      </w:pPr>
      <w:r w:rsidRPr="00C66B76">
        <w:t>Dr Neha Issar-Brown, Non-Executive Member</w:t>
      </w:r>
    </w:p>
    <w:p w14:paraId="3EF65712" w14:textId="77777777" w:rsidR="00156BAC" w:rsidRPr="00C66B76" w:rsidRDefault="00156BAC" w:rsidP="00A24DCF">
      <w:pPr>
        <w:pStyle w:val="BodyText"/>
        <w:numPr>
          <w:ilvl w:val="0"/>
          <w:numId w:val="16"/>
        </w:numPr>
      </w:pPr>
      <w:r w:rsidRPr="00C66B76">
        <w:t>George Wood, Non-Executive Member</w:t>
      </w:r>
    </w:p>
    <w:p w14:paraId="0B7713E6" w14:textId="77777777" w:rsidR="00156BAC" w:rsidRPr="00C66B76" w:rsidRDefault="00156BAC" w:rsidP="00A24DCF">
      <w:pPr>
        <w:pStyle w:val="BodyText"/>
        <w:numPr>
          <w:ilvl w:val="0"/>
          <w:numId w:val="16"/>
        </w:numPr>
      </w:pPr>
      <w:r w:rsidRPr="00C66B76">
        <w:t>Joseph Fielder, Non-Executive Member</w:t>
      </w:r>
    </w:p>
    <w:p w14:paraId="72432788" w14:textId="50CE625D" w:rsidR="00156BAC" w:rsidRPr="006D3DA3" w:rsidRDefault="00156BAC" w:rsidP="00156BAC">
      <w:pPr>
        <w:pStyle w:val="BodyText"/>
        <w:rPr>
          <w:b/>
          <w:bCs/>
        </w:rPr>
      </w:pPr>
      <w:r w:rsidRPr="366CD5EB">
        <w:rPr>
          <w:b/>
          <w:bCs/>
        </w:rPr>
        <w:t xml:space="preserve">Partner </w:t>
      </w:r>
      <w:r w:rsidR="14B18B0C" w:rsidRPr="366CD5EB">
        <w:rPr>
          <w:b/>
          <w:bCs/>
        </w:rPr>
        <w:t>m</w:t>
      </w:r>
      <w:r w:rsidRPr="366CD5EB">
        <w:rPr>
          <w:b/>
          <w:bCs/>
        </w:rPr>
        <w:t>embers</w:t>
      </w:r>
    </w:p>
    <w:p w14:paraId="15508977" w14:textId="77777777" w:rsidR="00156BAC" w:rsidRPr="00C66B76" w:rsidRDefault="00156BAC" w:rsidP="00A24DCF">
      <w:pPr>
        <w:pStyle w:val="BodyText"/>
        <w:numPr>
          <w:ilvl w:val="0"/>
          <w:numId w:val="17"/>
        </w:numPr>
      </w:pPr>
      <w:r w:rsidRPr="00C66B76">
        <w:t>Paul Scott, Essex Partnership University NHS Foundation Trust</w:t>
      </w:r>
    </w:p>
    <w:p w14:paraId="4DB653DA" w14:textId="651EE4E1" w:rsidR="00156BAC" w:rsidRPr="00C66B76" w:rsidRDefault="00CA3299" w:rsidP="00A24DCF">
      <w:pPr>
        <w:pStyle w:val="BodyText"/>
        <w:numPr>
          <w:ilvl w:val="0"/>
          <w:numId w:val="17"/>
        </w:numPr>
      </w:pPr>
      <w:r w:rsidRPr="00C66B76">
        <w:t>Matthew Hopkins</w:t>
      </w:r>
      <w:r w:rsidR="00156BAC" w:rsidRPr="00C66B76">
        <w:t>, Mid and South Essex NHS Foundation Trust</w:t>
      </w:r>
    </w:p>
    <w:p w14:paraId="66BB9FD2" w14:textId="3CA5917B" w:rsidR="00156BAC" w:rsidRPr="00C66B76" w:rsidRDefault="00156BAC" w:rsidP="00A24DCF">
      <w:pPr>
        <w:pStyle w:val="BodyText"/>
        <w:numPr>
          <w:ilvl w:val="0"/>
          <w:numId w:val="17"/>
        </w:numPr>
      </w:pPr>
      <w:r w:rsidRPr="00C66B76">
        <w:t>Peter Fairl</w:t>
      </w:r>
      <w:r w:rsidR="00B73DC7" w:rsidRPr="00C66B76">
        <w:t>e</w:t>
      </w:r>
      <w:r w:rsidRPr="00C66B76">
        <w:t xml:space="preserve">y, Essex County </w:t>
      </w:r>
      <w:r w:rsidR="00B73DC7" w:rsidRPr="00C66B76">
        <w:t>Council</w:t>
      </w:r>
    </w:p>
    <w:p w14:paraId="46EF1C05" w14:textId="77777777" w:rsidR="00156BAC" w:rsidRPr="00C66B76" w:rsidRDefault="00156BAC" w:rsidP="00A24DCF">
      <w:pPr>
        <w:pStyle w:val="BodyText"/>
        <w:numPr>
          <w:ilvl w:val="0"/>
          <w:numId w:val="17"/>
        </w:numPr>
      </w:pPr>
      <w:r w:rsidRPr="00C66B76">
        <w:lastRenderedPageBreak/>
        <w:t>Mark Harvey, Southend City Council</w:t>
      </w:r>
    </w:p>
    <w:p w14:paraId="5E12D8C3" w14:textId="48F5DF8A" w:rsidR="00156BAC" w:rsidRPr="00C66B76" w:rsidRDefault="00CC7431" w:rsidP="00A24DCF">
      <w:pPr>
        <w:pStyle w:val="BodyText"/>
        <w:numPr>
          <w:ilvl w:val="0"/>
          <w:numId w:val="17"/>
        </w:numPr>
      </w:pPr>
      <w:r w:rsidRPr="00C66B76">
        <w:t>Ian Wake</w:t>
      </w:r>
      <w:r w:rsidR="00156BAC" w:rsidRPr="00C66B76">
        <w:t>, Thurrock Council</w:t>
      </w:r>
    </w:p>
    <w:p w14:paraId="14128EBA" w14:textId="77777777" w:rsidR="00156BAC" w:rsidRPr="00C66B76" w:rsidRDefault="00156BAC" w:rsidP="00A24DCF">
      <w:pPr>
        <w:pStyle w:val="BodyText"/>
        <w:numPr>
          <w:ilvl w:val="0"/>
          <w:numId w:val="17"/>
        </w:numPr>
      </w:pPr>
      <w:r w:rsidRPr="00C66B76">
        <w:t>Dr Anna Davey, Primary Care Partner Member</w:t>
      </w:r>
    </w:p>
    <w:p w14:paraId="34B25E56" w14:textId="6B551428" w:rsidR="00A9491E" w:rsidRDefault="00A9491E" w:rsidP="00CD6C10">
      <w:pPr>
        <w:pStyle w:val="Heading4"/>
        <w:rPr>
          <w:b w:val="0"/>
          <w:bCs w:val="0"/>
        </w:rPr>
      </w:pPr>
      <w:r>
        <w:rPr>
          <w:b w:val="0"/>
          <w:bCs w:val="0"/>
        </w:rPr>
        <w:t>The following</w:t>
      </w:r>
      <w:r w:rsidR="00877B4E">
        <w:rPr>
          <w:b w:val="0"/>
          <w:bCs w:val="0"/>
        </w:rPr>
        <w:t xml:space="preserve"> officers and Associated Non-Executive Members also </w:t>
      </w:r>
      <w:r w:rsidR="007E1F2F">
        <w:rPr>
          <w:b w:val="0"/>
          <w:bCs w:val="0"/>
        </w:rPr>
        <w:t>attended and contributed to the Board:</w:t>
      </w:r>
    </w:p>
    <w:p w14:paraId="1B48225E" w14:textId="5426B041" w:rsidR="007E1F2F" w:rsidRDefault="008F6BC1" w:rsidP="00B72053">
      <w:pPr>
        <w:pStyle w:val="BodyText"/>
        <w:numPr>
          <w:ilvl w:val="0"/>
          <w:numId w:val="17"/>
        </w:numPr>
      </w:pPr>
      <w:r>
        <w:t>Prof Shahina Pardhan</w:t>
      </w:r>
      <w:r w:rsidR="00B72053">
        <w:t>, Associate Non-Executive Member</w:t>
      </w:r>
    </w:p>
    <w:p w14:paraId="4185BF02" w14:textId="2261CEC9" w:rsidR="00B72053" w:rsidRDefault="00B72053" w:rsidP="00B72053">
      <w:pPr>
        <w:pStyle w:val="BodyText"/>
        <w:numPr>
          <w:ilvl w:val="0"/>
          <w:numId w:val="17"/>
        </w:numPr>
      </w:pPr>
      <w:r>
        <w:t>Dr Geoffrey Ocen, Associate Non-Executive Member</w:t>
      </w:r>
    </w:p>
    <w:p w14:paraId="45DDDFF2" w14:textId="1712F39C" w:rsidR="00B72053" w:rsidRDefault="00B72053" w:rsidP="00B72053">
      <w:pPr>
        <w:pStyle w:val="BodyText"/>
        <w:numPr>
          <w:ilvl w:val="0"/>
          <w:numId w:val="17"/>
        </w:numPr>
      </w:pPr>
      <w:r>
        <w:t>Mark Bailham, Associate Non-Executive Member</w:t>
      </w:r>
    </w:p>
    <w:p w14:paraId="26073D95" w14:textId="286679F3" w:rsidR="00B72053" w:rsidRDefault="00B72053" w:rsidP="00B72053">
      <w:pPr>
        <w:pStyle w:val="BodyText"/>
        <w:numPr>
          <w:ilvl w:val="0"/>
          <w:numId w:val="17"/>
        </w:numPr>
      </w:pPr>
      <w:r>
        <w:t>Emily Hough, Executive Director of Strategy and Corporate Services</w:t>
      </w:r>
    </w:p>
    <w:p w14:paraId="57EA4019" w14:textId="75F354A2" w:rsidR="00B72053" w:rsidRDefault="00B72053" w:rsidP="00B72053">
      <w:pPr>
        <w:pStyle w:val="BodyText"/>
        <w:numPr>
          <w:ilvl w:val="0"/>
          <w:numId w:val="17"/>
        </w:numPr>
      </w:pPr>
      <w:r>
        <w:t>Barry Frostick, Chief Digital Information Officer</w:t>
      </w:r>
    </w:p>
    <w:p w14:paraId="5FC9AE67" w14:textId="04243299" w:rsidR="00B72053" w:rsidRDefault="00B72053" w:rsidP="00B72053">
      <w:pPr>
        <w:pStyle w:val="BodyText"/>
        <w:numPr>
          <w:ilvl w:val="0"/>
          <w:numId w:val="17"/>
        </w:numPr>
      </w:pPr>
      <w:r>
        <w:t>Pam Green, Alliance Director – Basildon and Brentwood</w:t>
      </w:r>
    </w:p>
    <w:p w14:paraId="191512B9" w14:textId="5DF41EF2" w:rsidR="00B72053" w:rsidRDefault="00B72053" w:rsidP="00B72053">
      <w:pPr>
        <w:pStyle w:val="BodyText"/>
        <w:numPr>
          <w:ilvl w:val="0"/>
          <w:numId w:val="17"/>
        </w:numPr>
      </w:pPr>
      <w:r>
        <w:t>Dan Doherty, Alliance Director – Mid Essex</w:t>
      </w:r>
    </w:p>
    <w:p w14:paraId="75212490" w14:textId="2EF26E45" w:rsidR="00B72053" w:rsidRDefault="00B72053" w:rsidP="00B72053">
      <w:pPr>
        <w:pStyle w:val="BodyText"/>
        <w:numPr>
          <w:ilvl w:val="0"/>
          <w:numId w:val="17"/>
        </w:numPr>
      </w:pPr>
      <w:r>
        <w:t>Rebecca Jarvis, Alliance Director – South East Essex</w:t>
      </w:r>
    </w:p>
    <w:p w14:paraId="561C214D" w14:textId="6A26322F" w:rsidR="00B72053" w:rsidRPr="007E1F2F" w:rsidRDefault="00B72053" w:rsidP="00B72053">
      <w:pPr>
        <w:pStyle w:val="BodyText"/>
        <w:numPr>
          <w:ilvl w:val="0"/>
          <w:numId w:val="17"/>
        </w:numPr>
      </w:pPr>
      <w:r>
        <w:t xml:space="preserve">Aleksandra Mecan, Alliance Director </w:t>
      </w:r>
      <w:r w:rsidR="003D4FEF">
        <w:t>—</w:t>
      </w:r>
      <w:r>
        <w:t xml:space="preserve"> Thurrock</w:t>
      </w:r>
    </w:p>
    <w:p w14:paraId="521336B2" w14:textId="6B29FF68" w:rsidR="008747BD" w:rsidRDefault="008747BD" w:rsidP="00CD6C10">
      <w:pPr>
        <w:pStyle w:val="Heading4"/>
      </w:pPr>
      <w:r>
        <w:t>Committee(s), including Audit Committee</w:t>
      </w:r>
    </w:p>
    <w:p w14:paraId="423624CF" w14:textId="4C75089F" w:rsidR="008747BD" w:rsidRDefault="008747BD" w:rsidP="0012205D">
      <w:r w:rsidRPr="00554D95">
        <w:t>The Governance</w:t>
      </w:r>
      <w:r w:rsidR="00FB6DAB" w:rsidRPr="00554D95">
        <w:t xml:space="preserve"> Statement (below) describes the </w:t>
      </w:r>
      <w:r w:rsidR="0012205D" w:rsidRPr="00554D95">
        <w:t>sub-committees of the Board as set out within the Functions and Decision Map within the Governance Handbook.</w:t>
      </w:r>
    </w:p>
    <w:p w14:paraId="717FFBC4" w14:textId="46263117" w:rsidR="001C0486" w:rsidRPr="00D3403F" w:rsidRDefault="001C0486" w:rsidP="00CD6C10">
      <w:pPr>
        <w:pStyle w:val="Heading4"/>
      </w:pPr>
      <w:r w:rsidRPr="00D3403F">
        <w:t>Register of Interests</w:t>
      </w:r>
    </w:p>
    <w:p w14:paraId="0B75DD37" w14:textId="013BD29F" w:rsidR="00ED6F72" w:rsidRPr="00EB6A47" w:rsidRDefault="00ED6F72" w:rsidP="00ED6F72">
      <w:r w:rsidRPr="00EB6A47">
        <w:t xml:space="preserve">At all formal meetings of the </w:t>
      </w:r>
      <w:r w:rsidR="00183810" w:rsidRPr="00EB6A47">
        <w:t>B</w:t>
      </w:r>
      <w:r w:rsidRPr="00EB6A47">
        <w:t>oard and its committees, members must declare if they have an interest in any agenda items under discussion</w:t>
      </w:r>
      <w:r w:rsidR="00E73BF5" w:rsidRPr="00EB6A47">
        <w:t xml:space="preserve"> in accordance with the ICB Conflicts of Interest Policy.</w:t>
      </w:r>
    </w:p>
    <w:p w14:paraId="43B43284" w14:textId="6F5501B2" w:rsidR="00ED6F72" w:rsidRDefault="00ED6F72" w:rsidP="00ED6F72">
      <w:r w:rsidRPr="00EB6A47">
        <w:t xml:space="preserve">The ICB maintains a register of interests declared by </w:t>
      </w:r>
      <w:r w:rsidR="00F46054" w:rsidRPr="00EB6A47">
        <w:t xml:space="preserve">Board </w:t>
      </w:r>
      <w:r w:rsidRPr="00EB6A47">
        <w:t xml:space="preserve">members, a copy of which is provided at all </w:t>
      </w:r>
      <w:r w:rsidR="00F46054" w:rsidRPr="00EB6A47">
        <w:t>Board</w:t>
      </w:r>
      <w:r w:rsidRPr="00EB6A47">
        <w:t xml:space="preserve"> meetings.  The full register of </w:t>
      </w:r>
      <w:r w:rsidR="00F46054" w:rsidRPr="00EB6A47">
        <w:t xml:space="preserve">Board </w:t>
      </w:r>
      <w:r w:rsidRPr="00EB6A47">
        <w:t xml:space="preserve">members’ interests is on our website:  </w:t>
      </w:r>
      <w:hyperlink r:id="rId47" w:history="1">
        <w:r w:rsidR="003C1BF3" w:rsidRPr="00EB6A47">
          <w:rPr>
            <w:rStyle w:val="Hyperlink"/>
            <w:rFonts w:eastAsiaTheme="minorEastAsia" w:cs="Arial"/>
            <w:kern w:val="24"/>
          </w:rPr>
          <w:t>Mid and south Essex ICB Board Register of Interests (hyperlinks)</w:t>
        </w:r>
      </w:hyperlink>
      <w:r w:rsidR="00EB6A47">
        <w:rPr>
          <w:rStyle w:val="Hyperlink"/>
          <w:rFonts w:eastAsiaTheme="minorEastAsia" w:cs="Arial"/>
          <w:kern w:val="24"/>
        </w:rPr>
        <w:t>.</w:t>
      </w:r>
    </w:p>
    <w:p w14:paraId="1E5B2C16" w14:textId="77777777" w:rsidR="001C0486" w:rsidRPr="00CD6C10" w:rsidRDefault="001C0486" w:rsidP="00CD6C10">
      <w:pPr>
        <w:pStyle w:val="Heading4"/>
      </w:pPr>
      <w:r w:rsidRPr="00D3403F">
        <w:t>Personal data related incidents</w:t>
      </w:r>
    </w:p>
    <w:p w14:paraId="130361E5" w14:textId="548E5D08" w:rsidR="00E55808" w:rsidRPr="00F227C7" w:rsidRDefault="00F227C7" w:rsidP="001C0486">
      <w:pPr>
        <w:pStyle w:val="Heading4"/>
        <w:rPr>
          <w:b w:val="0"/>
          <w:bCs w:val="0"/>
        </w:rPr>
      </w:pPr>
      <w:r w:rsidRPr="006E408D">
        <w:rPr>
          <w:b w:val="0"/>
          <w:bCs w:val="0"/>
        </w:rPr>
        <w:t>There are processes in place for incident reporting and investigation of serious incidents. No serious incidents requiring investigation involving personal data were reported to the Information Commissioner in 202</w:t>
      </w:r>
      <w:r w:rsidR="006E408D" w:rsidRPr="006E408D">
        <w:rPr>
          <w:b w:val="0"/>
          <w:bCs w:val="0"/>
        </w:rPr>
        <w:t>3</w:t>
      </w:r>
      <w:r w:rsidRPr="006E408D">
        <w:rPr>
          <w:b w:val="0"/>
          <w:bCs w:val="0"/>
        </w:rPr>
        <w:t>/2</w:t>
      </w:r>
      <w:r w:rsidR="006E408D" w:rsidRPr="006E408D">
        <w:rPr>
          <w:b w:val="0"/>
          <w:bCs w:val="0"/>
        </w:rPr>
        <w:t>4.</w:t>
      </w:r>
    </w:p>
    <w:p w14:paraId="1198EC57" w14:textId="77777777" w:rsidR="001C0486" w:rsidRPr="00D3403F" w:rsidRDefault="001C0486" w:rsidP="00CD6C10">
      <w:pPr>
        <w:pStyle w:val="Heading4"/>
      </w:pPr>
      <w:r w:rsidRPr="00D3403F">
        <w:t xml:space="preserve">Modern Slavery Act </w:t>
      </w:r>
    </w:p>
    <w:p w14:paraId="5EEC4BF6" w14:textId="5660343A" w:rsidR="00156AA0" w:rsidRDefault="008D47C7" w:rsidP="00BE08F8">
      <w:r w:rsidRPr="00541113">
        <w:t>The</w:t>
      </w:r>
      <w:r w:rsidR="001358A7" w:rsidRPr="00541113">
        <w:t xml:space="preserve"> ICB</w:t>
      </w:r>
      <w:r w:rsidR="001C0486" w:rsidRPr="00541113">
        <w:t xml:space="preserve"> fully supports the Government’s objectives to eradicate modern slavery and human trafficking.</w:t>
      </w:r>
      <w:r w:rsidR="00B007F7" w:rsidRPr="00541113">
        <w:t xml:space="preserve">  Our</w:t>
      </w:r>
      <w:r w:rsidR="00C24287" w:rsidRPr="00541113">
        <w:t xml:space="preserve"> </w:t>
      </w:r>
      <w:r w:rsidRPr="00541113">
        <w:t xml:space="preserve">Modern Slavery Act statement </w:t>
      </w:r>
      <w:r w:rsidR="00C24287" w:rsidRPr="00541113">
        <w:t>for the period ending 31 March 202</w:t>
      </w:r>
      <w:r w:rsidR="001543BA">
        <w:t>4</w:t>
      </w:r>
      <w:r w:rsidR="00C24287" w:rsidRPr="00541113">
        <w:t xml:space="preserve"> </w:t>
      </w:r>
      <w:r w:rsidRPr="00541113">
        <w:t xml:space="preserve">is published on the website at </w:t>
      </w:r>
      <w:hyperlink r:id="rId48" w:history="1">
        <w:r w:rsidR="001543BA">
          <w:rPr>
            <w:rStyle w:val="Hyperlink"/>
          </w:rPr>
          <w:t xml:space="preserve">Modern Slavery Act statement </w:t>
        </w:r>
        <w:r w:rsidR="003D4FEF">
          <w:rPr>
            <w:rStyle w:val="Hyperlink"/>
          </w:rPr>
          <w:t>—</w:t>
        </w:r>
        <w:r w:rsidR="001543BA">
          <w:rPr>
            <w:rStyle w:val="Hyperlink"/>
          </w:rPr>
          <w:t xml:space="preserve"> Mid and South Essex Integrated Care System (ics.nhs.uk) (hyperlink)</w:t>
        </w:r>
      </w:hyperlink>
    </w:p>
    <w:p w14:paraId="286B0DC3" w14:textId="5CE29A6C" w:rsidR="001C0486" w:rsidRPr="00BA516C" w:rsidRDefault="001C0486" w:rsidP="00A96E97">
      <w:pPr>
        <w:pStyle w:val="Heading2"/>
      </w:pPr>
      <w:bookmarkStart w:id="78" w:name="_Toc164814835"/>
      <w:bookmarkStart w:id="79" w:name="_Toc164814896"/>
      <w:r>
        <w:lastRenderedPageBreak/>
        <w:t xml:space="preserve">Statement of Accountable Officer’s </w:t>
      </w:r>
      <w:r w:rsidR="58559FF3">
        <w:t>r</w:t>
      </w:r>
      <w:r>
        <w:t>esponsibilities</w:t>
      </w:r>
      <w:bookmarkEnd w:id="78"/>
      <w:bookmarkEnd w:id="79"/>
    </w:p>
    <w:p w14:paraId="77AF8A44" w14:textId="635151E9" w:rsidR="00EF4C0D" w:rsidRDefault="00EF4C0D" w:rsidP="006E08CD">
      <w:pPr>
        <w:pStyle w:val="BodyText"/>
        <w:kinsoku w:val="0"/>
        <w:overflowPunct w:val="0"/>
        <w:spacing w:before="120" w:after="120"/>
        <w:ind w:right="317"/>
      </w:pPr>
      <w:r>
        <w:t xml:space="preserve">Under the National Health Service Act 2006 (as amended), NHS England </w:t>
      </w:r>
      <w:r w:rsidR="001650AE">
        <w:t xml:space="preserve">(NHSE) </w:t>
      </w:r>
      <w:r>
        <w:t>has directed each Integrated Care Board to prepare for each financial year a statement of accounts in the form and on the basis set out in the Accounts Direction. The accounts are prepared on an accruals basis and must give a true and fair view of the state of affairs of the Mid and South Essex Integrated Care Board and of its income and expenditure, Statement of Financial Position, and cash flows for the financial year.</w:t>
      </w:r>
    </w:p>
    <w:p w14:paraId="5265B3B6" w14:textId="0050C43A" w:rsidR="00156AA0" w:rsidRDefault="00156AA0" w:rsidP="006E08CD">
      <w:pPr>
        <w:pStyle w:val="BodyText"/>
        <w:kinsoku w:val="0"/>
        <w:overflowPunct w:val="0"/>
        <w:spacing w:before="120" w:after="120"/>
        <w:ind w:right="317"/>
      </w:pPr>
      <w:r>
        <w:t>In preparing the accounts, the Accountable Officer is required to comply with the requirements of the Government Financial Reporting Manual and</w:t>
      </w:r>
      <w:r w:rsidR="00DD60A7">
        <w:t xml:space="preserve"> in particular</w:t>
      </w:r>
      <w:r>
        <w:t xml:space="preserve"> to:</w:t>
      </w:r>
    </w:p>
    <w:p w14:paraId="42B84728" w14:textId="43C07847" w:rsidR="00156AA0" w:rsidRPr="00C73B9F" w:rsidRDefault="00156AA0" w:rsidP="006E08CD">
      <w:pPr>
        <w:pStyle w:val="BodyText"/>
        <w:numPr>
          <w:ilvl w:val="0"/>
          <w:numId w:val="39"/>
        </w:numPr>
        <w:spacing w:before="0" w:after="0"/>
        <w:ind w:left="357" w:hanging="357"/>
        <w:rPr>
          <w:szCs w:val="24"/>
        </w:rPr>
      </w:pPr>
      <w:r w:rsidRPr="00C73B9F">
        <w:rPr>
          <w:szCs w:val="24"/>
        </w:rPr>
        <w:t xml:space="preserve">Observe the Accounts Direction issued by </w:t>
      </w:r>
      <w:r w:rsidR="00F46054">
        <w:rPr>
          <w:szCs w:val="24"/>
        </w:rPr>
        <w:t>NHSE</w:t>
      </w:r>
      <w:r w:rsidRPr="00C73B9F">
        <w:rPr>
          <w:szCs w:val="24"/>
        </w:rPr>
        <w:t>, including the relevant accounting and disclosure requirements, and apply suitable accounting policies on a consistent basis;</w:t>
      </w:r>
    </w:p>
    <w:p w14:paraId="328EA71E" w14:textId="77777777" w:rsidR="00156AA0" w:rsidRPr="00C73B9F" w:rsidRDefault="00156AA0" w:rsidP="006E08CD">
      <w:pPr>
        <w:pStyle w:val="BodyText"/>
        <w:numPr>
          <w:ilvl w:val="0"/>
          <w:numId w:val="39"/>
        </w:numPr>
        <w:spacing w:before="0" w:after="0"/>
        <w:ind w:left="357" w:hanging="357"/>
        <w:rPr>
          <w:szCs w:val="24"/>
        </w:rPr>
      </w:pPr>
      <w:r w:rsidRPr="00C73B9F">
        <w:rPr>
          <w:szCs w:val="24"/>
        </w:rPr>
        <w:t>Make judgements and estimates on a reasonable basis;</w:t>
      </w:r>
    </w:p>
    <w:p w14:paraId="25ADFEB8" w14:textId="77777777" w:rsidR="00156AA0" w:rsidRPr="00C73B9F" w:rsidRDefault="00156AA0" w:rsidP="006E08CD">
      <w:pPr>
        <w:pStyle w:val="BodyText"/>
        <w:numPr>
          <w:ilvl w:val="0"/>
          <w:numId w:val="39"/>
        </w:numPr>
        <w:spacing w:before="0" w:after="0"/>
        <w:ind w:left="357" w:hanging="357"/>
        <w:rPr>
          <w:szCs w:val="24"/>
        </w:rPr>
      </w:pPr>
      <w:r w:rsidRPr="00C73B9F">
        <w:rPr>
          <w:szCs w:val="24"/>
        </w:rPr>
        <w:t>State whether applicable accounting standards as set out in the Government Financial Reporting Manual have been followed, and disclose and explain any material departures in the accounts; and,</w:t>
      </w:r>
    </w:p>
    <w:p w14:paraId="1F11A400" w14:textId="77777777" w:rsidR="00156AA0" w:rsidRPr="00C73B9F" w:rsidRDefault="00156AA0" w:rsidP="006E08CD">
      <w:pPr>
        <w:pStyle w:val="BodyText"/>
        <w:numPr>
          <w:ilvl w:val="0"/>
          <w:numId w:val="39"/>
        </w:numPr>
        <w:spacing w:before="0" w:after="0"/>
        <w:ind w:left="357" w:hanging="357"/>
        <w:rPr>
          <w:szCs w:val="24"/>
        </w:rPr>
      </w:pPr>
      <w:r w:rsidRPr="00C73B9F">
        <w:rPr>
          <w:szCs w:val="24"/>
        </w:rPr>
        <w:t>Prepare the accounts on a going concern basis; and</w:t>
      </w:r>
    </w:p>
    <w:p w14:paraId="194CF8B5" w14:textId="4C9FBCAF" w:rsidR="00156AA0" w:rsidRPr="00C73B9F" w:rsidRDefault="00156AA0" w:rsidP="006E08CD">
      <w:pPr>
        <w:pStyle w:val="BodyText"/>
        <w:numPr>
          <w:ilvl w:val="0"/>
          <w:numId w:val="39"/>
        </w:numPr>
        <w:spacing w:before="0" w:after="0"/>
        <w:ind w:left="357" w:hanging="357"/>
        <w:rPr>
          <w:szCs w:val="24"/>
        </w:rPr>
      </w:pPr>
      <w:r w:rsidRPr="00C73B9F">
        <w:rPr>
          <w:szCs w:val="24"/>
        </w:rPr>
        <w:t>Confirm that the Annual Report and Accounts as a whole is fair, balanced, and understandable and take personal responsibility for the Annual Report and Accounts and the judgements required for determining that it is fair, balanced and understandable.</w:t>
      </w:r>
    </w:p>
    <w:p w14:paraId="38EE0947" w14:textId="49D30226" w:rsidR="00156AA0" w:rsidRDefault="00156AA0" w:rsidP="006E08CD">
      <w:pPr>
        <w:pStyle w:val="BodyText"/>
        <w:kinsoku w:val="0"/>
        <w:overflowPunct w:val="0"/>
        <w:spacing w:before="120" w:after="120"/>
        <w:ind w:right="317"/>
      </w:pPr>
      <w:r>
        <w:t xml:space="preserve">The National Health Service Act 2006 (as amended) states that each Integrated Care Board shall have an Accountable Officer and that </w:t>
      </w:r>
      <w:r w:rsidR="2D47826F">
        <w:t>o</w:t>
      </w:r>
      <w:r>
        <w:t xml:space="preserve">fficer shall be appointed by </w:t>
      </w:r>
      <w:r w:rsidR="00F46054">
        <w:t>NHSE</w:t>
      </w:r>
      <w:r>
        <w:t>.</w:t>
      </w:r>
    </w:p>
    <w:p w14:paraId="171023A7" w14:textId="3F065B26" w:rsidR="00156AA0" w:rsidRDefault="00F46054" w:rsidP="006E08CD">
      <w:pPr>
        <w:pStyle w:val="BodyText"/>
        <w:kinsoku w:val="0"/>
        <w:overflowPunct w:val="0"/>
        <w:spacing w:before="120" w:after="120"/>
        <w:ind w:right="317"/>
      </w:pPr>
      <w:r>
        <w:t>NHSE</w:t>
      </w:r>
      <w:r w:rsidR="00156AA0">
        <w:t xml:space="preserve"> has appointed the Chief Executive Officer to be the Accountable Officer of the Mid and South Essex Integrated Care Board. The responsibilities of an Accountable Officer, including responsibility for the propriety and regularity of the public finances for which the Accountable Officer is answerable, for keeping proper accounting records (which disclose with reasonable accuracy at any time the financial position of the Integrated Care Board and enable them to ensure that the accounts comply with the requirements of the Accounts Direction), and for safeguarding the Mid and South Essex Integrated Care Board’s assets (and hence for taking reasonable steps for the prevention and detection of fraud and other irregularities), are set out in the Accountable Officer Appointment Letter, the National Health Service Act 2006 (as amended), and Managing Public Money published by the</w:t>
      </w:r>
      <w:r w:rsidR="00156AA0" w:rsidRPr="006E08CD">
        <w:t xml:space="preserve"> </w:t>
      </w:r>
      <w:r w:rsidR="00156AA0">
        <w:t>Treasury.</w:t>
      </w:r>
    </w:p>
    <w:p w14:paraId="378BA015" w14:textId="77777777" w:rsidR="00156AA0" w:rsidRDefault="00156AA0" w:rsidP="006E08CD">
      <w:pPr>
        <w:pStyle w:val="BodyText"/>
        <w:kinsoku w:val="0"/>
        <w:overflowPunct w:val="0"/>
        <w:spacing w:before="120" w:after="120"/>
        <w:ind w:right="317"/>
      </w:pPr>
      <w:r>
        <w:t>As the Accountable Officer, I have taken all the steps that I ought to have taken to make myself aware of any relevant audit information and to establish that the Mid and South Essex Integrated Care Board’s auditors are aware of that information. So far as I am aware, there is no relevant audit information of which the auditors are unaware.</w:t>
      </w:r>
    </w:p>
    <w:p w14:paraId="247F51FE" w14:textId="77777777" w:rsidR="006E08CD" w:rsidRDefault="006E08CD" w:rsidP="006E08CD">
      <w:pPr>
        <w:pStyle w:val="BodyText"/>
        <w:kinsoku w:val="0"/>
        <w:overflowPunct w:val="0"/>
        <w:spacing w:before="120" w:after="120"/>
        <w:ind w:right="317"/>
      </w:pPr>
    </w:p>
    <w:p w14:paraId="1F101C3B" w14:textId="77777777" w:rsidR="006E08CD" w:rsidRDefault="006E08CD" w:rsidP="006E08CD">
      <w:pPr>
        <w:pStyle w:val="BodyText"/>
        <w:kinsoku w:val="0"/>
        <w:overflowPunct w:val="0"/>
        <w:spacing w:before="120" w:after="120"/>
        <w:ind w:right="317"/>
      </w:pPr>
    </w:p>
    <w:p w14:paraId="748B2B4A" w14:textId="77777777" w:rsidR="006E08CD" w:rsidRDefault="006E08CD" w:rsidP="006E08CD">
      <w:pPr>
        <w:spacing w:before="0" w:after="0"/>
        <w:rPr>
          <w:b/>
          <w:bCs/>
        </w:rPr>
      </w:pPr>
    </w:p>
    <w:p w14:paraId="37AAE54B" w14:textId="3540084C" w:rsidR="006E08CD" w:rsidRDefault="006E08CD" w:rsidP="006E08CD">
      <w:pPr>
        <w:spacing w:before="0" w:after="0"/>
        <w:rPr>
          <w:b/>
          <w:bCs/>
        </w:rPr>
      </w:pPr>
      <w:r>
        <w:rPr>
          <w:b/>
          <w:bCs/>
        </w:rPr>
        <w:t>Tracy Dowling</w:t>
      </w:r>
    </w:p>
    <w:p w14:paraId="322B52F3" w14:textId="77777777" w:rsidR="006E08CD" w:rsidRDefault="006E08CD" w:rsidP="006E08CD">
      <w:pPr>
        <w:spacing w:before="0" w:after="0"/>
      </w:pPr>
      <w:r>
        <w:t xml:space="preserve">Interim </w:t>
      </w:r>
      <w:r w:rsidRPr="00717BD0">
        <w:t>Chief Executive of Mid and South Essex Integrated Care Board</w:t>
      </w:r>
    </w:p>
    <w:p w14:paraId="439BF25E" w14:textId="16BB58B2" w:rsidR="00CD6C10" w:rsidRDefault="006E08CD" w:rsidP="006E08CD">
      <w:pPr>
        <w:pStyle w:val="BodyText"/>
        <w:rPr>
          <w:lang w:eastAsia="en-GB"/>
        </w:rPr>
      </w:pPr>
      <w:r>
        <w:t xml:space="preserve">24 June </w:t>
      </w:r>
      <w:r w:rsidRPr="00FD7877">
        <w:t>202</w:t>
      </w:r>
      <w:r>
        <w:t>4</w:t>
      </w:r>
      <w:r w:rsidR="00CD6C10">
        <w:rPr>
          <w:lang w:eastAsia="en-GB"/>
        </w:rPr>
        <w:br w:type="page"/>
      </w:r>
    </w:p>
    <w:p w14:paraId="4053CF86" w14:textId="77777777" w:rsidR="001C0486" w:rsidRDefault="001C0486" w:rsidP="00CD6C10">
      <w:pPr>
        <w:pStyle w:val="Heading2"/>
      </w:pPr>
      <w:bookmarkStart w:id="80" w:name="_Toc164814836"/>
      <w:bookmarkStart w:id="81" w:name="_Toc164814897"/>
      <w:r w:rsidRPr="00E36F2B">
        <w:lastRenderedPageBreak/>
        <w:t>Governance Statement</w:t>
      </w:r>
      <w:bookmarkStart w:id="82" w:name="_Toc437807149"/>
      <w:bookmarkEnd w:id="80"/>
      <w:bookmarkEnd w:id="81"/>
    </w:p>
    <w:p w14:paraId="0EDE9780" w14:textId="77777777" w:rsidR="004B3E5C" w:rsidRDefault="004B3E5C" w:rsidP="004B3E5C">
      <w:pPr>
        <w:pStyle w:val="Heading4"/>
        <w:kinsoku w:val="0"/>
        <w:overflowPunct w:val="0"/>
        <w:spacing w:before="239"/>
      </w:pPr>
      <w:bookmarkStart w:id="83" w:name="_Toc437807160"/>
      <w:bookmarkEnd w:id="82"/>
      <w:r>
        <w:t>Introduction and context</w:t>
      </w:r>
    </w:p>
    <w:p w14:paraId="0D3EB6FC" w14:textId="07EA004F" w:rsidR="004B3E5C" w:rsidRDefault="00471C4B" w:rsidP="00E8553C">
      <w:pPr>
        <w:pStyle w:val="BodyText"/>
      </w:pPr>
      <w:r>
        <w:t>MSE</w:t>
      </w:r>
      <w:r w:rsidR="004B3E5C">
        <w:t xml:space="preserve"> the ICB is a body corporate established by </w:t>
      </w:r>
      <w:r w:rsidR="00F46054">
        <w:t>NHSE</w:t>
      </w:r>
      <w:r w:rsidR="004B3E5C">
        <w:t xml:space="preserve"> on 1 July 2022 under the National Health Service Act 2006</w:t>
      </w:r>
      <w:r w:rsidR="00E8553C">
        <w:t xml:space="preserve"> </w:t>
      </w:r>
      <w:r w:rsidR="004B3E5C">
        <w:t>(as</w:t>
      </w:r>
      <w:r w:rsidR="004B3E5C">
        <w:rPr>
          <w:spacing w:val="-5"/>
        </w:rPr>
        <w:t xml:space="preserve"> </w:t>
      </w:r>
      <w:r w:rsidR="004B3E5C">
        <w:t>amended).</w:t>
      </w:r>
    </w:p>
    <w:p w14:paraId="7779AF68" w14:textId="77777777" w:rsidR="004B3E5C" w:rsidRPr="00AF19AD" w:rsidRDefault="004B3E5C" w:rsidP="00AF19AD">
      <w:pPr>
        <w:pStyle w:val="BodyText"/>
      </w:pPr>
      <w:r>
        <w:t>The ICB’s statutory functions are set out under the National Health Service Act 2006 (as</w:t>
      </w:r>
      <w:r>
        <w:rPr>
          <w:spacing w:val="-1"/>
        </w:rPr>
        <w:t xml:space="preserve"> </w:t>
      </w:r>
      <w:r>
        <w:t>amended).</w:t>
      </w:r>
    </w:p>
    <w:p w14:paraId="745C10ED" w14:textId="77777777" w:rsidR="00AF19AD" w:rsidRPr="00AF19AD" w:rsidRDefault="00AF19AD" w:rsidP="00AF19AD">
      <w:pPr>
        <w:pStyle w:val="BodyText"/>
      </w:pPr>
      <w:r w:rsidRPr="00AF19AD">
        <w:t>The ICB’s general function is arranging the provision of services for persons for the purposes of the health service in England. The ICB is, in particular, required to arrange for the provision of certain health services to such extent as it considers necessary to meet the reasonable requirements of its population.</w:t>
      </w:r>
    </w:p>
    <w:p w14:paraId="67F66344" w14:textId="371A9CE8" w:rsidR="00F74AFF" w:rsidRDefault="00AF19AD" w:rsidP="00AF19AD">
      <w:pPr>
        <w:pStyle w:val="BodyText"/>
      </w:pPr>
      <w:r w:rsidRPr="00AF19AD">
        <w:t xml:space="preserve">Between 1 </w:t>
      </w:r>
      <w:r w:rsidR="00660536">
        <w:t xml:space="preserve">April </w:t>
      </w:r>
      <w:r w:rsidRPr="00AF19AD">
        <w:t>202</w:t>
      </w:r>
      <w:r w:rsidR="00660536">
        <w:t>3</w:t>
      </w:r>
      <w:r w:rsidRPr="00AF19AD">
        <w:t xml:space="preserve"> and 31 March 202</w:t>
      </w:r>
      <w:r w:rsidR="00660536">
        <w:t>4</w:t>
      </w:r>
      <w:r w:rsidRPr="00AF19AD">
        <w:t xml:space="preserve">, the ICB was not subject to any directions from </w:t>
      </w:r>
      <w:r w:rsidR="00F46054">
        <w:t>NHSE</w:t>
      </w:r>
      <w:r w:rsidRPr="00AF19AD">
        <w:t xml:space="preserve"> issued under Section 14Z61 of the of the National Health Service Act 2006 (as amended).</w:t>
      </w:r>
    </w:p>
    <w:p w14:paraId="115C1246" w14:textId="77777777" w:rsidR="00A42C0C" w:rsidRDefault="00A42C0C" w:rsidP="00A42C0C">
      <w:pPr>
        <w:pStyle w:val="Heading4"/>
        <w:kinsoku w:val="0"/>
        <w:overflowPunct w:val="0"/>
      </w:pPr>
      <w:r>
        <w:t>Scope of responsibility</w:t>
      </w:r>
    </w:p>
    <w:p w14:paraId="6CD741DF" w14:textId="77777777" w:rsidR="00A42C0C" w:rsidRPr="00A42C0C" w:rsidRDefault="00A42C0C" w:rsidP="00A42C0C">
      <w:pPr>
        <w:pStyle w:val="BodyText"/>
      </w:pPr>
      <w:r w:rsidRPr="00A42C0C">
        <w:t>As Accountable Officer, I have responsibility for maintaining a sound system of internal control that supports the achievement of the ICB’s policies, aims and objectives, whilst safeguarding the public funds and assets for which I am personally responsible, in accordance with the responsibilities assigned to me in Managing Public Money. I also acknowledge my responsibilities as set out under the National Health Service Act 2006 (as amended) and in the ICB’s Accountable Officer Appointment Letter.</w:t>
      </w:r>
    </w:p>
    <w:p w14:paraId="3D79DBA9" w14:textId="77777777" w:rsidR="00A42C0C" w:rsidRPr="00A42C0C" w:rsidRDefault="00A42C0C" w:rsidP="00A42C0C">
      <w:pPr>
        <w:pStyle w:val="BodyText"/>
      </w:pPr>
      <w:r w:rsidRPr="00A42C0C">
        <w:t>I am responsible for ensuring that the ICB is administered prudently and economically and that resources are applied efficiently and effectively, safeguarding financial propriety and regularity. I also have responsibility for reviewing the effectiveness of the system of internal control within the ICB as set out in this governance statement.</w:t>
      </w:r>
    </w:p>
    <w:p w14:paraId="772848F4" w14:textId="77777777" w:rsidR="007D76FA" w:rsidRDefault="007D76FA" w:rsidP="007D76FA">
      <w:pPr>
        <w:pStyle w:val="Heading4"/>
        <w:kinsoku w:val="0"/>
        <w:overflowPunct w:val="0"/>
        <w:spacing w:before="1"/>
      </w:pPr>
      <w:r>
        <w:t>Governance arrangements and effectiveness</w:t>
      </w:r>
    </w:p>
    <w:p w14:paraId="5AF54C9C" w14:textId="572D2FCC" w:rsidR="007D76FA" w:rsidRPr="007D76FA" w:rsidRDefault="007D76FA" w:rsidP="007D76FA">
      <w:pPr>
        <w:pStyle w:val="BodyText"/>
      </w:pPr>
      <w:r w:rsidRPr="007D76FA">
        <w:t>The main function of the governing body</w:t>
      </w:r>
      <w:r w:rsidR="001D6954">
        <w:t xml:space="preserve"> (</w:t>
      </w:r>
      <w:r w:rsidR="000E45BE">
        <w:t xml:space="preserve">the </w:t>
      </w:r>
      <w:r w:rsidR="001D6954">
        <w:t>Board</w:t>
      </w:r>
      <w:r w:rsidR="004E70C6">
        <w:t>)</w:t>
      </w:r>
      <w:r w:rsidRPr="007D76FA">
        <w:t xml:space="preserve"> is to ensure that the </w:t>
      </w:r>
      <w:r w:rsidR="00D46CB1">
        <w:t>ICB</w:t>
      </w:r>
      <w:r w:rsidRPr="007D76FA">
        <w:t xml:space="preserve"> has made appropriate arrangements for ensuring that it exercises its functions effectively, efficiently, and economically, and complies with such generally accepted principles of good governance as are relevant to it.</w:t>
      </w:r>
    </w:p>
    <w:p w14:paraId="14545AD2" w14:textId="5B04ABDF" w:rsidR="007D76FA" w:rsidRPr="00691193" w:rsidRDefault="007D76FA" w:rsidP="007D76FA">
      <w:pPr>
        <w:pStyle w:val="BodyText"/>
      </w:pPr>
      <w:r>
        <w:t xml:space="preserve">The ICB’s Constitution, which is based upon the NHSE ICB model constitution template, was approved by the Board at its inaugural meeting on 1 July 2022. The </w:t>
      </w:r>
      <w:r w:rsidDel="007D76FA">
        <w:t>C</w:t>
      </w:r>
      <w:r>
        <w:t>onstitution is supported by other documents setting out the ICB’s governance arrangements, namely: Standing Orders; Scheme of Reservation and Delegation (SoRD); Standing Financial Instructions (SFIs); Governance Handbook, which includes a Functions and Decisions Map; and key policies.</w:t>
      </w:r>
    </w:p>
    <w:p w14:paraId="69E8A985" w14:textId="1524D9C2" w:rsidR="007D76FA" w:rsidRPr="007A417C" w:rsidRDefault="007D76FA" w:rsidP="007D76FA">
      <w:pPr>
        <w:pStyle w:val="BodyText"/>
      </w:pPr>
      <w:r w:rsidRPr="007A417C">
        <w:t>The Constitution sets out the ICB’s governance arrangements,</w:t>
      </w:r>
      <w:r w:rsidR="003D4FEF" w:rsidRPr="007A417C">
        <w:t xml:space="preserve"> </w:t>
      </w:r>
      <w:r w:rsidRPr="007A417C">
        <w:t>roles and responsibilities of the Board and its membership.</w:t>
      </w:r>
    </w:p>
    <w:p w14:paraId="5CC8DEE5" w14:textId="69D336BC" w:rsidR="007D76FA" w:rsidRDefault="007D76FA" w:rsidP="007D76FA">
      <w:pPr>
        <w:pStyle w:val="BodyText"/>
      </w:pPr>
      <w:r w:rsidRPr="007A417C">
        <w:t xml:space="preserve">Membership of the Board is set out on </w:t>
      </w:r>
      <w:r w:rsidRPr="00B24841">
        <w:t xml:space="preserve">page </w:t>
      </w:r>
      <w:r w:rsidR="00793187" w:rsidRPr="00B24841">
        <w:t xml:space="preserve">45 </w:t>
      </w:r>
      <w:r w:rsidRPr="00B24841">
        <w:t>of the</w:t>
      </w:r>
      <w:r w:rsidRPr="007A417C">
        <w:t xml:space="preserve"> Members Report.</w:t>
      </w:r>
    </w:p>
    <w:p w14:paraId="16404A38" w14:textId="69DA4346" w:rsidR="00BE291C" w:rsidRPr="00121C1B" w:rsidRDefault="00BE291C" w:rsidP="00BE291C">
      <w:pPr>
        <w:pStyle w:val="BodyText"/>
      </w:pPr>
      <w:r w:rsidRPr="00121C1B">
        <w:lastRenderedPageBreak/>
        <w:t>The Board met in public on six occasions during 202</w:t>
      </w:r>
      <w:r w:rsidR="00E96ECC">
        <w:t>3</w:t>
      </w:r>
      <w:r w:rsidRPr="00121C1B">
        <w:t>/2</w:t>
      </w:r>
      <w:r w:rsidR="00E96ECC">
        <w:t>4</w:t>
      </w:r>
      <w:r w:rsidRPr="00121C1B">
        <w:t xml:space="preserve"> at different venues across MSE. </w:t>
      </w:r>
      <w:r w:rsidR="004B54E6">
        <w:t xml:space="preserve">Attendance at meetings is recorded.  </w:t>
      </w:r>
      <w:r w:rsidRPr="00121C1B">
        <w:t>Each meeting was well attended and was quorate.</w:t>
      </w:r>
    </w:p>
    <w:p w14:paraId="0CB94C58" w14:textId="7553BD40" w:rsidR="007D73C3" w:rsidRDefault="007D73C3" w:rsidP="00BE291C">
      <w:pPr>
        <w:pStyle w:val="BodyText"/>
      </w:pPr>
      <w:r w:rsidRPr="007367A4">
        <w:t xml:space="preserve">The Board also held </w:t>
      </w:r>
      <w:r w:rsidR="00BF6B58" w:rsidRPr="007367A4">
        <w:t xml:space="preserve">two </w:t>
      </w:r>
      <w:r w:rsidRPr="007367A4">
        <w:t>extraordinary meeting</w:t>
      </w:r>
      <w:r w:rsidR="00BF6B58" w:rsidRPr="007367A4">
        <w:t>s</w:t>
      </w:r>
      <w:r w:rsidRPr="007367A4">
        <w:t xml:space="preserve"> in </w:t>
      </w:r>
      <w:r w:rsidR="00850ABC" w:rsidRPr="007367A4">
        <w:t>private</w:t>
      </w:r>
      <w:r w:rsidR="00CE1718" w:rsidRPr="007367A4">
        <w:t>, the first in</w:t>
      </w:r>
      <w:r w:rsidR="00850ABC" w:rsidRPr="007367A4">
        <w:t xml:space="preserve"> </w:t>
      </w:r>
      <w:r w:rsidR="00BF6B58" w:rsidRPr="007367A4">
        <w:t xml:space="preserve">November 2023 to discuss </w:t>
      </w:r>
      <w:r w:rsidR="009511F5" w:rsidRPr="007367A4">
        <w:t xml:space="preserve">the </w:t>
      </w:r>
      <w:r w:rsidR="008E0474">
        <w:t xml:space="preserve">[financial] </w:t>
      </w:r>
      <w:r w:rsidR="001B4404" w:rsidRPr="007367A4">
        <w:t>rapid reset and rec</w:t>
      </w:r>
      <w:r w:rsidR="009511F5" w:rsidRPr="007367A4">
        <w:t xml:space="preserve">ommitment arrangements </w:t>
      </w:r>
      <w:r w:rsidR="00850ABC" w:rsidRPr="007367A4">
        <w:t xml:space="preserve">asked of the ICB by </w:t>
      </w:r>
      <w:r w:rsidR="00F46054">
        <w:t>NHSE</w:t>
      </w:r>
      <w:r w:rsidR="00850ABC" w:rsidRPr="007367A4">
        <w:t xml:space="preserve">, </w:t>
      </w:r>
      <w:r w:rsidR="00AD02EF" w:rsidRPr="007367A4">
        <w:t xml:space="preserve">and </w:t>
      </w:r>
      <w:r w:rsidR="00427D6A" w:rsidRPr="007367A4">
        <w:t xml:space="preserve">a second in January 2024 </w:t>
      </w:r>
      <w:r w:rsidR="00D17D80" w:rsidRPr="007367A4">
        <w:t xml:space="preserve">to consider </w:t>
      </w:r>
      <w:r w:rsidR="00427D6A" w:rsidRPr="007367A4">
        <w:t>the Community Beds Pre-Consultation Business Case.</w:t>
      </w:r>
      <w:r w:rsidR="00427D6A">
        <w:t xml:space="preserve"> </w:t>
      </w:r>
    </w:p>
    <w:p w14:paraId="3B6BF2B4" w14:textId="50CE12EF" w:rsidR="00BE291C" w:rsidRPr="00CD3FC8" w:rsidRDefault="00BE291C" w:rsidP="00BE291C">
      <w:pPr>
        <w:pStyle w:val="BodyText"/>
      </w:pPr>
      <w:r w:rsidRPr="00CD3FC8">
        <w:t>Members provided oversight and scrutiny of performance and the delivery of ICB objectives and made well informed decisions to support the development of the ICB and the Integrated Care Partnership Strategy.</w:t>
      </w:r>
    </w:p>
    <w:p w14:paraId="46987125" w14:textId="485EE89B" w:rsidR="00BE291C" w:rsidRDefault="00BE291C" w:rsidP="00BE291C">
      <w:pPr>
        <w:pStyle w:val="BodyText"/>
      </w:pPr>
      <w:r w:rsidRPr="00CD3FC8">
        <w:t xml:space="preserve">Any urgent decisions required between scheduled Board meetings </w:t>
      </w:r>
      <w:r w:rsidR="00162A77">
        <w:t>were</w:t>
      </w:r>
      <w:r w:rsidRPr="00CD3FC8">
        <w:t xml:space="preserve"> taken in accordance with the Constitution and ratified at the next scheduled meeting.</w:t>
      </w:r>
    </w:p>
    <w:p w14:paraId="7C0E66DC" w14:textId="5F011EE4" w:rsidR="00162A77" w:rsidRPr="00CD3FC8" w:rsidRDefault="00162A77" w:rsidP="00BE291C">
      <w:pPr>
        <w:pStyle w:val="BodyText"/>
      </w:pPr>
      <w:r>
        <w:t xml:space="preserve">Board seminars were held monthly to further </w:t>
      </w:r>
      <w:r w:rsidR="00916FF0">
        <w:t>the</w:t>
      </w:r>
      <w:r>
        <w:t xml:space="preserve"> development</w:t>
      </w:r>
      <w:r w:rsidR="00916FF0">
        <w:t xml:space="preserve"> of the Board</w:t>
      </w:r>
      <w:r>
        <w:t>, undertake training</w:t>
      </w:r>
      <w:r w:rsidR="00ED41B9">
        <w:t>,</w:t>
      </w:r>
      <w:r>
        <w:t xml:space="preserve"> and </w:t>
      </w:r>
      <w:r w:rsidR="00F92C05">
        <w:t>discuss topical</w:t>
      </w:r>
      <w:r w:rsidR="00916FF0">
        <w:t xml:space="preserve"> and emerging issues</w:t>
      </w:r>
      <w:r w:rsidR="00C564CE">
        <w:t xml:space="preserve"> such as</w:t>
      </w:r>
      <w:r w:rsidR="00797546">
        <w:t xml:space="preserve"> financial and operational planning, </w:t>
      </w:r>
      <w:r w:rsidR="00E04CA1">
        <w:t>health inequalities, fraud, bribery and corruption, conflicts of interest, procurement, information governance</w:t>
      </w:r>
      <w:r w:rsidR="00F85E42">
        <w:t>, patient safety</w:t>
      </w:r>
      <w:r w:rsidR="00ED41B9">
        <w:t>,</w:t>
      </w:r>
      <w:r w:rsidR="00F85E42">
        <w:t xml:space="preserve"> and safeguarding</w:t>
      </w:r>
      <w:r w:rsidR="00916FF0">
        <w:t>.</w:t>
      </w:r>
      <w:r w:rsidR="00107B63">
        <w:t xml:space="preserve"> </w:t>
      </w:r>
    </w:p>
    <w:p w14:paraId="728ED516" w14:textId="4000CBC8" w:rsidR="00BE291C" w:rsidRPr="00BE291C" w:rsidRDefault="00BE291C" w:rsidP="00BE291C">
      <w:pPr>
        <w:pStyle w:val="BodyText"/>
      </w:pPr>
      <w:r w:rsidRPr="00CD3FC8">
        <w:t xml:space="preserve">The Board will undertake an annual review of its effectiveness </w:t>
      </w:r>
      <w:r w:rsidR="00081DE4">
        <w:t>by July</w:t>
      </w:r>
      <w:r w:rsidRPr="00CD3FC8">
        <w:t xml:space="preserve"> 202</w:t>
      </w:r>
      <w:r w:rsidR="00CD3FC8">
        <w:t>4</w:t>
      </w:r>
      <w:r w:rsidRPr="00CD3FC8">
        <w:t>.</w:t>
      </w:r>
    </w:p>
    <w:p w14:paraId="55B99BF3" w14:textId="77777777" w:rsidR="00C92438" w:rsidRPr="00C92438" w:rsidRDefault="00C92438" w:rsidP="00C92438">
      <w:pPr>
        <w:pStyle w:val="Heading4"/>
      </w:pPr>
      <w:r w:rsidRPr="00C92438">
        <w:t>ICB Committees</w:t>
      </w:r>
    </w:p>
    <w:p w14:paraId="4760F5C2" w14:textId="607C4DF6" w:rsidR="00C92438" w:rsidRPr="00C92438" w:rsidRDefault="00C92438" w:rsidP="00C92438">
      <w:pPr>
        <w:pStyle w:val="BodyText"/>
      </w:pPr>
      <w:r w:rsidRPr="0096700B">
        <w:t>To support the Board in carrying out its duties effectively, committees reporting to the Board are formally established to provide assurance on matters within each committee’s remit as set out in their terms of reference. The current committee structure is set out below.</w:t>
      </w:r>
    </w:p>
    <w:p w14:paraId="2025EE07" w14:textId="77777777" w:rsidR="00C92438" w:rsidRPr="00C92438" w:rsidRDefault="00C92438" w:rsidP="00C92438">
      <w:pPr>
        <w:pStyle w:val="Heading4"/>
      </w:pPr>
      <w:r w:rsidRPr="00C92438">
        <w:t>Audit Committee</w:t>
      </w:r>
    </w:p>
    <w:p w14:paraId="4C0F9836" w14:textId="4AB5A9C8" w:rsidR="00C92438" w:rsidRPr="006D198D" w:rsidRDefault="00C92438" w:rsidP="00F72EB3">
      <w:pPr>
        <w:pStyle w:val="BodyText"/>
      </w:pPr>
      <w:r w:rsidRPr="006D198D">
        <w:t>The Audit Committee provides the Board with an independent and objective view of the ICB’s financial systems, financial information and compliance with laws, regulations and directions governing the ICB insofar as they relate to finance, good corporate governance</w:t>
      </w:r>
      <w:r w:rsidR="00140D5D">
        <w:t xml:space="preserve"> including the management of </w:t>
      </w:r>
      <w:r w:rsidR="003A33F1">
        <w:t xml:space="preserve">risks, </w:t>
      </w:r>
      <w:r w:rsidR="00140D5D">
        <w:t>conflicts of interest and</w:t>
      </w:r>
      <w:r w:rsidRPr="006D198D">
        <w:t xml:space="preserve"> </w:t>
      </w:r>
      <w:r w:rsidR="005B7505">
        <w:t>freedom to speak-up</w:t>
      </w:r>
      <w:r w:rsidR="00140D5D">
        <w:t xml:space="preserve"> arrangements</w:t>
      </w:r>
      <w:r w:rsidR="005B7505">
        <w:t xml:space="preserve">, </w:t>
      </w:r>
      <w:r w:rsidRPr="006D198D">
        <w:t xml:space="preserve">information governance, </w:t>
      </w:r>
      <w:r w:rsidR="00302F7A">
        <w:t xml:space="preserve">security including </w:t>
      </w:r>
      <w:r w:rsidRPr="006D198D">
        <w:t>cyber-security, emergency preparedness, resilience, and response (EPRR), business continuity management (BCM)</w:t>
      </w:r>
      <w:r w:rsidR="00A5172D">
        <w:t xml:space="preserve">, sustainability </w:t>
      </w:r>
      <w:r w:rsidRPr="006D198D">
        <w:t xml:space="preserve"> and the ICB’s responsibility to act effectively, efficiently, and economically.</w:t>
      </w:r>
    </w:p>
    <w:p w14:paraId="2EF69632" w14:textId="41AF0C55" w:rsidR="00C92438" w:rsidRPr="00404677" w:rsidRDefault="00C92438" w:rsidP="00F72EB3">
      <w:pPr>
        <w:pStyle w:val="BodyText"/>
      </w:pPr>
      <w:r w:rsidRPr="00404677">
        <w:t>As of 31 March 202</w:t>
      </w:r>
      <w:r w:rsidR="000427AD">
        <w:t>4</w:t>
      </w:r>
      <w:r w:rsidRPr="00404677">
        <w:t xml:space="preserve">, the committee </w:t>
      </w:r>
      <w:r w:rsidRPr="00A5379E">
        <w:t xml:space="preserve">comprised of </w:t>
      </w:r>
      <w:r w:rsidR="0070240C" w:rsidRPr="00A5379E">
        <w:t>three</w:t>
      </w:r>
      <w:r w:rsidRPr="00A5379E">
        <w:t xml:space="preserve"> members</w:t>
      </w:r>
      <w:r w:rsidR="00934FB2" w:rsidRPr="00A5379E">
        <w:t xml:space="preserve"> (with the fourth </w:t>
      </w:r>
      <w:r w:rsidR="1E289737">
        <w:t>p</w:t>
      </w:r>
      <w:r w:rsidR="001E3BCB">
        <w:t>artner</w:t>
      </w:r>
      <w:r w:rsidR="007C6052" w:rsidRPr="00A5379E">
        <w:t xml:space="preserve"> </w:t>
      </w:r>
      <w:r w:rsidR="00934FB2" w:rsidRPr="00A5379E">
        <w:t xml:space="preserve">member </w:t>
      </w:r>
      <w:r w:rsidR="007C6052" w:rsidRPr="00A5379E">
        <w:t>position being vacant)</w:t>
      </w:r>
      <w:r w:rsidRPr="00A5379E">
        <w:t xml:space="preserve">. </w:t>
      </w:r>
      <w:r w:rsidRPr="00404677">
        <w:t xml:space="preserve">The committee </w:t>
      </w:r>
      <w:r w:rsidR="00135408">
        <w:t>wa</w:t>
      </w:r>
      <w:r w:rsidRPr="00404677">
        <w:t>s chaired by George Wood, Non</w:t>
      </w:r>
      <w:r w:rsidR="00973861">
        <w:t>-</w:t>
      </w:r>
      <w:r w:rsidRPr="00404677">
        <w:t xml:space="preserve">Executive Member of the Board. </w:t>
      </w:r>
    </w:p>
    <w:p w14:paraId="565EDC49" w14:textId="3C181092" w:rsidR="009412AF" w:rsidRDefault="00C92438" w:rsidP="00F72EB3">
      <w:pPr>
        <w:pStyle w:val="BodyText"/>
      </w:pPr>
      <w:r w:rsidRPr="002B6BFB">
        <w:t>During 202</w:t>
      </w:r>
      <w:r w:rsidR="002B6BFB">
        <w:t>3</w:t>
      </w:r>
      <w:r w:rsidRPr="002B6BFB">
        <w:t>/2</w:t>
      </w:r>
      <w:r w:rsidR="002B6BFB">
        <w:t>4</w:t>
      </w:r>
      <w:r w:rsidRPr="002B6BFB">
        <w:t xml:space="preserve">, the committee met on </w:t>
      </w:r>
      <w:r w:rsidR="002B6BFB">
        <w:t>five</w:t>
      </w:r>
      <w:r w:rsidR="002B6BFB" w:rsidRPr="002B6BFB">
        <w:t xml:space="preserve"> </w:t>
      </w:r>
      <w:r w:rsidRPr="002B6BFB">
        <w:t xml:space="preserve">occasions. In addition, virtual approval of </w:t>
      </w:r>
      <w:r w:rsidR="00EC1A39">
        <w:t>the ICB’s new Provider Accreditation Policy</w:t>
      </w:r>
      <w:r w:rsidR="001715D2">
        <w:t>; the revised Information and Governance Framework and Policy</w:t>
      </w:r>
      <w:r w:rsidR="007F7C2A">
        <w:t xml:space="preserve">; </w:t>
      </w:r>
      <w:r w:rsidR="001715D2">
        <w:t>and</w:t>
      </w:r>
      <w:r w:rsidR="007F7C2A">
        <w:t xml:space="preserve"> a </w:t>
      </w:r>
      <w:r w:rsidR="000B641B">
        <w:t xml:space="preserve">recommendation to </w:t>
      </w:r>
      <w:r w:rsidR="00EC4E89">
        <w:t xml:space="preserve">the </w:t>
      </w:r>
      <w:r w:rsidR="007F7C2A">
        <w:t xml:space="preserve">ICB </w:t>
      </w:r>
      <w:r w:rsidR="00EC4E89">
        <w:t xml:space="preserve">Board </w:t>
      </w:r>
      <w:r w:rsidR="007F7C2A">
        <w:t>to</w:t>
      </w:r>
      <w:r w:rsidR="00EC4E89">
        <w:t xml:space="preserve"> approve the delegation of 59 specialised services</w:t>
      </w:r>
      <w:r w:rsidR="007F7C2A">
        <w:t xml:space="preserve"> to the ICB from 1 April 2024 was sought and given.  </w:t>
      </w:r>
    </w:p>
    <w:p w14:paraId="7B98892D" w14:textId="630F8D04" w:rsidR="00C92438" w:rsidRPr="007F7C2A" w:rsidRDefault="00C92438" w:rsidP="00F72EB3">
      <w:pPr>
        <w:pStyle w:val="BodyText"/>
      </w:pPr>
      <w:r>
        <w:t xml:space="preserve">Decisions were quorate in line with the committee’s </w:t>
      </w:r>
      <w:r w:rsidR="1CBBC8EE">
        <w:t>t</w:t>
      </w:r>
      <w:r>
        <w:t xml:space="preserve">erms of </w:t>
      </w:r>
      <w:r w:rsidR="545220B3">
        <w:t>r</w:t>
      </w:r>
      <w:r>
        <w:t>eference (minimum of two members) on all occasions</w:t>
      </w:r>
      <w:r w:rsidR="00C90A19">
        <w:t>, including virtual decisions</w:t>
      </w:r>
      <w:r w:rsidR="007A6C94">
        <w:t xml:space="preserve"> which were ratified at subsequent meetings.</w:t>
      </w:r>
    </w:p>
    <w:p w14:paraId="3BE3C725" w14:textId="7505B72F" w:rsidR="00C92438" w:rsidRPr="005A20F3" w:rsidRDefault="00C92438" w:rsidP="00F72EB3">
      <w:pPr>
        <w:pStyle w:val="BodyText"/>
      </w:pPr>
      <w:r w:rsidRPr="005A20F3">
        <w:lastRenderedPageBreak/>
        <w:t>During 202</w:t>
      </w:r>
      <w:r w:rsidR="005A20F3">
        <w:t>3</w:t>
      </w:r>
      <w:r w:rsidRPr="005A20F3">
        <w:t>/2</w:t>
      </w:r>
      <w:r w:rsidR="007F7C2A" w:rsidRPr="005A20F3">
        <w:t>4</w:t>
      </w:r>
      <w:r w:rsidRPr="005A20F3">
        <w:t xml:space="preserve"> the committee continued to focus upon ensuring the review of the systems, policies, procedures, and processes fundamental to the governance of the organisation. Minutes of ICB sub-committees were also received to provide the audit committee with oversight of established governance.</w:t>
      </w:r>
    </w:p>
    <w:p w14:paraId="51C64B83" w14:textId="07C889FA" w:rsidR="00C92438" w:rsidRPr="002D636C" w:rsidRDefault="00C92438" w:rsidP="00F72EB3">
      <w:pPr>
        <w:pStyle w:val="BodyText"/>
      </w:pPr>
      <w:r w:rsidRPr="002D636C">
        <w:t xml:space="preserve">The committee received assurance from internal audit of key systems and processes and, in addition to routine reporting, received updates on counter-fraud initiatives and investigations and </w:t>
      </w:r>
      <w:r w:rsidR="003C36A0" w:rsidRPr="002D636C">
        <w:t>implemen</w:t>
      </w:r>
      <w:r w:rsidR="003C36A0">
        <w:t>tat</w:t>
      </w:r>
      <w:r w:rsidR="003C36A0" w:rsidRPr="002D636C">
        <w:t>ion</w:t>
      </w:r>
      <w:r w:rsidRPr="002D636C">
        <w:t xml:space="preserve"> of audit recommendations. The committee reviewed the ICB’s draft accounts and approved the final accounts and management response to the auditor </w:t>
      </w:r>
      <w:r w:rsidRPr="00EE3AF4">
        <w:t>for 202</w:t>
      </w:r>
      <w:r w:rsidR="00EE3AF4" w:rsidRPr="00EE3AF4">
        <w:t>3</w:t>
      </w:r>
      <w:r w:rsidRPr="00EE3AF4">
        <w:t>/2</w:t>
      </w:r>
      <w:r w:rsidR="00EE3AF4" w:rsidRPr="00EE3AF4">
        <w:t>4</w:t>
      </w:r>
      <w:r w:rsidRPr="00EE3AF4">
        <w:t xml:space="preserve"> on b</w:t>
      </w:r>
      <w:r w:rsidRPr="002D636C">
        <w:t>ehalf of the Board.</w:t>
      </w:r>
      <w:r w:rsidR="003148FD">
        <w:t xml:space="preserve">  The committee noted that whilst the ICB maintains its compliance with the Mental Health Investment Standard</w:t>
      </w:r>
      <w:r w:rsidR="00A125E8">
        <w:t xml:space="preserve"> for 2022/23</w:t>
      </w:r>
      <w:r w:rsidR="003148FD">
        <w:t xml:space="preserve">, the External Auditors </w:t>
      </w:r>
      <w:r w:rsidR="00A125E8">
        <w:t xml:space="preserve">(KPMG) </w:t>
      </w:r>
      <w:r w:rsidR="003148FD">
        <w:t xml:space="preserve">were unable to fully validate the expenditure incurred, which is explained fully on page </w:t>
      </w:r>
      <w:r w:rsidR="00B24841">
        <w:t>19</w:t>
      </w:r>
      <w:r w:rsidR="003148FD">
        <w:t xml:space="preserve"> above.</w:t>
      </w:r>
    </w:p>
    <w:p w14:paraId="58FF2B54" w14:textId="02186D9D" w:rsidR="00C92438" w:rsidRPr="00D5384B" w:rsidRDefault="00C92438" w:rsidP="00F72EB3">
      <w:pPr>
        <w:pStyle w:val="BodyText"/>
      </w:pPr>
      <w:r w:rsidRPr="00D5384B">
        <w:t xml:space="preserve">The </w:t>
      </w:r>
      <w:r w:rsidR="003A69A3">
        <w:t>committee</w:t>
      </w:r>
      <w:r w:rsidRPr="00D5384B">
        <w:t xml:space="preserve"> </w:t>
      </w:r>
      <w:r w:rsidR="00D5384B" w:rsidRPr="00D5384B">
        <w:t>regularly reviewed the</w:t>
      </w:r>
      <w:r w:rsidRPr="00D5384B">
        <w:t xml:space="preserve"> ICB’s Board Assurance Framework (BAF) and maintain</w:t>
      </w:r>
      <w:r w:rsidR="00C861C2">
        <w:t>ed</w:t>
      </w:r>
      <w:r w:rsidRPr="00D5384B">
        <w:t xml:space="preserve"> oversight of associated risk management processes and procedures.</w:t>
      </w:r>
    </w:p>
    <w:p w14:paraId="12C4FF96" w14:textId="59EACA7C" w:rsidR="00C92438" w:rsidRPr="00C861C2" w:rsidRDefault="00C92438" w:rsidP="00F72EB3">
      <w:pPr>
        <w:pStyle w:val="BodyText"/>
      </w:pPr>
      <w:r>
        <w:t xml:space="preserve">In line with </w:t>
      </w:r>
      <w:r w:rsidR="00F46054">
        <w:t>NHSE</w:t>
      </w:r>
      <w:r>
        <w:t xml:space="preserve"> guidance on the management of conflicts of interest, the </w:t>
      </w:r>
      <w:r w:rsidDel="00C92438">
        <w:t>C</w:t>
      </w:r>
      <w:r>
        <w:t xml:space="preserve">hair of the Audit Committee acts as the ICB’s Conflicts of Interest Guardian and Freedom to Speak Up Guardian. Assurance that the ICB was adhering to </w:t>
      </w:r>
      <w:r w:rsidR="00F46054">
        <w:t>NHSE</w:t>
      </w:r>
      <w:r>
        <w:t xml:space="preserve"> mandatory guidance on the management of conflicts of interest was received via the annual internal audit of conflicts of interest for 202</w:t>
      </w:r>
      <w:r w:rsidR="00C60164">
        <w:t>3</w:t>
      </w:r>
      <w:r>
        <w:t>/2</w:t>
      </w:r>
      <w:r w:rsidR="00C60164">
        <w:t>4</w:t>
      </w:r>
      <w:r>
        <w:t xml:space="preserve"> which identified ‘</w:t>
      </w:r>
      <w:r w:rsidR="00C861C2">
        <w:t xml:space="preserve">substantial’ </w:t>
      </w:r>
      <w:r>
        <w:t>assurance.</w:t>
      </w:r>
    </w:p>
    <w:p w14:paraId="1EDB5D27" w14:textId="783A221E" w:rsidR="00C92438" w:rsidRPr="00222E69" w:rsidRDefault="00C92438" w:rsidP="00F72EB3">
      <w:pPr>
        <w:pStyle w:val="BodyText"/>
        <w:rPr>
          <w:color w:val="FF0000"/>
        </w:rPr>
      </w:pPr>
      <w:r w:rsidRPr="00C60164">
        <w:t xml:space="preserve">The committee undertook a review of its </w:t>
      </w:r>
      <w:r w:rsidRPr="00222E69">
        <w:t>effectiveness during 202</w:t>
      </w:r>
      <w:r w:rsidR="00222E69" w:rsidRPr="00222E69">
        <w:t>3</w:t>
      </w:r>
      <w:r w:rsidRPr="00222E69">
        <w:t>/2</w:t>
      </w:r>
      <w:r w:rsidR="00222E69" w:rsidRPr="00222E69">
        <w:t>4</w:t>
      </w:r>
      <w:r w:rsidRPr="00222E69">
        <w:t xml:space="preserve">. This </w:t>
      </w:r>
      <w:r w:rsidRPr="00C60164">
        <w:t>assessment identified that the committee had effectively discharged its duties as set out in its terms of reference.</w:t>
      </w:r>
      <w:r w:rsidRPr="00E64FAF">
        <w:t xml:space="preserve"> An action plan to strengthen the effectiveness of the committee has been developed.</w:t>
      </w:r>
    </w:p>
    <w:p w14:paraId="474B775B" w14:textId="77777777" w:rsidR="00C92438" w:rsidRDefault="00C92438" w:rsidP="00C92438">
      <w:pPr>
        <w:pStyle w:val="Heading4"/>
        <w:kinsoku w:val="0"/>
        <w:overflowPunct w:val="0"/>
      </w:pPr>
      <w:r>
        <w:t>Remuneration Committee</w:t>
      </w:r>
    </w:p>
    <w:p w14:paraId="5DD01306" w14:textId="66A1BEDF" w:rsidR="00C92438" w:rsidRPr="00F05AE7" w:rsidRDefault="00C92438" w:rsidP="00F72EB3">
      <w:pPr>
        <w:pStyle w:val="BodyText"/>
      </w:pPr>
      <w:r>
        <w:t xml:space="preserve">The Remuneration Committee determines the remuneration, other terms and conditions and arrangements for termination of employment for the Chief Executive, Executive Directors, and others on the Very Senior Manager (VSM) pay scale, and other Board members except Non-Executive Members. To avoid conflicts of interest, the remuneration of Non-Executive </w:t>
      </w:r>
      <w:r w:rsidDel="00C92438">
        <w:t>M</w:t>
      </w:r>
      <w:r>
        <w:t xml:space="preserve">embers is determined by a separate </w:t>
      </w:r>
      <w:r w:rsidR="00282171">
        <w:t xml:space="preserve">Non-Executive </w:t>
      </w:r>
      <w:r>
        <w:t>Member Remuneration Panel.</w:t>
      </w:r>
    </w:p>
    <w:p w14:paraId="70FA2E0F" w14:textId="2355609D" w:rsidR="00C92438" w:rsidRPr="00F05AE7" w:rsidRDefault="00C92438" w:rsidP="00F72EB3">
      <w:pPr>
        <w:pStyle w:val="BodyText"/>
      </w:pPr>
      <w:r w:rsidRPr="00F05AE7">
        <w:t xml:space="preserve">The committee also </w:t>
      </w:r>
      <w:r w:rsidR="00D23512">
        <w:t xml:space="preserve">has responsibility for </w:t>
      </w:r>
      <w:r w:rsidRPr="00F05AE7">
        <w:t>agree</w:t>
      </w:r>
      <w:r w:rsidR="00D23512">
        <w:t>ing</w:t>
      </w:r>
      <w:r w:rsidRPr="00F05AE7">
        <w:t xml:space="preserve"> the pay framework for any ICB clinical staff working outside of Agenda for Change (AfC) terms and conditions, oversees off-payroll contracts, any payments outside AfC pay policy and determines arrangements for termination of employment or special payments.</w:t>
      </w:r>
    </w:p>
    <w:p w14:paraId="6A1DDF7D" w14:textId="7EEDD29F" w:rsidR="00C92438" w:rsidRPr="0026568F" w:rsidRDefault="00C92438" w:rsidP="00F72EB3">
      <w:pPr>
        <w:pStyle w:val="BodyText"/>
      </w:pPr>
      <w:r w:rsidRPr="0026568F">
        <w:t>As of 31 March 202</w:t>
      </w:r>
      <w:r w:rsidR="00F05AE7" w:rsidRPr="0026568F">
        <w:t>4</w:t>
      </w:r>
      <w:r w:rsidRPr="0026568F">
        <w:t>, the committee comprised of t</w:t>
      </w:r>
      <w:r w:rsidR="0026568F" w:rsidRPr="0026568F">
        <w:t>hree</w:t>
      </w:r>
      <w:r w:rsidRPr="0026568F">
        <w:t xml:space="preserve"> members. The committee </w:t>
      </w:r>
      <w:r w:rsidR="00B842EC">
        <w:t>wa</w:t>
      </w:r>
      <w:r w:rsidRPr="0026568F">
        <w:t>s chaired by Joe Fielder, Non-Executive Member of the Board.</w:t>
      </w:r>
    </w:p>
    <w:p w14:paraId="69AA140B" w14:textId="1E23C7A6" w:rsidR="00C92438" w:rsidRPr="0026568F" w:rsidRDefault="00C92438" w:rsidP="00F72EB3">
      <w:pPr>
        <w:pStyle w:val="BodyText"/>
      </w:pPr>
      <w:r>
        <w:t>During 202</w:t>
      </w:r>
      <w:r w:rsidR="0026568F">
        <w:t>3</w:t>
      </w:r>
      <w:r>
        <w:t>/2</w:t>
      </w:r>
      <w:r w:rsidR="00B505DE">
        <w:t>4</w:t>
      </w:r>
      <w:r>
        <w:t xml:space="preserve"> the committee met on </w:t>
      </w:r>
      <w:r w:rsidR="00F67110">
        <w:t xml:space="preserve">ten </w:t>
      </w:r>
      <w:r>
        <w:t xml:space="preserve">occasions. Decisions were quorate in line with its </w:t>
      </w:r>
      <w:r w:rsidR="65FA0EA9">
        <w:t>t</w:t>
      </w:r>
      <w:r>
        <w:t xml:space="preserve">erms of </w:t>
      </w:r>
      <w:r w:rsidR="1CF17632">
        <w:t>r</w:t>
      </w:r>
      <w:r>
        <w:t>eference (minimum of two members) on all occasions. The work of the committee focussed upon action required following implementation of the ICB</w:t>
      </w:r>
      <w:r w:rsidR="00FC2B29">
        <w:t>’s</w:t>
      </w:r>
      <w:r>
        <w:t xml:space="preserve"> </w:t>
      </w:r>
      <w:r w:rsidR="000A05F0">
        <w:t xml:space="preserve">initial </w:t>
      </w:r>
      <w:r>
        <w:t>staffing structure</w:t>
      </w:r>
      <w:r w:rsidR="00A551D5">
        <w:t xml:space="preserve"> and</w:t>
      </w:r>
      <w:r w:rsidR="000A05F0">
        <w:t xml:space="preserve"> further </w:t>
      </w:r>
      <w:r w:rsidR="00D32878">
        <w:t>organi</w:t>
      </w:r>
      <w:r w:rsidR="00795185">
        <w:t>s</w:t>
      </w:r>
      <w:r w:rsidR="00D32878">
        <w:t>ational change</w:t>
      </w:r>
      <w:r w:rsidR="000A05F0">
        <w:t xml:space="preserve"> </w:t>
      </w:r>
      <w:r w:rsidR="00820B54">
        <w:t>in the lat</w:t>
      </w:r>
      <w:r w:rsidR="00131A38">
        <w:t>t</w:t>
      </w:r>
      <w:r w:rsidR="00820B54">
        <w:t>er part of the financial year</w:t>
      </w:r>
      <w:r w:rsidR="00BA4881">
        <w:t>,</w:t>
      </w:r>
      <w:r>
        <w:t xml:space="preserve"> approval of new </w:t>
      </w:r>
      <w:r w:rsidR="00A23E56">
        <w:t xml:space="preserve">and revised </w:t>
      </w:r>
      <w:r>
        <w:t>policies prior to their adoption by the Board</w:t>
      </w:r>
      <w:r w:rsidR="002F608B">
        <w:t>, approval of very senior managers</w:t>
      </w:r>
      <w:r w:rsidR="00D26C0E">
        <w:t>’ remuneration</w:t>
      </w:r>
      <w:r w:rsidR="002F608B">
        <w:t xml:space="preserve">, </w:t>
      </w:r>
      <w:r w:rsidR="00452C7D">
        <w:t xml:space="preserve">the ICB’s </w:t>
      </w:r>
      <w:r w:rsidR="001D14D6">
        <w:t>Workforce Race Equality Standard report</w:t>
      </w:r>
      <w:r w:rsidR="00452C7D">
        <w:t xml:space="preserve"> and Gender Pay Gap report</w:t>
      </w:r>
      <w:r>
        <w:t>.</w:t>
      </w:r>
    </w:p>
    <w:p w14:paraId="0DB1EB37" w14:textId="5A0E7BE9" w:rsidR="00C92438" w:rsidRPr="00E80E68" w:rsidRDefault="00C92438" w:rsidP="00F72EB3">
      <w:pPr>
        <w:pStyle w:val="BodyText"/>
        <w:rPr>
          <w:color w:val="FF0000"/>
        </w:rPr>
      </w:pPr>
      <w:r w:rsidRPr="00E80E68">
        <w:lastRenderedPageBreak/>
        <w:t>The committee undertook a review of its effectiveness during 202</w:t>
      </w:r>
      <w:r w:rsidR="00E80E68">
        <w:t>3</w:t>
      </w:r>
      <w:r w:rsidRPr="00E80E68">
        <w:t>/2</w:t>
      </w:r>
      <w:r w:rsidR="00E80E68">
        <w:t>4</w:t>
      </w:r>
      <w:r w:rsidRPr="00E80E68">
        <w:t>. This assessment identified that the committee had effectively discharged its duties as set out in its terms of reference</w:t>
      </w:r>
      <w:r w:rsidRPr="00B80A47">
        <w:t>. An action plan to strengthen the effectiveness of the committee has been developed.</w:t>
      </w:r>
    </w:p>
    <w:p w14:paraId="7C6B98C9" w14:textId="77777777" w:rsidR="00C92438" w:rsidRDefault="00C92438" w:rsidP="00C92438">
      <w:pPr>
        <w:pStyle w:val="Heading4"/>
        <w:kinsoku w:val="0"/>
        <w:overflowPunct w:val="0"/>
      </w:pPr>
      <w:r>
        <w:t>Quality Committee</w:t>
      </w:r>
    </w:p>
    <w:p w14:paraId="68C9AEEB" w14:textId="7C447B46" w:rsidR="00C92438" w:rsidRPr="00EC215F" w:rsidRDefault="00C92438" w:rsidP="00F72EB3">
      <w:pPr>
        <w:pStyle w:val="BodyText"/>
        <w:rPr>
          <w:highlight w:val="cyan"/>
        </w:rPr>
      </w:pPr>
      <w:r w:rsidRPr="00A8040E">
        <w:t xml:space="preserve">The Quality Committee provides assurance to the </w:t>
      </w:r>
      <w:r w:rsidR="00A704E3">
        <w:t>Board</w:t>
      </w:r>
      <w:r w:rsidRPr="00A8040E">
        <w:t xml:space="preserve"> that there is an effective system of quality governance and internal control across the ICS that supports it to deliver sustainable, safe, and high-quality </w:t>
      </w:r>
      <w:r w:rsidRPr="00E5482F">
        <w:t>care.</w:t>
      </w:r>
    </w:p>
    <w:p w14:paraId="5B001392" w14:textId="594C691D" w:rsidR="007866B6" w:rsidRDefault="00C92438" w:rsidP="00EC215F">
      <w:pPr>
        <w:pStyle w:val="BodyText"/>
      </w:pPr>
      <w:r>
        <w:t xml:space="preserve">Key areas reviewed </w:t>
      </w:r>
      <w:r w:rsidR="00BE7FE6">
        <w:t xml:space="preserve">by the committee </w:t>
      </w:r>
      <w:r>
        <w:t xml:space="preserve">included arrangements for monitoring the quality of provider contracts; </w:t>
      </w:r>
      <w:r w:rsidR="00A8040E">
        <w:t>p</w:t>
      </w:r>
      <w:r>
        <w:t xml:space="preserve">atient </w:t>
      </w:r>
      <w:r w:rsidR="00A8040E">
        <w:t>s</w:t>
      </w:r>
      <w:r>
        <w:t xml:space="preserve">afety </w:t>
      </w:r>
      <w:r w:rsidR="00A8040E">
        <w:t>p</w:t>
      </w:r>
      <w:r w:rsidR="00CF38B4">
        <w:t>olicies and proce</w:t>
      </w:r>
      <w:r w:rsidR="00401397">
        <w:t>dures</w:t>
      </w:r>
      <w:r w:rsidR="00CF38B4">
        <w:t xml:space="preserve"> including the </w:t>
      </w:r>
      <w:r w:rsidR="00401397">
        <w:t xml:space="preserve">new </w:t>
      </w:r>
      <w:r w:rsidR="00CF38B4">
        <w:t>Patient Safety Incident Response Framework</w:t>
      </w:r>
      <w:r w:rsidR="00055B08">
        <w:t xml:space="preserve"> (PSIRF)</w:t>
      </w:r>
      <w:r w:rsidR="00CF38B4">
        <w:t>,</w:t>
      </w:r>
      <w:r>
        <w:t xml:space="preserve"> review of the provider Quality Accounts 202</w:t>
      </w:r>
      <w:r w:rsidR="00CF38B4">
        <w:t>2</w:t>
      </w:r>
      <w:r>
        <w:t>/2</w:t>
      </w:r>
      <w:r w:rsidR="00CF38B4">
        <w:t>3</w:t>
      </w:r>
      <w:r>
        <w:t>; serious incidents and never events; update</w:t>
      </w:r>
      <w:r w:rsidR="00E5482F">
        <w:t>s</w:t>
      </w:r>
      <w:r>
        <w:t xml:space="preserve"> on </w:t>
      </w:r>
      <w:r w:rsidR="38AE7F98">
        <w:t>s</w:t>
      </w:r>
      <w:r>
        <w:t xml:space="preserve">pecial </w:t>
      </w:r>
      <w:r w:rsidR="5B4D0D6A">
        <w:t>e</w:t>
      </w:r>
      <w:r>
        <w:t xml:space="preserve">ducational </w:t>
      </w:r>
      <w:r w:rsidR="2D8A1FCD">
        <w:t>n</w:t>
      </w:r>
      <w:r>
        <w:t xml:space="preserve">eeds and </w:t>
      </w:r>
      <w:r w:rsidR="2CB9EA5C">
        <w:t>d</w:t>
      </w:r>
      <w:r>
        <w:t xml:space="preserve">isabilities </w:t>
      </w:r>
      <w:r w:rsidR="0003656C">
        <w:t xml:space="preserve">(SEND) </w:t>
      </w:r>
      <w:r>
        <w:t>services</w:t>
      </w:r>
      <w:r w:rsidR="00E5482F">
        <w:t xml:space="preserve">; </w:t>
      </w:r>
      <w:r w:rsidR="0C0CFE8F">
        <w:t>l</w:t>
      </w:r>
      <w:r>
        <w:t xml:space="preserve">earning </w:t>
      </w:r>
      <w:r w:rsidR="76CC08B3">
        <w:t>d</w:t>
      </w:r>
      <w:r>
        <w:t xml:space="preserve">isabilities; </w:t>
      </w:r>
      <w:r w:rsidR="4145B3F3">
        <w:t>i</w:t>
      </w:r>
      <w:r>
        <w:t xml:space="preserve">nfection </w:t>
      </w:r>
      <w:r w:rsidR="5F6EABCC">
        <w:t>p</w:t>
      </w:r>
      <w:r>
        <w:t xml:space="preserve">revention and </w:t>
      </w:r>
      <w:r w:rsidR="0A979A64">
        <w:t>c</w:t>
      </w:r>
      <w:r>
        <w:t xml:space="preserve">ontrol </w:t>
      </w:r>
      <w:r w:rsidR="18BC2BFD">
        <w:t>s</w:t>
      </w:r>
      <w:r>
        <w:t xml:space="preserve">trategy; safeguarding escalations; approval of policies; all age continuing care; review of patient safety and quality risks; </w:t>
      </w:r>
      <w:r w:rsidR="00E5482F">
        <w:t xml:space="preserve">medicines optimisation; </w:t>
      </w:r>
      <w:r w:rsidR="007866B6">
        <w:t xml:space="preserve">mental health services; community services; maternity services; </w:t>
      </w:r>
      <w:r>
        <w:t>complaints and a review of any</w:t>
      </w:r>
      <w:r w:rsidR="00EC215F">
        <w:t xml:space="preserve"> </w:t>
      </w:r>
      <w:r>
        <w:t xml:space="preserve">virtual decisions taken </w:t>
      </w:r>
      <w:r w:rsidR="0003656C">
        <w:t>outside of formal</w:t>
      </w:r>
      <w:r>
        <w:t xml:space="preserve"> committee meeting</w:t>
      </w:r>
      <w:r w:rsidR="0003656C">
        <w:t>s</w:t>
      </w:r>
      <w:r>
        <w:t xml:space="preserve">. </w:t>
      </w:r>
    </w:p>
    <w:p w14:paraId="1BF3A7F9" w14:textId="41300337" w:rsidR="00C92438" w:rsidRPr="00CF38B4" w:rsidRDefault="00C92438" w:rsidP="00EC215F">
      <w:pPr>
        <w:pStyle w:val="BodyText"/>
      </w:pPr>
      <w:r w:rsidRPr="00CF38B4">
        <w:t xml:space="preserve">Deep-dive reviews into specific areas, </w:t>
      </w:r>
      <w:r w:rsidR="00757E6D">
        <w:t>which included lived experience stories,</w:t>
      </w:r>
      <w:r w:rsidRPr="00CF38B4">
        <w:t xml:space="preserve"> including </w:t>
      </w:r>
      <w:r w:rsidR="007866B6">
        <w:t xml:space="preserve">end of life care, assisted conception, eating disorders and sepsis </w:t>
      </w:r>
      <w:r w:rsidRPr="00CF38B4">
        <w:t>were also discussed by the committee.</w:t>
      </w:r>
    </w:p>
    <w:p w14:paraId="55A64129" w14:textId="5B7AAD59" w:rsidR="00C92438" w:rsidRPr="00883049" w:rsidRDefault="00C92438" w:rsidP="00EC215F">
      <w:pPr>
        <w:pStyle w:val="BodyText"/>
      </w:pPr>
      <w:r>
        <w:t xml:space="preserve">The committee is also notified of the outcome of inspections undertaken by regulatory bodies, such as the Care Quality Commission (CQC), and the outcome of </w:t>
      </w:r>
      <w:r w:rsidR="1E5CD3D9">
        <w:t>i</w:t>
      </w:r>
      <w:r>
        <w:t xml:space="preserve">nquests and </w:t>
      </w:r>
      <w:r w:rsidR="5338FBC4">
        <w:t>i</w:t>
      </w:r>
      <w:r>
        <w:t>nquiries to consider if further action is required and/or if any matters need to be escalated to the Board.</w:t>
      </w:r>
    </w:p>
    <w:p w14:paraId="270339BD" w14:textId="74ED913B" w:rsidR="00C92438" w:rsidRPr="007C0CC3" w:rsidRDefault="00C92438" w:rsidP="00EC215F">
      <w:pPr>
        <w:pStyle w:val="BodyText"/>
      </w:pPr>
      <w:r>
        <w:t>As of 31 March 202</w:t>
      </w:r>
      <w:r w:rsidR="00862A53">
        <w:t>4</w:t>
      </w:r>
      <w:r>
        <w:t xml:space="preserve">, the committee comprised of </w:t>
      </w:r>
      <w:r w:rsidR="00953EC3">
        <w:t>seventeen</w:t>
      </w:r>
      <w:r>
        <w:t xml:space="preserve"> members</w:t>
      </w:r>
      <w:r w:rsidR="00BE7FE6">
        <w:t>, including representation from main provider organisations</w:t>
      </w:r>
      <w:r w:rsidR="00423DE4">
        <w:t xml:space="preserve"> and one of the ICB’s Patient Safety Partners</w:t>
      </w:r>
      <w:r>
        <w:t>. The committee is chaired by Dr Neha Issar-Brown, Non-Executive Member of the Board</w:t>
      </w:r>
      <w:r w:rsidR="00215026">
        <w:t>, with Prof. Shahina Pardhan, Associate Non-Executive Committee</w:t>
      </w:r>
      <w:r w:rsidR="00206913">
        <w:t xml:space="preserve"> acting as </w:t>
      </w:r>
      <w:r>
        <w:t>D</w:t>
      </w:r>
      <w:r w:rsidR="00206913">
        <w:t xml:space="preserve">eputy </w:t>
      </w:r>
      <w:r w:rsidDel="00206913">
        <w:t>C</w:t>
      </w:r>
      <w:r w:rsidR="00206913">
        <w:t xml:space="preserve">hair. </w:t>
      </w:r>
      <w:r w:rsidR="00215026">
        <w:t xml:space="preserve"> </w:t>
      </w:r>
      <w:r w:rsidR="00206913">
        <w:t>M</w:t>
      </w:r>
      <w:r>
        <w:t>eetings were also attended by other senior managers with specific responsibility for areas within the committee’s remit.</w:t>
      </w:r>
    </w:p>
    <w:p w14:paraId="1E314912" w14:textId="4FB043EC" w:rsidR="00C92438" w:rsidRPr="00EB1676" w:rsidRDefault="00C92438" w:rsidP="00EC215F">
      <w:pPr>
        <w:pStyle w:val="BodyText"/>
      </w:pPr>
      <w:r>
        <w:t xml:space="preserve">The committee met on </w:t>
      </w:r>
      <w:r w:rsidR="007C0CC3">
        <w:t xml:space="preserve">six </w:t>
      </w:r>
      <w:r>
        <w:t>occasions during 202</w:t>
      </w:r>
      <w:r w:rsidR="00412509">
        <w:t>3</w:t>
      </w:r>
      <w:r>
        <w:t>/2</w:t>
      </w:r>
      <w:r w:rsidR="00412509">
        <w:t>4</w:t>
      </w:r>
      <w:r>
        <w:t xml:space="preserve">. Decisions were quorate in line with the committee’s </w:t>
      </w:r>
      <w:r w:rsidR="70AD30D9">
        <w:t>t</w:t>
      </w:r>
      <w:r>
        <w:t xml:space="preserve">erms of </w:t>
      </w:r>
      <w:r w:rsidR="426C033C">
        <w:t>r</w:t>
      </w:r>
      <w:r>
        <w:t xml:space="preserve">eference (minimum of </w:t>
      </w:r>
      <w:r w:rsidR="00042742">
        <w:t>six</w:t>
      </w:r>
      <w:r>
        <w:t xml:space="preserve"> members) on all occasions.</w:t>
      </w:r>
    </w:p>
    <w:p w14:paraId="4C62D072" w14:textId="481AF80A" w:rsidR="00C92438" w:rsidRPr="00EB1676" w:rsidRDefault="00C92438" w:rsidP="00EC215F">
      <w:pPr>
        <w:pStyle w:val="BodyText"/>
        <w:rPr>
          <w:color w:val="FF0000"/>
        </w:rPr>
      </w:pPr>
      <w:r w:rsidRPr="00F60C0E">
        <w:t>The committee undertook a review of its effectiveness during 202</w:t>
      </w:r>
      <w:r w:rsidR="00EC7668" w:rsidRPr="00F60C0E">
        <w:t>3</w:t>
      </w:r>
      <w:r w:rsidRPr="00F60C0E">
        <w:t>/2</w:t>
      </w:r>
      <w:r w:rsidR="00EC7668" w:rsidRPr="00F60C0E">
        <w:t>4</w:t>
      </w:r>
      <w:r w:rsidRPr="00F60C0E">
        <w:t>. This assessment identified that the committee had effectively discharged its duties as set out in its terms of reference.</w:t>
      </w:r>
      <w:r w:rsidR="00775D0A" w:rsidRPr="00F60C0E">
        <w:t xml:space="preserve"> An action plan was developed to enhance how the committee</w:t>
      </w:r>
      <w:r w:rsidR="00F60C0E" w:rsidRPr="00F60C0E">
        <w:t xml:space="preserve"> operates going forward.</w:t>
      </w:r>
      <w:r w:rsidR="00EB1676" w:rsidRPr="00EB1676">
        <w:rPr>
          <w:color w:val="FF0000"/>
        </w:rPr>
        <w:t xml:space="preserve"> </w:t>
      </w:r>
    </w:p>
    <w:p w14:paraId="0408AD1E" w14:textId="77777777" w:rsidR="00C92438" w:rsidRDefault="00C92438" w:rsidP="00C92438">
      <w:pPr>
        <w:pStyle w:val="Heading4"/>
        <w:kinsoku w:val="0"/>
        <w:overflowPunct w:val="0"/>
      </w:pPr>
      <w:r>
        <w:t>Finance and Investment Committee</w:t>
      </w:r>
    </w:p>
    <w:p w14:paraId="218907FC" w14:textId="1E714E79" w:rsidR="00C92438" w:rsidRPr="002A75CC" w:rsidRDefault="00C92438" w:rsidP="00EC215F">
      <w:pPr>
        <w:pStyle w:val="BodyText"/>
      </w:pPr>
      <w:r w:rsidRPr="002A75CC">
        <w:t>The Finance and Investment Committee</w:t>
      </w:r>
      <w:r w:rsidR="00A070BF">
        <w:t xml:space="preserve"> (FIC)</w:t>
      </w:r>
      <w:r w:rsidRPr="002A75CC">
        <w:t xml:space="preserve"> provides oversight and assurance to the Board in the development and delivery of robust, viable and sustainable financial plans and associated financial performance of services commissioned by the ICB in the context of system working.</w:t>
      </w:r>
    </w:p>
    <w:p w14:paraId="3194F470" w14:textId="399A58EE" w:rsidR="00C92438" w:rsidRPr="002A75CC" w:rsidRDefault="00C92438" w:rsidP="00EC215F">
      <w:pPr>
        <w:pStyle w:val="BodyText"/>
      </w:pPr>
      <w:r w:rsidRPr="002A75CC">
        <w:t xml:space="preserve">The committee receives reports on monthly financial reporting, key financial risks, progress against the system efficiency programme, delivery of financial statutory </w:t>
      </w:r>
      <w:r w:rsidRPr="002A75CC">
        <w:lastRenderedPageBreak/>
        <w:t xml:space="preserve">requirements, capital investment, estates, business cases for approval, and updates from system financial groups. The committee also approves any new </w:t>
      </w:r>
      <w:r w:rsidR="00FE5CB0">
        <w:t xml:space="preserve">or updated </w:t>
      </w:r>
      <w:r w:rsidRPr="002A75CC">
        <w:t>finance policies prior to their adoption by the Board.</w:t>
      </w:r>
      <w:r w:rsidR="001F0150" w:rsidRPr="001F0150">
        <w:t xml:space="preserve"> </w:t>
      </w:r>
      <w:r w:rsidR="001F0150">
        <w:t>From January 2024, the new Provider Selection Regime Review Group became a sub-</w:t>
      </w:r>
      <w:r w:rsidR="00A070BF">
        <w:t>group</w:t>
      </w:r>
      <w:r w:rsidR="001F0150">
        <w:t xml:space="preserve"> of FIC. </w:t>
      </w:r>
    </w:p>
    <w:p w14:paraId="4DD1B1A9" w14:textId="6DECD223" w:rsidR="00C92438" w:rsidRPr="002B5203" w:rsidRDefault="00C92438" w:rsidP="00EC215F">
      <w:pPr>
        <w:pStyle w:val="BodyText"/>
      </w:pPr>
      <w:r>
        <w:t>As of 31 March 202</w:t>
      </w:r>
      <w:r w:rsidR="001F793F">
        <w:t>4</w:t>
      </w:r>
      <w:r>
        <w:t>, the committee comprised of eight members</w:t>
      </w:r>
      <w:r w:rsidR="00040260">
        <w:t xml:space="preserve">, with the </w:t>
      </w:r>
      <w:r>
        <w:t>P</w:t>
      </w:r>
      <w:r w:rsidR="007B64DC">
        <w:t xml:space="preserve">artner </w:t>
      </w:r>
      <w:r w:rsidDel="007B64DC">
        <w:t>M</w:t>
      </w:r>
      <w:r w:rsidR="007B64DC">
        <w:t>ember S151 Officer position being vacant</w:t>
      </w:r>
      <w:r>
        <w:t>. The committee is chaired by Joe Fielder, Non-Executive Member of the Board.  Committee meetings were also attended by other senior managers with specific responsibility for areas within the committee’s remit.</w:t>
      </w:r>
    </w:p>
    <w:p w14:paraId="1DA5026F" w14:textId="095B5340" w:rsidR="00C92438" w:rsidRPr="0089000B" w:rsidRDefault="00C92438" w:rsidP="00EC215F">
      <w:pPr>
        <w:pStyle w:val="BodyText"/>
      </w:pPr>
      <w:r>
        <w:t xml:space="preserve">The committee met on </w:t>
      </w:r>
      <w:r w:rsidR="0089000B">
        <w:t xml:space="preserve">thirteen </w:t>
      </w:r>
      <w:r>
        <w:t>occasions during 202</w:t>
      </w:r>
      <w:r w:rsidR="0089000B">
        <w:t>3</w:t>
      </w:r>
      <w:r>
        <w:t>/2</w:t>
      </w:r>
      <w:r w:rsidR="0089000B">
        <w:t>4</w:t>
      </w:r>
      <w:r>
        <w:t xml:space="preserve">. Decisions were quorate in line with the committee’s </w:t>
      </w:r>
      <w:r w:rsidR="4541766F">
        <w:t>t</w:t>
      </w:r>
      <w:r>
        <w:t xml:space="preserve">erms of </w:t>
      </w:r>
      <w:r w:rsidR="13B3E6BA">
        <w:t>r</w:t>
      </w:r>
      <w:r>
        <w:t xml:space="preserve">eference (minimum of four members) on all occasions. </w:t>
      </w:r>
      <w:r w:rsidR="00F53E03">
        <w:t>Two urgent decisions between meetings were also taken</w:t>
      </w:r>
      <w:r w:rsidR="00B94373">
        <w:t xml:space="preserve"> </w:t>
      </w:r>
      <w:r w:rsidR="003D6AC8">
        <w:t xml:space="preserve">to commission the </w:t>
      </w:r>
      <w:r w:rsidR="00F53E03">
        <w:t xml:space="preserve">Fracture Liaison Service </w:t>
      </w:r>
      <w:r w:rsidR="00523809">
        <w:t xml:space="preserve">and </w:t>
      </w:r>
      <w:r w:rsidR="002A6D8B">
        <w:t xml:space="preserve">to support the Outline Business Case for </w:t>
      </w:r>
      <w:r w:rsidR="00B94373">
        <w:t xml:space="preserve">the </w:t>
      </w:r>
      <w:r w:rsidR="002A6D8B">
        <w:t>MSEFT procurement for a single integrated operati</w:t>
      </w:r>
      <w:r w:rsidR="00CB64E6">
        <w:t>ng</w:t>
      </w:r>
      <w:r w:rsidR="002A6D8B">
        <w:t xml:space="preserve"> model for </w:t>
      </w:r>
      <w:r w:rsidR="75484CA1">
        <w:t>p</w:t>
      </w:r>
      <w:r w:rsidR="002A6D8B">
        <w:t>athology</w:t>
      </w:r>
      <w:r w:rsidR="00CB64E6">
        <w:t>.</w:t>
      </w:r>
    </w:p>
    <w:p w14:paraId="7113F660" w14:textId="0259BAFE" w:rsidR="00C92438" w:rsidRPr="00974E09" w:rsidRDefault="00C92438" w:rsidP="00EC215F">
      <w:pPr>
        <w:pStyle w:val="BodyText"/>
        <w:rPr>
          <w:color w:val="FF0000"/>
        </w:rPr>
      </w:pPr>
      <w:r w:rsidRPr="0089000B">
        <w:t>The</w:t>
      </w:r>
      <w:r w:rsidR="002C58CB">
        <w:t xml:space="preserve"> committee</w:t>
      </w:r>
      <w:r w:rsidRPr="00CF4D4E">
        <w:t xml:space="preserve"> undertook a review of its effectiveness during 202</w:t>
      </w:r>
      <w:r w:rsidR="00974E09" w:rsidRPr="00CF4D4E">
        <w:t>3</w:t>
      </w:r>
      <w:r w:rsidRPr="00CF4D4E">
        <w:t>/</w:t>
      </w:r>
      <w:r w:rsidR="00974E09" w:rsidRPr="00CF4D4E">
        <w:t>24</w:t>
      </w:r>
      <w:r w:rsidRPr="00CF4D4E">
        <w:t>. This assessment identified that the committee had effectively discharged its duties as set</w:t>
      </w:r>
      <w:r w:rsidR="00EC215F" w:rsidRPr="00CF4D4E">
        <w:rPr>
          <w:spacing w:val="-44"/>
        </w:rPr>
        <w:t xml:space="preserve"> </w:t>
      </w:r>
      <w:r w:rsidRPr="00CF4D4E">
        <w:t>out</w:t>
      </w:r>
      <w:r w:rsidR="00EC215F" w:rsidRPr="00CF4D4E">
        <w:t xml:space="preserve"> </w:t>
      </w:r>
      <w:r w:rsidRPr="00CF4D4E">
        <w:t>in its terms of reference. An action plan</w:t>
      </w:r>
      <w:r w:rsidR="00AF11E0" w:rsidRPr="00CF4D4E">
        <w:t xml:space="preserve"> has been developed</w:t>
      </w:r>
      <w:r w:rsidR="000A3520" w:rsidRPr="00CF4D4E">
        <w:t xml:space="preserve"> to shape the work of the committee going forward</w:t>
      </w:r>
      <w:r w:rsidRPr="00CF4D4E">
        <w:t xml:space="preserve"> to strengthen </w:t>
      </w:r>
      <w:r w:rsidR="00473529" w:rsidRPr="00CF4D4E">
        <w:t>its</w:t>
      </w:r>
      <w:r w:rsidRPr="00CF4D4E">
        <w:t xml:space="preserve"> effectiveness </w:t>
      </w:r>
      <w:r w:rsidR="00473529" w:rsidRPr="00CF4D4E">
        <w:t>and focus on performance in the context of financial sustainability</w:t>
      </w:r>
      <w:r w:rsidR="00CF4D4E" w:rsidRPr="00CF4D4E">
        <w:t>.</w:t>
      </w:r>
    </w:p>
    <w:p w14:paraId="13BCD0EA" w14:textId="77777777" w:rsidR="00C92438" w:rsidRPr="00602D64" w:rsidRDefault="00C92438" w:rsidP="001770BF">
      <w:pPr>
        <w:pStyle w:val="Heading4"/>
      </w:pPr>
      <w:r w:rsidRPr="00602D64">
        <w:t>System Oversight and Assurance Committee</w:t>
      </w:r>
    </w:p>
    <w:p w14:paraId="2A046C54" w14:textId="0F9573FA" w:rsidR="00C92438" w:rsidRPr="00602D64" w:rsidRDefault="00C92438" w:rsidP="00EC215F">
      <w:pPr>
        <w:pStyle w:val="BodyText"/>
      </w:pPr>
      <w:r>
        <w:t>The System Oversight and Assurance Committee provides oversight and challenge, focusing upon the system’s performance against agreed outcome measures, NHS constitutional standards, transformation programmes</w:t>
      </w:r>
      <w:r w:rsidR="004839D1">
        <w:t>,</w:t>
      </w:r>
      <w:r>
        <w:t xml:space="preserve"> and key safety and quality measures</w:t>
      </w:r>
      <w:r w:rsidR="00A15CF8">
        <w:t>.</w:t>
      </w:r>
    </w:p>
    <w:p w14:paraId="0DB461AD" w14:textId="6E128FB5" w:rsidR="00C92438" w:rsidRPr="00602D64" w:rsidRDefault="00C92438" w:rsidP="00EC215F">
      <w:pPr>
        <w:pStyle w:val="BodyText"/>
      </w:pPr>
      <w:r>
        <w:t>During 202</w:t>
      </w:r>
      <w:r w:rsidR="00FE2AFB">
        <w:t>3</w:t>
      </w:r>
      <w:r>
        <w:t>/2</w:t>
      </w:r>
      <w:r w:rsidR="00FE2AFB">
        <w:t>4</w:t>
      </w:r>
      <w:r>
        <w:t xml:space="preserve"> the committee </w:t>
      </w:r>
      <w:r w:rsidR="00FE2AFB">
        <w:t xml:space="preserve">continued to </w:t>
      </w:r>
      <w:r>
        <w:t xml:space="preserve">concentrate on addressing significant challenges relating to the recruitment and retention of staff across the MSE workforce; the quality and safety of services; performance, including clearing backlogs that arose during the COVID-19 pandemic relating to services including diagnostics, cancer, elective care; and improving system finances. </w:t>
      </w:r>
      <w:r w:rsidR="003A3371">
        <w:t xml:space="preserve"> </w:t>
      </w:r>
      <w:r w:rsidR="00606745">
        <w:t>At each meeting t</w:t>
      </w:r>
      <w:r w:rsidR="006A12C6">
        <w:t>he committee agree</w:t>
      </w:r>
      <w:r w:rsidR="002C0B29">
        <w:t>d</w:t>
      </w:r>
      <w:r w:rsidR="006A12C6">
        <w:t xml:space="preserve"> escalations </w:t>
      </w:r>
      <w:r w:rsidR="004839D1">
        <w:t xml:space="preserve">regarding </w:t>
      </w:r>
      <w:r w:rsidR="00606745">
        <w:t xml:space="preserve">any </w:t>
      </w:r>
      <w:r w:rsidR="004839D1">
        <w:t xml:space="preserve">significant concerns </w:t>
      </w:r>
      <w:r w:rsidR="006A12C6">
        <w:t xml:space="preserve">to the Chief Executives Forum (Health) and sovereign </w:t>
      </w:r>
      <w:r w:rsidR="00F46054">
        <w:t xml:space="preserve">Boards </w:t>
      </w:r>
      <w:r w:rsidR="006A12C6">
        <w:t>of</w:t>
      </w:r>
      <w:r w:rsidR="004839D1">
        <w:t xml:space="preserve"> </w:t>
      </w:r>
      <w:r w:rsidR="003B767B">
        <w:t xml:space="preserve">the ICB / </w:t>
      </w:r>
      <w:r w:rsidR="004839D1">
        <w:t xml:space="preserve">provider organisations. </w:t>
      </w:r>
    </w:p>
    <w:p w14:paraId="0177A6D2" w14:textId="47675A52" w:rsidR="00C92438" w:rsidRPr="00602D64" w:rsidRDefault="00C92438" w:rsidP="00EC215F">
      <w:pPr>
        <w:pStyle w:val="BodyText"/>
      </w:pPr>
      <w:r w:rsidRPr="00602D64">
        <w:t>As of 31 March 202</w:t>
      </w:r>
      <w:r w:rsidR="00142CAD">
        <w:t>4</w:t>
      </w:r>
      <w:r w:rsidRPr="00602D64">
        <w:t xml:space="preserve">, the committee had </w:t>
      </w:r>
      <w:r w:rsidR="00C20305">
        <w:t>twenty</w:t>
      </w:r>
      <w:r w:rsidRPr="00602D64">
        <w:t xml:space="preserve"> members. The committee is co-chaired by </w:t>
      </w:r>
      <w:r w:rsidR="00142CAD">
        <w:t>George Wood, Non-Executive Member</w:t>
      </w:r>
      <w:r w:rsidRPr="00602D64">
        <w:t xml:space="preserve"> of the ICB, and Simon Wood, Regional Director for Strategy &amp; Transformation, </w:t>
      </w:r>
      <w:r w:rsidR="00F46054">
        <w:t>NHSE</w:t>
      </w:r>
      <w:r w:rsidRPr="00602D64">
        <w:t>.</w:t>
      </w:r>
    </w:p>
    <w:p w14:paraId="5D201C82" w14:textId="63B4D956" w:rsidR="00C92438" w:rsidRPr="00602D64" w:rsidRDefault="00C92438" w:rsidP="00EC215F">
      <w:pPr>
        <w:pStyle w:val="BodyText"/>
      </w:pPr>
      <w:r w:rsidRPr="00602D64">
        <w:t xml:space="preserve">The committee met on </w:t>
      </w:r>
      <w:r w:rsidR="004B19CF">
        <w:t>ten</w:t>
      </w:r>
      <w:r w:rsidRPr="00602D64">
        <w:t xml:space="preserve"> occasions during 202</w:t>
      </w:r>
      <w:r w:rsidR="00A90DE6">
        <w:t>3</w:t>
      </w:r>
      <w:r w:rsidRPr="00602D64">
        <w:t>/2</w:t>
      </w:r>
      <w:r w:rsidR="00A90DE6">
        <w:t>4</w:t>
      </w:r>
      <w:r w:rsidRPr="00602D64">
        <w:t xml:space="preserve">. </w:t>
      </w:r>
      <w:r w:rsidR="00E569C2">
        <w:t xml:space="preserve">All meetings were quorate. </w:t>
      </w:r>
      <w:r w:rsidRPr="00602D64">
        <w:t>Committee meetings were also attended by other senior managers with specific responsibility for areas within the committee’s remit.</w:t>
      </w:r>
    </w:p>
    <w:p w14:paraId="79CCB527" w14:textId="4F2792A2" w:rsidR="00C92438" w:rsidRPr="00AC226D" w:rsidRDefault="00C92438" w:rsidP="00EC215F">
      <w:pPr>
        <w:pStyle w:val="BodyText"/>
        <w:rPr>
          <w:color w:val="FF0000"/>
        </w:rPr>
      </w:pPr>
      <w:r>
        <w:t>The committee undertook a review of its effectiveness during 202</w:t>
      </w:r>
      <w:r w:rsidR="00AC226D">
        <w:t>3</w:t>
      </w:r>
      <w:r>
        <w:t>/2</w:t>
      </w:r>
      <w:r w:rsidR="00AC226D">
        <w:t>4</w:t>
      </w:r>
      <w:r>
        <w:t xml:space="preserve">. This assessment identified that the committee had </w:t>
      </w:r>
      <w:r w:rsidR="005B2EFD">
        <w:t xml:space="preserve">contributed to </w:t>
      </w:r>
      <w:r w:rsidR="00C040AA">
        <w:t xml:space="preserve">collaborative working across the system, holding partners to account and escalating issues to the Chief Executive’s Forum, but that </w:t>
      </w:r>
      <w:r w:rsidR="006572C4">
        <w:t>its effectiveness could be improved.  Consequently</w:t>
      </w:r>
      <w:r w:rsidR="00183994">
        <w:t>,</w:t>
      </w:r>
      <w:r w:rsidR="006572C4">
        <w:t xml:space="preserve"> the terms of reference </w:t>
      </w:r>
      <w:r w:rsidR="556943A4">
        <w:t>are</w:t>
      </w:r>
      <w:r w:rsidR="006572C4">
        <w:t xml:space="preserve"> </w:t>
      </w:r>
      <w:r w:rsidR="00377F7C">
        <w:t>being revised</w:t>
      </w:r>
      <w:r w:rsidR="00444788">
        <w:t xml:space="preserve"> to redesign how the committee operates and</w:t>
      </w:r>
      <w:r w:rsidR="00E8033A">
        <w:t xml:space="preserve"> functions alongside the other sub-committees of the Board.</w:t>
      </w:r>
    </w:p>
    <w:p w14:paraId="0CDFD1EF" w14:textId="77777777" w:rsidR="00C92438" w:rsidRPr="005E3B79" w:rsidRDefault="00C92438" w:rsidP="001770BF">
      <w:pPr>
        <w:pStyle w:val="Heading4"/>
      </w:pPr>
      <w:r w:rsidRPr="005E3B79">
        <w:lastRenderedPageBreak/>
        <w:t>Primary Care Commissioning Committee</w:t>
      </w:r>
    </w:p>
    <w:p w14:paraId="760DD784" w14:textId="23E08845" w:rsidR="00C92438" w:rsidRPr="005E3B79" w:rsidRDefault="00C92438" w:rsidP="00EC215F">
      <w:pPr>
        <w:pStyle w:val="BodyText"/>
      </w:pPr>
      <w:r w:rsidRPr="005E3B79">
        <w:t>The Primary Care Commissioning Committee’s purpose is to provide oversight and assurance to the ICB on the exercise of the ICB’s delegated primary care</w:t>
      </w:r>
      <w:r w:rsidR="00E43B4C">
        <w:t xml:space="preserve"> </w:t>
      </w:r>
      <w:r w:rsidR="00DE21B9">
        <w:t>c</w:t>
      </w:r>
      <w:r w:rsidR="00DE21B9" w:rsidRPr="005E3B79">
        <w:t xml:space="preserve">ommissioning functions </w:t>
      </w:r>
      <w:r w:rsidR="00E43B4C">
        <w:t>(including general practice, pharmacy, optometry</w:t>
      </w:r>
      <w:r w:rsidR="00D838AA">
        <w:t>,</w:t>
      </w:r>
      <w:r w:rsidR="00E43B4C">
        <w:t xml:space="preserve"> and dental services)</w:t>
      </w:r>
      <w:r w:rsidRPr="005E3B79">
        <w:t xml:space="preserve"> and associated improvement and transformation programmes.</w:t>
      </w:r>
    </w:p>
    <w:p w14:paraId="217B9E54" w14:textId="527EDF52" w:rsidR="00C92438" w:rsidRPr="005E3B79" w:rsidRDefault="00C92438" w:rsidP="00EC215F">
      <w:pPr>
        <w:pStyle w:val="BodyText"/>
      </w:pPr>
      <w:r w:rsidRPr="003F20DF">
        <w:t>The committee receive</w:t>
      </w:r>
      <w:r w:rsidR="00910CC3" w:rsidRPr="003F20DF">
        <w:t>d</w:t>
      </w:r>
      <w:r w:rsidRPr="003F20DF">
        <w:t xml:space="preserve"> reports on primary care contracts, the quality and safety of primary care services, the ‘Working Together Scheme,’ primary care workforce, and updates on progress against action</w:t>
      </w:r>
      <w:r w:rsidR="008F6D4A" w:rsidRPr="003F20DF">
        <w:t>s</w:t>
      </w:r>
      <w:r w:rsidRPr="003F20DF">
        <w:t xml:space="preserve"> taken following the ‘Fuller Stocktake’ report. Issues relating to primary care estates and information and technology </w:t>
      </w:r>
      <w:r w:rsidR="003F20DF">
        <w:t>were</w:t>
      </w:r>
      <w:r w:rsidRPr="003F20DF">
        <w:t xml:space="preserve"> also considered by the committee.</w:t>
      </w:r>
    </w:p>
    <w:p w14:paraId="24DC0A37" w14:textId="16A7937B" w:rsidR="00C92438" w:rsidRDefault="00C92438" w:rsidP="00EC215F">
      <w:pPr>
        <w:pStyle w:val="BodyText"/>
      </w:pPr>
      <w:r w:rsidRPr="005E3B79">
        <w:t>As of 31 March 202</w:t>
      </w:r>
      <w:r w:rsidR="00D37AD4">
        <w:t>4</w:t>
      </w:r>
      <w:r w:rsidRPr="005E3B79">
        <w:t xml:space="preserve">, the committee </w:t>
      </w:r>
      <w:r w:rsidRPr="0025587A">
        <w:t xml:space="preserve">had </w:t>
      </w:r>
      <w:r w:rsidR="00AD1860" w:rsidRPr="0025587A">
        <w:t>eleven</w:t>
      </w:r>
      <w:r w:rsidRPr="0025587A">
        <w:t xml:space="preserve"> m</w:t>
      </w:r>
      <w:r w:rsidRPr="005E3B79">
        <w:t>embers. The committee is chaired by Sanjiv Ahluwalia, Associated Non-Executive Member. Committee meetings were also attended by other senior managers with specific responsibility for areas within the committee’s remit.</w:t>
      </w:r>
    </w:p>
    <w:p w14:paraId="68101C63" w14:textId="45341A7D" w:rsidR="00C92438" w:rsidRDefault="00C92438" w:rsidP="00EC215F">
      <w:pPr>
        <w:pStyle w:val="BodyText"/>
      </w:pPr>
      <w:r>
        <w:t xml:space="preserve">The committee met on </w:t>
      </w:r>
      <w:r w:rsidR="00F13424">
        <w:t>ten</w:t>
      </w:r>
      <w:r w:rsidR="00800159">
        <w:t xml:space="preserve"> </w:t>
      </w:r>
      <w:r>
        <w:t>occasions during 202</w:t>
      </w:r>
      <w:r w:rsidR="00800159">
        <w:t>3</w:t>
      </w:r>
      <w:r>
        <w:t>/2</w:t>
      </w:r>
      <w:r w:rsidR="00800159">
        <w:t>4</w:t>
      </w:r>
      <w:r w:rsidR="0003057D">
        <w:t>, including</w:t>
      </w:r>
      <w:r w:rsidR="005D033D">
        <w:t xml:space="preserve"> an ‘away day’ </w:t>
      </w:r>
      <w:r w:rsidR="002E4094">
        <w:t>deep dive</w:t>
      </w:r>
      <w:r w:rsidR="005D033D">
        <w:t xml:space="preserve"> in</w:t>
      </w:r>
      <w:r w:rsidR="002E4094">
        <w:t xml:space="preserve"> issues facing primary care.</w:t>
      </w:r>
      <w:r>
        <w:t xml:space="preserve"> Decisions were quorate in line with the committee’s </w:t>
      </w:r>
      <w:r w:rsidR="66F9A16E">
        <w:t>t</w:t>
      </w:r>
      <w:r>
        <w:t xml:space="preserve">erms of </w:t>
      </w:r>
      <w:r w:rsidR="315E6962">
        <w:t>r</w:t>
      </w:r>
      <w:r>
        <w:t>eference (minimum of four members) on all occasions.</w:t>
      </w:r>
    </w:p>
    <w:p w14:paraId="135A1C64" w14:textId="07D7F5A7" w:rsidR="00C92438" w:rsidRPr="00C5364C" w:rsidRDefault="00C92438" w:rsidP="00EC215F">
      <w:pPr>
        <w:pStyle w:val="BodyText"/>
        <w:rPr>
          <w:color w:val="FF0000"/>
        </w:rPr>
      </w:pPr>
      <w:r w:rsidRPr="00C5364C">
        <w:t>The committee undertook a review of its effectiveness during 202</w:t>
      </w:r>
      <w:r w:rsidR="00C5364C">
        <w:t>3</w:t>
      </w:r>
      <w:r w:rsidRPr="00C5364C">
        <w:t>/2</w:t>
      </w:r>
      <w:r w:rsidR="00C5364C">
        <w:t>4</w:t>
      </w:r>
      <w:r w:rsidRPr="00C5364C">
        <w:t>. This assessment identified that the committee had effectively discharged its duties as set out in its terms of referen</w:t>
      </w:r>
      <w:r w:rsidRPr="002E4094">
        <w:t>ce. An action plan to strengthen the effectiveness of the committee has been</w:t>
      </w:r>
      <w:r w:rsidRPr="002E4094">
        <w:rPr>
          <w:spacing w:val="-1"/>
        </w:rPr>
        <w:t xml:space="preserve"> </w:t>
      </w:r>
      <w:r w:rsidRPr="002E4094">
        <w:t>developed.</w:t>
      </w:r>
    </w:p>
    <w:p w14:paraId="2DFC0FDC" w14:textId="4DF1A6A7" w:rsidR="00C92438" w:rsidRPr="00774EFB" w:rsidRDefault="005A7FC8" w:rsidP="005A7FC8">
      <w:pPr>
        <w:pStyle w:val="Heading4"/>
      </w:pPr>
      <w:r w:rsidRPr="00774EFB">
        <w:t>C</w:t>
      </w:r>
      <w:r w:rsidR="00C92438" w:rsidRPr="00774EFB">
        <w:t>linical and Multi-Professional Congress</w:t>
      </w:r>
    </w:p>
    <w:p w14:paraId="2AC1762A" w14:textId="7EDC194E" w:rsidR="00C92438" w:rsidRPr="00774EFB" w:rsidRDefault="00C92438" w:rsidP="005A7FC8">
      <w:pPr>
        <w:pStyle w:val="BodyText"/>
      </w:pPr>
      <w:r w:rsidRPr="00774EFB">
        <w:t xml:space="preserve">The Clinical and Multi-Professional Congress </w:t>
      </w:r>
      <w:r w:rsidR="00075B67">
        <w:t xml:space="preserve">(a committee of the ICB </w:t>
      </w:r>
      <w:r w:rsidR="00BF2FA2">
        <w:t>Board but</w:t>
      </w:r>
      <w:r w:rsidR="00075B67">
        <w:t xml:space="preserve"> referred to hereafter as ‘congress’) </w:t>
      </w:r>
      <w:r w:rsidRPr="00774EFB">
        <w:t>contributes to the overall delivery of the ‘Triple Aim’ of ICSs to deliver better health and wellbeing for everyone; better quality of health and care services; and sustainable use of health and care resources.</w:t>
      </w:r>
    </w:p>
    <w:p w14:paraId="51241B95" w14:textId="314CF2F5" w:rsidR="00774EFB" w:rsidRDefault="00C92438" w:rsidP="005A7FC8">
      <w:pPr>
        <w:pStyle w:val="BodyText"/>
      </w:pPr>
      <w:r w:rsidRPr="00774EFB">
        <w:t xml:space="preserve">The work of the </w:t>
      </w:r>
      <w:r w:rsidR="00075B67">
        <w:t>congress</w:t>
      </w:r>
      <w:r w:rsidR="00075B67" w:rsidRPr="00774EFB">
        <w:t xml:space="preserve"> </w:t>
      </w:r>
      <w:r w:rsidRPr="00774EFB">
        <w:t xml:space="preserve">is driven by programmes of work within the ICB requiring expert clinical advice and assurance. </w:t>
      </w:r>
      <w:r w:rsidR="0028369F">
        <w:t>Congress</w:t>
      </w:r>
      <w:r w:rsidRPr="00774EFB">
        <w:t xml:space="preserve"> discharges its duties when reviewing, scrutinising, advising, and providing assurance on the programmes of work presented to it. </w:t>
      </w:r>
    </w:p>
    <w:p w14:paraId="347056D4" w14:textId="39A8CFF3" w:rsidR="00C92438" w:rsidRPr="005E362E" w:rsidRDefault="00C92438" w:rsidP="005A7FC8">
      <w:pPr>
        <w:pStyle w:val="BodyText"/>
      </w:pPr>
      <w:r w:rsidRPr="00A62862">
        <w:t>During 202</w:t>
      </w:r>
      <w:r w:rsidR="00774EFB" w:rsidRPr="00A62862">
        <w:t>3</w:t>
      </w:r>
      <w:r w:rsidRPr="00A62862">
        <w:t>/2</w:t>
      </w:r>
      <w:r w:rsidR="00774EFB" w:rsidRPr="00A62862">
        <w:t>4</w:t>
      </w:r>
      <w:r w:rsidRPr="00A62862">
        <w:t xml:space="preserve"> the work of the </w:t>
      </w:r>
      <w:r w:rsidR="0028369F">
        <w:t>congress</w:t>
      </w:r>
      <w:r w:rsidR="0028369F" w:rsidRPr="00A62862">
        <w:t xml:space="preserve"> </w:t>
      </w:r>
      <w:r w:rsidRPr="00A62862">
        <w:t xml:space="preserve">included </w:t>
      </w:r>
      <w:r w:rsidR="00812262">
        <w:t>reviewing</w:t>
      </w:r>
      <w:r w:rsidR="00A62862" w:rsidRPr="00A62862">
        <w:t xml:space="preserve"> </w:t>
      </w:r>
      <w:r w:rsidR="00E6713B">
        <w:t>proposals for a</w:t>
      </w:r>
      <w:r w:rsidR="00A62862" w:rsidRPr="00A62862">
        <w:t xml:space="preserve"> </w:t>
      </w:r>
      <w:r w:rsidR="00E6713B">
        <w:t>s</w:t>
      </w:r>
      <w:r w:rsidR="00A62862" w:rsidRPr="00A62862">
        <w:t xml:space="preserve">ingle </w:t>
      </w:r>
      <w:r w:rsidR="00E6713B">
        <w:t>i</w:t>
      </w:r>
      <w:r w:rsidR="00A62862" w:rsidRPr="00A62862">
        <w:t xml:space="preserve">ntegrated </w:t>
      </w:r>
      <w:r w:rsidR="00E6713B">
        <w:t>p</w:t>
      </w:r>
      <w:r w:rsidR="00A62862" w:rsidRPr="00A62862">
        <w:t xml:space="preserve">athology </w:t>
      </w:r>
      <w:r w:rsidR="00E6713B">
        <w:t>service</w:t>
      </w:r>
      <w:r w:rsidR="00A62862" w:rsidRPr="00A62862">
        <w:t xml:space="preserve">, </w:t>
      </w:r>
      <w:r w:rsidR="00DE6CD5">
        <w:t>m</w:t>
      </w:r>
      <w:r w:rsidR="003D4FEF">
        <w:t>usculo</w:t>
      </w:r>
      <w:r w:rsidR="00A62862" w:rsidRPr="00A62862">
        <w:t xml:space="preserve">-skeletal </w:t>
      </w:r>
      <w:r w:rsidR="001C16A0">
        <w:t>t</w:t>
      </w:r>
      <w:r w:rsidR="00A62862" w:rsidRPr="00A62862">
        <w:t xml:space="preserve">ransformation, urology service reconfiguration, </w:t>
      </w:r>
      <w:r w:rsidR="00537088">
        <w:t>Tier 3 weight management,</w:t>
      </w:r>
      <w:r w:rsidR="00D63BDF">
        <w:t xml:space="preserve"> and </w:t>
      </w:r>
      <w:r w:rsidR="00075C1E">
        <w:t>the</w:t>
      </w:r>
      <w:r w:rsidR="00D63BDF">
        <w:t xml:space="preserve"> review of community capacity</w:t>
      </w:r>
      <w:r w:rsidR="00520EC6">
        <w:t xml:space="preserve">. </w:t>
      </w:r>
      <w:r w:rsidR="00A62862" w:rsidRPr="00A62862">
        <w:t xml:space="preserve">The </w:t>
      </w:r>
      <w:r w:rsidR="0028369F">
        <w:t>congress</w:t>
      </w:r>
      <w:r w:rsidR="0028369F" w:rsidRPr="00A62862">
        <w:t xml:space="preserve"> </w:t>
      </w:r>
      <w:r w:rsidR="00A62862" w:rsidRPr="00A62862">
        <w:t xml:space="preserve">also received an update on system efficiencies and </w:t>
      </w:r>
      <w:r w:rsidR="005E362E">
        <w:t xml:space="preserve">action </w:t>
      </w:r>
      <w:r w:rsidR="00A62862" w:rsidRPr="00A62862">
        <w:t>being taken to support this</w:t>
      </w:r>
      <w:r w:rsidR="00DD311F">
        <w:t xml:space="preserve">. </w:t>
      </w:r>
      <w:r w:rsidR="00A62862" w:rsidRPr="005E362E">
        <w:t xml:space="preserve"> </w:t>
      </w:r>
    </w:p>
    <w:p w14:paraId="358310BD" w14:textId="0173338B" w:rsidR="00C92438" w:rsidRPr="00935577" w:rsidRDefault="00C92438" w:rsidP="005A7FC8">
      <w:pPr>
        <w:pStyle w:val="BodyText"/>
      </w:pPr>
      <w:r w:rsidRPr="00935577">
        <w:t>As of 31 March 202</w:t>
      </w:r>
      <w:r w:rsidR="00935577" w:rsidRPr="00935577">
        <w:t>4</w:t>
      </w:r>
      <w:r w:rsidRPr="00935577">
        <w:t xml:space="preserve">, the congress had </w:t>
      </w:r>
      <w:r w:rsidRPr="000B5B02">
        <w:t>1</w:t>
      </w:r>
      <w:r w:rsidR="00A52EA4">
        <w:t>7</w:t>
      </w:r>
      <w:r w:rsidRPr="00935577">
        <w:t xml:space="preserve"> members</w:t>
      </w:r>
      <w:r w:rsidR="00A52EA4">
        <w:t>, with one position vacant.</w:t>
      </w:r>
      <w:r w:rsidRPr="00935577">
        <w:t xml:space="preserve"> The congress </w:t>
      </w:r>
      <w:r w:rsidR="006A097B">
        <w:t>wa</w:t>
      </w:r>
      <w:r w:rsidRPr="00935577">
        <w:t>s chaired by</w:t>
      </w:r>
      <w:r w:rsidR="00935577">
        <w:t xml:space="preserve"> </w:t>
      </w:r>
      <w:r w:rsidRPr="00935577">
        <w:t xml:space="preserve">Dr </w:t>
      </w:r>
      <w:r w:rsidR="00935577">
        <w:t>Matt Sweeting</w:t>
      </w:r>
      <w:r w:rsidRPr="00153828">
        <w:t xml:space="preserve">, </w:t>
      </w:r>
      <w:r w:rsidR="00153828" w:rsidRPr="00153828">
        <w:t>Executive</w:t>
      </w:r>
      <w:r w:rsidR="000A3505" w:rsidRPr="00153828">
        <w:t xml:space="preserve"> </w:t>
      </w:r>
      <w:r w:rsidRPr="00153828">
        <w:t>Medical Director</w:t>
      </w:r>
      <w:r w:rsidRPr="00935577">
        <w:t xml:space="preserve">. </w:t>
      </w:r>
      <w:r w:rsidR="00770F82">
        <w:t>Congress</w:t>
      </w:r>
      <w:r w:rsidR="00770F82" w:rsidRPr="00935577">
        <w:t xml:space="preserve"> </w:t>
      </w:r>
      <w:r w:rsidRPr="00935577">
        <w:t>meetings were also attended by other senior managers with specific responsibility for areas within the committee’s remit.</w:t>
      </w:r>
    </w:p>
    <w:p w14:paraId="4AE49CBA" w14:textId="2FE8F5C1" w:rsidR="00C92438" w:rsidRPr="00935577" w:rsidRDefault="00C92438" w:rsidP="005A7FC8">
      <w:pPr>
        <w:pStyle w:val="BodyText"/>
      </w:pPr>
      <w:r w:rsidRPr="00935577">
        <w:t xml:space="preserve">The congress met on </w:t>
      </w:r>
      <w:r w:rsidR="0095056D">
        <w:t>6</w:t>
      </w:r>
      <w:r w:rsidRPr="00935577">
        <w:t xml:space="preserve"> occasions during 202</w:t>
      </w:r>
      <w:r w:rsidR="00935577">
        <w:t>3</w:t>
      </w:r>
      <w:r w:rsidRPr="00935577">
        <w:t>/2</w:t>
      </w:r>
      <w:r w:rsidR="00935577">
        <w:t>4</w:t>
      </w:r>
      <w:r w:rsidRPr="00935577">
        <w:t xml:space="preserve"> and were quorate in line with the congress’ </w:t>
      </w:r>
      <w:r w:rsidR="006A097B" w:rsidRPr="00935577">
        <w:t xml:space="preserve">terms </w:t>
      </w:r>
      <w:r w:rsidRPr="00935577">
        <w:t xml:space="preserve">of </w:t>
      </w:r>
      <w:r w:rsidR="006A097B" w:rsidRPr="00935577">
        <w:t xml:space="preserve">reference </w:t>
      </w:r>
      <w:r w:rsidRPr="00935577">
        <w:t xml:space="preserve">(minimum of </w:t>
      </w:r>
      <w:r w:rsidRPr="002961AD">
        <w:t>eight</w:t>
      </w:r>
      <w:r w:rsidRPr="00935577">
        <w:t xml:space="preserve"> members)</w:t>
      </w:r>
      <w:r w:rsidR="006A097B">
        <w:t>,</w:t>
      </w:r>
      <w:r w:rsidRPr="00935577">
        <w:t xml:space="preserve"> </w:t>
      </w:r>
      <w:r w:rsidRPr="002961AD">
        <w:t>on all occasions.</w:t>
      </w:r>
    </w:p>
    <w:p w14:paraId="7B871E87" w14:textId="46AE6A3A" w:rsidR="00C92438" w:rsidRPr="00935577" w:rsidRDefault="00C92438" w:rsidP="005A7FC8">
      <w:pPr>
        <w:pStyle w:val="BodyText"/>
        <w:rPr>
          <w:color w:val="FF0000"/>
        </w:rPr>
      </w:pPr>
      <w:r w:rsidRPr="00935577">
        <w:lastRenderedPageBreak/>
        <w:t xml:space="preserve">The </w:t>
      </w:r>
      <w:r w:rsidR="00770F82">
        <w:t>congress</w:t>
      </w:r>
      <w:r w:rsidR="00770F82" w:rsidRPr="00935577">
        <w:t xml:space="preserve"> </w:t>
      </w:r>
      <w:r w:rsidRPr="00935577">
        <w:t>undertook a review of its effectiveness during 202</w:t>
      </w:r>
      <w:r w:rsidR="00935577">
        <w:t>3</w:t>
      </w:r>
      <w:r w:rsidRPr="00935577">
        <w:t>/2</w:t>
      </w:r>
      <w:r w:rsidR="00935577">
        <w:t>4</w:t>
      </w:r>
      <w:r w:rsidRPr="00935577">
        <w:t xml:space="preserve">. This assessment identified that the </w:t>
      </w:r>
      <w:r w:rsidR="00770F82">
        <w:t>congress</w:t>
      </w:r>
      <w:r w:rsidR="00770F82" w:rsidRPr="00935577">
        <w:t xml:space="preserve"> </w:t>
      </w:r>
      <w:r w:rsidRPr="00935577">
        <w:t>had effectively discharged its duties as set out in its terms of refere</w:t>
      </w:r>
      <w:r w:rsidRPr="00F97299">
        <w:t xml:space="preserve">nce. An action plan to strengthen the effectiveness of the </w:t>
      </w:r>
      <w:r w:rsidR="00770F82">
        <w:t>congress</w:t>
      </w:r>
      <w:r w:rsidR="00770F82" w:rsidRPr="00F97299">
        <w:t xml:space="preserve"> </w:t>
      </w:r>
      <w:r w:rsidRPr="00F97299">
        <w:t>has been developed.</w:t>
      </w:r>
    </w:p>
    <w:p w14:paraId="3B7BDC04" w14:textId="60E35D89" w:rsidR="00EC4EDB" w:rsidRDefault="00EC4EDB" w:rsidP="00EC4EDB">
      <w:pPr>
        <w:pStyle w:val="Heading4"/>
      </w:pPr>
      <w:r w:rsidRPr="00BC5EE0">
        <w:t>Executive Committee</w:t>
      </w:r>
    </w:p>
    <w:p w14:paraId="192EACCB" w14:textId="6507EDF9" w:rsidR="00A4677A" w:rsidRPr="00AA2AA5" w:rsidRDefault="00A4677A" w:rsidP="00A4677A">
      <w:r w:rsidRPr="00AA2AA5">
        <w:t>The Executive Committee was established</w:t>
      </w:r>
      <w:r w:rsidR="00F97299">
        <w:t xml:space="preserve"> as a formal sub-committee of the ICB Board</w:t>
      </w:r>
      <w:r w:rsidR="000D3077" w:rsidRPr="00AA2AA5">
        <w:t xml:space="preserve"> in January 2024</w:t>
      </w:r>
      <w:r w:rsidRPr="00AA2AA5">
        <w:t xml:space="preserve"> </w:t>
      </w:r>
      <w:r w:rsidR="00635F7D" w:rsidRPr="00AA2AA5">
        <w:t xml:space="preserve">to provide oversight and assurance </w:t>
      </w:r>
      <w:r w:rsidR="00DB0A1D" w:rsidRPr="00AA2AA5">
        <w:t>regarding the operational management of the ICB</w:t>
      </w:r>
      <w:r w:rsidR="00022620" w:rsidRPr="00AA2AA5">
        <w:t xml:space="preserve">, including </w:t>
      </w:r>
      <w:r w:rsidR="00536230" w:rsidRPr="00AA2AA5">
        <w:t>scrutiny of proposed business cases</w:t>
      </w:r>
      <w:r w:rsidR="00863110" w:rsidRPr="00AA2AA5">
        <w:t xml:space="preserve">, making recommendations regarding strategic direction, </w:t>
      </w:r>
      <w:r w:rsidR="008A6A51" w:rsidRPr="00AA2AA5">
        <w:t>providing support for investment</w:t>
      </w:r>
      <w:r w:rsidR="004F3356" w:rsidRPr="00AA2AA5">
        <w:t xml:space="preserve"> in line with the ICB Scheme of Reservation and Delegation, </w:t>
      </w:r>
      <w:r w:rsidR="00AA2AA5" w:rsidRPr="00AA2AA5">
        <w:t xml:space="preserve">and </w:t>
      </w:r>
      <w:r w:rsidR="004F3356" w:rsidRPr="00AA2AA5">
        <w:t xml:space="preserve">identification of key issues and risks requiring discussion by or escalation to the </w:t>
      </w:r>
      <w:r w:rsidR="00AA2AA5" w:rsidRPr="00AA2AA5">
        <w:t>Board</w:t>
      </w:r>
      <w:r w:rsidR="004F3356" w:rsidRPr="00AA2AA5">
        <w:t xml:space="preserve">.  </w:t>
      </w:r>
    </w:p>
    <w:p w14:paraId="27335D6D" w14:textId="590F0571" w:rsidR="00C26272" w:rsidRPr="0014660D" w:rsidRDefault="004362DF" w:rsidP="00A4677A">
      <w:r>
        <w:t>The membership</w:t>
      </w:r>
      <w:r w:rsidR="003D4FEF">
        <w:t xml:space="preserve"> </w:t>
      </w:r>
      <w:r>
        <w:t>of the committee includes</w:t>
      </w:r>
      <w:r w:rsidR="003D4FEF">
        <w:t xml:space="preserve"> </w:t>
      </w:r>
      <w:r w:rsidR="0BED439A">
        <w:t>e</w:t>
      </w:r>
      <w:r>
        <w:t xml:space="preserve">xecutive </w:t>
      </w:r>
      <w:r w:rsidR="005C109B">
        <w:t>members of the ICB</w:t>
      </w:r>
      <w:r w:rsidR="00160A00">
        <w:t xml:space="preserve"> which</w:t>
      </w:r>
      <w:r w:rsidR="008E3710">
        <w:t xml:space="preserve"> as of </w:t>
      </w:r>
      <w:r w:rsidR="007816D1">
        <w:t>3</w:t>
      </w:r>
      <w:r w:rsidR="00FA20BD">
        <w:t>1</w:t>
      </w:r>
      <w:r w:rsidR="00D3488A">
        <w:t> </w:t>
      </w:r>
      <w:r w:rsidR="00FA20BD">
        <w:t>March 2024</w:t>
      </w:r>
      <w:r w:rsidR="007816D1">
        <w:t xml:space="preserve"> </w:t>
      </w:r>
      <w:r w:rsidR="00FA20BD">
        <w:t>comprised</w:t>
      </w:r>
      <w:r w:rsidR="001E2D41">
        <w:t xml:space="preserve"> </w:t>
      </w:r>
      <w:r w:rsidR="00FA20BD">
        <w:t xml:space="preserve">11 members.  </w:t>
      </w:r>
    </w:p>
    <w:p w14:paraId="42E74E50" w14:textId="3BFFEEA9" w:rsidR="002D5DA9" w:rsidRPr="0014660D" w:rsidRDefault="002B0225" w:rsidP="00A4677A">
      <w:r w:rsidRPr="0014660D">
        <w:t xml:space="preserve">The committee </w:t>
      </w:r>
      <w:r w:rsidR="00917898" w:rsidRPr="0014660D">
        <w:t>met weekly</w:t>
      </w:r>
      <w:r w:rsidR="00AD3AA3" w:rsidRPr="0014660D">
        <w:t xml:space="preserve"> from 9 February 2024</w:t>
      </w:r>
      <w:r w:rsidR="00C44AF5" w:rsidRPr="0014660D">
        <w:t>, with</w:t>
      </w:r>
      <w:r w:rsidR="00E31C73" w:rsidRPr="0014660D">
        <w:t xml:space="preserve"> </w:t>
      </w:r>
      <w:r w:rsidR="000B7AB7" w:rsidRPr="0014660D">
        <w:t>9</w:t>
      </w:r>
      <w:r w:rsidR="00E31C73" w:rsidRPr="0014660D">
        <w:t xml:space="preserve"> meetings he</w:t>
      </w:r>
      <w:r w:rsidR="00A57B8D" w:rsidRPr="0014660D">
        <w:t xml:space="preserve">ld </w:t>
      </w:r>
      <w:r w:rsidR="00715B06" w:rsidRPr="0014660D">
        <w:t>during 202</w:t>
      </w:r>
      <w:r w:rsidR="00C44AF5" w:rsidRPr="0014660D">
        <w:t>4</w:t>
      </w:r>
      <w:r w:rsidR="00715B06" w:rsidRPr="0014660D">
        <w:t xml:space="preserve">.  </w:t>
      </w:r>
      <w:r w:rsidRPr="0014660D">
        <w:t xml:space="preserve"> </w:t>
      </w:r>
      <w:r w:rsidR="00747BC1" w:rsidRPr="0014660D">
        <w:t xml:space="preserve"> Business conducted by the committee included </w:t>
      </w:r>
      <w:r w:rsidR="00BA461B" w:rsidRPr="0014660D">
        <w:t>consideration of business cases</w:t>
      </w:r>
      <w:r w:rsidR="00786898" w:rsidRPr="0014660D">
        <w:t>;</w:t>
      </w:r>
      <w:r w:rsidR="00BA461B" w:rsidRPr="0014660D">
        <w:t xml:space="preserve"> review of performance</w:t>
      </w:r>
      <w:r w:rsidR="00786898" w:rsidRPr="0014660D">
        <w:t>;</w:t>
      </w:r>
      <w:r w:rsidR="00AE1662" w:rsidRPr="0014660D">
        <w:t xml:space="preserve"> oversight of operational delivery</w:t>
      </w:r>
      <w:r w:rsidR="00786898" w:rsidRPr="0014660D">
        <w:t>;</w:t>
      </w:r>
      <w:r w:rsidR="00AE1662" w:rsidRPr="0014660D">
        <w:t xml:space="preserve"> development of ICB strategy, risk appetite</w:t>
      </w:r>
      <w:r w:rsidR="0046756F" w:rsidRPr="0014660D">
        <w:t xml:space="preserve"> and </w:t>
      </w:r>
      <w:r w:rsidR="00FB3349" w:rsidRPr="0014660D">
        <w:t xml:space="preserve">organisational structure; </w:t>
      </w:r>
      <w:r w:rsidR="00711819" w:rsidRPr="0014660D">
        <w:t>oversight of financial sustainability within the ICB and wider system</w:t>
      </w:r>
      <w:r w:rsidR="000E760C" w:rsidRPr="0014660D">
        <w:t xml:space="preserve"> as well as the</w:t>
      </w:r>
      <w:r w:rsidR="00CA683E" w:rsidRPr="0014660D">
        <w:t xml:space="preserve"> developing programme of organisational development</w:t>
      </w:r>
      <w:r w:rsidR="00747BC1" w:rsidRPr="0014660D">
        <w:t xml:space="preserve">. </w:t>
      </w:r>
    </w:p>
    <w:p w14:paraId="397528A7" w14:textId="6758DBC6" w:rsidR="007336AC" w:rsidRDefault="007336AC" w:rsidP="005A7FC8">
      <w:pPr>
        <w:pStyle w:val="Heading4"/>
      </w:pPr>
      <w:r>
        <w:t>Alliance Committees</w:t>
      </w:r>
    </w:p>
    <w:p w14:paraId="71BE6255" w14:textId="4AC2CAD9" w:rsidR="007336AC" w:rsidRDefault="00BA4F4C" w:rsidP="007336AC">
      <w:r>
        <w:t>Each of the four</w:t>
      </w:r>
      <w:r w:rsidR="007336AC">
        <w:t xml:space="preserve"> </w:t>
      </w:r>
      <w:r w:rsidR="12492542">
        <w:t>a</w:t>
      </w:r>
      <w:r w:rsidR="007336AC">
        <w:t xml:space="preserve">lliances (Basildon and Brentwood, Mid Essex, South East Essex and Thurrock) </w:t>
      </w:r>
      <w:r w:rsidR="008E4CBE">
        <w:t xml:space="preserve">have established </w:t>
      </w:r>
      <w:r w:rsidR="0020687E">
        <w:t>formal</w:t>
      </w:r>
      <w:r w:rsidR="008E4CBE">
        <w:t xml:space="preserve"> committees of the </w:t>
      </w:r>
      <w:r w:rsidR="00F41276">
        <w:t xml:space="preserve">ICB </w:t>
      </w:r>
      <w:r w:rsidR="008E4CBE">
        <w:t>Board. Th</w:t>
      </w:r>
      <w:r w:rsidR="00A42A49">
        <w:t xml:space="preserve">e purpose of the </w:t>
      </w:r>
      <w:r w:rsidR="160490DC">
        <w:t>a</w:t>
      </w:r>
      <w:r w:rsidR="00A42A49">
        <w:t xml:space="preserve">lliances and their respective committees includes contributing to the overall delivery of the ICS’s objectives to create opportunities for the benefit of </w:t>
      </w:r>
      <w:r w:rsidR="00C6251F">
        <w:t>residents</w:t>
      </w:r>
      <w:r w:rsidR="00A42A49">
        <w:t>, to support health and wellbeing, to bring care closer to home and to improve and transform services</w:t>
      </w:r>
      <w:r w:rsidR="00E37D32">
        <w:t xml:space="preserve">.  The </w:t>
      </w:r>
      <w:r w:rsidR="14EDD904">
        <w:t>a</w:t>
      </w:r>
      <w:r w:rsidR="00E37D32">
        <w:t xml:space="preserve">lliances </w:t>
      </w:r>
      <w:r w:rsidR="001617C7">
        <w:t xml:space="preserve">work </w:t>
      </w:r>
      <w:r w:rsidR="00193A07">
        <w:t xml:space="preserve">closely </w:t>
      </w:r>
      <w:r w:rsidR="001617C7">
        <w:t>with local partner organisations</w:t>
      </w:r>
      <w:r w:rsidR="00E401FE">
        <w:t xml:space="preserve"> </w:t>
      </w:r>
      <w:r w:rsidR="00CA38F4">
        <w:t>and</w:t>
      </w:r>
      <w:r w:rsidR="00E401FE">
        <w:t xml:space="preserve"> provide</w:t>
      </w:r>
      <w:r w:rsidR="00A42A49">
        <w:t xml:space="preserve"> oversight and assurance to the ICB Board on</w:t>
      </w:r>
      <w:r w:rsidR="005227EF">
        <w:t xml:space="preserve"> local issues</w:t>
      </w:r>
      <w:r w:rsidR="001617C7">
        <w:t xml:space="preserve">. </w:t>
      </w:r>
    </w:p>
    <w:p w14:paraId="2EA8BF68" w14:textId="4CF202EA" w:rsidR="003068E9" w:rsidRDefault="003068E9" w:rsidP="007336AC">
      <w:r>
        <w:t xml:space="preserve">The work </w:t>
      </w:r>
      <w:r w:rsidR="005F0D16">
        <w:t xml:space="preserve">undertaken by each of the </w:t>
      </w:r>
      <w:r w:rsidR="713783EC">
        <w:t>a</w:t>
      </w:r>
      <w:r w:rsidR="005F0D16">
        <w:t xml:space="preserve">lliances is set out in </w:t>
      </w:r>
      <w:r w:rsidR="00ED70EB">
        <w:t xml:space="preserve">the </w:t>
      </w:r>
      <w:r>
        <w:t>P</w:t>
      </w:r>
      <w:r w:rsidR="00ED70EB">
        <w:t xml:space="preserve">erformance </w:t>
      </w:r>
      <w:r w:rsidDel="00ED70EB">
        <w:t>O</w:t>
      </w:r>
      <w:r w:rsidR="00ED70EB">
        <w:t xml:space="preserve">verview </w:t>
      </w:r>
      <w:r w:rsidR="005F0D16">
        <w:t>section</w:t>
      </w:r>
      <w:r w:rsidR="003C226D">
        <w:t xml:space="preserve"> </w:t>
      </w:r>
      <w:r w:rsidR="00050D2C">
        <w:t>of th</w:t>
      </w:r>
      <w:r w:rsidR="00654EF1">
        <w:t>is</w:t>
      </w:r>
      <w:r w:rsidR="00050D2C">
        <w:t xml:space="preserve"> report. </w:t>
      </w:r>
    </w:p>
    <w:p w14:paraId="06A2AE91" w14:textId="7B66993B" w:rsidR="00C92438" w:rsidRPr="0053648C" w:rsidRDefault="00C92438" w:rsidP="005A7FC8">
      <w:pPr>
        <w:pStyle w:val="Heading4"/>
      </w:pPr>
      <w:r>
        <w:t xml:space="preserve">Better Care Fund (including Improved Better Care Fund) </w:t>
      </w:r>
      <w:r w:rsidR="1AE9FEEC">
        <w:t>g</w:t>
      </w:r>
      <w:r>
        <w:t>overnance</w:t>
      </w:r>
    </w:p>
    <w:p w14:paraId="11B5474C" w14:textId="3F222BB7" w:rsidR="0053648C" w:rsidRPr="00A314BB" w:rsidRDefault="0053648C" w:rsidP="00A314BB">
      <w:pPr>
        <w:pStyle w:val="BodyText"/>
      </w:pPr>
      <w:bookmarkStart w:id="84" w:name="UK_Corporate_Governance_Code"/>
      <w:bookmarkEnd w:id="84"/>
      <w:r>
        <w:t>The ICB is a member of six formal groups/</w:t>
      </w:r>
      <w:r w:rsidR="00F46054">
        <w:t xml:space="preserve">Boards </w:t>
      </w:r>
      <w:r>
        <w:t xml:space="preserve">to fulfil the governance requirements of the Better Care Fund (BCF). This consists of four Partnership </w:t>
      </w:r>
      <w:r w:rsidDel="0053648C">
        <w:t>B</w:t>
      </w:r>
      <w:r>
        <w:t xml:space="preserve">oards with Essex County Council (3 local and 1 countywide), a Partnership </w:t>
      </w:r>
      <w:r w:rsidDel="0053648C">
        <w:t>B</w:t>
      </w:r>
      <w:r>
        <w:t xml:space="preserve">oard with Thurrock Council, and a Management </w:t>
      </w:r>
      <w:r w:rsidDel="0053648C">
        <w:t>G</w:t>
      </w:r>
      <w:r>
        <w:t>roup with Southend City Council.</w:t>
      </w:r>
    </w:p>
    <w:p w14:paraId="78D9F729" w14:textId="2A115E8D" w:rsidR="0053648C" w:rsidRPr="00A314BB" w:rsidRDefault="0053648C" w:rsidP="00A314BB">
      <w:pPr>
        <w:pStyle w:val="BodyText"/>
      </w:pPr>
      <w:r>
        <w:t xml:space="preserve">In line with the terms of the individual </w:t>
      </w:r>
      <w:r w:rsidR="1C140162">
        <w:t>s</w:t>
      </w:r>
      <w:r>
        <w:t xml:space="preserve">ection 75 Better Care Fund Agreements held individually with each of the upper tier local authorities, decision-making relating to the BCF is delegated to nominated representatives of the ICB and nominated representatives of each of the upper tier local authorities. </w:t>
      </w:r>
    </w:p>
    <w:p w14:paraId="21E66D3E" w14:textId="62777F06" w:rsidR="0053648C" w:rsidRDefault="0053648C" w:rsidP="00A314BB">
      <w:pPr>
        <w:pStyle w:val="BodyText"/>
      </w:pPr>
      <w:r>
        <w:t xml:space="preserve">Utilisation of the BCF funds was in line with national guidance and as detailed within the </w:t>
      </w:r>
      <w:r w:rsidR="7F74C7BE">
        <w:t>s</w:t>
      </w:r>
      <w:r>
        <w:t xml:space="preserve">ection 75 </w:t>
      </w:r>
      <w:r w:rsidR="4F8D3B30">
        <w:t>a</w:t>
      </w:r>
      <w:r>
        <w:t xml:space="preserve">greements. Reporting focused on expenditure on the approved services and performance against the nationally defined metrics. </w:t>
      </w:r>
    </w:p>
    <w:p w14:paraId="59E92286" w14:textId="67788E75" w:rsidR="00C92438" w:rsidRPr="0080094D" w:rsidRDefault="00C92438" w:rsidP="00C92438">
      <w:pPr>
        <w:pStyle w:val="Heading4"/>
        <w:kinsoku w:val="0"/>
        <w:overflowPunct w:val="0"/>
        <w:spacing w:before="1"/>
      </w:pPr>
      <w:r w:rsidRPr="0080094D">
        <w:lastRenderedPageBreak/>
        <w:t>UK Corporate Governance Code</w:t>
      </w:r>
    </w:p>
    <w:p w14:paraId="76E1BF9D" w14:textId="4E577B6B" w:rsidR="00C92438" w:rsidRPr="0080094D" w:rsidRDefault="00C92438" w:rsidP="005A7FC8">
      <w:pPr>
        <w:pStyle w:val="BodyText"/>
      </w:pPr>
      <w:r>
        <w:t xml:space="preserve">The ICB, along with other NHS bodies, is not required to comply with the UK Code of Corporate Governance. However, we have reported on our </w:t>
      </w:r>
      <w:r w:rsidR="0E03C9D4">
        <w:t>c</w:t>
      </w:r>
      <w:r>
        <w:t xml:space="preserve">orporate </w:t>
      </w:r>
      <w:r w:rsidR="756744C0">
        <w:t>g</w:t>
      </w:r>
      <w:r>
        <w:t>overnance arrangements by drawing upon best practice available, including those aspects of the</w:t>
      </w:r>
      <w:r w:rsidR="005A7FC8">
        <w:t xml:space="preserve"> </w:t>
      </w:r>
      <w:r>
        <w:t>UK Corporate Governance Code we consider to be relevant to the ICB and best practice.</w:t>
      </w:r>
    </w:p>
    <w:p w14:paraId="659B786C" w14:textId="0F73182C" w:rsidR="00C92438" w:rsidRPr="0080094D" w:rsidRDefault="00C92438" w:rsidP="005A7FC8">
      <w:pPr>
        <w:pStyle w:val="BodyText"/>
      </w:pPr>
      <w:bookmarkStart w:id="85" w:name="The_annual_review_of_Board_effectiveness"/>
      <w:bookmarkEnd w:id="85"/>
      <w:r>
        <w:t>The annual review of Board effectiveness for 202</w:t>
      </w:r>
      <w:r w:rsidR="00C842BA">
        <w:t>3</w:t>
      </w:r>
      <w:r>
        <w:t>/2</w:t>
      </w:r>
      <w:r w:rsidR="00C842BA">
        <w:t>4</w:t>
      </w:r>
      <w:r>
        <w:t xml:space="preserve"> will include an assessment which encompasses the relevant principles of the UK Corporate Governance Code.</w:t>
      </w:r>
    </w:p>
    <w:p w14:paraId="5E0D9FDF" w14:textId="77777777" w:rsidR="00C92438" w:rsidRPr="0080094D" w:rsidRDefault="00C92438" w:rsidP="005A7FC8">
      <w:pPr>
        <w:pStyle w:val="BodyText"/>
      </w:pPr>
      <w:r w:rsidRPr="0080094D">
        <w:t>The Board follows best practice in relation to providing effective leadership, having an appropriate balance of skills, experience, independence, and knowledge to enable Board members to discharge their duties and responsibilities effectively, presenting a balanced and understandable assessment of the ICB’s position in its financial and other reporting and ensuring that remuneration is set appropriately.</w:t>
      </w:r>
    </w:p>
    <w:p w14:paraId="61376738" w14:textId="77777777" w:rsidR="00C92438" w:rsidRPr="008E044A" w:rsidRDefault="00C92438" w:rsidP="005A7FC8">
      <w:pPr>
        <w:pStyle w:val="Heading4"/>
      </w:pPr>
      <w:bookmarkStart w:id="86" w:name="Discharge_of_Statutory_Functions"/>
      <w:bookmarkEnd w:id="86"/>
      <w:r w:rsidRPr="008E044A">
        <w:t>Discharge of Statutory Functions</w:t>
      </w:r>
    </w:p>
    <w:p w14:paraId="302243E0" w14:textId="5EC68E6F" w:rsidR="00C92438" w:rsidRPr="008E044A" w:rsidRDefault="00C92438" w:rsidP="00265612">
      <w:pPr>
        <w:pStyle w:val="BodyText"/>
      </w:pPr>
      <w:r w:rsidRPr="008E044A">
        <w:t xml:space="preserve">The ICB has reviewed the statutory duties and powers conferred on it by the National Health Service Act 2006 (as amended) and other associated legislative and regulations. This review was </w:t>
      </w:r>
      <w:r w:rsidR="009D13AF">
        <w:t xml:space="preserve">initially </w:t>
      </w:r>
      <w:r w:rsidRPr="008E044A">
        <w:t>supported by an assurance mapping exercise undertaken by the ICB’s internal auditors during January 2023 which mapped the ICB’s statutory duties against its committee structure, governance documents, policies, and procedures</w:t>
      </w:r>
      <w:r w:rsidR="008E044A">
        <w:t>.  This was followed by a</w:t>
      </w:r>
      <w:r w:rsidR="001D3922">
        <w:t xml:space="preserve">n in-depth </w:t>
      </w:r>
      <w:r w:rsidR="009E429B">
        <w:t xml:space="preserve">assignment of duties to </w:t>
      </w:r>
      <w:r w:rsidR="000101E4">
        <w:t xml:space="preserve">individuals and directorates within the ICB and a </w:t>
      </w:r>
      <w:r w:rsidR="008E044A">
        <w:t xml:space="preserve">review of the ICB’s </w:t>
      </w:r>
      <w:r w:rsidR="009D13AF">
        <w:t>corporate governance arrangements during 2023/24</w:t>
      </w:r>
      <w:r w:rsidR="002C020F">
        <w:t xml:space="preserve">. </w:t>
      </w:r>
    </w:p>
    <w:p w14:paraId="6D71A05B" w14:textId="77777777" w:rsidR="00C92438" w:rsidRPr="008E044A" w:rsidRDefault="00C92438" w:rsidP="00265612">
      <w:pPr>
        <w:pStyle w:val="BodyText"/>
      </w:pPr>
      <w:r w:rsidRPr="008E044A">
        <w:t>As a result, I can confirm that the ICB is clear about the legislative requirements associated with each of the statutory functions for which it is responsible, including any restrictions on delegation of those functions.</w:t>
      </w:r>
    </w:p>
    <w:p w14:paraId="1602790F" w14:textId="2C2E0A70" w:rsidR="00C92438" w:rsidRPr="00BF004E" w:rsidRDefault="00C92438" w:rsidP="00265612">
      <w:pPr>
        <w:pStyle w:val="BodyText"/>
      </w:pPr>
      <w:r>
        <w:t>The ICB</w:t>
      </w:r>
      <w:r w:rsidR="00597540">
        <w:t xml:space="preserve">’s </w:t>
      </w:r>
      <w:r>
        <w:t xml:space="preserve">Scheme of Reservation </w:t>
      </w:r>
      <w:r w:rsidR="003B21B4">
        <w:t xml:space="preserve">and Delegation </w:t>
      </w:r>
      <w:r w:rsidR="00C82D8A">
        <w:t xml:space="preserve">was updated in January 2024 to </w:t>
      </w:r>
      <w:r w:rsidR="00E1322C">
        <w:t>take account of</w:t>
      </w:r>
      <w:r w:rsidR="00953000">
        <w:t xml:space="preserve"> the</w:t>
      </w:r>
      <w:r w:rsidR="00E1322C">
        <w:t xml:space="preserve"> introduction of the Provider Selection Regime, </w:t>
      </w:r>
      <w:r w:rsidR="008212C4">
        <w:t xml:space="preserve">the ICB’s </w:t>
      </w:r>
      <w:r w:rsidR="00D53A1F">
        <w:t>organisational restructure</w:t>
      </w:r>
      <w:r w:rsidR="008212C4">
        <w:t xml:space="preserve"> and review of </w:t>
      </w:r>
      <w:r w:rsidR="009829AA">
        <w:t xml:space="preserve">its </w:t>
      </w:r>
      <w:r w:rsidR="008212C4">
        <w:t xml:space="preserve">governance arrangements, and </w:t>
      </w:r>
      <w:r w:rsidR="00C930C8">
        <w:t xml:space="preserve">changes required in preparation for </w:t>
      </w:r>
      <w:r w:rsidR="00662DD9">
        <w:t xml:space="preserve">the </w:t>
      </w:r>
      <w:r w:rsidR="00C930C8">
        <w:t xml:space="preserve">delegation of </w:t>
      </w:r>
      <w:r>
        <w:t>S</w:t>
      </w:r>
      <w:r w:rsidR="00C930C8">
        <w:t xml:space="preserve">pecialised </w:t>
      </w:r>
      <w:r w:rsidDel="00C930C8">
        <w:t>S</w:t>
      </w:r>
      <w:r w:rsidR="00C930C8">
        <w:t xml:space="preserve">ervices </w:t>
      </w:r>
      <w:r w:rsidR="000101E4">
        <w:t xml:space="preserve">by </w:t>
      </w:r>
      <w:r w:rsidR="00F46054">
        <w:t>NHSE</w:t>
      </w:r>
      <w:r w:rsidR="000101E4">
        <w:t xml:space="preserve"> from April 2024</w:t>
      </w:r>
      <w:r w:rsidR="00C930C8">
        <w:t xml:space="preserve">. </w:t>
      </w:r>
    </w:p>
    <w:p w14:paraId="08D06C48" w14:textId="77777777" w:rsidR="00C92438" w:rsidRPr="007D72FF" w:rsidRDefault="00C92438" w:rsidP="00C92438">
      <w:pPr>
        <w:pStyle w:val="Heading4"/>
        <w:kinsoku w:val="0"/>
        <w:overflowPunct w:val="0"/>
      </w:pPr>
      <w:bookmarkStart w:id="87" w:name="Risk_management_arrangements_and_effecti"/>
      <w:bookmarkEnd w:id="87"/>
      <w:r w:rsidRPr="007D72FF">
        <w:t>Risk management arrangements and effectiveness</w:t>
      </w:r>
    </w:p>
    <w:p w14:paraId="51C6E90E" w14:textId="77777777" w:rsidR="00C92438" w:rsidRPr="007D72FF" w:rsidRDefault="00C92438" w:rsidP="00287BE2">
      <w:pPr>
        <w:pStyle w:val="BodyText"/>
      </w:pPr>
      <w:r w:rsidRPr="007D72FF">
        <w:t>The ICB is committed to ensuring that risk management forms an integral part of its philosophy, practices, and business plans, rather than viewed or practised as a separate programme, and that responsibility for implementation is accepted at all levels of the ICB.</w:t>
      </w:r>
    </w:p>
    <w:p w14:paraId="0BFBC4F3" w14:textId="762F1E27" w:rsidR="00C92438" w:rsidRPr="007D72FF" w:rsidRDefault="00C92438" w:rsidP="00287BE2">
      <w:pPr>
        <w:pStyle w:val="BodyText"/>
      </w:pPr>
      <w:r w:rsidRPr="007D72FF">
        <w:t>The ICB’s Risk Management Policy</w:t>
      </w:r>
      <w:r>
        <w:t xml:space="preserve"> </w:t>
      </w:r>
      <w:r w:rsidRPr="007D72FF">
        <w:t>encompasses both clinical and non-clinical risks and the ICB’s risk appetite statement, which assists managers to identify when risk levels are tolerab</w:t>
      </w:r>
      <w:r w:rsidRPr="002E2A4A">
        <w:t>le or where further action is required to reduce risk ratings to an acceptable level</w:t>
      </w:r>
      <w:r w:rsidR="001C67E3" w:rsidRPr="002E2A4A">
        <w:t xml:space="preserve">. </w:t>
      </w:r>
      <w:r w:rsidR="00AA29B5" w:rsidRPr="002E2A4A">
        <w:t xml:space="preserve">  The policy will be reviewed during early 2024/25 </w:t>
      </w:r>
      <w:r w:rsidR="003E47F6" w:rsidRPr="002E2A4A">
        <w:t xml:space="preserve">to take account of new operational arrangements to manage </w:t>
      </w:r>
      <w:r w:rsidR="004A2340" w:rsidRPr="002E2A4A">
        <w:t>risks</w:t>
      </w:r>
      <w:r w:rsidR="006633E1" w:rsidRPr="002E2A4A">
        <w:t xml:space="preserve"> and provide assurance to</w:t>
      </w:r>
      <w:r w:rsidRPr="002E2A4A">
        <w:t xml:space="preserve"> the </w:t>
      </w:r>
      <w:r w:rsidR="006633E1" w:rsidRPr="002E2A4A">
        <w:t>Board</w:t>
      </w:r>
      <w:r w:rsidR="005B0875" w:rsidRPr="002E2A4A">
        <w:t>.  The Boar</w:t>
      </w:r>
      <w:r w:rsidR="00816644" w:rsidRPr="002E2A4A">
        <w:t xml:space="preserve">d seminar meeting in April </w:t>
      </w:r>
      <w:r w:rsidR="002E2A4A" w:rsidRPr="002E2A4A">
        <w:t xml:space="preserve">2024 </w:t>
      </w:r>
      <w:r w:rsidR="00816644" w:rsidRPr="002E2A4A">
        <w:t>will also focus on the Board defining the</w:t>
      </w:r>
      <w:r w:rsidR="00A66C98" w:rsidRPr="002E2A4A">
        <w:t xml:space="preserve"> ICB’s risk appetite</w:t>
      </w:r>
      <w:r w:rsidR="000D0C51" w:rsidRPr="002E2A4A">
        <w:t xml:space="preserve"> and strategic objectives</w:t>
      </w:r>
      <w:r w:rsidR="00816644" w:rsidRPr="002E2A4A">
        <w:t xml:space="preserve"> for the coming year</w:t>
      </w:r>
      <w:r w:rsidR="003E47F6" w:rsidRPr="002E2A4A">
        <w:t>.</w:t>
      </w:r>
      <w:r w:rsidR="003E47F6" w:rsidRPr="000D0C51">
        <w:rPr>
          <w:color w:val="FF0000"/>
        </w:rPr>
        <w:t xml:space="preserve"> </w:t>
      </w:r>
      <w:r w:rsidR="002228AA" w:rsidRPr="000D0C51">
        <w:rPr>
          <w:color w:val="FF0000"/>
        </w:rPr>
        <w:t xml:space="preserve"> </w:t>
      </w:r>
    </w:p>
    <w:p w14:paraId="493A7B99" w14:textId="77777777" w:rsidR="00C92438" w:rsidRPr="007D72FF" w:rsidRDefault="00C92438" w:rsidP="00287BE2">
      <w:pPr>
        <w:pStyle w:val="BodyText"/>
      </w:pPr>
      <w:r w:rsidRPr="007D72FF">
        <w:lastRenderedPageBreak/>
        <w:t>The Policy is based on the Australia/New Zealand risk management model and sets out the risk management system, supporting processes and reporting arrangements which aim to protect patients, the public, staff and the ICB’s assets and reputation.</w:t>
      </w:r>
    </w:p>
    <w:p w14:paraId="371AE203" w14:textId="77777777" w:rsidR="00C92438" w:rsidRPr="007D72FF" w:rsidRDefault="00C92438" w:rsidP="00287BE2">
      <w:pPr>
        <w:pStyle w:val="BodyText"/>
      </w:pPr>
      <w:r w:rsidRPr="007D72FF">
        <w:t>Risks on the ICB’s risk register are mapped against objectives set out within the Mid and South Essex Integrated Care Strategy 2023–2033 as well as directorates and responsible committees.</w:t>
      </w:r>
    </w:p>
    <w:p w14:paraId="20C466D8" w14:textId="0DC442D3" w:rsidR="00C92438" w:rsidRPr="007D72FF" w:rsidRDefault="00C92438" w:rsidP="00287BE2">
      <w:pPr>
        <w:pStyle w:val="BodyText"/>
      </w:pPr>
      <w:r w:rsidRPr="007D72FF">
        <w:t>The ICB has identified its top strategic areas of risk which are monitored via the ICB’s Board Assurance Framework (BAF). As of 31 March 202</w:t>
      </w:r>
      <w:r w:rsidR="00AF70F5">
        <w:t>4</w:t>
      </w:r>
      <w:r w:rsidRPr="007D72FF">
        <w:t>, these risk areas were:</w:t>
      </w:r>
    </w:p>
    <w:p w14:paraId="0366A13D" w14:textId="338DE3EC" w:rsidR="00C92438" w:rsidRPr="00F00305" w:rsidRDefault="00FA2EB1" w:rsidP="00F00305">
      <w:pPr>
        <w:pStyle w:val="BodyText"/>
        <w:numPr>
          <w:ilvl w:val="0"/>
          <w:numId w:val="39"/>
        </w:numPr>
        <w:rPr>
          <w:szCs w:val="24"/>
        </w:rPr>
      </w:pPr>
      <w:r w:rsidRPr="00F00305">
        <w:rPr>
          <w:b/>
          <w:bCs/>
          <w:szCs w:val="24"/>
        </w:rPr>
        <w:t>W</w:t>
      </w:r>
      <w:r w:rsidR="00C92438" w:rsidRPr="00F00305">
        <w:rPr>
          <w:b/>
          <w:bCs/>
          <w:szCs w:val="24"/>
        </w:rPr>
        <w:t>orkforce</w:t>
      </w:r>
      <w:r w:rsidRPr="00F00305">
        <w:rPr>
          <w:szCs w:val="24"/>
        </w:rPr>
        <w:t xml:space="preserve"> – risks associated with the ICB and partner organisation</w:t>
      </w:r>
      <w:r w:rsidR="007E7FB2" w:rsidRPr="00F00305">
        <w:rPr>
          <w:szCs w:val="24"/>
        </w:rPr>
        <w:t>s not taking effective action to improve recruitment and retention of permanent staff to reduce reliance on bank / agency staff; and not taking effective action to ensure there is a reliable pipeline of staff to fill future vacancies.</w:t>
      </w:r>
    </w:p>
    <w:p w14:paraId="13445517" w14:textId="66E7AF39" w:rsidR="00C92438" w:rsidRPr="00F00305" w:rsidRDefault="00EA0BCF" w:rsidP="00F00305">
      <w:pPr>
        <w:pStyle w:val="BodyText"/>
        <w:numPr>
          <w:ilvl w:val="0"/>
          <w:numId w:val="39"/>
        </w:numPr>
        <w:rPr>
          <w:szCs w:val="24"/>
        </w:rPr>
      </w:pPr>
      <w:r w:rsidRPr="00F00305">
        <w:rPr>
          <w:b/>
          <w:bCs/>
          <w:szCs w:val="24"/>
        </w:rPr>
        <w:t>P</w:t>
      </w:r>
      <w:r w:rsidR="00C92438" w:rsidRPr="00F00305">
        <w:rPr>
          <w:b/>
          <w:bCs/>
          <w:szCs w:val="24"/>
        </w:rPr>
        <w:t xml:space="preserve">rimary </w:t>
      </w:r>
      <w:r w:rsidR="4A734ECE" w:rsidRPr="00F00305">
        <w:rPr>
          <w:b/>
          <w:bCs/>
          <w:szCs w:val="24"/>
        </w:rPr>
        <w:t>c</w:t>
      </w:r>
      <w:r w:rsidR="00C92438" w:rsidRPr="00F00305">
        <w:rPr>
          <w:b/>
          <w:bCs/>
          <w:szCs w:val="24"/>
        </w:rPr>
        <w:t>are</w:t>
      </w:r>
      <w:r w:rsidR="004B45B0" w:rsidRPr="00F00305">
        <w:rPr>
          <w:szCs w:val="24"/>
        </w:rPr>
        <w:t xml:space="preserve"> – </w:t>
      </w:r>
      <w:r w:rsidRPr="00F00305">
        <w:rPr>
          <w:szCs w:val="24"/>
        </w:rPr>
        <w:t>because of</w:t>
      </w:r>
      <w:r w:rsidR="004B45B0" w:rsidRPr="00F00305">
        <w:rPr>
          <w:szCs w:val="24"/>
        </w:rPr>
        <w:t xml:space="preserve"> workforce pressures and demand outstripping capacity, patient experience and pathways </w:t>
      </w:r>
      <w:r w:rsidRPr="00F00305">
        <w:rPr>
          <w:szCs w:val="24"/>
        </w:rPr>
        <w:t xml:space="preserve">potentially </w:t>
      </w:r>
      <w:r w:rsidR="004B45B0" w:rsidRPr="00F00305">
        <w:rPr>
          <w:szCs w:val="24"/>
        </w:rPr>
        <w:t>may not adequately meet the needs of our residents.</w:t>
      </w:r>
    </w:p>
    <w:p w14:paraId="533AD333" w14:textId="457C9584" w:rsidR="00C92438" w:rsidRPr="00F00305" w:rsidRDefault="00EA0BCF" w:rsidP="00F00305">
      <w:pPr>
        <w:pStyle w:val="BodyText"/>
        <w:numPr>
          <w:ilvl w:val="0"/>
          <w:numId w:val="39"/>
        </w:numPr>
        <w:rPr>
          <w:szCs w:val="24"/>
        </w:rPr>
      </w:pPr>
      <w:r w:rsidRPr="00F00305">
        <w:rPr>
          <w:b/>
          <w:bCs/>
          <w:szCs w:val="24"/>
        </w:rPr>
        <w:t>C</w:t>
      </w:r>
      <w:r w:rsidR="00C92438" w:rsidRPr="00F00305">
        <w:rPr>
          <w:b/>
          <w:bCs/>
          <w:szCs w:val="24"/>
        </w:rPr>
        <w:t>apital</w:t>
      </w:r>
      <w:r w:rsidRPr="00F00305">
        <w:rPr>
          <w:b/>
          <w:bCs/>
          <w:szCs w:val="24"/>
        </w:rPr>
        <w:t xml:space="preserve"> </w:t>
      </w:r>
      <w:r w:rsidRPr="00F00305">
        <w:rPr>
          <w:szCs w:val="24"/>
        </w:rPr>
        <w:t>– insufficient capital to support all system needs, necessitates prioritisation</w:t>
      </w:r>
      <w:r w:rsidR="00CD0ECA" w:rsidRPr="00F00305">
        <w:rPr>
          <w:szCs w:val="24"/>
        </w:rPr>
        <w:t>,</w:t>
      </w:r>
      <w:r w:rsidRPr="00F00305">
        <w:rPr>
          <w:szCs w:val="24"/>
        </w:rPr>
        <w:t xml:space="preserve"> and reduces our ability to invest in new opportunities, for transformational impact.</w:t>
      </w:r>
    </w:p>
    <w:p w14:paraId="12C51C01" w14:textId="613A113F" w:rsidR="00C92438" w:rsidRPr="00F00305" w:rsidRDefault="003B5916" w:rsidP="00F00305">
      <w:pPr>
        <w:pStyle w:val="BodyText"/>
        <w:numPr>
          <w:ilvl w:val="0"/>
          <w:numId w:val="39"/>
        </w:numPr>
        <w:rPr>
          <w:szCs w:val="24"/>
        </w:rPr>
      </w:pPr>
      <w:r w:rsidRPr="00F00305">
        <w:rPr>
          <w:b/>
          <w:bCs/>
          <w:szCs w:val="24"/>
        </w:rPr>
        <w:t>H</w:t>
      </w:r>
      <w:r w:rsidR="00C92438" w:rsidRPr="00F00305">
        <w:rPr>
          <w:b/>
          <w:bCs/>
          <w:szCs w:val="24"/>
        </w:rPr>
        <w:t xml:space="preserve">ospital </w:t>
      </w:r>
      <w:r w:rsidR="7FAF40A0" w:rsidRPr="00F00305">
        <w:rPr>
          <w:b/>
          <w:bCs/>
          <w:szCs w:val="24"/>
        </w:rPr>
        <w:t>f</w:t>
      </w:r>
      <w:r w:rsidR="00C92438" w:rsidRPr="00F00305">
        <w:rPr>
          <w:b/>
          <w:bCs/>
          <w:szCs w:val="24"/>
        </w:rPr>
        <w:t>low</w:t>
      </w:r>
      <w:r w:rsidR="00123347" w:rsidRPr="00F00305">
        <w:rPr>
          <w:szCs w:val="24"/>
        </w:rPr>
        <w:t xml:space="preserve"> – risk that the ICB and provider organisations are unable to effectively manage / coordinate the capacity across the system and</w:t>
      </w:r>
      <w:r w:rsidR="00CD0ECA" w:rsidRPr="00F00305">
        <w:rPr>
          <w:szCs w:val="24"/>
        </w:rPr>
        <w:t xml:space="preserve"> consequently the inability to deliver effective care to patients.</w:t>
      </w:r>
    </w:p>
    <w:p w14:paraId="2ED008FD" w14:textId="0BB47B2D" w:rsidR="00C92438" w:rsidRPr="00F00305" w:rsidRDefault="00CD0ECA" w:rsidP="00F00305">
      <w:pPr>
        <w:pStyle w:val="BodyText"/>
        <w:numPr>
          <w:ilvl w:val="0"/>
          <w:numId w:val="39"/>
        </w:numPr>
        <w:rPr>
          <w:szCs w:val="24"/>
        </w:rPr>
      </w:pPr>
      <w:r w:rsidRPr="00F00305">
        <w:rPr>
          <w:b/>
          <w:bCs/>
          <w:szCs w:val="24"/>
        </w:rPr>
        <w:t>D</w:t>
      </w:r>
      <w:r w:rsidR="00C92438" w:rsidRPr="00F00305">
        <w:rPr>
          <w:b/>
          <w:bCs/>
          <w:szCs w:val="24"/>
        </w:rPr>
        <w:t>iagnostics,</w:t>
      </w:r>
      <w:r w:rsidR="1420B34B" w:rsidRPr="00F00305">
        <w:rPr>
          <w:b/>
          <w:bCs/>
          <w:szCs w:val="24"/>
        </w:rPr>
        <w:t xml:space="preserve"> </w:t>
      </w:r>
      <w:r w:rsidR="57DB972E" w:rsidRPr="00F00305">
        <w:rPr>
          <w:b/>
          <w:bCs/>
          <w:szCs w:val="24"/>
        </w:rPr>
        <w:t>e</w:t>
      </w:r>
      <w:r w:rsidR="00C92438" w:rsidRPr="00F00305">
        <w:rPr>
          <w:b/>
          <w:bCs/>
          <w:szCs w:val="24"/>
        </w:rPr>
        <w:t xml:space="preserve">lective </w:t>
      </w:r>
      <w:r w:rsidR="00CB51ED" w:rsidRPr="00F00305">
        <w:rPr>
          <w:b/>
          <w:bCs/>
          <w:szCs w:val="24"/>
        </w:rPr>
        <w:t>c</w:t>
      </w:r>
      <w:r w:rsidR="00C92438" w:rsidRPr="00F00305">
        <w:rPr>
          <w:b/>
          <w:bCs/>
          <w:szCs w:val="24"/>
        </w:rPr>
        <w:t>are</w:t>
      </w:r>
      <w:r w:rsidR="00C6251F" w:rsidRPr="00F00305">
        <w:rPr>
          <w:b/>
          <w:bCs/>
          <w:szCs w:val="24"/>
        </w:rPr>
        <w:t>,</w:t>
      </w:r>
      <w:r w:rsidR="00C92438" w:rsidRPr="00F00305">
        <w:rPr>
          <w:b/>
          <w:bCs/>
          <w:szCs w:val="24"/>
        </w:rPr>
        <w:t xml:space="preserve"> and </w:t>
      </w:r>
      <w:r w:rsidR="0E0A3F1B" w:rsidRPr="00F00305">
        <w:rPr>
          <w:b/>
          <w:bCs/>
          <w:szCs w:val="24"/>
        </w:rPr>
        <w:t>c</w:t>
      </w:r>
      <w:r w:rsidR="00C92438" w:rsidRPr="00F00305">
        <w:rPr>
          <w:b/>
          <w:bCs/>
          <w:szCs w:val="24"/>
        </w:rPr>
        <w:t>ancer</w:t>
      </w:r>
      <w:r w:rsidR="00C6251F" w:rsidRPr="00F00305">
        <w:rPr>
          <w:b/>
          <w:bCs/>
          <w:szCs w:val="24"/>
        </w:rPr>
        <w:t xml:space="preserve"> </w:t>
      </w:r>
      <w:r w:rsidR="5D182B1C" w:rsidRPr="00F00305">
        <w:rPr>
          <w:b/>
          <w:bCs/>
          <w:szCs w:val="24"/>
        </w:rPr>
        <w:t>p</w:t>
      </w:r>
      <w:r w:rsidR="00C92438" w:rsidRPr="00F00305">
        <w:rPr>
          <w:b/>
          <w:bCs/>
          <w:szCs w:val="24"/>
        </w:rPr>
        <w:t>erformance</w:t>
      </w:r>
      <w:r w:rsidRPr="00F00305">
        <w:rPr>
          <w:szCs w:val="24"/>
        </w:rPr>
        <w:t xml:space="preserve"> </w:t>
      </w:r>
      <w:r w:rsidR="00074422" w:rsidRPr="00F00305">
        <w:rPr>
          <w:szCs w:val="24"/>
        </w:rPr>
        <w:t>–</w:t>
      </w:r>
      <w:r w:rsidRPr="00F00305">
        <w:rPr>
          <w:szCs w:val="24"/>
        </w:rPr>
        <w:t xml:space="preserve"> </w:t>
      </w:r>
      <w:r w:rsidR="00074422" w:rsidRPr="00F00305">
        <w:rPr>
          <w:szCs w:val="24"/>
        </w:rPr>
        <w:t>risk of not meeting relevant NHS constitutional performance standards.</w:t>
      </w:r>
    </w:p>
    <w:p w14:paraId="7DF59558" w14:textId="25E6264C" w:rsidR="00C92438" w:rsidRPr="00F00305" w:rsidRDefault="00074422" w:rsidP="00F00305">
      <w:pPr>
        <w:pStyle w:val="BodyText"/>
        <w:numPr>
          <w:ilvl w:val="0"/>
          <w:numId w:val="39"/>
        </w:numPr>
        <w:rPr>
          <w:szCs w:val="24"/>
        </w:rPr>
      </w:pPr>
      <w:r w:rsidRPr="00F00305">
        <w:rPr>
          <w:b/>
          <w:bCs/>
          <w:szCs w:val="24"/>
        </w:rPr>
        <w:t>S</w:t>
      </w:r>
      <w:r w:rsidR="00C92438" w:rsidRPr="00F00305">
        <w:rPr>
          <w:b/>
          <w:bCs/>
          <w:szCs w:val="24"/>
        </w:rPr>
        <w:t xml:space="preserve">ystem </w:t>
      </w:r>
      <w:r w:rsidR="665517ED" w:rsidRPr="00F00305">
        <w:rPr>
          <w:b/>
          <w:bCs/>
          <w:szCs w:val="24"/>
        </w:rPr>
        <w:t>f</w:t>
      </w:r>
      <w:r w:rsidR="00C92438" w:rsidRPr="00F00305">
        <w:rPr>
          <w:b/>
          <w:bCs/>
          <w:szCs w:val="24"/>
        </w:rPr>
        <w:t xml:space="preserve">inancial </w:t>
      </w:r>
      <w:r w:rsidR="3DD76BFE" w:rsidRPr="00F00305">
        <w:rPr>
          <w:b/>
          <w:bCs/>
          <w:szCs w:val="24"/>
        </w:rPr>
        <w:t>p</w:t>
      </w:r>
      <w:r w:rsidR="00C92438" w:rsidRPr="00F00305">
        <w:rPr>
          <w:b/>
          <w:bCs/>
          <w:szCs w:val="24"/>
        </w:rPr>
        <w:t>erformance</w:t>
      </w:r>
      <w:r w:rsidRPr="00F00305">
        <w:rPr>
          <w:szCs w:val="24"/>
        </w:rPr>
        <w:t xml:space="preserve"> – the system is financially challenged.  Failure to deliver the financial plan could place increase pressure on the whole system impacting on our ability to deliver our intended outcomes.</w:t>
      </w:r>
    </w:p>
    <w:p w14:paraId="516F3D17" w14:textId="0957E6E3" w:rsidR="00C92438" w:rsidRPr="00F00305" w:rsidRDefault="00E1701E" w:rsidP="00F00305">
      <w:pPr>
        <w:pStyle w:val="BodyText"/>
        <w:numPr>
          <w:ilvl w:val="0"/>
          <w:numId w:val="39"/>
        </w:numPr>
        <w:rPr>
          <w:szCs w:val="24"/>
        </w:rPr>
      </w:pPr>
      <w:r w:rsidRPr="00F00305">
        <w:rPr>
          <w:b/>
          <w:bCs/>
          <w:szCs w:val="24"/>
        </w:rPr>
        <w:t>H</w:t>
      </w:r>
      <w:r w:rsidR="00C92438" w:rsidRPr="00F00305">
        <w:rPr>
          <w:b/>
          <w:bCs/>
          <w:szCs w:val="24"/>
        </w:rPr>
        <w:t xml:space="preserve">ealth </w:t>
      </w:r>
      <w:r w:rsidR="6CBBC62F" w:rsidRPr="00F00305">
        <w:rPr>
          <w:b/>
          <w:bCs/>
          <w:szCs w:val="24"/>
        </w:rPr>
        <w:t>i</w:t>
      </w:r>
      <w:r w:rsidR="00C92438" w:rsidRPr="00F00305">
        <w:rPr>
          <w:b/>
          <w:bCs/>
          <w:szCs w:val="24"/>
        </w:rPr>
        <w:t>nequalities</w:t>
      </w:r>
      <w:r w:rsidR="00074422" w:rsidRPr="00F00305">
        <w:rPr>
          <w:b/>
          <w:bCs/>
          <w:szCs w:val="24"/>
        </w:rPr>
        <w:t xml:space="preserve"> </w:t>
      </w:r>
      <w:r w:rsidR="00AF57A5" w:rsidRPr="003D4FEF">
        <w:rPr>
          <w:szCs w:val="24"/>
        </w:rPr>
        <w:t>–</w:t>
      </w:r>
      <w:r w:rsidR="00074422" w:rsidRPr="00F00305">
        <w:rPr>
          <w:szCs w:val="24"/>
        </w:rPr>
        <w:t xml:space="preserve"> </w:t>
      </w:r>
      <w:r w:rsidR="00AF57A5" w:rsidRPr="00F00305">
        <w:rPr>
          <w:szCs w:val="24"/>
        </w:rPr>
        <w:t>identification of groups at most risk of experiencing health inequalities and taking action to reduce these by improving access and outcomes.</w:t>
      </w:r>
    </w:p>
    <w:p w14:paraId="33877964" w14:textId="0C414B90" w:rsidR="00C92438" w:rsidRPr="00F00305" w:rsidRDefault="00A2175C" w:rsidP="00F00305">
      <w:pPr>
        <w:pStyle w:val="BodyText"/>
        <w:numPr>
          <w:ilvl w:val="0"/>
          <w:numId w:val="39"/>
        </w:numPr>
        <w:rPr>
          <w:szCs w:val="24"/>
        </w:rPr>
      </w:pPr>
      <w:r w:rsidRPr="00F00305">
        <w:rPr>
          <w:b/>
          <w:bCs/>
          <w:szCs w:val="24"/>
        </w:rPr>
        <w:t>M</w:t>
      </w:r>
      <w:r w:rsidR="00C92438" w:rsidRPr="00F00305">
        <w:rPr>
          <w:b/>
          <w:bCs/>
          <w:szCs w:val="24"/>
        </w:rPr>
        <w:t>ental</w:t>
      </w:r>
      <w:r w:rsidR="00C6251F" w:rsidRPr="00F00305">
        <w:rPr>
          <w:b/>
          <w:bCs/>
          <w:szCs w:val="24"/>
        </w:rPr>
        <w:t xml:space="preserve"> </w:t>
      </w:r>
      <w:r w:rsidR="74E9997B" w:rsidRPr="00F00305">
        <w:rPr>
          <w:b/>
          <w:bCs/>
          <w:szCs w:val="24"/>
        </w:rPr>
        <w:t>h</w:t>
      </w:r>
      <w:r w:rsidR="00C92438" w:rsidRPr="00F00305">
        <w:rPr>
          <w:b/>
          <w:bCs/>
          <w:szCs w:val="24"/>
        </w:rPr>
        <w:t>ealth</w:t>
      </w:r>
      <w:r w:rsidR="00C6251F" w:rsidRPr="00F00305">
        <w:rPr>
          <w:b/>
          <w:bCs/>
          <w:szCs w:val="24"/>
        </w:rPr>
        <w:t xml:space="preserve"> </w:t>
      </w:r>
      <w:r w:rsidR="4F57AD71" w:rsidRPr="00F00305">
        <w:rPr>
          <w:b/>
          <w:bCs/>
          <w:szCs w:val="24"/>
        </w:rPr>
        <w:t>s</w:t>
      </w:r>
      <w:r w:rsidR="00C92438" w:rsidRPr="00F00305">
        <w:rPr>
          <w:b/>
          <w:bCs/>
          <w:szCs w:val="24"/>
        </w:rPr>
        <w:t xml:space="preserve">ervices </w:t>
      </w:r>
      <w:r w:rsidR="119B8134" w:rsidRPr="00F00305">
        <w:rPr>
          <w:b/>
          <w:bCs/>
          <w:szCs w:val="24"/>
        </w:rPr>
        <w:t>q</w:t>
      </w:r>
      <w:r w:rsidR="00C92438" w:rsidRPr="00F00305">
        <w:rPr>
          <w:b/>
          <w:bCs/>
          <w:szCs w:val="24"/>
        </w:rPr>
        <w:t xml:space="preserve">uality </w:t>
      </w:r>
      <w:r w:rsidR="572B121E" w:rsidRPr="00F00305">
        <w:rPr>
          <w:b/>
          <w:bCs/>
          <w:szCs w:val="24"/>
        </w:rPr>
        <w:t>a</w:t>
      </w:r>
      <w:r w:rsidR="00C92438" w:rsidRPr="00F00305">
        <w:rPr>
          <w:b/>
          <w:bCs/>
          <w:szCs w:val="24"/>
        </w:rPr>
        <w:t>ssurance</w:t>
      </w:r>
      <w:r w:rsidRPr="00F00305">
        <w:rPr>
          <w:szCs w:val="24"/>
        </w:rPr>
        <w:t xml:space="preserve"> – services identified as experiencing significant issues impacting on patient safety, quality and access which could result in poor patient outcomes.</w:t>
      </w:r>
    </w:p>
    <w:p w14:paraId="566AA502" w14:textId="6A554E4E" w:rsidR="00C92438" w:rsidRPr="001D084B" w:rsidRDefault="00C92438" w:rsidP="001D084B">
      <w:pPr>
        <w:pStyle w:val="BodyText"/>
      </w:pPr>
      <w:r w:rsidRPr="00AF70F5">
        <w:t>The full BAF is reviewed by the Audit Committee and by the ICB Board at its meetings, which are held in public. Committees also maintain oversight of risks on the BAF</w:t>
      </w:r>
      <w:r w:rsidR="006E6B63">
        <w:t xml:space="preserve"> that </w:t>
      </w:r>
      <w:r w:rsidR="00980EBE">
        <w:t>link to their terms of reference</w:t>
      </w:r>
      <w:r w:rsidRPr="00AF70F5">
        <w:t>.</w:t>
      </w:r>
    </w:p>
    <w:p w14:paraId="54492101" w14:textId="16EA946A" w:rsidR="00C92438" w:rsidRPr="00052F1F" w:rsidRDefault="00C92438" w:rsidP="00C92438">
      <w:pPr>
        <w:pStyle w:val="Heading4"/>
        <w:kinsoku w:val="0"/>
        <w:overflowPunct w:val="0"/>
      </w:pPr>
      <w:bookmarkStart w:id="88" w:name="Capacity_to_Handle_Risk"/>
      <w:bookmarkEnd w:id="88"/>
      <w:r>
        <w:t xml:space="preserve">Capacity to </w:t>
      </w:r>
      <w:r w:rsidR="3C72242A">
        <w:t>h</w:t>
      </w:r>
      <w:r>
        <w:t xml:space="preserve">andle </w:t>
      </w:r>
      <w:r w:rsidR="1B529FD2">
        <w:t>r</w:t>
      </w:r>
      <w:r>
        <w:t>isk</w:t>
      </w:r>
    </w:p>
    <w:p w14:paraId="2A7538F2" w14:textId="13435E77" w:rsidR="00C92438" w:rsidRPr="00052F1F" w:rsidRDefault="00C92438" w:rsidP="001D084B">
      <w:pPr>
        <w:pStyle w:val="BodyText"/>
      </w:pPr>
      <w:r w:rsidRPr="00052F1F">
        <w:t>During 202</w:t>
      </w:r>
      <w:r w:rsidR="00AC3A4C" w:rsidRPr="00052F1F">
        <w:t>3</w:t>
      </w:r>
      <w:r w:rsidRPr="00052F1F">
        <w:t>/2</w:t>
      </w:r>
      <w:r w:rsidR="00AC3A4C" w:rsidRPr="00052F1F">
        <w:t>4</w:t>
      </w:r>
      <w:r w:rsidRPr="00052F1F">
        <w:t xml:space="preserve"> the ICB had the following arrangements in place:</w:t>
      </w:r>
    </w:p>
    <w:p w14:paraId="6E45E391" w14:textId="404C6320" w:rsidR="00C92438" w:rsidRPr="00F00305" w:rsidRDefault="00C92438" w:rsidP="00F00305">
      <w:pPr>
        <w:pStyle w:val="BodyText"/>
        <w:numPr>
          <w:ilvl w:val="0"/>
          <w:numId w:val="39"/>
        </w:numPr>
        <w:rPr>
          <w:szCs w:val="24"/>
        </w:rPr>
      </w:pPr>
      <w:r w:rsidRPr="00F00305">
        <w:rPr>
          <w:szCs w:val="24"/>
        </w:rPr>
        <w:t xml:space="preserve">Clear ownership of risks, with responsible </w:t>
      </w:r>
      <w:r w:rsidR="374263D2" w:rsidRPr="00F00305">
        <w:rPr>
          <w:szCs w:val="24"/>
        </w:rPr>
        <w:t>d</w:t>
      </w:r>
      <w:r w:rsidRPr="00F00305">
        <w:rPr>
          <w:szCs w:val="24"/>
        </w:rPr>
        <w:t>irectors and lead officers identified, with escalation arrangements in place to the Board.</w:t>
      </w:r>
    </w:p>
    <w:p w14:paraId="0A383088" w14:textId="77777777" w:rsidR="00C92438" w:rsidRPr="00F00305" w:rsidRDefault="00C92438" w:rsidP="00F00305">
      <w:pPr>
        <w:pStyle w:val="BodyText"/>
        <w:numPr>
          <w:ilvl w:val="0"/>
          <w:numId w:val="39"/>
        </w:numPr>
        <w:rPr>
          <w:szCs w:val="24"/>
        </w:rPr>
      </w:pPr>
      <w:r w:rsidRPr="00F00305">
        <w:rPr>
          <w:szCs w:val="24"/>
        </w:rPr>
        <w:t>A Board Assurance Framework within which the latest updates from lead officers were recorded and reported to relevant committees and the Board.</w:t>
      </w:r>
    </w:p>
    <w:p w14:paraId="28AA98D1" w14:textId="77777777" w:rsidR="00C92438" w:rsidRPr="00F00305" w:rsidRDefault="00C92438" w:rsidP="00F00305">
      <w:pPr>
        <w:pStyle w:val="BodyText"/>
        <w:numPr>
          <w:ilvl w:val="0"/>
          <w:numId w:val="39"/>
        </w:numPr>
        <w:rPr>
          <w:szCs w:val="24"/>
        </w:rPr>
      </w:pPr>
      <w:r w:rsidRPr="00F00305">
        <w:rPr>
          <w:szCs w:val="24"/>
        </w:rPr>
        <w:lastRenderedPageBreak/>
        <w:t>Recording and investigation processes for incidents, including identification of learning.</w:t>
      </w:r>
    </w:p>
    <w:p w14:paraId="33B54160" w14:textId="77777777" w:rsidR="00C92438" w:rsidRPr="00F00305" w:rsidRDefault="00C92438" w:rsidP="00F00305">
      <w:pPr>
        <w:pStyle w:val="BodyText"/>
        <w:numPr>
          <w:ilvl w:val="0"/>
          <w:numId w:val="39"/>
        </w:numPr>
        <w:rPr>
          <w:szCs w:val="24"/>
        </w:rPr>
      </w:pPr>
      <w:r w:rsidRPr="00F00305">
        <w:rPr>
          <w:szCs w:val="24"/>
        </w:rPr>
        <w:t>Triangulation of learning from incidents, complaints, and claims (should they arise) as a standing item on the agenda of the Quality Committee.</w:t>
      </w:r>
    </w:p>
    <w:p w14:paraId="4B99C33C" w14:textId="77777777" w:rsidR="00C92438" w:rsidRPr="00F00305" w:rsidRDefault="00C92438" w:rsidP="00F00305">
      <w:pPr>
        <w:pStyle w:val="BodyText"/>
        <w:numPr>
          <w:ilvl w:val="0"/>
          <w:numId w:val="39"/>
        </w:numPr>
        <w:rPr>
          <w:szCs w:val="24"/>
        </w:rPr>
      </w:pPr>
      <w:r w:rsidRPr="00F00305">
        <w:rPr>
          <w:szCs w:val="24"/>
        </w:rPr>
        <w:t>Monitoring of completion of Equality and Health Inequality Impact Assessments, Quality Impact Assessments and Privacy Impact Assessments.</w:t>
      </w:r>
    </w:p>
    <w:p w14:paraId="64E3B9F3" w14:textId="77777777" w:rsidR="00C92438" w:rsidRPr="00F00305" w:rsidRDefault="00C92438" w:rsidP="00F00305">
      <w:pPr>
        <w:pStyle w:val="BodyText"/>
        <w:numPr>
          <w:ilvl w:val="0"/>
          <w:numId w:val="39"/>
        </w:numPr>
        <w:rPr>
          <w:szCs w:val="24"/>
        </w:rPr>
      </w:pPr>
      <w:r w:rsidRPr="00F00305">
        <w:rPr>
          <w:szCs w:val="24"/>
        </w:rPr>
        <w:t>Regular review of anti-fraud, bribery, and security arrangements by the Audit Committee.</w:t>
      </w:r>
    </w:p>
    <w:p w14:paraId="0F61815D" w14:textId="37394EDD" w:rsidR="00C92438" w:rsidRPr="00F00305" w:rsidRDefault="00C92438" w:rsidP="00F00305">
      <w:pPr>
        <w:pStyle w:val="BodyText"/>
        <w:numPr>
          <w:ilvl w:val="0"/>
          <w:numId w:val="39"/>
        </w:numPr>
        <w:rPr>
          <w:szCs w:val="24"/>
        </w:rPr>
      </w:pPr>
      <w:r w:rsidRPr="00F00305">
        <w:rPr>
          <w:szCs w:val="24"/>
        </w:rPr>
        <w:t xml:space="preserve">Emergency </w:t>
      </w:r>
      <w:r w:rsidR="5BC2FF9F" w:rsidRPr="00F00305">
        <w:rPr>
          <w:szCs w:val="24"/>
        </w:rPr>
        <w:t>p</w:t>
      </w:r>
      <w:r w:rsidRPr="00F00305">
        <w:rPr>
          <w:szCs w:val="24"/>
        </w:rPr>
        <w:t xml:space="preserve">lanning, </w:t>
      </w:r>
      <w:r w:rsidR="551435CD" w:rsidRPr="00F00305">
        <w:rPr>
          <w:szCs w:val="24"/>
        </w:rPr>
        <w:t>r</w:t>
      </w:r>
      <w:r w:rsidRPr="00F00305">
        <w:rPr>
          <w:szCs w:val="24"/>
        </w:rPr>
        <w:t xml:space="preserve">esilience and </w:t>
      </w:r>
      <w:r w:rsidR="292EFDFD" w:rsidRPr="00F00305">
        <w:rPr>
          <w:szCs w:val="24"/>
        </w:rPr>
        <w:t>r</w:t>
      </w:r>
      <w:r w:rsidRPr="00F00305">
        <w:rPr>
          <w:szCs w:val="24"/>
        </w:rPr>
        <w:t xml:space="preserve">esponse and </w:t>
      </w:r>
      <w:r w:rsidR="521EB8BB" w:rsidRPr="00F00305">
        <w:rPr>
          <w:szCs w:val="24"/>
        </w:rPr>
        <w:t>b</w:t>
      </w:r>
      <w:r w:rsidRPr="00F00305">
        <w:rPr>
          <w:szCs w:val="24"/>
        </w:rPr>
        <w:t xml:space="preserve">usiness </w:t>
      </w:r>
      <w:r w:rsidR="6C5125F3" w:rsidRPr="00F00305">
        <w:rPr>
          <w:szCs w:val="24"/>
        </w:rPr>
        <w:t>c</w:t>
      </w:r>
      <w:r w:rsidRPr="00F00305">
        <w:rPr>
          <w:szCs w:val="24"/>
        </w:rPr>
        <w:t xml:space="preserve">ontinuity </w:t>
      </w:r>
      <w:r w:rsidR="7517B52C" w:rsidRPr="00F00305">
        <w:rPr>
          <w:szCs w:val="24"/>
        </w:rPr>
        <w:t>m</w:t>
      </w:r>
      <w:r w:rsidRPr="00F00305">
        <w:rPr>
          <w:szCs w:val="24"/>
        </w:rPr>
        <w:t xml:space="preserve">anagement </w:t>
      </w:r>
      <w:r w:rsidR="49349C36" w:rsidRPr="00F00305">
        <w:rPr>
          <w:szCs w:val="24"/>
        </w:rPr>
        <w:t>p</w:t>
      </w:r>
      <w:r w:rsidRPr="00F00305">
        <w:rPr>
          <w:szCs w:val="24"/>
        </w:rPr>
        <w:t xml:space="preserve">olicies and </w:t>
      </w:r>
      <w:r w:rsidR="38760B97" w:rsidRPr="00F00305">
        <w:rPr>
          <w:szCs w:val="24"/>
        </w:rPr>
        <w:t>p</w:t>
      </w:r>
      <w:r w:rsidRPr="00F00305">
        <w:rPr>
          <w:szCs w:val="24"/>
        </w:rPr>
        <w:t>rocedures.</w:t>
      </w:r>
    </w:p>
    <w:p w14:paraId="356B4B67" w14:textId="3109B0EB" w:rsidR="00C92438" w:rsidRPr="00B9574E" w:rsidRDefault="00C92438" w:rsidP="001D084B">
      <w:pPr>
        <w:pStyle w:val="BodyText"/>
      </w:pPr>
      <w:r>
        <w:t xml:space="preserve">The ICB’s </w:t>
      </w:r>
      <w:r w:rsidR="007B4C77">
        <w:t>Freedom to Speak-Up</w:t>
      </w:r>
      <w:r>
        <w:t xml:space="preserve"> </w:t>
      </w:r>
      <w:r w:rsidR="58A02032">
        <w:t xml:space="preserve">(FTSU) </w:t>
      </w:r>
      <w:r>
        <w:t xml:space="preserve">arrangements, including the appointment of a Board level </w:t>
      </w:r>
      <w:r w:rsidR="00BC60C5">
        <w:t>FTSU</w:t>
      </w:r>
      <w:r>
        <w:t xml:space="preserve"> Guardian</w:t>
      </w:r>
      <w:r w:rsidR="00BC60C5">
        <w:t xml:space="preserve"> and FTSU Champions</w:t>
      </w:r>
      <w:r>
        <w:t>, also support risk management by providing a framework for employees to raise concerns in line with the Public Interest Disclosure Act 1998.</w:t>
      </w:r>
      <w:r w:rsidR="00FC3AB6">
        <w:t xml:space="preserve">  During 2023/24 the ICB undertook a</w:t>
      </w:r>
      <w:r w:rsidR="00D16C99">
        <w:t xml:space="preserve"> review of </w:t>
      </w:r>
      <w:r w:rsidR="007A640D">
        <w:t xml:space="preserve">the </w:t>
      </w:r>
      <w:r w:rsidR="005228E5">
        <w:t>FTSU Policy</w:t>
      </w:r>
      <w:r w:rsidR="00FC3AB6">
        <w:t xml:space="preserve">.  </w:t>
      </w:r>
    </w:p>
    <w:p w14:paraId="427FCCC8" w14:textId="062B0D06" w:rsidR="00C92438" w:rsidRPr="00BC5BB4" w:rsidRDefault="00C92438" w:rsidP="001D084B">
      <w:pPr>
        <w:pStyle w:val="BodyText"/>
      </w:pPr>
      <w:r w:rsidRPr="00BC5BB4">
        <w:t>The ICB is committed to identifying the causes of incidents, claims and complaints. The principal ob</w:t>
      </w:r>
      <w:r w:rsidRPr="00D110C3">
        <w:t xml:space="preserve">jective is to identify </w:t>
      </w:r>
      <w:r w:rsidR="00805137" w:rsidRPr="00D110C3">
        <w:t>themes and</w:t>
      </w:r>
      <w:r w:rsidRPr="00D110C3">
        <w:t xml:space="preserve"> ‘system failures,’ rather than focusing on individual failures.</w:t>
      </w:r>
      <w:r w:rsidR="00FD7F93" w:rsidRPr="00D110C3">
        <w:t xml:space="preserve">  The introduction of the Patient Safety Incident Response Framework supports this work </w:t>
      </w:r>
      <w:r w:rsidR="003263A8" w:rsidRPr="00D110C3">
        <w:t xml:space="preserve">by advocating </w:t>
      </w:r>
      <w:r w:rsidR="00105332" w:rsidRPr="00D110C3">
        <w:t xml:space="preserve">a co-ordinated and data-driven approach </w:t>
      </w:r>
      <w:r w:rsidR="00502774" w:rsidRPr="00D110C3">
        <w:t xml:space="preserve">that prioritises compassionate engagement with those affected and </w:t>
      </w:r>
      <w:r w:rsidR="00475B2E" w:rsidRPr="00D110C3">
        <w:t>prompts a significant cultural shift towards systematic patient safety management.</w:t>
      </w:r>
      <w:r w:rsidR="00475B2E">
        <w:t xml:space="preserve">  </w:t>
      </w:r>
    </w:p>
    <w:p w14:paraId="1643AD0A" w14:textId="4B548D4F" w:rsidR="00C92438" w:rsidRPr="002877EE" w:rsidRDefault="00C92438" w:rsidP="001D084B">
      <w:pPr>
        <w:pStyle w:val="BodyText"/>
      </w:pPr>
      <w:r>
        <w:t>Stakeholders, including staff, patients and the public have been involved in the risk management process, for example by ensuring that relevant staff were identified to input into any risk assessments in their function or area of work</w:t>
      </w:r>
      <w:r w:rsidR="009C1092">
        <w:t xml:space="preserve">.  </w:t>
      </w:r>
      <w:r>
        <w:t>ICB staff and contractors were made aware of agreed risk reporting procedures</w:t>
      </w:r>
      <w:r w:rsidR="00F95E81">
        <w:t xml:space="preserve"> and</w:t>
      </w:r>
      <w:r>
        <w:t xml:space="preserve"> contracts clearly stated the responsibilities of contracted personnel </w:t>
      </w:r>
      <w:r w:rsidR="00A31400">
        <w:t>about</w:t>
      </w:r>
      <w:r>
        <w:t xml:space="preserve"> risk identification, reduction, mitigation</w:t>
      </w:r>
      <w:r w:rsidR="00A31400">
        <w:t>,</w:t>
      </w:r>
      <w:r>
        <w:t xml:space="preserve"> and reporting</w:t>
      </w:r>
      <w:r w:rsidR="00F95E81">
        <w:t>.  F</w:t>
      </w:r>
      <w:r>
        <w:t xml:space="preserve">eedback on risk issues was encouraged via the ICB’s complaints and enquiries services and through its public engagement and consultation mechanisms, </w:t>
      </w:r>
      <w:r w:rsidR="2D90F341">
        <w:t>for example</w:t>
      </w:r>
      <w:r w:rsidR="001218FF">
        <w:t>,</w:t>
      </w:r>
      <w:r>
        <w:t xml:space="preserve"> patient stories at Quality Committee meetings, engagement with the public and other stakeholders on the ICB’s </w:t>
      </w:r>
      <w:r w:rsidR="00A31400">
        <w:t>plans</w:t>
      </w:r>
      <w:r>
        <w:t xml:space="preserve"> for services</w:t>
      </w:r>
      <w:r w:rsidR="00A4764F">
        <w:t>,</w:t>
      </w:r>
      <w:r w:rsidR="00A31400">
        <w:t xml:space="preserve"> </w:t>
      </w:r>
      <w:r w:rsidR="5E0582B0">
        <w:t>such as</w:t>
      </w:r>
      <w:r w:rsidR="001218FF">
        <w:t>,</w:t>
      </w:r>
      <w:r w:rsidR="00A4764F">
        <w:t xml:space="preserve"> the public consultation on </w:t>
      </w:r>
      <w:r w:rsidR="002877EE">
        <w:t>community bed</w:t>
      </w:r>
      <w:r w:rsidR="00E36D77">
        <w:t>s</w:t>
      </w:r>
      <w:r w:rsidR="002877EE">
        <w:t xml:space="preserve"> undertaken during the latter part of 2023/24. </w:t>
      </w:r>
    </w:p>
    <w:p w14:paraId="30914634" w14:textId="77777777" w:rsidR="00C92438" w:rsidRPr="003459CB" w:rsidRDefault="00C92438" w:rsidP="00277962">
      <w:pPr>
        <w:pStyle w:val="BodyText"/>
      </w:pPr>
      <w:bookmarkStart w:id="89" w:name="The_effectiveness_of_these_risk_manageme"/>
      <w:bookmarkEnd w:id="89"/>
      <w:r w:rsidRPr="003459CB">
        <w:t>The effectiveness of these risk management arrangements is summarised under the ‘Review of the Effectiveness of Governance, Risk Management and Internal Control’ section, which includes the monitoring, review, and management of the BAF by the Audit Committee and Board.</w:t>
      </w:r>
    </w:p>
    <w:p w14:paraId="503F0BFC" w14:textId="02F677AF" w:rsidR="00C92438" w:rsidRPr="00E62A2A" w:rsidRDefault="00C92438" w:rsidP="00C92438">
      <w:pPr>
        <w:pStyle w:val="Heading4"/>
        <w:kinsoku w:val="0"/>
        <w:overflowPunct w:val="0"/>
        <w:spacing w:before="199"/>
      </w:pPr>
      <w:bookmarkStart w:id="90" w:name="Risk_Assessment"/>
      <w:bookmarkEnd w:id="90"/>
      <w:r w:rsidRPr="00E62A2A">
        <w:t xml:space="preserve">Risk </w:t>
      </w:r>
      <w:r w:rsidR="5413BB3D">
        <w:t>a</w:t>
      </w:r>
      <w:r w:rsidRPr="00E62A2A">
        <w:t>ssessment</w:t>
      </w:r>
    </w:p>
    <w:p w14:paraId="43F2168A" w14:textId="2F47E296" w:rsidR="00C92438" w:rsidRPr="00E62A2A" w:rsidRDefault="00FC67C1" w:rsidP="00277962">
      <w:pPr>
        <w:pStyle w:val="BodyText"/>
      </w:pPr>
      <w:r>
        <w:t>Risk assessment is undertaken th</w:t>
      </w:r>
      <w:r w:rsidR="001946B9">
        <w:t>rough t</w:t>
      </w:r>
      <w:r w:rsidR="00C92438" w:rsidRPr="00E62A2A">
        <w:t>he application of the risk management framework</w:t>
      </w:r>
      <w:r w:rsidR="001946B9">
        <w:t xml:space="preserve">.  This </w:t>
      </w:r>
      <w:r w:rsidR="00C92438" w:rsidRPr="00E62A2A">
        <w:t>includ</w:t>
      </w:r>
      <w:r w:rsidR="001946B9">
        <w:t>es</w:t>
      </w:r>
      <w:r w:rsidR="00C92438" w:rsidRPr="00E62A2A">
        <w:t xml:space="preserve"> assessment </w:t>
      </w:r>
      <w:r w:rsidR="001946B9">
        <w:t xml:space="preserve">through </w:t>
      </w:r>
      <w:r w:rsidR="00C92438" w:rsidRPr="00E62A2A">
        <w:t xml:space="preserve">regular review of the risk register by risk leads, committees and the ICB Board, </w:t>
      </w:r>
      <w:r w:rsidR="00097E8B">
        <w:t xml:space="preserve">seeking preventative </w:t>
      </w:r>
      <w:r w:rsidR="00C92438" w:rsidRPr="00E62A2A">
        <w:t xml:space="preserve">risk </w:t>
      </w:r>
      <w:r w:rsidR="00097E8B">
        <w:t xml:space="preserve">measures </w:t>
      </w:r>
      <w:r w:rsidR="009842F8">
        <w:t xml:space="preserve">and the management of risk </w:t>
      </w:r>
      <w:r w:rsidR="00C92438" w:rsidRPr="00E62A2A">
        <w:t>through:</w:t>
      </w:r>
    </w:p>
    <w:p w14:paraId="6CB01F27" w14:textId="77777777" w:rsidR="00C92438" w:rsidRPr="00F00305" w:rsidRDefault="00C92438" w:rsidP="00F00305">
      <w:pPr>
        <w:pStyle w:val="BodyText"/>
        <w:numPr>
          <w:ilvl w:val="0"/>
          <w:numId w:val="39"/>
        </w:numPr>
        <w:rPr>
          <w:szCs w:val="24"/>
        </w:rPr>
      </w:pPr>
      <w:r w:rsidRPr="00F00305">
        <w:rPr>
          <w:szCs w:val="24"/>
        </w:rPr>
        <w:t>Commitment to identifying the underlying or root causes of incidents, complaints, and claims (should they arise).</w:t>
      </w:r>
    </w:p>
    <w:p w14:paraId="3BA81A8C" w14:textId="77777777" w:rsidR="00C92438" w:rsidRPr="00F00305" w:rsidRDefault="00C92438" w:rsidP="00F00305">
      <w:pPr>
        <w:pStyle w:val="BodyText"/>
        <w:numPr>
          <w:ilvl w:val="0"/>
          <w:numId w:val="39"/>
        </w:numPr>
        <w:rPr>
          <w:szCs w:val="24"/>
        </w:rPr>
      </w:pPr>
      <w:r w:rsidRPr="00F00305">
        <w:rPr>
          <w:szCs w:val="24"/>
        </w:rPr>
        <w:t>Promoting an open, just, and non-punitive culture.</w:t>
      </w:r>
    </w:p>
    <w:p w14:paraId="3B0F3E9B" w14:textId="67E91204" w:rsidR="00C92438" w:rsidRPr="00F00305" w:rsidRDefault="00C92438" w:rsidP="00F00305">
      <w:pPr>
        <w:pStyle w:val="BodyText"/>
        <w:numPr>
          <w:ilvl w:val="0"/>
          <w:numId w:val="39"/>
        </w:numPr>
        <w:rPr>
          <w:szCs w:val="24"/>
        </w:rPr>
      </w:pPr>
      <w:r w:rsidRPr="00F00305">
        <w:rPr>
          <w:szCs w:val="24"/>
        </w:rPr>
        <w:lastRenderedPageBreak/>
        <w:t>Driving an ongoing information and education programme which empowers and supports Board members and staff in the risk management process generally</w:t>
      </w:r>
      <w:r w:rsidR="000E3B36" w:rsidRPr="00F00305">
        <w:rPr>
          <w:szCs w:val="24"/>
        </w:rPr>
        <w:t>,</w:t>
      </w:r>
      <w:r w:rsidRPr="00F00305">
        <w:rPr>
          <w:szCs w:val="24"/>
        </w:rPr>
        <w:t xml:space="preserve"> and in relation to specific areas of risk.</w:t>
      </w:r>
    </w:p>
    <w:p w14:paraId="52E1A0AA" w14:textId="490AFF6C" w:rsidR="00C92438" w:rsidRPr="00F00305" w:rsidRDefault="00C92438" w:rsidP="00F00305">
      <w:pPr>
        <w:pStyle w:val="BodyText"/>
        <w:numPr>
          <w:ilvl w:val="0"/>
          <w:numId w:val="39"/>
        </w:numPr>
        <w:rPr>
          <w:szCs w:val="24"/>
        </w:rPr>
      </w:pPr>
      <w:r w:rsidRPr="00F00305">
        <w:rPr>
          <w:szCs w:val="24"/>
        </w:rPr>
        <w:t xml:space="preserve">All staff being familiar with the </w:t>
      </w:r>
      <w:r w:rsidR="000E3B36" w:rsidRPr="00F00305">
        <w:rPr>
          <w:szCs w:val="24"/>
        </w:rPr>
        <w:t>a</w:t>
      </w:r>
      <w:r w:rsidRPr="00F00305">
        <w:rPr>
          <w:szCs w:val="24"/>
        </w:rPr>
        <w:t xml:space="preserve">nti-fraud, </w:t>
      </w:r>
      <w:r w:rsidR="000E3B36" w:rsidRPr="00F00305">
        <w:rPr>
          <w:szCs w:val="24"/>
        </w:rPr>
        <w:t>a</w:t>
      </w:r>
      <w:r w:rsidRPr="00F00305">
        <w:rPr>
          <w:szCs w:val="24"/>
        </w:rPr>
        <w:t>nti-bribery</w:t>
      </w:r>
      <w:r w:rsidR="00ED41B9" w:rsidRPr="00F00305">
        <w:rPr>
          <w:szCs w:val="24"/>
        </w:rPr>
        <w:t>,</w:t>
      </w:r>
      <w:r w:rsidRPr="00F00305">
        <w:rPr>
          <w:szCs w:val="24"/>
        </w:rPr>
        <w:t xml:space="preserve"> and </w:t>
      </w:r>
      <w:r w:rsidR="000E3B36" w:rsidRPr="00F00305">
        <w:rPr>
          <w:szCs w:val="24"/>
        </w:rPr>
        <w:t>s</w:t>
      </w:r>
      <w:r w:rsidRPr="00F00305">
        <w:rPr>
          <w:szCs w:val="24"/>
        </w:rPr>
        <w:t xml:space="preserve">ecurity policies </w:t>
      </w:r>
      <w:r w:rsidR="00FA644E" w:rsidRPr="00F00305">
        <w:rPr>
          <w:szCs w:val="24"/>
        </w:rPr>
        <w:t>and</w:t>
      </w:r>
      <w:r w:rsidRPr="00F00305">
        <w:rPr>
          <w:szCs w:val="24"/>
        </w:rPr>
        <w:t xml:space="preserve"> through training and </w:t>
      </w:r>
      <w:r w:rsidR="00894F40" w:rsidRPr="00F00305">
        <w:rPr>
          <w:szCs w:val="24"/>
        </w:rPr>
        <w:t xml:space="preserve">raising awareness via </w:t>
      </w:r>
      <w:r w:rsidRPr="00F00305">
        <w:rPr>
          <w:szCs w:val="24"/>
        </w:rPr>
        <w:t xml:space="preserve">the issuing of fraud alerts, </w:t>
      </w:r>
      <w:r w:rsidR="00894F40" w:rsidRPr="00F00305">
        <w:rPr>
          <w:szCs w:val="24"/>
        </w:rPr>
        <w:t>guided by the ICB</w:t>
      </w:r>
      <w:r w:rsidRPr="00F00305">
        <w:rPr>
          <w:szCs w:val="24"/>
        </w:rPr>
        <w:t xml:space="preserve"> counter-fraud services.</w:t>
      </w:r>
    </w:p>
    <w:p w14:paraId="34DD8A3A" w14:textId="77777777" w:rsidR="00C92438" w:rsidRPr="00F00305" w:rsidRDefault="00C92438" w:rsidP="00F00305">
      <w:pPr>
        <w:pStyle w:val="BodyText"/>
        <w:numPr>
          <w:ilvl w:val="0"/>
          <w:numId w:val="39"/>
        </w:numPr>
        <w:rPr>
          <w:szCs w:val="24"/>
        </w:rPr>
      </w:pPr>
      <w:r w:rsidRPr="00F00305">
        <w:rPr>
          <w:szCs w:val="24"/>
        </w:rPr>
        <w:t>All staff being familiar with the terms of the Conflicts of Interest, Gifts and Hospitality and Standards of Conduct Policies.</w:t>
      </w:r>
    </w:p>
    <w:p w14:paraId="6C91A04E" w14:textId="5415317F" w:rsidR="00BE291C" w:rsidRPr="00F00305" w:rsidRDefault="00C92438" w:rsidP="00F00305">
      <w:pPr>
        <w:pStyle w:val="BodyText"/>
        <w:numPr>
          <w:ilvl w:val="0"/>
          <w:numId w:val="39"/>
        </w:numPr>
        <w:rPr>
          <w:szCs w:val="24"/>
        </w:rPr>
      </w:pPr>
      <w:r w:rsidRPr="00F00305">
        <w:rPr>
          <w:szCs w:val="24"/>
        </w:rPr>
        <w:t xml:space="preserve">Registers of Interests being produced for Board and </w:t>
      </w:r>
      <w:r w:rsidR="0539596B" w:rsidRPr="00F00305">
        <w:rPr>
          <w:szCs w:val="24"/>
        </w:rPr>
        <w:t>c</w:t>
      </w:r>
      <w:r w:rsidRPr="00F00305">
        <w:rPr>
          <w:szCs w:val="24"/>
        </w:rPr>
        <w:t xml:space="preserve">ommittee meetings and those </w:t>
      </w:r>
      <w:r w:rsidR="00CE684C" w:rsidRPr="00F00305">
        <w:rPr>
          <w:szCs w:val="24"/>
        </w:rPr>
        <w:t>s</w:t>
      </w:r>
      <w:r w:rsidRPr="00F00305">
        <w:rPr>
          <w:szCs w:val="24"/>
        </w:rPr>
        <w:t>ub-committees with decision-making powers, or capacity to influence decisions made by the ICB, so that the relevant Chair can ensure that potential</w:t>
      </w:r>
      <w:r w:rsidR="006B11E6" w:rsidRPr="00F00305">
        <w:rPr>
          <w:szCs w:val="24"/>
        </w:rPr>
        <w:t>, perceived or real</w:t>
      </w:r>
      <w:r w:rsidRPr="00F00305">
        <w:rPr>
          <w:szCs w:val="24"/>
        </w:rPr>
        <w:t xml:space="preserve"> conflicts </w:t>
      </w:r>
      <w:r w:rsidR="006B11E6" w:rsidRPr="00F00305">
        <w:rPr>
          <w:szCs w:val="24"/>
        </w:rPr>
        <w:t xml:space="preserve">of interest </w:t>
      </w:r>
      <w:r w:rsidRPr="00F00305">
        <w:rPr>
          <w:szCs w:val="24"/>
        </w:rPr>
        <w:t>are managed appropriately.</w:t>
      </w:r>
    </w:p>
    <w:p w14:paraId="42754FDC" w14:textId="77777777" w:rsidR="001C0486" w:rsidRPr="0028150A" w:rsidRDefault="001C0486" w:rsidP="00A96E97">
      <w:pPr>
        <w:pStyle w:val="Heading2"/>
      </w:pPr>
      <w:bookmarkStart w:id="91" w:name="_Toc133356648"/>
      <w:bookmarkStart w:id="92" w:name="_Toc164814837"/>
      <w:bookmarkStart w:id="93" w:name="_Toc164814898"/>
      <w:bookmarkStart w:id="94" w:name="_Toc437807155"/>
      <w:bookmarkEnd w:id="83"/>
      <w:r w:rsidRPr="0028150A">
        <w:t>Other sources of assurance</w:t>
      </w:r>
      <w:bookmarkEnd w:id="91"/>
      <w:bookmarkEnd w:id="92"/>
      <w:bookmarkEnd w:id="93"/>
      <w:r w:rsidRPr="0028150A">
        <w:t xml:space="preserve"> </w:t>
      </w:r>
    </w:p>
    <w:bookmarkEnd w:id="94"/>
    <w:p w14:paraId="2E615533" w14:textId="78B7A940" w:rsidR="00B819F0" w:rsidRPr="00AC3A4C" w:rsidRDefault="00B819F0" w:rsidP="00B819F0">
      <w:pPr>
        <w:pStyle w:val="Heading4"/>
      </w:pPr>
      <w:r w:rsidRPr="00AC3A4C">
        <w:t xml:space="preserve">Internal </w:t>
      </w:r>
      <w:r w:rsidR="3731B5C7">
        <w:t>c</w:t>
      </w:r>
      <w:r w:rsidRPr="00AC3A4C">
        <w:t xml:space="preserve">ontrol </w:t>
      </w:r>
      <w:r w:rsidR="3C10ACCF">
        <w:t>fr</w:t>
      </w:r>
      <w:r w:rsidRPr="00AC3A4C">
        <w:t>amework</w:t>
      </w:r>
    </w:p>
    <w:p w14:paraId="2A2050D8" w14:textId="77777777" w:rsidR="00B819F0" w:rsidRPr="00AC3A4C" w:rsidRDefault="00B819F0" w:rsidP="00B819F0">
      <w:pPr>
        <w:pStyle w:val="BodyText"/>
      </w:pPr>
      <w:r w:rsidRPr="00AC3A4C">
        <w:t>A system of internal control is the set of processes and procedures in place in the ICB to ensure it delivers its policies, aims and objectives. It is designed to identify and prioritise the risks, to evaluate the likelihood of those risks being realised and the impact should they be realised, and to manage them efficiently, effectively, and</w:t>
      </w:r>
      <w:r w:rsidRPr="00AC3A4C">
        <w:rPr>
          <w:spacing w:val="-30"/>
        </w:rPr>
        <w:t xml:space="preserve"> </w:t>
      </w:r>
      <w:r w:rsidRPr="00AC3A4C">
        <w:t>economically.</w:t>
      </w:r>
    </w:p>
    <w:p w14:paraId="4CCC6CD3" w14:textId="77777777" w:rsidR="00B819F0" w:rsidRPr="00AC3A4C" w:rsidRDefault="00B819F0" w:rsidP="00B819F0">
      <w:pPr>
        <w:pStyle w:val="BodyText"/>
      </w:pPr>
      <w:r w:rsidRPr="00AC3A4C">
        <w:t>The system of internal control allows risk to be managed to a reasonable level rather than eliminating all risk; it can therefore only provide reasonable and not absolute assurance of effectiveness.</w:t>
      </w:r>
    </w:p>
    <w:p w14:paraId="5E267088" w14:textId="454B0D94" w:rsidR="00B819F0" w:rsidRPr="00AC3A4C" w:rsidRDefault="00B819F0" w:rsidP="00B819F0">
      <w:pPr>
        <w:pStyle w:val="BodyText"/>
      </w:pPr>
      <w:r w:rsidRPr="00AC3A4C">
        <w:t xml:space="preserve">The system of control in place is set out within </w:t>
      </w:r>
      <w:r w:rsidR="009A58D6">
        <w:t>the ICB governance handbook</w:t>
      </w:r>
      <w:r w:rsidR="00674E26">
        <w:t xml:space="preserve">, its policy framework and is described in </w:t>
      </w:r>
      <w:r w:rsidRPr="00AC3A4C">
        <w:t>the Board, Committee and Risk Management sections of this statement</w:t>
      </w:r>
      <w:r w:rsidR="005A4463">
        <w:t>.  The overarching governance framework has</w:t>
      </w:r>
      <w:r w:rsidRPr="00AC3A4C">
        <w:t xml:space="preserve"> been reviewed by </w:t>
      </w:r>
      <w:r w:rsidR="7051CD71">
        <w:t>i</w:t>
      </w:r>
      <w:r>
        <w:t xml:space="preserve">nternal </w:t>
      </w:r>
      <w:r w:rsidR="4B68E62D">
        <w:t>a</w:t>
      </w:r>
      <w:r w:rsidRPr="00AC3A4C">
        <w:t>udit</w:t>
      </w:r>
      <w:r w:rsidR="0023717F">
        <w:t xml:space="preserve">, the </w:t>
      </w:r>
      <w:r w:rsidRPr="00AC3A4C">
        <w:t xml:space="preserve">outcome </w:t>
      </w:r>
      <w:r w:rsidR="0023717F">
        <w:t xml:space="preserve">of which informs </w:t>
      </w:r>
      <w:r w:rsidRPr="00AC3A4C">
        <w:t xml:space="preserve">the Head of Internal Audit </w:t>
      </w:r>
      <w:r w:rsidR="00C84FA5">
        <w:t xml:space="preserve">Opinion </w:t>
      </w:r>
      <w:r w:rsidR="0023717F">
        <w:t>and</w:t>
      </w:r>
      <w:r w:rsidRPr="00AC3A4C">
        <w:t xml:space="preserve"> concluded that the ICB ha</w:t>
      </w:r>
      <w:r w:rsidR="00ED56CF">
        <w:t>d</w:t>
      </w:r>
      <w:r w:rsidRPr="00AC3A4C">
        <w:t xml:space="preserve"> appropriate arrangements in place.</w:t>
      </w:r>
    </w:p>
    <w:p w14:paraId="0A4383B4" w14:textId="77777777" w:rsidR="0021374E" w:rsidRPr="009B7727" w:rsidRDefault="0021374E" w:rsidP="0021374E">
      <w:pPr>
        <w:pStyle w:val="Heading4"/>
        <w:kinsoku w:val="0"/>
        <w:overflowPunct w:val="0"/>
        <w:spacing w:before="68"/>
      </w:pPr>
      <w:r w:rsidRPr="009B7727">
        <w:t>Annual audit of conflicts of interest management</w:t>
      </w:r>
    </w:p>
    <w:p w14:paraId="67D9CB3B" w14:textId="1B8D9E64" w:rsidR="00F36FCD" w:rsidRDefault="00F36FCD" w:rsidP="00F36FCD">
      <w:pPr>
        <w:pStyle w:val="BodyText"/>
      </w:pPr>
      <w:r w:rsidRPr="009B7727">
        <w:t>The ICB annual internal audit of conflicts of interest 202</w:t>
      </w:r>
      <w:r w:rsidR="00F3524D">
        <w:t>3</w:t>
      </w:r>
      <w:r w:rsidRPr="009B7727">
        <w:t>/2</w:t>
      </w:r>
      <w:r w:rsidR="00E945E8">
        <w:t xml:space="preserve">4 </w:t>
      </w:r>
      <w:r w:rsidRPr="009B7727">
        <w:t>identified ‘</w:t>
      </w:r>
      <w:r w:rsidR="00F3524D">
        <w:t>substantial</w:t>
      </w:r>
      <w:r w:rsidRPr="009B7727">
        <w:t>’ assurance</w:t>
      </w:r>
      <w:r w:rsidR="00ED56CF">
        <w:t xml:space="preserve"> that a robust system of control is in place to identify, manage and monitor </w:t>
      </w:r>
      <w:r w:rsidR="00795EA7">
        <w:t>conflicts of interest</w:t>
      </w:r>
      <w:r w:rsidRPr="009B7727">
        <w:t>.</w:t>
      </w:r>
    </w:p>
    <w:p w14:paraId="757CAF52" w14:textId="77777777" w:rsidR="00F36FCD" w:rsidRPr="004F2C6D" w:rsidRDefault="00F36FCD" w:rsidP="00F36FCD">
      <w:pPr>
        <w:pStyle w:val="Heading4"/>
        <w:kinsoku w:val="0"/>
        <w:overflowPunct w:val="0"/>
        <w:spacing w:before="1"/>
      </w:pPr>
      <w:bookmarkStart w:id="95" w:name="Data_Quality"/>
      <w:bookmarkEnd w:id="95"/>
      <w:r w:rsidRPr="004F2C6D">
        <w:t>Data Quality</w:t>
      </w:r>
    </w:p>
    <w:p w14:paraId="4BFFF050" w14:textId="2C9F3F81" w:rsidR="004B776F" w:rsidRDefault="00F36FCD" w:rsidP="00555D72">
      <w:pPr>
        <w:pStyle w:val="BodyText"/>
      </w:pPr>
      <w:r w:rsidRPr="004F2C6D">
        <w:t xml:space="preserve">The oversight and management of data quality is embedded within the System Oversight and Assurance Committee and other relevant groups, </w:t>
      </w:r>
      <w:r w:rsidR="49384836">
        <w:t>for example</w:t>
      </w:r>
      <w:r w:rsidR="316C4172">
        <w:t xml:space="preserve"> the</w:t>
      </w:r>
      <w:r w:rsidRPr="004F2C6D">
        <w:t xml:space="preserve"> Elective Care Board. </w:t>
      </w:r>
      <w:r w:rsidR="00CC63FB">
        <w:t xml:space="preserve"> Where </w:t>
      </w:r>
      <w:r w:rsidRPr="004F2C6D">
        <w:t xml:space="preserve">concerns around data quality are highlighted a focus group is established to identify the root cause of those concerns and seek appropriate resolution that both addresses the concern raised and reduces the risk of reoccurrence. Resolution reports are shared and approved through the governance framework, </w:t>
      </w:r>
      <w:r w:rsidR="0088609C">
        <w:t xml:space="preserve">at </w:t>
      </w:r>
      <w:r w:rsidRPr="004F2C6D">
        <w:t xml:space="preserve">which </w:t>
      </w:r>
      <w:r w:rsidR="0088609C">
        <w:t xml:space="preserve">point </w:t>
      </w:r>
      <w:r w:rsidRPr="004F2C6D">
        <w:t>the focus group</w:t>
      </w:r>
      <w:r w:rsidR="0088609C">
        <w:t xml:space="preserve"> is</w:t>
      </w:r>
      <w:r w:rsidRPr="004F2C6D">
        <w:t xml:space="preserve"> stood down.</w:t>
      </w:r>
      <w:bookmarkStart w:id="96" w:name="Information_Governance"/>
      <w:bookmarkEnd w:id="96"/>
    </w:p>
    <w:p w14:paraId="10077615" w14:textId="77777777" w:rsidR="003D4FEF" w:rsidRDefault="003D4FEF" w:rsidP="004B776F">
      <w:pPr>
        <w:pStyle w:val="BodyText"/>
        <w:rPr>
          <w:b/>
          <w:bCs/>
        </w:rPr>
      </w:pPr>
    </w:p>
    <w:p w14:paraId="3453AD71" w14:textId="77777777" w:rsidR="003D4FEF" w:rsidRDefault="003D4FEF" w:rsidP="004B776F">
      <w:pPr>
        <w:pStyle w:val="BodyText"/>
        <w:rPr>
          <w:b/>
          <w:bCs/>
        </w:rPr>
      </w:pPr>
    </w:p>
    <w:p w14:paraId="7641176C" w14:textId="310F5599" w:rsidR="004B776F" w:rsidRDefault="00F36FCD" w:rsidP="004B776F">
      <w:pPr>
        <w:pStyle w:val="BodyText"/>
        <w:rPr>
          <w:b/>
          <w:bCs/>
        </w:rPr>
      </w:pPr>
      <w:r w:rsidRPr="004B776F">
        <w:rPr>
          <w:b/>
          <w:bCs/>
        </w:rPr>
        <w:lastRenderedPageBreak/>
        <w:t xml:space="preserve">Information </w:t>
      </w:r>
      <w:r w:rsidR="1A055E09" w:rsidRPr="004B776F">
        <w:rPr>
          <w:b/>
          <w:bCs/>
        </w:rPr>
        <w:t>g</w:t>
      </w:r>
      <w:r w:rsidRPr="004B776F">
        <w:rPr>
          <w:b/>
          <w:bCs/>
        </w:rPr>
        <w:t>overnance</w:t>
      </w:r>
    </w:p>
    <w:p w14:paraId="0F73F04B" w14:textId="77777777" w:rsidR="004B776F" w:rsidRDefault="00270A05" w:rsidP="004B776F">
      <w:pPr>
        <w:pStyle w:val="BodyText"/>
      </w:pPr>
      <w:r w:rsidRPr="00270A05">
        <w:t>The NHS Information Governance Framework sets the processes and procedures by which the NHS handles information about patients and employees, in particular personal identifiable information. The NHS Information Governance Framework is supported by an information governance toolkit and the annual submission process provides assurances to the ICB, other organisations and to individuals that personal information is dealt with legally, securely, efficiently, and effectively.</w:t>
      </w:r>
    </w:p>
    <w:p w14:paraId="459BB235" w14:textId="77777777" w:rsidR="004B776F" w:rsidRDefault="005B34F9" w:rsidP="004B776F">
      <w:pPr>
        <w:pStyle w:val="BodyText"/>
      </w:pPr>
      <w:r>
        <w:t>The ICB</w:t>
      </w:r>
      <w:r w:rsidR="00270A05" w:rsidRPr="00270A05">
        <w:t xml:space="preserve"> </w:t>
      </w:r>
      <w:r w:rsidR="00270A05">
        <w:t>prioritise</w:t>
      </w:r>
      <w:r w:rsidR="135F2A19">
        <w:t>s</w:t>
      </w:r>
      <w:r w:rsidR="00270A05" w:rsidRPr="00270A05">
        <w:t xml:space="preserve"> the establishment of robust information governance systems and processes to safeguard patient and corporate data. </w:t>
      </w:r>
      <w:r w:rsidR="000C1E90">
        <w:t xml:space="preserve"> Arrangements to achieve this </w:t>
      </w:r>
      <w:r w:rsidR="00270A05" w:rsidRPr="00270A05">
        <w:t xml:space="preserve">include broadening staff training initiatives with a heightened emphasis on </w:t>
      </w:r>
      <w:r w:rsidR="00093B45">
        <w:t>c</w:t>
      </w:r>
      <w:r w:rsidR="00270A05" w:rsidRPr="00270A05">
        <w:t xml:space="preserve">yber </w:t>
      </w:r>
      <w:r w:rsidR="00093B45">
        <w:t>s</w:t>
      </w:r>
      <w:r w:rsidR="00270A05" w:rsidRPr="00270A05">
        <w:t xml:space="preserve">ecurity </w:t>
      </w:r>
      <w:r w:rsidR="00093B45">
        <w:t>a</w:t>
      </w:r>
      <w:r w:rsidR="00270A05" w:rsidRPr="00270A05">
        <w:t xml:space="preserve">wareness and handling of </w:t>
      </w:r>
      <w:r w:rsidR="00093B45">
        <w:t>p</w:t>
      </w:r>
      <w:r w:rsidR="00270A05" w:rsidRPr="00270A05">
        <w:t xml:space="preserve">ersonal </w:t>
      </w:r>
      <w:r w:rsidR="00093B45">
        <w:t>i</w:t>
      </w:r>
      <w:r w:rsidR="00270A05" w:rsidRPr="00270A05">
        <w:t xml:space="preserve">nformation. </w:t>
      </w:r>
      <w:r w:rsidR="004B776F" w:rsidRPr="00270A05">
        <w:t>Considering</w:t>
      </w:r>
      <w:r w:rsidR="00270A05" w:rsidRPr="00270A05">
        <w:t xml:space="preserve"> recent restructuring, new Information Asset Owners </w:t>
      </w:r>
      <w:r w:rsidR="001555BB">
        <w:t xml:space="preserve">(IAOs) </w:t>
      </w:r>
      <w:r w:rsidR="00270A05" w:rsidRPr="00270A05">
        <w:t>have been appointed</w:t>
      </w:r>
      <w:r w:rsidR="00BE5656">
        <w:t>;</w:t>
      </w:r>
      <w:r w:rsidR="00270A05" w:rsidRPr="00270A05">
        <w:t xml:space="preserve"> </w:t>
      </w:r>
      <w:r w:rsidR="00BE5656">
        <w:t>the information governance team</w:t>
      </w:r>
      <w:r w:rsidR="00270A05" w:rsidRPr="00270A05">
        <w:t xml:space="preserve"> </w:t>
      </w:r>
      <w:r w:rsidR="00270A05">
        <w:t>collaborate</w:t>
      </w:r>
      <w:r w:rsidR="3DE2485C">
        <w:t>s</w:t>
      </w:r>
      <w:r w:rsidR="00270A05" w:rsidRPr="00270A05">
        <w:t xml:space="preserve"> closely with </w:t>
      </w:r>
      <w:r w:rsidR="001555BB">
        <w:t>IAOs</w:t>
      </w:r>
      <w:r w:rsidR="00270A05" w:rsidRPr="00270A05">
        <w:t xml:space="preserve"> to ensure accurate representation of assets and information in </w:t>
      </w:r>
      <w:r w:rsidR="001555BB">
        <w:t xml:space="preserve">the ICB </w:t>
      </w:r>
      <w:r w:rsidR="00270A05" w:rsidRPr="00270A05">
        <w:t xml:space="preserve">Records of Processing Activity (ROPA). </w:t>
      </w:r>
      <w:r w:rsidR="005A794A">
        <w:t xml:space="preserve">The Information Governance Team also </w:t>
      </w:r>
      <w:r w:rsidR="00270A05">
        <w:t>work</w:t>
      </w:r>
      <w:r w:rsidR="10E21B00">
        <w:t>s</w:t>
      </w:r>
      <w:r w:rsidR="00270A05" w:rsidRPr="00270A05">
        <w:t xml:space="preserve"> closely with the Business Intelligence function to ensure that data supporting commissioning decisions is accessible throughout the </w:t>
      </w:r>
      <w:r w:rsidR="005A794A">
        <w:t>s</w:t>
      </w:r>
      <w:r w:rsidR="00270A05" w:rsidRPr="00270A05">
        <w:t xml:space="preserve">ystem, extending to ICS partners and GP Practices, in </w:t>
      </w:r>
      <w:r w:rsidR="005A794A">
        <w:t xml:space="preserve">accordance with </w:t>
      </w:r>
      <w:r w:rsidR="00270A05" w:rsidRPr="00270A05">
        <w:t xml:space="preserve">the guidelines outlined in </w:t>
      </w:r>
      <w:r w:rsidR="005C019A">
        <w:t>the ICB</w:t>
      </w:r>
      <w:r w:rsidR="00270A05" w:rsidRPr="00270A05">
        <w:t xml:space="preserve"> </w:t>
      </w:r>
      <w:r w:rsidR="00540B52">
        <w:t>Data Access Request Service</w:t>
      </w:r>
      <w:r w:rsidR="00270A05" w:rsidRPr="00270A05">
        <w:t xml:space="preserve"> agreement.</w:t>
      </w:r>
    </w:p>
    <w:p w14:paraId="0503128D" w14:textId="04DA5D10" w:rsidR="00793187" w:rsidRDefault="00270A05" w:rsidP="004B776F">
      <w:pPr>
        <w:pStyle w:val="BodyText"/>
      </w:pPr>
      <w:r w:rsidRPr="00270A05">
        <w:t xml:space="preserve">As of 31 March 2024, the ICB </w:t>
      </w:r>
      <w:r w:rsidR="005C019A">
        <w:t>wa</w:t>
      </w:r>
      <w:r w:rsidRPr="00270A05">
        <w:t xml:space="preserve">s on course to meet all mandatory assertions in relation to the requirements of the Data Security and Protection Toolkit 2023/24 (due for </w:t>
      </w:r>
      <w:r w:rsidRPr="00905D84">
        <w:t xml:space="preserve">submission at the end of June). </w:t>
      </w:r>
    </w:p>
    <w:p w14:paraId="10F8219F" w14:textId="7454111A" w:rsidR="004B776F" w:rsidRDefault="002A14B7" w:rsidP="004B776F">
      <w:pPr>
        <w:pStyle w:val="BodyText"/>
        <w:rPr>
          <w:rFonts w:eastAsiaTheme="majorEastAsia" w:cs="Arial"/>
          <w:b/>
          <w:bCs/>
        </w:rPr>
      </w:pPr>
      <w:r w:rsidRPr="004B776F">
        <w:rPr>
          <w:rFonts w:eastAsiaTheme="majorEastAsia" w:cs="Arial"/>
          <w:b/>
          <w:bCs/>
        </w:rPr>
        <w:t>Complaints and Patient Experience</w:t>
      </w:r>
    </w:p>
    <w:p w14:paraId="29D410CA" w14:textId="77777777" w:rsidR="00377454" w:rsidRDefault="002A14B7" w:rsidP="00377454">
      <w:pPr>
        <w:pStyle w:val="BodyText"/>
      </w:pPr>
      <w:r w:rsidRPr="00377454">
        <w:t>The ICB receives concerns, complaints and enquires from patients, carers, family members and Members of Parliament. Where the complaint requires the ICB to liaise with an external provider the ICB is required to obtain the consent of the individual to refer to the relevant provider.</w:t>
      </w:r>
    </w:p>
    <w:p w14:paraId="6BA88584" w14:textId="6A1906A1" w:rsidR="00377454" w:rsidRDefault="002A14B7" w:rsidP="00377454">
      <w:pPr>
        <w:pStyle w:val="BodyText"/>
        <w:rPr>
          <w:rFonts w:eastAsiaTheme="majorEastAsia" w:cs="Arial"/>
        </w:rPr>
      </w:pPr>
      <w:r w:rsidRPr="00377454">
        <w:rPr>
          <w:rFonts w:eastAsiaTheme="majorEastAsia" w:cs="Arial"/>
        </w:rPr>
        <w:t xml:space="preserve">From 1 July 2023, responsibility for Primary Care Complaints was devolved from </w:t>
      </w:r>
      <w:r w:rsidR="00F46054">
        <w:rPr>
          <w:rFonts w:eastAsiaTheme="majorEastAsia" w:cs="Arial"/>
        </w:rPr>
        <w:t>NHSE</w:t>
      </w:r>
      <w:r w:rsidRPr="00377454">
        <w:rPr>
          <w:rFonts w:eastAsiaTheme="majorEastAsia" w:cs="Arial"/>
        </w:rPr>
        <w:t xml:space="preserve"> to the ICBs. This increased volume of complaints had a major impact on review and response times and has continued to impact to date. </w:t>
      </w:r>
    </w:p>
    <w:p w14:paraId="60AE1274" w14:textId="77777777" w:rsidR="00377454" w:rsidRDefault="002A14B7" w:rsidP="00377454">
      <w:pPr>
        <w:pStyle w:val="BodyText"/>
        <w:rPr>
          <w:rFonts w:eastAsiaTheme="majorEastAsia" w:cs="Arial"/>
        </w:rPr>
      </w:pPr>
      <w:r w:rsidRPr="00377454">
        <w:rPr>
          <w:rFonts w:eastAsiaTheme="majorEastAsia" w:cs="Arial"/>
        </w:rPr>
        <w:t>From April 2023 to Mar 2024, there were 1809 new complaints, concerns and enquiries opened, and 1454 closed. This was an increase of 143% compared to 2022/23.</w:t>
      </w:r>
    </w:p>
    <w:p w14:paraId="1A4BFF8C" w14:textId="77777777" w:rsidR="00377454" w:rsidRDefault="002A14B7" w:rsidP="00377454">
      <w:pPr>
        <w:pStyle w:val="BodyText"/>
        <w:rPr>
          <w:rFonts w:eastAsiaTheme="majorEastAsia" w:cs="Arial"/>
        </w:rPr>
      </w:pPr>
      <w:r w:rsidRPr="00377454">
        <w:rPr>
          <w:rFonts w:eastAsiaTheme="majorEastAsia" w:cs="Arial"/>
        </w:rPr>
        <w:t>Themes and trends included difficulty accessing GP appointments, GP registration issues, prescribing, access to medication and clinical care.</w:t>
      </w:r>
    </w:p>
    <w:p w14:paraId="549BC3B4" w14:textId="6B724849" w:rsidR="003B6CEB" w:rsidRPr="00377454" w:rsidRDefault="002A14B7" w:rsidP="00377454">
      <w:pPr>
        <w:pStyle w:val="BodyText"/>
      </w:pPr>
      <w:r w:rsidRPr="00377454">
        <w:rPr>
          <w:rFonts w:eastAsiaTheme="majorEastAsia" w:cs="Arial"/>
        </w:rPr>
        <w:t>Learning from complaints is shared with Providers, primary care alliances and internal stakeholders to inform pathways and services and improve patient experience</w:t>
      </w:r>
    </w:p>
    <w:p w14:paraId="1DB2E0C9" w14:textId="70F07A96" w:rsidR="000C0642" w:rsidRDefault="000C0642" w:rsidP="000C0642">
      <w:pPr>
        <w:pStyle w:val="Heading4"/>
      </w:pPr>
      <w:r w:rsidRPr="000653BE">
        <w:lastRenderedPageBreak/>
        <w:t>Complaints to Parliamentary and Health Service Ombudsman</w:t>
      </w:r>
    </w:p>
    <w:p w14:paraId="726649DF" w14:textId="77777777" w:rsidR="000C0642" w:rsidRPr="00620672" w:rsidRDefault="000C0642" w:rsidP="000C0642">
      <w:pPr>
        <w:pStyle w:val="Heading4"/>
        <w:rPr>
          <w:b w:val="0"/>
          <w:bCs w:val="0"/>
        </w:rPr>
      </w:pPr>
      <w:r w:rsidRPr="00620672">
        <w:rPr>
          <w:b w:val="0"/>
          <w:bCs w:val="0"/>
        </w:rPr>
        <w:t xml:space="preserve">Where a complainant receives a formal response to their complaint, but they do not feel the complaint has been appropriately addressed. In the first instance, they would be encouraged to respond to the ICB, outlining why they are not satisfied. However, if they remain unsatisfied, they are advised </w:t>
      </w:r>
      <w:r>
        <w:rPr>
          <w:b w:val="0"/>
          <w:bCs w:val="0"/>
        </w:rPr>
        <w:t xml:space="preserve">of their </w:t>
      </w:r>
      <w:r w:rsidRPr="00620672">
        <w:rPr>
          <w:b w:val="0"/>
          <w:bCs w:val="0"/>
        </w:rPr>
        <w:t>right to escalate their complaint to the Parliamentary and Health Service Ombudsman (PHSO).</w:t>
      </w:r>
    </w:p>
    <w:p w14:paraId="592CDB75" w14:textId="77777777" w:rsidR="000C0642" w:rsidRPr="00620672" w:rsidRDefault="000C0642" w:rsidP="000C0642">
      <w:pPr>
        <w:pStyle w:val="Heading4"/>
        <w:rPr>
          <w:b w:val="0"/>
          <w:bCs w:val="0"/>
        </w:rPr>
      </w:pPr>
      <w:r w:rsidRPr="00620672">
        <w:rPr>
          <w:b w:val="0"/>
          <w:bCs w:val="0"/>
        </w:rPr>
        <w:t>In 2023</w:t>
      </w:r>
      <w:r>
        <w:rPr>
          <w:b w:val="0"/>
          <w:bCs w:val="0"/>
        </w:rPr>
        <w:t>/</w:t>
      </w:r>
      <w:r w:rsidRPr="00620672">
        <w:rPr>
          <w:b w:val="0"/>
          <w:bCs w:val="0"/>
        </w:rPr>
        <w:t>24, twelve complaints were referred to the PHSO.  Of these</w:t>
      </w:r>
      <w:r>
        <w:rPr>
          <w:b w:val="0"/>
          <w:bCs w:val="0"/>
        </w:rPr>
        <w:t>,</w:t>
      </w:r>
      <w:r w:rsidRPr="00620672">
        <w:rPr>
          <w:b w:val="0"/>
          <w:bCs w:val="0"/>
        </w:rPr>
        <w:t xml:space="preserve"> five were stage 1 enquires</w:t>
      </w:r>
      <w:r>
        <w:rPr>
          <w:b w:val="0"/>
          <w:bCs w:val="0"/>
        </w:rPr>
        <w:t>;</w:t>
      </w:r>
      <w:r w:rsidRPr="00620672">
        <w:rPr>
          <w:b w:val="0"/>
          <w:bCs w:val="0"/>
        </w:rPr>
        <w:t xml:space="preserve"> four</w:t>
      </w:r>
      <w:r>
        <w:rPr>
          <w:b w:val="0"/>
          <w:bCs w:val="0"/>
        </w:rPr>
        <w:t xml:space="preserve"> </w:t>
      </w:r>
      <w:r w:rsidRPr="00620672">
        <w:rPr>
          <w:b w:val="0"/>
          <w:bCs w:val="0"/>
        </w:rPr>
        <w:t>were stage 2 primary investigations, and two were stage 3 detailed investigations.</w:t>
      </w:r>
    </w:p>
    <w:p w14:paraId="6DACEAA6" w14:textId="163C7EAE" w:rsidR="000C0642" w:rsidRDefault="000C0642" w:rsidP="007A2B31">
      <w:pPr>
        <w:pStyle w:val="Heading4"/>
      </w:pPr>
      <w:r>
        <w:rPr>
          <w:b w:val="0"/>
          <w:bCs w:val="0"/>
        </w:rPr>
        <w:t>The areas of concern raised to PHSO included Personal Health Budget requests, Freedom of Information and Choice Agenda, continuing healthcare</w:t>
      </w:r>
      <w:r w:rsidR="00017EFE">
        <w:rPr>
          <w:b w:val="0"/>
          <w:bCs w:val="0"/>
        </w:rPr>
        <w:t xml:space="preserve"> assessments and</w:t>
      </w:r>
      <w:r>
        <w:rPr>
          <w:b w:val="0"/>
          <w:bCs w:val="0"/>
        </w:rPr>
        <w:t xml:space="preserve"> retrospective appeals, neuro rehabilitation, dental care, access to medication</w:t>
      </w:r>
      <w:r w:rsidR="00017EFE">
        <w:rPr>
          <w:b w:val="0"/>
          <w:bCs w:val="0"/>
        </w:rPr>
        <w:t xml:space="preserve"> and</w:t>
      </w:r>
      <w:r>
        <w:rPr>
          <w:b w:val="0"/>
          <w:bCs w:val="0"/>
        </w:rPr>
        <w:t xml:space="preserve"> </w:t>
      </w:r>
      <w:r w:rsidR="00017EFE">
        <w:rPr>
          <w:b w:val="0"/>
          <w:bCs w:val="0"/>
        </w:rPr>
        <w:t>i</w:t>
      </w:r>
      <w:r>
        <w:rPr>
          <w:b w:val="0"/>
          <w:bCs w:val="0"/>
        </w:rPr>
        <w:t xml:space="preserve">ndividual </w:t>
      </w:r>
      <w:r w:rsidR="00017EFE">
        <w:rPr>
          <w:b w:val="0"/>
          <w:bCs w:val="0"/>
        </w:rPr>
        <w:t>f</w:t>
      </w:r>
      <w:r>
        <w:rPr>
          <w:b w:val="0"/>
          <w:bCs w:val="0"/>
        </w:rPr>
        <w:t xml:space="preserve">unding </w:t>
      </w:r>
      <w:r w:rsidR="00017EFE">
        <w:rPr>
          <w:b w:val="0"/>
          <w:bCs w:val="0"/>
        </w:rPr>
        <w:t>r</w:t>
      </w:r>
      <w:r>
        <w:rPr>
          <w:b w:val="0"/>
          <w:bCs w:val="0"/>
        </w:rPr>
        <w:t>equest appeals. </w:t>
      </w:r>
    </w:p>
    <w:p w14:paraId="2ED43F9C" w14:textId="489A9758" w:rsidR="007A2B31" w:rsidRPr="00905D84" w:rsidRDefault="007A2B31" w:rsidP="007A2B31">
      <w:pPr>
        <w:pStyle w:val="Heading4"/>
      </w:pPr>
      <w:r w:rsidRPr="00905D84">
        <w:t>Business</w:t>
      </w:r>
      <w:r w:rsidR="37A24734">
        <w:t xml:space="preserve"> </w:t>
      </w:r>
      <w:r w:rsidR="191BB275">
        <w:t>c</w:t>
      </w:r>
      <w:r>
        <w:t>ritical</w:t>
      </w:r>
      <w:r w:rsidR="432EF8A1">
        <w:t xml:space="preserve"> </w:t>
      </w:r>
      <w:r w:rsidR="6D356B37">
        <w:t>m</w:t>
      </w:r>
      <w:r>
        <w:t>odels</w:t>
      </w:r>
    </w:p>
    <w:p w14:paraId="4EC08B43" w14:textId="5D203104" w:rsidR="007A2B31" w:rsidRPr="00905D84" w:rsidRDefault="007A2B31" w:rsidP="007A2B31">
      <w:pPr>
        <w:pStyle w:val="BodyText"/>
      </w:pPr>
      <w:r w:rsidRPr="00905D84">
        <w:t xml:space="preserve">The </w:t>
      </w:r>
      <w:r w:rsidR="00471C4B">
        <w:t>ICB</w:t>
      </w:r>
      <w:r w:rsidRPr="00905D84">
        <w:t xml:space="preserve"> supports the principles of the Macpherson Report and is committed to embedding best practice in relation to quality assuring our prioritised business critical models and other functions.</w:t>
      </w:r>
      <w:r w:rsidR="004C3B1D">
        <w:t xml:space="preserve">  </w:t>
      </w:r>
      <w:r w:rsidR="007647F3">
        <w:t xml:space="preserve">Work will be on-going in 2024/25 to fully identify all </w:t>
      </w:r>
      <w:r w:rsidR="00017EFE">
        <w:t>business-critical</w:t>
      </w:r>
      <w:r w:rsidR="007647F3">
        <w:t xml:space="preserve"> models used by the ICB</w:t>
      </w:r>
      <w:r w:rsidR="00FD10DA">
        <w:t xml:space="preserve"> to gain assurance over their use in accordance with NHSE guidance</w:t>
      </w:r>
      <w:r w:rsidR="003036D8">
        <w:t>.</w:t>
      </w:r>
    </w:p>
    <w:p w14:paraId="6B00AB12" w14:textId="77777777" w:rsidR="007A2B31" w:rsidRPr="009A4134" w:rsidRDefault="007A2B31" w:rsidP="007A2B31">
      <w:pPr>
        <w:pStyle w:val="Heading4"/>
      </w:pPr>
      <w:bookmarkStart w:id="97" w:name="Third_party_assurances"/>
      <w:bookmarkEnd w:id="97"/>
      <w:r w:rsidRPr="009A4134">
        <w:t>Third party assurances</w:t>
      </w:r>
    </w:p>
    <w:p w14:paraId="57AFDE91" w14:textId="435A55B6" w:rsidR="007A2B31" w:rsidRPr="009A4134" w:rsidRDefault="007A2B31" w:rsidP="007A2B31">
      <w:pPr>
        <w:pStyle w:val="BodyText"/>
      </w:pPr>
      <w:r w:rsidRPr="009A4134">
        <w:t>The ICB relies on several third-party providers</w:t>
      </w:r>
      <w:r w:rsidR="003C1242">
        <w:t xml:space="preserve"> for the provision of payroll and pension services, procurement advice</w:t>
      </w:r>
      <w:r w:rsidR="002755E2">
        <w:t xml:space="preserve"> and commissioning support</w:t>
      </w:r>
      <w:r w:rsidRPr="009A4134">
        <w:t xml:space="preserve"> </w:t>
      </w:r>
      <w:r w:rsidR="004F5E74">
        <w:t>(highlighted</w:t>
      </w:r>
      <w:r w:rsidRPr="009A4134">
        <w:t xml:space="preserve"> below</w:t>
      </w:r>
      <w:r w:rsidR="004F5E74">
        <w:t>)</w:t>
      </w:r>
      <w:r w:rsidR="002755E2">
        <w:t xml:space="preserve">.  </w:t>
      </w:r>
    </w:p>
    <w:p w14:paraId="6CEB315F" w14:textId="0401083B" w:rsidR="007A2B31" w:rsidRDefault="007A2B31" w:rsidP="007A2B31">
      <w:pPr>
        <w:pStyle w:val="BodyText"/>
      </w:pPr>
      <w:r w:rsidRPr="00866B76">
        <w:rPr>
          <w:i/>
          <w:iCs/>
        </w:rPr>
        <w:t xml:space="preserve">Whittington Health NHS Trust </w:t>
      </w:r>
      <w:r w:rsidR="00955845">
        <w:t>provide payroll and pension services to the ICB</w:t>
      </w:r>
      <w:r w:rsidR="00BA1C69">
        <w:t>.</w:t>
      </w:r>
      <w:r w:rsidRPr="009A4134">
        <w:t xml:space="preserve"> The ICB continues in a positive relationship with Whittington Health</w:t>
      </w:r>
      <w:r w:rsidR="00C31B67">
        <w:t>,</w:t>
      </w:r>
      <w:r w:rsidRPr="009A4134">
        <w:t xml:space="preserve"> with regular virtual MS Teams meetings held between Whittington and ICB Human Resources Managers.</w:t>
      </w:r>
      <w:r w:rsidR="00C31B67">
        <w:t xml:space="preserve"> </w:t>
      </w:r>
    </w:p>
    <w:p w14:paraId="20340484" w14:textId="38815B58" w:rsidR="00A1322F" w:rsidRPr="009A4134" w:rsidRDefault="00A1322F" w:rsidP="007A2B31">
      <w:pPr>
        <w:pStyle w:val="BodyText"/>
      </w:pPr>
      <w:r>
        <w:t>NHS Bu</w:t>
      </w:r>
      <w:r w:rsidR="007461BE">
        <w:t xml:space="preserve">siness Services </w:t>
      </w:r>
      <w:r w:rsidR="006119DF">
        <w:t xml:space="preserve">Authority </w:t>
      </w:r>
      <w:r w:rsidR="007445B8">
        <w:t xml:space="preserve">provides and maintains the Electronic Staff Record used by the ICB to </w:t>
      </w:r>
      <w:r w:rsidR="00FF5F3B">
        <w:t xml:space="preserve">record </w:t>
      </w:r>
      <w:r w:rsidR="00EC7D92">
        <w:t>Human Resources (</w:t>
      </w:r>
      <w:r w:rsidR="00FF5F3B">
        <w:t>HR</w:t>
      </w:r>
      <w:r w:rsidR="00EC7D92">
        <w:t>)</w:t>
      </w:r>
      <w:r w:rsidR="00FF5F3B">
        <w:t xml:space="preserve"> files, manage leave, training</w:t>
      </w:r>
      <w:r w:rsidR="00B3051D">
        <w:t>,</w:t>
      </w:r>
      <w:r w:rsidR="00FF5F3B">
        <w:t xml:space="preserve"> and </w:t>
      </w:r>
      <w:r w:rsidR="00EC7D92">
        <w:t>HR processes in relation to its staff.</w:t>
      </w:r>
      <w:r w:rsidR="005C5660">
        <w:t xml:space="preserve">  Grant Thornton UK LLP undertook the independent audit </w:t>
      </w:r>
      <w:r w:rsidR="00460EC2">
        <w:t xml:space="preserve">and concluded that </w:t>
      </w:r>
      <w:r w:rsidR="003B1303">
        <w:t xml:space="preserve">(limited to the testing undertaken) </w:t>
      </w:r>
      <w:r w:rsidR="00460EC2">
        <w:t>in all material respects</w:t>
      </w:r>
      <w:r w:rsidR="00CF23D9">
        <w:t xml:space="preserve"> controls described were fairly presented and suitably designed and operating effectively to achieve their control objectives.</w:t>
      </w:r>
    </w:p>
    <w:p w14:paraId="31171957" w14:textId="194962DA" w:rsidR="007A2B31" w:rsidRPr="004F041F" w:rsidRDefault="007A2B31" w:rsidP="007A2B31">
      <w:pPr>
        <w:pStyle w:val="BodyText"/>
      </w:pPr>
      <w:r w:rsidRPr="004F041F">
        <w:t xml:space="preserve">The ICB retains the services of </w:t>
      </w:r>
      <w:r w:rsidRPr="00866B76">
        <w:rPr>
          <w:i/>
          <w:iCs/>
        </w:rPr>
        <w:t>Attain</w:t>
      </w:r>
      <w:r w:rsidRPr="004F041F">
        <w:t xml:space="preserve"> to ensure probity during procurement processes. The Finance &amp; Investment Committee receives procurement reports at each meeting and a register of procurement decisions, which is published on the ICB’s public-facing website, is reviewed by the Audit Committee to ensure rigour is being applied.</w:t>
      </w:r>
      <w:r w:rsidR="00866B76">
        <w:t xml:space="preserve"> </w:t>
      </w:r>
      <w:r w:rsidR="003C3E5B">
        <w:t xml:space="preserve"> Internal and </w:t>
      </w:r>
      <w:r w:rsidR="31B25A54">
        <w:t>e</w:t>
      </w:r>
      <w:r w:rsidR="003C3E5B">
        <w:t>xternal audits reviewing procurement decisions and process</w:t>
      </w:r>
      <w:r w:rsidR="00592960">
        <w:t>es</w:t>
      </w:r>
      <w:r w:rsidR="003C3E5B">
        <w:t xml:space="preserve"> include</w:t>
      </w:r>
      <w:r w:rsidR="00F445E3">
        <w:t xml:space="preserve"> coverage of the work undertaken by Attain </w:t>
      </w:r>
      <w:r w:rsidR="004440C7">
        <w:t xml:space="preserve">which is reported to the </w:t>
      </w:r>
      <w:r w:rsidR="7EEBD4FC">
        <w:t>A</w:t>
      </w:r>
      <w:r w:rsidR="004440C7">
        <w:t xml:space="preserve">udit </w:t>
      </w:r>
      <w:r w:rsidR="12BFFA97">
        <w:t>C</w:t>
      </w:r>
      <w:r w:rsidR="004440C7">
        <w:t>ommittee.</w:t>
      </w:r>
    </w:p>
    <w:p w14:paraId="0ACC1F38" w14:textId="05A38972" w:rsidR="007A2B31" w:rsidRPr="006F4E2F" w:rsidRDefault="00592960" w:rsidP="007A2B31">
      <w:pPr>
        <w:pStyle w:val="BodyText"/>
      </w:pPr>
      <w:r w:rsidRPr="00592960">
        <w:rPr>
          <w:i/>
          <w:iCs/>
        </w:rPr>
        <w:t>Arden and Greater East Midlands (AGEM) Central Support Unit (CSU)</w:t>
      </w:r>
      <w:r>
        <w:t xml:space="preserve"> provide</w:t>
      </w:r>
      <w:r w:rsidR="00763047">
        <w:t xml:space="preserve"> digital,</w:t>
      </w:r>
      <w:r>
        <w:t xml:space="preserve"> </w:t>
      </w:r>
      <w:r w:rsidR="006E7811">
        <w:t>financial and other transactional based service</w:t>
      </w:r>
      <w:r w:rsidR="008D5888">
        <w:t xml:space="preserve">s.  </w:t>
      </w:r>
      <w:r w:rsidR="007A2B31" w:rsidRPr="006F4E2F">
        <w:t xml:space="preserve">The ICB holds a monthly contract review meeting with </w:t>
      </w:r>
      <w:r w:rsidR="008D5888">
        <w:t xml:space="preserve">AGEM </w:t>
      </w:r>
      <w:r w:rsidR="007A2B31" w:rsidRPr="006F4E2F">
        <w:t>to monitor all aspects of the contract and review performance against service level agreements and key performance indicators. This includes extended services such as back-ups and business continuity planning.</w:t>
      </w:r>
    </w:p>
    <w:p w14:paraId="1A99034F" w14:textId="77777777" w:rsidR="00294FDD" w:rsidRDefault="007A2B31" w:rsidP="007A2B31">
      <w:pPr>
        <w:pStyle w:val="BodyText"/>
      </w:pPr>
      <w:r w:rsidRPr="006F4E2F">
        <w:lastRenderedPageBreak/>
        <w:t xml:space="preserve">For GPIT and Primary Care Enabling Services exceptions or escalations are reported to the Primary Care Digital Board. The Audit Committee maintains oversight of cyber security and the associated </w:t>
      </w:r>
      <w:r w:rsidR="00816AFE" w:rsidRPr="006F4E2F">
        <w:t xml:space="preserve">business continuity </w:t>
      </w:r>
      <w:r w:rsidRPr="006F4E2F">
        <w:t>planning and arrangements for maintaining corporate, operational, and clinical services in the event of a loss of either IT or data due to a cyber-attack. The ICB receives copies of all NHS Digital CareCert alerts and confirmation when AGEM has updated against them.</w:t>
      </w:r>
      <w:r w:rsidR="00625F63">
        <w:t xml:space="preserve">  </w:t>
      </w:r>
    </w:p>
    <w:p w14:paraId="53D65E7D" w14:textId="41A41CD9" w:rsidR="007A2B31" w:rsidRDefault="00625F63" w:rsidP="007A2B31">
      <w:pPr>
        <w:pStyle w:val="BodyText"/>
      </w:pPr>
      <w:r>
        <w:t>Deloitte LLP conducted the audit of the</w:t>
      </w:r>
      <w:r w:rsidR="00F2632A">
        <w:t xml:space="preserve"> Commissioning Support Unit (CSU) collaborative, which included </w:t>
      </w:r>
      <w:r w:rsidR="00294FDD">
        <w:t>AGEM regarding</w:t>
      </w:r>
      <w:r w:rsidR="00E96826">
        <w:t xml:space="preserve"> the operation of the National Calculating Quality Reporting Service (CQRS) primarily an approvals, reporting and payments calculation system for General Practitioner (GP) Practices</w:t>
      </w:r>
      <w:r w:rsidR="00A360DF">
        <w:t xml:space="preserve">.  </w:t>
      </w:r>
      <w:r w:rsidR="00E94DB0">
        <w:t>The service auditor report concluded that the description of the control environment fairly represented the organisation activities; that the controls</w:t>
      </w:r>
      <w:r w:rsidR="00D46B63">
        <w:t xml:space="preserve"> were suitably designed to provide reasonable assurance as to the achievement of control objectives; and that (limited to the controls tested) they were operating with sufficient effectiveness to provide reasonable assurance</w:t>
      </w:r>
      <w:r w:rsidR="00105F37">
        <w:t xml:space="preserve"> that those objectives were achieved.</w:t>
      </w:r>
    </w:p>
    <w:p w14:paraId="40BF74C8" w14:textId="646E3624" w:rsidR="00FB1644" w:rsidRDefault="00FB1644" w:rsidP="007A2B31">
      <w:pPr>
        <w:pStyle w:val="BodyText"/>
      </w:pPr>
      <w:r>
        <w:t>Mazar</w:t>
      </w:r>
      <w:r w:rsidR="008A56B3">
        <w:t>s LLP undertook the audit of Capita Business Services Limited who provide the Primary Care Support England (PCSE) system</w:t>
      </w:r>
      <w:r w:rsidR="00A66889">
        <w:t>;</w:t>
      </w:r>
      <w:r w:rsidR="00C157BE">
        <w:t xml:space="preserve"> </w:t>
      </w:r>
      <w:r w:rsidR="00A66889">
        <w:t>used</w:t>
      </w:r>
      <w:r w:rsidR="00C157BE">
        <w:t xml:space="preserve"> for the processing of GP, Ophthalmic and Pharmacy payments and pensions administration</w:t>
      </w:r>
      <w:r w:rsidR="00EC00B0">
        <w:t xml:space="preserve">, operated on behalf of </w:t>
      </w:r>
      <w:r w:rsidR="00F46054">
        <w:t>NHSE</w:t>
      </w:r>
      <w:r w:rsidR="00EC00B0">
        <w:t xml:space="preserve"> (and delegated to the ICB)</w:t>
      </w:r>
      <w:r w:rsidR="008A56B3">
        <w:t>.</w:t>
      </w:r>
      <w:r w:rsidR="00447763">
        <w:t xml:space="preserve">  A qualified opinion was presente</w:t>
      </w:r>
      <w:r w:rsidR="00AF50B1">
        <w:t>d</w:t>
      </w:r>
      <w:r w:rsidR="00360914">
        <w:t xml:space="preserve"> outlining that the description of control systems adequately reflected those in operation and were suitably designed to operate effectively</w:t>
      </w:r>
      <w:r w:rsidR="00C128FC">
        <w:t xml:space="preserve">.  Testing generally concluded the controls were operating effectively (limited to the controls tested).  However, </w:t>
      </w:r>
      <w:r w:rsidR="00F92F4D">
        <w:t xml:space="preserve">for one control objective relating to logical access </w:t>
      </w:r>
      <w:r w:rsidR="009102ED">
        <w:t xml:space="preserve">compliance with the control </w:t>
      </w:r>
      <w:r w:rsidR="00F92F4D">
        <w:t>could not be fully evidenced</w:t>
      </w:r>
      <w:r w:rsidR="009102ED">
        <w:t>.</w:t>
      </w:r>
      <w:r w:rsidR="00A66889">
        <w:t xml:space="preserve">  </w:t>
      </w:r>
      <w:r w:rsidR="00F46054">
        <w:t>NHSE</w:t>
      </w:r>
      <w:r w:rsidR="00A66889">
        <w:t xml:space="preserve"> provided a letter of assurance to the ICB that the measures were in place to work with Capita regarding any control issues identified and that there continued to be improvement</w:t>
      </w:r>
      <w:r w:rsidR="00F52661">
        <w:t>s within the operation of their systems and the outcomes of service auditor reports over recent years.</w:t>
      </w:r>
    </w:p>
    <w:p w14:paraId="285E6B58" w14:textId="2D8AB054" w:rsidR="00E51C46" w:rsidRDefault="00E10E84" w:rsidP="007A2B31">
      <w:pPr>
        <w:pStyle w:val="BodyText"/>
      </w:pPr>
      <w:r w:rsidRPr="00ED41B9">
        <w:t>NHS Shared Business Services</w:t>
      </w:r>
      <w:r w:rsidR="00C77D2A" w:rsidRPr="00ED41B9">
        <w:t xml:space="preserve"> Limited (NHS SBS) provides finance and accounting services to the ICB</w:t>
      </w:r>
      <w:r w:rsidR="00D7477B" w:rsidRPr="00ED41B9">
        <w:t>.  Price</w:t>
      </w:r>
      <w:r w:rsidR="00367ED3" w:rsidRPr="00ED41B9">
        <w:t>w</w:t>
      </w:r>
      <w:r w:rsidR="00D7477B" w:rsidRPr="00ED41B9">
        <w:t>ater</w:t>
      </w:r>
      <w:r w:rsidR="00367ED3" w:rsidRPr="00ED41B9">
        <w:t>h</w:t>
      </w:r>
      <w:r w:rsidR="00D7477B" w:rsidRPr="00ED41B9">
        <w:t xml:space="preserve">ouseCoopers </w:t>
      </w:r>
      <w:r w:rsidR="00367ED3" w:rsidRPr="00ED41B9">
        <w:t>LLP undertook the</w:t>
      </w:r>
      <w:r w:rsidR="005E2C6F" w:rsidRPr="00ED41B9">
        <w:t xml:space="preserve"> </w:t>
      </w:r>
      <w:r w:rsidR="00F6711F" w:rsidRPr="00ED41B9">
        <w:t>independent audit of the control environment within SBS and concluded that (notwithstanding the operation of carved-out subservice organisation</w:t>
      </w:r>
      <w:r w:rsidR="004E0644" w:rsidRPr="00ED41B9">
        <w:t>s</w:t>
      </w:r>
      <w:r w:rsidR="00F6711F" w:rsidRPr="00ED41B9">
        <w:t>, that were not included within the audit)</w:t>
      </w:r>
      <w:r w:rsidR="004E0644" w:rsidRPr="00ED41B9">
        <w:t xml:space="preserve"> the description of controls set out within the report by SBS fairly represented th</w:t>
      </w:r>
      <w:r w:rsidR="00E43C75" w:rsidRPr="00ED41B9">
        <w:t>e finance and accounting services during the period; that controls were suitably designed to provide reasonable assurance</w:t>
      </w:r>
      <w:r w:rsidR="00613FB9" w:rsidRPr="00ED41B9">
        <w:t>;</w:t>
      </w:r>
      <w:r w:rsidR="00CC56FD" w:rsidRPr="00ED41B9">
        <w:t xml:space="preserve"> and that </w:t>
      </w:r>
      <w:r w:rsidR="00613FB9" w:rsidRPr="00ED41B9">
        <w:t>(</w:t>
      </w:r>
      <w:r w:rsidR="00CC56FD" w:rsidRPr="00ED41B9">
        <w:t>limited to the controls tested</w:t>
      </w:r>
      <w:r w:rsidR="00613FB9" w:rsidRPr="00ED41B9">
        <w:t>) they</w:t>
      </w:r>
      <w:r w:rsidR="00CC56FD" w:rsidRPr="00ED41B9">
        <w:t xml:space="preserve"> were operating effectively during the year to achieve their objective.</w:t>
      </w:r>
      <w:r w:rsidR="00C77D2A" w:rsidRPr="00ED41B9">
        <w:t xml:space="preserve"> </w:t>
      </w:r>
    </w:p>
    <w:p w14:paraId="3C2594A5" w14:textId="1ADD0D61" w:rsidR="003C3E69" w:rsidRDefault="00463F7B" w:rsidP="007A2B31">
      <w:pPr>
        <w:pStyle w:val="BodyText"/>
      </w:pPr>
      <w:r>
        <w:t>Grant Thornton UK LLP undertook the independent audit of NHS SBS in relation to the prescription payments process system operated on behalf of the ICB</w:t>
      </w:r>
      <w:r w:rsidR="00337D78">
        <w:t xml:space="preserve"> and relevant to</w:t>
      </w:r>
      <w:r w:rsidR="00B2044B">
        <w:t xml:space="preserve"> controls over financial reporting</w:t>
      </w:r>
      <w:r>
        <w:t>.</w:t>
      </w:r>
      <w:r w:rsidR="00B2044B">
        <w:t xml:space="preserve">  </w:t>
      </w:r>
      <w:r w:rsidR="00E6153A">
        <w:t>Subservice organisations were excluded from the audit.</w:t>
      </w:r>
      <w:r w:rsidR="001B2E39">
        <w:t xml:space="preserve">  </w:t>
      </w:r>
      <w:r w:rsidR="00FA2355">
        <w:t xml:space="preserve">Sufficient evidence was obtained to provide a reasonable basis for their opinion that </w:t>
      </w:r>
      <w:r w:rsidR="00420928">
        <w:t xml:space="preserve">controls were </w:t>
      </w:r>
      <w:r w:rsidR="00BB2547">
        <w:t xml:space="preserve">suitably </w:t>
      </w:r>
      <w:r w:rsidR="00420928">
        <w:t>designed and implemented throughout the period; that</w:t>
      </w:r>
      <w:r w:rsidR="00BB2547">
        <w:t xml:space="preserve"> those controls were operated effectively during the period.</w:t>
      </w:r>
    </w:p>
    <w:p w14:paraId="1DD24AE6" w14:textId="1157A7FC" w:rsidR="002C10FB" w:rsidRPr="006F4E2F" w:rsidRDefault="00DF7188" w:rsidP="007A2B31">
      <w:pPr>
        <w:pStyle w:val="BodyText"/>
      </w:pPr>
      <w:r>
        <w:t xml:space="preserve">NHS Business Services Authority also </w:t>
      </w:r>
      <w:r w:rsidR="00CF79B9">
        <w:t xml:space="preserve">provides the Dental Payments Process system, that underwent an independent service audit by Grant Thornton UK LLP.  </w:t>
      </w:r>
      <w:r w:rsidR="00C77633">
        <w:t>The audit report concluded that in all material respects</w:t>
      </w:r>
      <w:r w:rsidR="003A70F3">
        <w:t xml:space="preserve">, limited to the controls and testing undertaken, </w:t>
      </w:r>
      <w:r w:rsidR="00E7096F">
        <w:t xml:space="preserve">there was reasonable assurance that </w:t>
      </w:r>
      <w:r w:rsidR="003A70F3">
        <w:t>the description of controls fairly</w:t>
      </w:r>
      <w:r w:rsidR="00810C4E">
        <w:t xml:space="preserve"> represent</w:t>
      </w:r>
      <w:r w:rsidR="00E7096F">
        <w:t>ed</w:t>
      </w:r>
      <w:r w:rsidR="00810C4E">
        <w:t xml:space="preserve"> that operated during the year, that the control objectives were suitably designed and operated effectively</w:t>
      </w:r>
      <w:r w:rsidR="00E7096F">
        <w:t xml:space="preserve"> to achieve their objectives.</w:t>
      </w:r>
      <w:r>
        <w:t xml:space="preserve"> </w:t>
      </w:r>
    </w:p>
    <w:p w14:paraId="62572A66" w14:textId="2F6207A8" w:rsidR="007A2B31" w:rsidRPr="002376B0" w:rsidRDefault="007A2B31" w:rsidP="007A2B31">
      <w:pPr>
        <w:pStyle w:val="Heading4"/>
      </w:pPr>
      <w:bookmarkStart w:id="98" w:name="Control_Issues"/>
      <w:bookmarkEnd w:id="98"/>
      <w:r w:rsidRPr="002376B0">
        <w:lastRenderedPageBreak/>
        <w:t xml:space="preserve">Control </w:t>
      </w:r>
      <w:r w:rsidR="6254E7D4">
        <w:t>i</w:t>
      </w:r>
      <w:r w:rsidRPr="002376B0">
        <w:t>ssues</w:t>
      </w:r>
      <w:r w:rsidR="00E51C46">
        <w:t xml:space="preserve"> </w:t>
      </w:r>
    </w:p>
    <w:p w14:paraId="08E82B3A" w14:textId="77777777" w:rsidR="007A2B31" w:rsidRPr="00A478FB" w:rsidRDefault="007A2B31" w:rsidP="007A2B31">
      <w:pPr>
        <w:pStyle w:val="BodyText"/>
      </w:pPr>
      <w:r w:rsidRPr="00A478FB">
        <w:t>There were no specific control issues identified through internal assurance or internal audit reviews that undermine the integrity or reputation of the ICB or wider NHS.</w:t>
      </w:r>
    </w:p>
    <w:p w14:paraId="1B9F4E53" w14:textId="5BE726F0" w:rsidR="007A2B31" w:rsidRPr="002376B0" w:rsidRDefault="007A2B31" w:rsidP="007A2B31">
      <w:pPr>
        <w:pStyle w:val="BodyText"/>
      </w:pPr>
      <w:r w:rsidRPr="002376B0">
        <w:t xml:space="preserve">The following performance issues were identified by the ICB during the year and </w:t>
      </w:r>
      <w:r w:rsidR="008C2322">
        <w:t>we</w:t>
      </w:r>
      <w:r w:rsidRPr="002376B0">
        <w:t>re being managed as follows:</w:t>
      </w:r>
    </w:p>
    <w:p w14:paraId="2F450E97" w14:textId="2C225F7C" w:rsidR="007A2B31" w:rsidRPr="004503C4" w:rsidRDefault="007A2B31" w:rsidP="007A2B31">
      <w:pPr>
        <w:pStyle w:val="BodyText"/>
        <w:rPr>
          <w:rFonts w:ascii="Symbol" w:hAnsi="Symbol" w:cs="Symbol"/>
          <w:color w:val="000000"/>
          <w:highlight w:val="cyan"/>
        </w:rPr>
      </w:pPr>
      <w:r w:rsidRPr="00C47946">
        <w:rPr>
          <w:b/>
        </w:rPr>
        <w:t xml:space="preserve">Ambulance Services – </w:t>
      </w:r>
      <w:r w:rsidRPr="00C47946">
        <w:t>An</w:t>
      </w:r>
      <w:r w:rsidRPr="00314BC2">
        <w:t xml:space="preserve"> </w:t>
      </w:r>
      <w:r w:rsidR="67B8E3A6">
        <w:t>a</w:t>
      </w:r>
      <w:r w:rsidRPr="00314BC2">
        <w:t xml:space="preserve">mbulance handover recovery plan </w:t>
      </w:r>
      <w:r w:rsidR="00557D79">
        <w:t>wa</w:t>
      </w:r>
      <w:r w:rsidRPr="00314BC2">
        <w:t xml:space="preserve">s in place, overseen by the ICB Transformation and Improvement </w:t>
      </w:r>
      <w:r w:rsidR="00557D79">
        <w:t>Urgent Emergency Care (</w:t>
      </w:r>
      <w:r w:rsidRPr="00314BC2">
        <w:t>UEC</w:t>
      </w:r>
      <w:r w:rsidR="00557D79">
        <w:t>)</w:t>
      </w:r>
      <w:r w:rsidRPr="00314BC2">
        <w:t xml:space="preserve"> Board. Twice daily system calls </w:t>
      </w:r>
      <w:r w:rsidR="0067015D">
        <w:t>we</w:t>
      </w:r>
      <w:r w:rsidR="00C47946">
        <w:t xml:space="preserve">re </w:t>
      </w:r>
      <w:r w:rsidRPr="00314BC2">
        <w:t xml:space="preserve">held with EEAST and MSEFT via the system control centre. The </w:t>
      </w:r>
      <w:r w:rsidR="00CF365A">
        <w:t xml:space="preserve">SOAC </w:t>
      </w:r>
      <w:r w:rsidR="00314BC2" w:rsidRPr="00314BC2">
        <w:t>receive</w:t>
      </w:r>
      <w:r w:rsidR="00042E95">
        <w:t>d</w:t>
      </w:r>
      <w:r w:rsidRPr="00314BC2">
        <w:t xml:space="preserve"> the performance and actions being undertaken to mitigate performance risks. Significant progress ha</w:t>
      </w:r>
      <w:r w:rsidR="00704303">
        <w:t>d</w:t>
      </w:r>
      <w:r w:rsidRPr="00314BC2">
        <w:t xml:space="preserve"> been made to recover </w:t>
      </w:r>
      <w:r w:rsidR="09581AF3">
        <w:t>a</w:t>
      </w:r>
      <w:r w:rsidRPr="00314BC2">
        <w:t>mbulance performance by working closely with system partners</w:t>
      </w:r>
      <w:r w:rsidR="00F327FA">
        <w:t xml:space="preserve">. </w:t>
      </w:r>
      <w:r w:rsidR="001C7019">
        <w:t>D</w:t>
      </w:r>
      <w:r w:rsidR="00314BC2" w:rsidRPr="00314BC2">
        <w:t>uring January 2024</w:t>
      </w:r>
      <w:r>
        <w:t xml:space="preserve"> performance </w:t>
      </w:r>
      <w:r w:rsidR="002C3B11">
        <w:t>improved</w:t>
      </w:r>
      <w:r w:rsidR="00314BC2" w:rsidRPr="00314BC2">
        <w:t xml:space="preserve"> by 4.91%, with further improvement in February </w:t>
      </w:r>
      <w:r w:rsidR="00F327FA">
        <w:t xml:space="preserve">2024 </w:t>
      </w:r>
      <w:r w:rsidR="00314BC2" w:rsidRPr="00314BC2">
        <w:t>by 6.14%.  The improvement ha</w:t>
      </w:r>
      <w:r w:rsidR="00704303">
        <w:t>d</w:t>
      </w:r>
      <w:r w:rsidR="00314BC2" w:rsidRPr="00314BC2">
        <w:t xml:space="preserve"> been driven by collaborative working from system partners </w:t>
      </w:r>
      <w:r w:rsidR="00704303">
        <w:t>implementing</w:t>
      </w:r>
      <w:r w:rsidR="00314BC2" w:rsidRPr="00314BC2">
        <w:t xml:space="preserve"> interventions and </w:t>
      </w:r>
      <w:r w:rsidR="00704303">
        <w:t xml:space="preserve">improvement </w:t>
      </w:r>
      <w:r w:rsidR="00314BC2" w:rsidRPr="00314BC2">
        <w:t>schemes, and</w:t>
      </w:r>
      <w:r w:rsidR="00F21FDE">
        <w:t xml:space="preserve"> an</w:t>
      </w:r>
      <w:r w:rsidR="00E23C48">
        <w:t xml:space="preserve"> </w:t>
      </w:r>
      <w:r w:rsidR="00314BC2" w:rsidRPr="00314BC2">
        <w:t>increased escalation process</w:t>
      </w:r>
      <w:r w:rsidRPr="00314BC2">
        <w:t>.</w:t>
      </w:r>
    </w:p>
    <w:p w14:paraId="4347EA45" w14:textId="778459B7" w:rsidR="007A2B31" w:rsidRPr="000964C0" w:rsidRDefault="007A2B31" w:rsidP="007A2B31">
      <w:pPr>
        <w:pStyle w:val="BodyText"/>
        <w:rPr>
          <w:rFonts w:ascii="Symbol" w:hAnsi="Symbol" w:cs="Symbol"/>
          <w:color w:val="000000" w:themeColor="text1"/>
        </w:rPr>
      </w:pPr>
      <w:r w:rsidRPr="000964C0">
        <w:rPr>
          <w:b/>
          <w:bCs/>
        </w:rPr>
        <w:t xml:space="preserve">Performance against </w:t>
      </w:r>
      <w:r w:rsidR="73C18069" w:rsidRPr="000964C0">
        <w:rPr>
          <w:b/>
          <w:bCs/>
        </w:rPr>
        <w:t>c</w:t>
      </w:r>
      <w:r w:rsidRPr="000964C0">
        <w:rPr>
          <w:b/>
          <w:bCs/>
        </w:rPr>
        <w:t xml:space="preserve">ancer </w:t>
      </w:r>
      <w:r w:rsidR="49A00824" w:rsidRPr="000964C0">
        <w:rPr>
          <w:b/>
          <w:bCs/>
        </w:rPr>
        <w:t>c</w:t>
      </w:r>
      <w:r w:rsidRPr="000964C0">
        <w:rPr>
          <w:b/>
          <w:bCs/>
        </w:rPr>
        <w:t>onstitutional</w:t>
      </w:r>
      <w:r w:rsidR="000964C0" w:rsidRPr="000964C0">
        <w:rPr>
          <w:b/>
          <w:bCs/>
        </w:rPr>
        <w:t xml:space="preserve"> </w:t>
      </w:r>
      <w:r w:rsidR="4881491D" w:rsidRPr="000964C0">
        <w:rPr>
          <w:b/>
          <w:bCs/>
        </w:rPr>
        <w:t>s</w:t>
      </w:r>
      <w:r w:rsidRPr="000964C0">
        <w:rPr>
          <w:b/>
          <w:bCs/>
        </w:rPr>
        <w:t xml:space="preserve">tandards – </w:t>
      </w:r>
      <w:r w:rsidR="2303B35B" w:rsidRPr="004F4931">
        <w:t>a</w:t>
      </w:r>
      <w:r w:rsidRPr="000964C0">
        <w:t xml:space="preserve"> </w:t>
      </w:r>
      <w:r w:rsidR="503E3EC8" w:rsidRPr="000964C0">
        <w:t>r</w:t>
      </w:r>
      <w:r w:rsidRPr="000964C0">
        <w:t xml:space="preserve">ecovery </w:t>
      </w:r>
      <w:r w:rsidR="61AE86D7" w:rsidRPr="000964C0">
        <w:t>p</w:t>
      </w:r>
      <w:r w:rsidRPr="000964C0">
        <w:t xml:space="preserve">lan </w:t>
      </w:r>
      <w:r w:rsidR="009C4A6B" w:rsidRPr="000964C0">
        <w:t>wa</w:t>
      </w:r>
      <w:r w:rsidRPr="000964C0">
        <w:t>s in place with oversight via the ICB Transformation and Improvement Cancer Board</w:t>
      </w:r>
      <w:r w:rsidR="00651383" w:rsidRPr="000964C0">
        <w:t>, reporting</w:t>
      </w:r>
      <w:r w:rsidRPr="000964C0">
        <w:t xml:space="preserve"> performance and escalation</w:t>
      </w:r>
      <w:r w:rsidR="00651383" w:rsidRPr="000964C0">
        <w:t>s</w:t>
      </w:r>
      <w:r w:rsidRPr="000964C0">
        <w:t xml:space="preserve"> to SOAC. </w:t>
      </w:r>
      <w:r w:rsidR="00E553AE" w:rsidRPr="000964C0">
        <w:t>Representatives from th</w:t>
      </w:r>
      <w:r w:rsidRPr="000964C0">
        <w:t xml:space="preserve">e </w:t>
      </w:r>
      <w:r w:rsidR="3905E961" w:rsidRPr="000964C0">
        <w:t>s</w:t>
      </w:r>
      <w:r w:rsidRPr="000964C0">
        <w:t>ystem attend</w:t>
      </w:r>
      <w:r w:rsidR="002B2AEF" w:rsidRPr="000964C0">
        <w:t>ed</w:t>
      </w:r>
      <w:r w:rsidRPr="000964C0">
        <w:t xml:space="preserve"> the </w:t>
      </w:r>
      <w:r w:rsidR="51532073" w:rsidRPr="000964C0">
        <w:t>n</w:t>
      </w:r>
      <w:r w:rsidRPr="000964C0">
        <w:t xml:space="preserve">ational </w:t>
      </w:r>
      <w:r w:rsidR="1B0719C6" w:rsidRPr="000964C0">
        <w:t>t</w:t>
      </w:r>
      <w:r w:rsidRPr="000964C0">
        <w:t xml:space="preserve">ier 1 meetings </w:t>
      </w:r>
      <w:r w:rsidR="002B2AEF" w:rsidRPr="000964C0">
        <w:t>(</w:t>
      </w:r>
      <w:r w:rsidR="00E553AE" w:rsidRPr="000964C0">
        <w:t xml:space="preserve">every two weeks) </w:t>
      </w:r>
      <w:r w:rsidRPr="000964C0">
        <w:t xml:space="preserve">chaired by </w:t>
      </w:r>
      <w:r w:rsidR="002B2AEF" w:rsidRPr="000964C0">
        <w:t xml:space="preserve">the </w:t>
      </w:r>
      <w:r w:rsidR="60B0C546" w:rsidRPr="000964C0">
        <w:t>r</w:t>
      </w:r>
      <w:r w:rsidRPr="000964C0">
        <w:t xml:space="preserve">egional </w:t>
      </w:r>
      <w:r w:rsidR="29917A11" w:rsidRPr="000964C0">
        <w:t>t</w:t>
      </w:r>
      <w:r w:rsidRPr="000964C0">
        <w:t xml:space="preserve">eam </w:t>
      </w:r>
      <w:r w:rsidR="00E553AE" w:rsidRPr="000964C0">
        <w:t xml:space="preserve">who were </w:t>
      </w:r>
      <w:r w:rsidRPr="000964C0">
        <w:t>overseeing performance improvements and 62-day recovery</w:t>
      </w:r>
      <w:r w:rsidR="0031285E" w:rsidRPr="000964C0">
        <w:t xml:space="preserve"> targets</w:t>
      </w:r>
      <w:r w:rsidRPr="000964C0">
        <w:t xml:space="preserve">. 62-day recovery </w:t>
      </w:r>
      <w:r w:rsidR="0031285E" w:rsidRPr="000964C0">
        <w:t>wa</w:t>
      </w:r>
      <w:r w:rsidRPr="000964C0">
        <w:t xml:space="preserve">s part of the MSEFT </w:t>
      </w:r>
      <w:r w:rsidR="100616D2" w:rsidRPr="000964C0">
        <w:t>u</w:t>
      </w:r>
      <w:r w:rsidRPr="000964C0">
        <w:t>ndertakings and has a separate focu</w:t>
      </w:r>
      <w:r w:rsidR="681BE919" w:rsidRPr="000964C0">
        <w:t>s</w:t>
      </w:r>
      <w:r w:rsidRPr="000964C0">
        <w:t xml:space="preserve">sed SOAC meeting to ensure </w:t>
      </w:r>
      <w:r w:rsidR="009044C8" w:rsidRPr="000964C0">
        <w:t xml:space="preserve">continued </w:t>
      </w:r>
      <w:r w:rsidRPr="000964C0">
        <w:t xml:space="preserve">momentum and </w:t>
      </w:r>
      <w:r w:rsidR="00971C04" w:rsidRPr="000964C0">
        <w:t xml:space="preserve">review </w:t>
      </w:r>
      <w:r w:rsidRPr="000964C0">
        <w:t xml:space="preserve">progress to recover </w:t>
      </w:r>
      <w:r w:rsidR="0031285E" w:rsidRPr="000964C0">
        <w:t xml:space="preserve">performance against the </w:t>
      </w:r>
      <w:r w:rsidRPr="000964C0">
        <w:t>62</w:t>
      </w:r>
      <w:r w:rsidR="0031285E" w:rsidRPr="000964C0">
        <w:t>-</w:t>
      </w:r>
      <w:r w:rsidRPr="000964C0">
        <w:t xml:space="preserve">day </w:t>
      </w:r>
      <w:r w:rsidR="0031285E" w:rsidRPr="000964C0">
        <w:t>target</w:t>
      </w:r>
      <w:r w:rsidR="00971C04" w:rsidRPr="000964C0">
        <w:t xml:space="preserve">; </w:t>
      </w:r>
      <w:r w:rsidR="003611AF" w:rsidRPr="000964C0">
        <w:t xml:space="preserve">ensuring the trajectory is on track without deterioration or </w:t>
      </w:r>
      <w:r w:rsidRPr="000964C0">
        <w:t>sustain</w:t>
      </w:r>
      <w:r w:rsidR="00971C04" w:rsidRPr="000964C0">
        <w:t>ing</w:t>
      </w:r>
      <w:r w:rsidRPr="000964C0">
        <w:t xml:space="preserve"> recovery when achieved.  Real progress ha</w:t>
      </w:r>
      <w:r w:rsidR="00033866" w:rsidRPr="000964C0">
        <w:t>d</w:t>
      </w:r>
      <w:r w:rsidRPr="000964C0">
        <w:t xml:space="preserve"> been made </w:t>
      </w:r>
      <w:r w:rsidR="00033866" w:rsidRPr="000964C0">
        <w:t>in</w:t>
      </w:r>
      <w:r w:rsidRPr="000964C0">
        <w:t xml:space="preserve"> year, which </w:t>
      </w:r>
      <w:r w:rsidR="00033866" w:rsidRPr="000964C0">
        <w:t>wa</w:t>
      </w:r>
      <w:r w:rsidRPr="000964C0">
        <w:t>s expected to continue into</w:t>
      </w:r>
      <w:r w:rsidRPr="000964C0">
        <w:rPr>
          <w:spacing w:val="1"/>
        </w:rPr>
        <w:t xml:space="preserve"> </w:t>
      </w:r>
      <w:r w:rsidRPr="000964C0">
        <w:t>202</w:t>
      </w:r>
      <w:r w:rsidR="00033866" w:rsidRPr="000964C0">
        <w:t>4</w:t>
      </w:r>
      <w:r w:rsidRPr="000964C0">
        <w:t>/2</w:t>
      </w:r>
      <w:r w:rsidR="00033866" w:rsidRPr="000964C0">
        <w:t>5</w:t>
      </w:r>
      <w:r w:rsidRPr="000964C0">
        <w:t>.</w:t>
      </w:r>
    </w:p>
    <w:p w14:paraId="660E7347" w14:textId="2A1F1711" w:rsidR="007A2B31" w:rsidRPr="000964C0" w:rsidRDefault="007A2B31" w:rsidP="007A2B31">
      <w:pPr>
        <w:pStyle w:val="BodyText"/>
        <w:rPr>
          <w:rFonts w:ascii="Symbol" w:hAnsi="Symbol" w:cs="Symbol"/>
          <w:color w:val="000000"/>
        </w:rPr>
      </w:pPr>
      <w:r w:rsidRPr="000964C0">
        <w:rPr>
          <w:b/>
          <w:bCs/>
        </w:rPr>
        <w:t xml:space="preserve">Elective </w:t>
      </w:r>
      <w:r w:rsidR="1E91EAA0" w:rsidRPr="000964C0">
        <w:rPr>
          <w:b/>
          <w:bCs/>
        </w:rPr>
        <w:t>r</w:t>
      </w:r>
      <w:r w:rsidRPr="000964C0">
        <w:rPr>
          <w:b/>
          <w:bCs/>
        </w:rPr>
        <w:t>ecovery</w:t>
      </w:r>
      <w:r w:rsidR="0B3D98AF" w:rsidRPr="000964C0">
        <w:rPr>
          <w:b/>
          <w:bCs/>
        </w:rPr>
        <w:t xml:space="preserve"> – </w:t>
      </w:r>
      <w:r w:rsidR="0B3D98AF" w:rsidRPr="004F4931">
        <w:t>a</w:t>
      </w:r>
      <w:r w:rsidRPr="004F4931">
        <w:t xml:space="preserve"> </w:t>
      </w:r>
      <w:r w:rsidR="004F4931" w:rsidRPr="004F4931">
        <w:t>r</w:t>
      </w:r>
      <w:r w:rsidRPr="000964C0">
        <w:t xml:space="preserve">ecovery plan </w:t>
      </w:r>
      <w:r w:rsidR="00DF4BCA" w:rsidRPr="000964C0">
        <w:t>wa</w:t>
      </w:r>
      <w:r w:rsidRPr="000964C0">
        <w:t xml:space="preserve">s in place with oversight via the ICB Transformation and Improvement Elective Board which reports performance and escalation to SOAC. </w:t>
      </w:r>
      <w:r w:rsidR="00B828A9" w:rsidRPr="000964C0">
        <w:t>Representatives from t</w:t>
      </w:r>
      <w:r w:rsidRPr="000964C0">
        <w:t xml:space="preserve">he </w:t>
      </w:r>
      <w:r w:rsidR="77450886" w:rsidRPr="000964C0">
        <w:t>s</w:t>
      </w:r>
      <w:r w:rsidRPr="000964C0">
        <w:t>ystem attend</w:t>
      </w:r>
      <w:r w:rsidR="00B828A9" w:rsidRPr="000964C0">
        <w:t>ed</w:t>
      </w:r>
      <w:r w:rsidRPr="000964C0">
        <w:t xml:space="preserve"> the </w:t>
      </w:r>
      <w:r w:rsidR="55EA844C" w:rsidRPr="000964C0">
        <w:t>n</w:t>
      </w:r>
      <w:r w:rsidRPr="000964C0">
        <w:t xml:space="preserve">ational </w:t>
      </w:r>
      <w:r w:rsidR="5E28ECA7" w:rsidRPr="000964C0">
        <w:t>t</w:t>
      </w:r>
      <w:r w:rsidRPr="000964C0">
        <w:t xml:space="preserve">ier 1 meetings </w:t>
      </w:r>
      <w:r w:rsidR="00B828A9" w:rsidRPr="000964C0">
        <w:t>(</w:t>
      </w:r>
      <w:r w:rsidR="00565C0A" w:rsidRPr="000964C0">
        <w:t xml:space="preserve">every two weeks) </w:t>
      </w:r>
      <w:r w:rsidRPr="000964C0">
        <w:t xml:space="preserve">chaired by the </w:t>
      </w:r>
      <w:r w:rsidR="54981501" w:rsidRPr="000964C0">
        <w:t>r</w:t>
      </w:r>
      <w:r w:rsidRPr="000964C0">
        <w:t xml:space="preserve">egional </w:t>
      </w:r>
      <w:r w:rsidR="45BDFAAC" w:rsidRPr="000964C0">
        <w:t>t</w:t>
      </w:r>
      <w:r w:rsidRPr="000964C0">
        <w:t>eam overseeing performance improvements and 78</w:t>
      </w:r>
      <w:r w:rsidR="00AB620D">
        <w:t>-</w:t>
      </w:r>
      <w:r w:rsidRPr="000964C0">
        <w:t>week wait recovery. 52</w:t>
      </w:r>
      <w:r w:rsidR="00AB620D">
        <w:t>-</w:t>
      </w:r>
      <w:r w:rsidRPr="000964C0">
        <w:t xml:space="preserve">week wait recovery is part of the MSEFT </w:t>
      </w:r>
      <w:r w:rsidR="21E1F6C7" w:rsidRPr="000964C0">
        <w:t>u</w:t>
      </w:r>
      <w:r w:rsidRPr="000964C0">
        <w:t>ndertakings which ha</w:t>
      </w:r>
      <w:r w:rsidR="00B841E3" w:rsidRPr="000964C0">
        <w:t>d</w:t>
      </w:r>
      <w:r w:rsidRPr="000964C0">
        <w:t xml:space="preserve"> a separate focussed SOAC meeting to ensure </w:t>
      </w:r>
      <w:r w:rsidR="00B841E3" w:rsidRPr="000964C0">
        <w:t xml:space="preserve">continued </w:t>
      </w:r>
      <w:r w:rsidRPr="000964C0">
        <w:t xml:space="preserve">momentum and </w:t>
      </w:r>
      <w:r w:rsidR="00B841E3" w:rsidRPr="000964C0">
        <w:t xml:space="preserve">oversee </w:t>
      </w:r>
      <w:r w:rsidRPr="000964C0">
        <w:t>sustainable recovery.</w:t>
      </w:r>
    </w:p>
    <w:p w14:paraId="12EEA845" w14:textId="2D309E15" w:rsidR="007A2B31" w:rsidRPr="000964C0" w:rsidRDefault="007A2B31" w:rsidP="007A2B31">
      <w:pPr>
        <w:pStyle w:val="BodyText"/>
        <w:rPr>
          <w:sz w:val="20"/>
          <w:szCs w:val="20"/>
        </w:rPr>
      </w:pPr>
      <w:r w:rsidRPr="000964C0">
        <w:rPr>
          <w:b/>
          <w:bCs/>
        </w:rPr>
        <w:t xml:space="preserve">System </w:t>
      </w:r>
      <w:r w:rsidR="4D922551" w:rsidRPr="000964C0">
        <w:rPr>
          <w:b/>
          <w:bCs/>
        </w:rPr>
        <w:t>f</w:t>
      </w:r>
      <w:r w:rsidRPr="000964C0">
        <w:rPr>
          <w:b/>
          <w:bCs/>
        </w:rPr>
        <w:t xml:space="preserve">inancial </w:t>
      </w:r>
      <w:r w:rsidR="29DBD03A" w:rsidRPr="000964C0">
        <w:rPr>
          <w:b/>
          <w:bCs/>
        </w:rPr>
        <w:t>p</w:t>
      </w:r>
      <w:r w:rsidRPr="000964C0">
        <w:rPr>
          <w:b/>
          <w:bCs/>
        </w:rPr>
        <w:t xml:space="preserve">erformance - </w:t>
      </w:r>
      <w:r w:rsidR="7800E989" w:rsidRPr="00122CA2">
        <w:t>t</w:t>
      </w:r>
      <w:r w:rsidRPr="000964C0">
        <w:t xml:space="preserve">he system invoked the forecast outturn protocol process and consequently agreed a revised financial position with </w:t>
      </w:r>
      <w:r w:rsidR="00F46054">
        <w:t>NHSE</w:t>
      </w:r>
      <w:r w:rsidRPr="000964C0">
        <w:t xml:space="preserve">, noting that the ICB itself will maintain its break-even position. </w:t>
      </w:r>
      <w:r w:rsidR="00CD33DC" w:rsidRPr="000964C0">
        <w:t>A ‘triple lock’ process was instigated at the end of the year</w:t>
      </w:r>
      <w:r w:rsidR="003A69E1" w:rsidRPr="000964C0">
        <w:t xml:space="preserve"> to increase financial scrutiny, which required certain financial decisions to be referred to and overseen by </w:t>
      </w:r>
      <w:r w:rsidR="00F46054">
        <w:t>NHSE</w:t>
      </w:r>
      <w:r w:rsidR="003A69E1" w:rsidRPr="000964C0">
        <w:t xml:space="preserve">.  </w:t>
      </w:r>
      <w:r w:rsidRPr="000964C0">
        <w:t>System financial performance will therefore be a focus of the work of the ICB and partner organisations during 202</w:t>
      </w:r>
      <w:r w:rsidR="005F01BB" w:rsidRPr="000964C0">
        <w:t>4</w:t>
      </w:r>
      <w:r w:rsidRPr="000964C0">
        <w:t>/2</w:t>
      </w:r>
      <w:r w:rsidR="005F01BB" w:rsidRPr="000964C0">
        <w:t>5</w:t>
      </w:r>
      <w:r w:rsidRPr="000964C0">
        <w:t>, with robust governance around decision making to manage the financial position going</w:t>
      </w:r>
      <w:r w:rsidRPr="000964C0">
        <w:rPr>
          <w:spacing w:val="-6"/>
        </w:rPr>
        <w:t xml:space="preserve"> </w:t>
      </w:r>
      <w:r w:rsidRPr="000964C0">
        <w:t>forward.</w:t>
      </w:r>
    </w:p>
    <w:p w14:paraId="68BA129D" w14:textId="6145D8B9" w:rsidR="007A2B31" w:rsidRPr="000964C0" w:rsidRDefault="007A2B31" w:rsidP="007A2B31">
      <w:pPr>
        <w:pStyle w:val="BodyText"/>
        <w:rPr>
          <w:rFonts w:ascii="Symbol" w:hAnsi="Symbol" w:cs="Symbol"/>
          <w:color w:val="000000"/>
        </w:rPr>
      </w:pPr>
      <w:r w:rsidRPr="000964C0">
        <w:rPr>
          <w:b/>
          <w:bCs/>
        </w:rPr>
        <w:t xml:space="preserve">Mental </w:t>
      </w:r>
      <w:r w:rsidR="5099DD94" w:rsidRPr="000964C0">
        <w:rPr>
          <w:b/>
          <w:bCs/>
        </w:rPr>
        <w:t>h</w:t>
      </w:r>
      <w:r w:rsidRPr="000964C0">
        <w:rPr>
          <w:b/>
          <w:bCs/>
        </w:rPr>
        <w:t xml:space="preserve">ealth </w:t>
      </w:r>
      <w:r w:rsidRPr="000964C0">
        <w:t xml:space="preserve">– </w:t>
      </w:r>
      <w:r w:rsidR="43919A1B" w:rsidRPr="000964C0">
        <w:t>f</w:t>
      </w:r>
      <w:r w:rsidRPr="000964C0">
        <w:t xml:space="preserve">ollowing </w:t>
      </w:r>
      <w:r w:rsidR="007D095B" w:rsidRPr="000964C0">
        <w:t xml:space="preserve">a </w:t>
      </w:r>
      <w:r w:rsidRPr="000964C0">
        <w:t xml:space="preserve">CQC inspection, </w:t>
      </w:r>
      <w:r w:rsidR="12E7F32F" w:rsidRPr="000964C0">
        <w:t>r</w:t>
      </w:r>
      <w:r w:rsidRPr="000964C0">
        <w:t xml:space="preserve">apid </w:t>
      </w:r>
      <w:r w:rsidR="5051AA26" w:rsidRPr="000964C0">
        <w:t>r</w:t>
      </w:r>
      <w:r w:rsidRPr="000964C0">
        <w:t xml:space="preserve">isk </w:t>
      </w:r>
      <w:r w:rsidR="5E763BBF" w:rsidRPr="000964C0">
        <w:t>r</w:t>
      </w:r>
      <w:r w:rsidRPr="000964C0">
        <w:t xml:space="preserve">eview, and establishment of the Essex </w:t>
      </w:r>
      <w:r w:rsidR="40B59588" w:rsidRPr="000964C0">
        <w:t>m</w:t>
      </w:r>
      <w:r w:rsidRPr="000964C0">
        <w:t xml:space="preserve">ental </w:t>
      </w:r>
      <w:r w:rsidR="3AF7094D" w:rsidRPr="000964C0">
        <w:t>h</w:t>
      </w:r>
      <w:r w:rsidRPr="000964C0">
        <w:t xml:space="preserve">ealth </w:t>
      </w:r>
      <w:r w:rsidR="2F985896" w:rsidRPr="000964C0">
        <w:t>i</w:t>
      </w:r>
      <w:r w:rsidRPr="000964C0">
        <w:t xml:space="preserve">ndependent </w:t>
      </w:r>
      <w:r w:rsidR="42BADCE1" w:rsidRPr="000964C0">
        <w:t>i</w:t>
      </w:r>
      <w:r w:rsidRPr="000964C0">
        <w:t xml:space="preserve">nquiry, an EPUT recovery plan </w:t>
      </w:r>
      <w:r w:rsidR="00E71417" w:rsidRPr="000964C0">
        <w:t>wa</w:t>
      </w:r>
      <w:r w:rsidRPr="000964C0">
        <w:t xml:space="preserve">s </w:t>
      </w:r>
      <w:r w:rsidR="00E71417" w:rsidRPr="000964C0">
        <w:t>established</w:t>
      </w:r>
      <w:r w:rsidRPr="000964C0">
        <w:t xml:space="preserve"> with oversight via the MSE Partnership Board with reports and performance escalated to SOAC. There are also service improvement plans in place with EPUT, with trajectories for achievement/recovery updated via the relevant SOAC</w:t>
      </w:r>
      <w:r w:rsidRPr="000964C0">
        <w:rPr>
          <w:spacing w:val="-28"/>
        </w:rPr>
        <w:t xml:space="preserve"> </w:t>
      </w:r>
      <w:r w:rsidRPr="000964C0">
        <w:t>report.</w:t>
      </w:r>
    </w:p>
    <w:p w14:paraId="2334368D" w14:textId="033F7544" w:rsidR="007A2B31" w:rsidRPr="000964C0" w:rsidRDefault="007A2B31" w:rsidP="007A2B31">
      <w:pPr>
        <w:pStyle w:val="BodyText"/>
      </w:pPr>
      <w:r w:rsidRPr="000964C0">
        <w:rPr>
          <w:b/>
          <w:bCs/>
        </w:rPr>
        <w:lastRenderedPageBreak/>
        <w:t xml:space="preserve">Maternity – </w:t>
      </w:r>
      <w:r w:rsidR="7A694880" w:rsidRPr="00122CA2">
        <w:t>t</w:t>
      </w:r>
      <w:r w:rsidRPr="00122CA2">
        <w:t>h</w:t>
      </w:r>
      <w:r w:rsidRPr="000964C0">
        <w:t xml:space="preserve">e </w:t>
      </w:r>
      <w:r w:rsidR="7598347B" w:rsidRPr="000964C0">
        <w:t>s</w:t>
      </w:r>
      <w:r w:rsidRPr="000964C0">
        <w:t xml:space="preserve">ection 31 </w:t>
      </w:r>
      <w:r w:rsidR="18CEA857" w:rsidRPr="000964C0">
        <w:t>n</w:t>
      </w:r>
      <w:r w:rsidRPr="000964C0">
        <w:t>otice issued in respect of maternity and midwifery services at MSEFT by the CQC (</w:t>
      </w:r>
      <w:r w:rsidR="00A41946" w:rsidRPr="000964C0">
        <w:t xml:space="preserve">October </w:t>
      </w:r>
      <w:r w:rsidRPr="000964C0">
        <w:t>2020), include</w:t>
      </w:r>
      <w:r w:rsidR="00A41946" w:rsidRPr="000964C0">
        <w:t>d</w:t>
      </w:r>
      <w:r w:rsidRPr="000964C0">
        <w:t xml:space="preserve"> specific improvement actions reflected in the Trust’s Maternity Improvement Plan. </w:t>
      </w:r>
      <w:r w:rsidR="000F26EB" w:rsidRPr="000964C0">
        <w:t>T</w:t>
      </w:r>
      <w:r w:rsidRPr="000964C0">
        <w:t>he MSE Local Maternity and Neonatal System (LMNS)</w:t>
      </w:r>
      <w:r w:rsidR="00C77EA3" w:rsidRPr="000964C0">
        <w:t xml:space="preserve"> Committee</w:t>
      </w:r>
      <w:r w:rsidRPr="000964C0">
        <w:t xml:space="preserve"> and the MSEFT Maternity Assurance Committee, as a sub-group to the Trust Board</w:t>
      </w:r>
      <w:r w:rsidR="00C77EA3" w:rsidRPr="000964C0">
        <w:t xml:space="preserve"> oversaw continued progress to implement the improvement plan</w:t>
      </w:r>
      <w:r w:rsidRPr="000964C0">
        <w:t>. The LMNS Senior Responsible Officer brief</w:t>
      </w:r>
      <w:r w:rsidR="00230D90" w:rsidRPr="000964C0">
        <w:t>ed</w:t>
      </w:r>
      <w:r w:rsidRPr="000964C0">
        <w:t xml:space="preserve"> SOAC on Section 31 reporting. Maternity </w:t>
      </w:r>
      <w:r w:rsidR="00B225E2" w:rsidRPr="000964C0">
        <w:t>wa</w:t>
      </w:r>
      <w:r w:rsidRPr="000964C0">
        <w:t xml:space="preserve">s part of the MSEFT </w:t>
      </w:r>
      <w:r w:rsidR="1A766D2F" w:rsidRPr="000964C0">
        <w:t>l</w:t>
      </w:r>
      <w:r w:rsidRPr="000964C0">
        <w:t xml:space="preserve">egal </w:t>
      </w:r>
      <w:r w:rsidR="684117DF" w:rsidRPr="000964C0">
        <w:t>u</w:t>
      </w:r>
      <w:r w:rsidRPr="000964C0">
        <w:t xml:space="preserve">ndertakings monitored via a separate focussed SOAC meeting to ensure </w:t>
      </w:r>
      <w:r w:rsidR="00B225E2" w:rsidRPr="000964C0">
        <w:t xml:space="preserve">continued </w:t>
      </w:r>
      <w:r w:rsidRPr="000964C0">
        <w:t>momentum</w:t>
      </w:r>
      <w:r w:rsidRPr="000964C0">
        <w:rPr>
          <w:spacing w:val="-16"/>
        </w:rPr>
        <w:t xml:space="preserve"> </w:t>
      </w:r>
      <w:r w:rsidRPr="000964C0">
        <w:t>and</w:t>
      </w:r>
      <w:r w:rsidR="009D0A4F" w:rsidRPr="000964C0">
        <w:t xml:space="preserve"> </w:t>
      </w:r>
      <w:r w:rsidRPr="000964C0">
        <w:t>progress. This meeting include</w:t>
      </w:r>
      <w:r w:rsidR="00B225E2" w:rsidRPr="000964C0">
        <w:t>d</w:t>
      </w:r>
      <w:r w:rsidRPr="000964C0">
        <w:t xml:space="preserve"> NHSE representation, the ICB Chief Nurse/SRO for the LMNS/Maternity and MSEFT representatives.</w:t>
      </w:r>
    </w:p>
    <w:p w14:paraId="71F5B8B4" w14:textId="3D2D4BFE" w:rsidR="00B40848" w:rsidRPr="002B5D46" w:rsidRDefault="00B40848" w:rsidP="00251B8E">
      <w:pPr>
        <w:pStyle w:val="BodyText"/>
      </w:pPr>
      <w:bookmarkStart w:id="99" w:name="Review_of_economy,_efficiency_&amp;_effectiv"/>
      <w:bookmarkEnd w:id="99"/>
      <w:r w:rsidRPr="002B5D46">
        <w:rPr>
          <w:b/>
          <w:bCs/>
        </w:rPr>
        <w:t>Workforce –</w:t>
      </w:r>
      <w:r w:rsidR="0072075F" w:rsidRPr="002B5D46">
        <w:rPr>
          <w:b/>
          <w:bCs/>
        </w:rPr>
        <w:t xml:space="preserve"> </w:t>
      </w:r>
      <w:r w:rsidR="15459D6A" w:rsidRPr="00471C4B">
        <w:t>c</w:t>
      </w:r>
      <w:r w:rsidR="00401F67" w:rsidRPr="002B5D46">
        <w:t xml:space="preserve">hallenges specific to </w:t>
      </w:r>
      <w:r w:rsidR="00471C4B">
        <w:t>MSE</w:t>
      </w:r>
      <w:r w:rsidR="00322ED8" w:rsidRPr="002B5D46">
        <w:t xml:space="preserve"> include those relating to quality, performance</w:t>
      </w:r>
      <w:r w:rsidR="0069036A" w:rsidRPr="002B5D46">
        <w:t>,</w:t>
      </w:r>
      <w:r w:rsidR="00322ED8" w:rsidRPr="002B5D46">
        <w:t xml:space="preserve"> and cost (</w:t>
      </w:r>
      <w:r w:rsidR="042B8EBF" w:rsidRPr="002B5D46">
        <w:t>for example</w:t>
      </w:r>
      <w:r w:rsidR="00322ED8" w:rsidRPr="002B5D46">
        <w:t>, the overuse of temporary staffing) were discussed and monitored by SOAC.  Workforce strategy was driven at a national and regional level and the People Board continue</w:t>
      </w:r>
      <w:r w:rsidR="00754DFC" w:rsidRPr="002B5D46">
        <w:t>d</w:t>
      </w:r>
      <w:r w:rsidR="00322ED8" w:rsidRPr="002B5D46">
        <w:t xml:space="preserve"> to</w:t>
      </w:r>
      <w:r w:rsidR="00754DFC" w:rsidRPr="002B5D46">
        <w:t xml:space="preserve"> bring system partners together to oversee and monitor progress to address workforce challenges.</w:t>
      </w:r>
    </w:p>
    <w:p w14:paraId="0F4202E9" w14:textId="19A661AB" w:rsidR="00B40848" w:rsidRPr="00BD2D1E" w:rsidRDefault="00B40848" w:rsidP="00251B8E">
      <w:pPr>
        <w:pStyle w:val="BodyText"/>
      </w:pPr>
      <w:r w:rsidRPr="002B5D46">
        <w:rPr>
          <w:b/>
          <w:bCs/>
        </w:rPr>
        <w:t>All Age Continuing Care</w:t>
      </w:r>
      <w:r w:rsidR="000C34B6" w:rsidRPr="002B5D46">
        <w:rPr>
          <w:b/>
          <w:bCs/>
        </w:rPr>
        <w:t xml:space="preserve"> (AACC)</w:t>
      </w:r>
      <w:r w:rsidRPr="002B5D46">
        <w:rPr>
          <w:b/>
          <w:bCs/>
        </w:rPr>
        <w:t xml:space="preserve"> </w:t>
      </w:r>
      <w:r w:rsidR="000C34B6" w:rsidRPr="002B5D46">
        <w:rPr>
          <w:b/>
          <w:bCs/>
        </w:rPr>
        <w:t>–</w:t>
      </w:r>
      <w:r w:rsidR="00754DFC" w:rsidRPr="002B5D46">
        <w:rPr>
          <w:b/>
          <w:bCs/>
        </w:rPr>
        <w:t xml:space="preserve"> </w:t>
      </w:r>
      <w:r w:rsidR="4434AC57" w:rsidRPr="009F164D">
        <w:t>t</w:t>
      </w:r>
      <w:r w:rsidR="000C34B6" w:rsidRPr="002B5D46">
        <w:t xml:space="preserve">he AACC team, who were the team leading the ICB </w:t>
      </w:r>
      <w:r w:rsidR="3527047F" w:rsidRPr="002B5D46">
        <w:t>c</w:t>
      </w:r>
      <w:r w:rsidR="000C34B6" w:rsidRPr="002B5D46">
        <w:t xml:space="preserve">ontinuing </w:t>
      </w:r>
      <w:r w:rsidR="1A36CFA3" w:rsidRPr="002B5D46">
        <w:t>c</w:t>
      </w:r>
      <w:r w:rsidR="000C34B6" w:rsidRPr="002B5D46">
        <w:t>are (CHC) programme and delivery had five workstreams (ch</w:t>
      </w:r>
      <w:r w:rsidR="0076230E" w:rsidRPr="002B5D46">
        <w:t xml:space="preserve">ildren and young people, retrospective reviews, CHC, </w:t>
      </w:r>
      <w:r w:rsidR="4BF0649D" w:rsidRPr="002B5D46">
        <w:t>d</w:t>
      </w:r>
      <w:r w:rsidR="0076230E" w:rsidRPr="002B5D46">
        <w:t xml:space="preserve">ischarge to </w:t>
      </w:r>
      <w:r w:rsidR="0D571193" w:rsidRPr="002B5D46">
        <w:t>a</w:t>
      </w:r>
      <w:r w:rsidR="0076230E" w:rsidRPr="002B5D46">
        <w:t xml:space="preserve">ssess and </w:t>
      </w:r>
      <w:r w:rsidR="3868265E" w:rsidRPr="002B5D46">
        <w:t>f</w:t>
      </w:r>
      <w:r w:rsidR="0076230E" w:rsidRPr="002B5D46">
        <w:t xml:space="preserve">ast </w:t>
      </w:r>
      <w:r w:rsidR="4D7BC375" w:rsidRPr="002B5D46">
        <w:t>t</w:t>
      </w:r>
      <w:r w:rsidR="0076230E" w:rsidRPr="002B5D46">
        <w:t>rack)</w:t>
      </w:r>
      <w:r w:rsidR="00C24623" w:rsidRPr="002B5D46">
        <w:t>. All five workstreams had a backlog.  Backlog recovery plans were developed to reduce the risk both for patient outcomes and the ICB in terms of financial risk.  Additional work was undertaken in quarter three</w:t>
      </w:r>
      <w:r w:rsidR="00C27CFF" w:rsidRPr="002B5D46">
        <w:t xml:space="preserve"> introducing new models of care working with the Mid and South Essex Hospice </w:t>
      </w:r>
      <w:r w:rsidR="690FDDE2" w:rsidRPr="002B5D46">
        <w:t>C</w:t>
      </w:r>
      <w:r w:rsidR="00C27CFF" w:rsidRPr="002B5D46">
        <w:t>ollaborative.  Quarter four saw additional work for discharge to assess to review the ICB model, recover the backlog and identify</w:t>
      </w:r>
      <w:r w:rsidR="0076230E" w:rsidRPr="002B5D46">
        <w:t xml:space="preserve"> </w:t>
      </w:r>
      <w:r w:rsidR="00052322" w:rsidRPr="002B5D46">
        <w:t xml:space="preserve">the model for best outcomes. </w:t>
      </w:r>
      <w:r w:rsidR="00052322" w:rsidRPr="00BD2D1E">
        <w:t xml:space="preserve"> </w:t>
      </w:r>
    </w:p>
    <w:p w14:paraId="60827171" w14:textId="53CE5706" w:rsidR="00BB2847" w:rsidRPr="00251B8E" w:rsidRDefault="00BB2847" w:rsidP="00251B8E">
      <w:pPr>
        <w:pStyle w:val="BodyText"/>
        <w:rPr>
          <w:highlight w:val="cyan"/>
        </w:rPr>
      </w:pPr>
      <w:r w:rsidRPr="00BB2847">
        <w:rPr>
          <w:b/>
          <w:bCs/>
        </w:rPr>
        <w:t xml:space="preserve">Delivery of </w:t>
      </w:r>
      <w:r w:rsidR="002914D4" w:rsidRPr="00BB2847">
        <w:rPr>
          <w:b/>
          <w:bCs/>
        </w:rPr>
        <w:t>4-hour</w:t>
      </w:r>
      <w:r w:rsidRPr="00BB2847">
        <w:rPr>
          <w:b/>
          <w:bCs/>
        </w:rPr>
        <w:t xml:space="preserve"> A&amp;E </w:t>
      </w:r>
      <w:r w:rsidR="476970DE" w:rsidRPr="721DC282">
        <w:rPr>
          <w:b/>
          <w:bCs/>
        </w:rPr>
        <w:t>s</w:t>
      </w:r>
      <w:r w:rsidRPr="721DC282">
        <w:rPr>
          <w:b/>
          <w:bCs/>
        </w:rPr>
        <w:t xml:space="preserve">tandard - </w:t>
      </w:r>
      <w:r w:rsidR="7FA25810" w:rsidRPr="00793187">
        <w:t>u</w:t>
      </w:r>
      <w:r w:rsidR="00251B8E" w:rsidRPr="00251B8E">
        <w:t xml:space="preserve">rgent and </w:t>
      </w:r>
      <w:r w:rsidR="74DA85BE">
        <w:t>e</w:t>
      </w:r>
      <w:r w:rsidR="00251B8E">
        <w:t xml:space="preserve">mergency </w:t>
      </w:r>
      <w:r w:rsidR="2C6F5E1E">
        <w:t>c</w:t>
      </w:r>
      <w:r w:rsidR="00251B8E" w:rsidRPr="00251B8E">
        <w:t xml:space="preserve">are </w:t>
      </w:r>
      <w:r w:rsidR="582E621B">
        <w:t>i</w:t>
      </w:r>
      <w:r w:rsidR="00251B8E">
        <w:t xml:space="preserve">mprovement </w:t>
      </w:r>
      <w:r w:rsidR="0A72C045">
        <w:t>p</w:t>
      </w:r>
      <w:r w:rsidR="00251B8E">
        <w:t xml:space="preserve">rogramme </w:t>
      </w:r>
      <w:r w:rsidR="3F66F21F">
        <w:t>c</w:t>
      </w:r>
      <w:r w:rsidR="00251B8E">
        <w:t xml:space="preserve">are </w:t>
      </w:r>
      <w:r w:rsidR="64935C33">
        <w:t>g</w:t>
      </w:r>
      <w:r w:rsidR="00251B8E">
        <w:t>roups</w:t>
      </w:r>
      <w:r w:rsidR="00251B8E" w:rsidRPr="00251B8E">
        <w:t xml:space="preserve"> and </w:t>
      </w:r>
      <w:r w:rsidR="43D04EA3">
        <w:t>s</w:t>
      </w:r>
      <w:r w:rsidR="00251B8E">
        <w:t>ystem</w:t>
      </w:r>
      <w:r w:rsidR="00251B8E" w:rsidRPr="00251B8E">
        <w:t xml:space="preserve"> </w:t>
      </w:r>
      <w:r w:rsidR="7BF10AD2">
        <w:t>p</w:t>
      </w:r>
      <w:r w:rsidR="00251B8E" w:rsidRPr="00251B8E">
        <w:t xml:space="preserve">illars workstreams identified improvement initiatives and schemes </w:t>
      </w:r>
      <w:r w:rsidR="00B655FF">
        <w:t xml:space="preserve">that </w:t>
      </w:r>
      <w:r w:rsidR="00251B8E" w:rsidRPr="00251B8E">
        <w:t xml:space="preserve">commenced throughout February for full realisation benefits in March 2024, which underpin the improvement in </w:t>
      </w:r>
      <w:r w:rsidR="2832B319">
        <w:t>e</w:t>
      </w:r>
      <w:r w:rsidR="00251B8E">
        <w:t xml:space="preserve">mergency </w:t>
      </w:r>
      <w:r w:rsidR="06D82EDF">
        <w:t>d</w:t>
      </w:r>
      <w:r w:rsidR="00251B8E" w:rsidRPr="00251B8E">
        <w:t>epartment performance from</w:t>
      </w:r>
      <w:r w:rsidR="00793187">
        <w:t xml:space="preserve"> 62% (2022/23) to 69%</w:t>
      </w:r>
      <w:r w:rsidR="007C6CD4">
        <w:t xml:space="preserve"> (2023/24)</w:t>
      </w:r>
      <w:r w:rsidR="00251B8E" w:rsidRPr="00251B8E">
        <w:t xml:space="preserve">.  </w:t>
      </w:r>
    </w:p>
    <w:p w14:paraId="765B87F9" w14:textId="7FD21E54" w:rsidR="007A2B31" w:rsidRPr="00221711" w:rsidRDefault="007A2B31" w:rsidP="004503C4">
      <w:pPr>
        <w:pStyle w:val="Heading4"/>
      </w:pPr>
      <w:r w:rsidRPr="00221711">
        <w:t>Review of economy, efficiency &amp; effectiveness of the use of resources</w:t>
      </w:r>
    </w:p>
    <w:p w14:paraId="171396E5" w14:textId="0861A29E" w:rsidR="007A2B31" w:rsidRPr="001F30E2" w:rsidRDefault="007A2B31" w:rsidP="007A2B31">
      <w:pPr>
        <w:pStyle w:val="BodyText"/>
        <w:rPr>
          <w:color w:val="FF0000"/>
        </w:rPr>
      </w:pPr>
      <w:r w:rsidRPr="00221711">
        <w:t>The ICB report</w:t>
      </w:r>
      <w:r w:rsidR="00014603" w:rsidRPr="00A2046A">
        <w:t>ed</w:t>
      </w:r>
      <w:r w:rsidRPr="00A2046A">
        <w:t xml:space="preserve"> a £</w:t>
      </w:r>
      <w:r w:rsidR="0098663B" w:rsidRPr="00A2046A">
        <w:t>22.</w:t>
      </w:r>
      <w:r w:rsidR="006904FC" w:rsidRPr="00A2046A">
        <w:t>3</w:t>
      </w:r>
      <w:r w:rsidR="0098663B" w:rsidRPr="00A2046A">
        <w:t xml:space="preserve">m </w:t>
      </w:r>
      <w:r w:rsidRPr="00221711">
        <w:t>surplus for the year, whereas the system report</w:t>
      </w:r>
      <w:r w:rsidR="00014603">
        <w:t>ed</w:t>
      </w:r>
      <w:r w:rsidRPr="00221711">
        <w:t xml:space="preserve"> a deficit </w:t>
      </w:r>
      <w:r w:rsidRPr="00A80029">
        <w:t xml:space="preserve">of </w:t>
      </w:r>
      <w:r w:rsidRPr="007C6CD4">
        <w:t>£</w:t>
      </w:r>
      <w:r w:rsidR="00A80029" w:rsidRPr="007C6CD4">
        <w:t>29m</w:t>
      </w:r>
      <w:r w:rsidR="001F30E2" w:rsidRPr="007C6CD4">
        <w:t>.</w:t>
      </w:r>
    </w:p>
    <w:p w14:paraId="776703F5" w14:textId="08603504" w:rsidR="007A2B31" w:rsidRPr="00221711" w:rsidRDefault="00405619" w:rsidP="007A2B31">
      <w:pPr>
        <w:pStyle w:val="BodyText"/>
      </w:pPr>
      <w:r>
        <w:t xml:space="preserve">The ICB’s Finance and Investment Committee and the </w:t>
      </w:r>
      <w:r w:rsidR="007A2B31" w:rsidRPr="00221711">
        <w:t xml:space="preserve">Board each received regular financial reporting </w:t>
      </w:r>
      <w:r w:rsidR="0024197C">
        <w:t>during the year</w:t>
      </w:r>
      <w:r w:rsidR="007A2B31" w:rsidRPr="00221711">
        <w:t xml:space="preserve"> and had the opportunity for detailed review of the financial position. </w:t>
      </w:r>
    </w:p>
    <w:p w14:paraId="66D6DF77" w14:textId="77777777" w:rsidR="007A2B31" w:rsidRPr="00221711" w:rsidRDefault="007A2B31" w:rsidP="007A2B31">
      <w:pPr>
        <w:pStyle w:val="BodyText"/>
      </w:pPr>
      <w:r w:rsidRPr="00221711">
        <w:t>The ICB Finance and Investment Committee continued to monitor the ICB’s procurement and planning arrangements to ensure value for money from commissioned services.</w:t>
      </w:r>
    </w:p>
    <w:p w14:paraId="48A36A63" w14:textId="6E2F83EA" w:rsidR="007A2B31" w:rsidRPr="00221711" w:rsidRDefault="007A2B31" w:rsidP="007A2B31">
      <w:pPr>
        <w:pStyle w:val="BodyText"/>
      </w:pPr>
      <w:r w:rsidRPr="00221711">
        <w:t>The ICB’s 202</w:t>
      </w:r>
      <w:r w:rsidR="00227716">
        <w:t>3</w:t>
      </w:r>
      <w:r w:rsidRPr="00221711">
        <w:t>/2</w:t>
      </w:r>
      <w:r w:rsidR="00227716">
        <w:t>4</w:t>
      </w:r>
      <w:r w:rsidRPr="00221711">
        <w:t xml:space="preserve"> running (management) costs were within nationally permitted expenditure limits.</w:t>
      </w:r>
    </w:p>
    <w:p w14:paraId="551A8E1E" w14:textId="4DC79E72" w:rsidR="007A2B31" w:rsidRPr="00221711" w:rsidRDefault="007A2B31" w:rsidP="007A2B31">
      <w:pPr>
        <w:pStyle w:val="BodyText"/>
        <w:rPr>
          <w:highlight w:val="yellow"/>
        </w:rPr>
      </w:pPr>
      <w:bookmarkStart w:id="100" w:name="The_Internal_Auditor_has_reviewed_the_IC"/>
      <w:bookmarkEnd w:id="100"/>
      <w:r w:rsidRPr="00221711">
        <w:t xml:space="preserve">The </w:t>
      </w:r>
      <w:r w:rsidR="40E13C48">
        <w:t>i</w:t>
      </w:r>
      <w:r>
        <w:t xml:space="preserve">nternal </w:t>
      </w:r>
      <w:r w:rsidR="4D25F93A">
        <w:t>a</w:t>
      </w:r>
      <w:r w:rsidRPr="00221711">
        <w:t>uditor reviewed the ICB’s financial systems and processes, including the arrangements for financial reporting and confirmed that the ICB ha</w:t>
      </w:r>
      <w:r w:rsidR="003B3DC4">
        <w:t>d</w:t>
      </w:r>
      <w:r w:rsidRPr="00221711">
        <w:t xml:space="preserve"> </w:t>
      </w:r>
      <w:r w:rsidR="00227716">
        <w:t xml:space="preserve">substantial </w:t>
      </w:r>
      <w:r w:rsidRPr="00221711">
        <w:t>arrangements in place. The external auditor’s comments on arrangements for securing economy, efficiency, and effectiveness in use of resources in 202</w:t>
      </w:r>
      <w:r w:rsidR="00373453">
        <w:t>3</w:t>
      </w:r>
      <w:r w:rsidRPr="00221711">
        <w:t>/2</w:t>
      </w:r>
      <w:r w:rsidR="00373453">
        <w:t>4</w:t>
      </w:r>
      <w:r w:rsidRPr="00221711">
        <w:t xml:space="preserve"> are included in their report immediately </w:t>
      </w:r>
      <w:r w:rsidR="00B24841">
        <w:t>after</w:t>
      </w:r>
      <w:r w:rsidRPr="00221711">
        <w:t xml:space="preserve"> the </w:t>
      </w:r>
      <w:r w:rsidR="75000B8D">
        <w:t>a</w:t>
      </w:r>
      <w:r>
        <w:t xml:space="preserve">nnual </w:t>
      </w:r>
      <w:r w:rsidR="667AAEC7" w:rsidRPr="00B24841">
        <w:t>a</w:t>
      </w:r>
      <w:r w:rsidRPr="00B24841">
        <w:t xml:space="preserve">ccounts (see page </w:t>
      </w:r>
      <w:r w:rsidR="00B24841" w:rsidRPr="00B24841">
        <w:t>32</w:t>
      </w:r>
      <w:r w:rsidRPr="00B24841">
        <w:t xml:space="preserve"> onwards).</w:t>
      </w:r>
    </w:p>
    <w:p w14:paraId="63636CC0" w14:textId="77777777" w:rsidR="007A2B31" w:rsidRPr="00221711" w:rsidRDefault="007A2B31" w:rsidP="004503C4">
      <w:pPr>
        <w:pStyle w:val="Heading4"/>
      </w:pPr>
      <w:bookmarkStart w:id="101" w:name="Delegation_of_functions"/>
      <w:bookmarkEnd w:id="101"/>
      <w:r w:rsidRPr="00221711">
        <w:lastRenderedPageBreak/>
        <w:t>Delegation of functions</w:t>
      </w:r>
    </w:p>
    <w:p w14:paraId="56FDBDAC" w14:textId="77777777" w:rsidR="00350CBB" w:rsidRDefault="007A2B31" w:rsidP="007A2B31">
      <w:pPr>
        <w:pStyle w:val="BodyText"/>
      </w:pPr>
      <w:r w:rsidRPr="00221711">
        <w:t>The ICB establishe</w:t>
      </w:r>
      <w:r w:rsidR="00F8199E">
        <w:t>d</w:t>
      </w:r>
      <w:r w:rsidRPr="00221711">
        <w:t xml:space="preserve"> formal arrangements for the delegation of functions through its Scheme of Reservation and Delegation (SORD). </w:t>
      </w:r>
    </w:p>
    <w:p w14:paraId="2EBE5274" w14:textId="75AC5A60" w:rsidR="007A2B31" w:rsidRDefault="007A2B31" w:rsidP="007A2B31">
      <w:pPr>
        <w:pStyle w:val="BodyText"/>
      </w:pPr>
      <w:r w:rsidRPr="00221711">
        <w:t xml:space="preserve">The SORD established </w:t>
      </w:r>
      <w:r w:rsidR="006C5EDC">
        <w:t xml:space="preserve">formal </w:t>
      </w:r>
      <w:r w:rsidRPr="00221711">
        <w:t xml:space="preserve">arrangements with </w:t>
      </w:r>
      <w:r w:rsidR="0213CD84">
        <w:t>l</w:t>
      </w:r>
      <w:r>
        <w:t xml:space="preserve">ocal </w:t>
      </w:r>
      <w:r w:rsidR="6F1401FC">
        <w:t>a</w:t>
      </w:r>
      <w:r>
        <w:t>uthority</w:t>
      </w:r>
      <w:r w:rsidRPr="00221711">
        <w:t xml:space="preserve"> partners to execute functions such as </w:t>
      </w:r>
      <w:r w:rsidR="32573C71">
        <w:t>l</w:t>
      </w:r>
      <w:r>
        <w:t>earning</w:t>
      </w:r>
      <w:r w:rsidRPr="00221711">
        <w:t xml:space="preserve"> </w:t>
      </w:r>
      <w:r w:rsidR="600AB016">
        <w:t>d</w:t>
      </w:r>
      <w:r>
        <w:t>isability</w:t>
      </w:r>
      <w:r w:rsidRPr="00221711">
        <w:t xml:space="preserve"> services via </w:t>
      </w:r>
      <w:r w:rsidR="3EB71559">
        <w:t>s</w:t>
      </w:r>
      <w:r w:rsidRPr="00221711">
        <w:t>ection 75 of the NHS Act 2006 and associate collaborative agreements.</w:t>
      </w:r>
    </w:p>
    <w:p w14:paraId="0C03CC97" w14:textId="59CF1EC7" w:rsidR="006C5EDC" w:rsidRDefault="005D720E" w:rsidP="007A2B31">
      <w:pPr>
        <w:pStyle w:val="BodyText"/>
      </w:pPr>
      <w:r>
        <w:t>Arrangements were established with Hertfordshire and West Essex ICB</w:t>
      </w:r>
      <w:r w:rsidR="008E2B4A">
        <w:t xml:space="preserve"> and Suffolk and North East Essex ICB for </w:t>
      </w:r>
      <w:r w:rsidR="00A94700">
        <w:t>the management of community pharmacy and optometry contract management, children and young people mental health services, the individual placements team and for the contract management of the home oxygen service, and East of England Ambulance service contract.</w:t>
      </w:r>
    </w:p>
    <w:p w14:paraId="79DCA084" w14:textId="0DC92A3D" w:rsidR="00A94700" w:rsidRPr="00221711" w:rsidRDefault="00BB56C6" w:rsidP="007A2B31">
      <w:pPr>
        <w:pStyle w:val="BodyText"/>
      </w:pPr>
      <w:r>
        <w:t xml:space="preserve">The delegation of functions to the ICB from </w:t>
      </w:r>
      <w:r w:rsidR="00F46054">
        <w:t>NHSE</w:t>
      </w:r>
      <w:r>
        <w:t xml:space="preserve"> included </w:t>
      </w:r>
      <w:r w:rsidR="05148E25">
        <w:t>g</w:t>
      </w:r>
      <w:r>
        <w:t xml:space="preserve">eneral </w:t>
      </w:r>
      <w:r w:rsidR="6A4636B8">
        <w:t>p</w:t>
      </w:r>
      <w:r>
        <w:t>ractice, pharmacy, optometry</w:t>
      </w:r>
      <w:r w:rsidR="0059530D">
        <w:t>,</w:t>
      </w:r>
      <w:r>
        <w:t xml:space="preserve"> and dental services.</w:t>
      </w:r>
    </w:p>
    <w:p w14:paraId="55474719" w14:textId="77777777" w:rsidR="007A2B31" w:rsidRPr="003B55C8" w:rsidRDefault="007A2B31" w:rsidP="004503C4">
      <w:pPr>
        <w:pStyle w:val="Heading4"/>
      </w:pPr>
      <w:bookmarkStart w:id="102" w:name="Counter_fraud_arrangements"/>
      <w:bookmarkEnd w:id="102"/>
      <w:r w:rsidRPr="003B55C8">
        <w:t>Counter fraud arrangements</w:t>
      </w:r>
    </w:p>
    <w:p w14:paraId="742EE625" w14:textId="3F100600" w:rsidR="007A2B31" w:rsidRPr="00295E6F" w:rsidRDefault="007A2B31" w:rsidP="007A2B31">
      <w:pPr>
        <w:pStyle w:val="BodyText"/>
      </w:pPr>
      <w:r w:rsidRPr="00295E6F">
        <w:t xml:space="preserve">An accredited Local Counter Fraud Specialist (LCFS), who </w:t>
      </w:r>
      <w:r w:rsidR="00542045">
        <w:t>wa</w:t>
      </w:r>
      <w:r w:rsidRPr="00295E6F">
        <w:t xml:space="preserve">s an employee of the ICB’s internal auditors, </w:t>
      </w:r>
      <w:r w:rsidR="00542045">
        <w:t>wa</w:t>
      </w:r>
      <w:r w:rsidRPr="00295E6F">
        <w:t>s contracted to undertake counter fraud work proportionate to identified risks. The Audit Committee receive</w:t>
      </w:r>
      <w:r w:rsidR="00701608">
        <w:t>d</w:t>
      </w:r>
      <w:r w:rsidRPr="00295E6F">
        <w:t xml:space="preserve"> an update from the LCFS regarding any counter-fraud initiatives or investigations at each meeting and report</w:t>
      </w:r>
      <w:r w:rsidR="00C7603D">
        <w:t>ed</w:t>
      </w:r>
      <w:r w:rsidRPr="00295E6F">
        <w:t xml:space="preserve"> progress and outcomes against each </w:t>
      </w:r>
      <w:r w:rsidR="1D7AEA6F">
        <w:t>g</w:t>
      </w:r>
      <w:r>
        <w:t xml:space="preserve">overnment </w:t>
      </w:r>
      <w:r w:rsidR="72368B52">
        <w:t>c</w:t>
      </w:r>
      <w:r>
        <w:t xml:space="preserve">ounter </w:t>
      </w:r>
      <w:r w:rsidR="09F2AC30">
        <w:t>f</w:t>
      </w:r>
      <w:r>
        <w:t xml:space="preserve">raud </w:t>
      </w:r>
      <w:r w:rsidR="46ACD18E">
        <w:t>f</w:t>
      </w:r>
      <w:r>
        <w:t xml:space="preserve">unctional </w:t>
      </w:r>
      <w:r w:rsidR="682BF500">
        <w:t>s</w:t>
      </w:r>
      <w:r>
        <w:t>tandard</w:t>
      </w:r>
      <w:r w:rsidRPr="00295E6F">
        <w:t>.</w:t>
      </w:r>
    </w:p>
    <w:p w14:paraId="22D72FB1" w14:textId="7354E620" w:rsidR="007A2B31" w:rsidRPr="00295E6F" w:rsidRDefault="007A2B31" w:rsidP="007A2B31">
      <w:pPr>
        <w:pStyle w:val="BodyText"/>
      </w:pPr>
      <w:r w:rsidRPr="00295E6F">
        <w:t xml:space="preserve">There </w:t>
      </w:r>
      <w:r w:rsidR="00C7603D">
        <w:t>wa</w:t>
      </w:r>
      <w:r w:rsidRPr="00295E6F">
        <w:t xml:space="preserve">s executive support and direction from the </w:t>
      </w:r>
      <w:r w:rsidR="003B55C8">
        <w:t>Chief Finance Officer</w:t>
      </w:r>
      <w:r w:rsidRPr="00295E6F">
        <w:t xml:space="preserve"> for a proportionate proactive work plan to address identified risks. The </w:t>
      </w:r>
      <w:r w:rsidR="003B55C8">
        <w:t>Chief Finance Officer</w:t>
      </w:r>
      <w:r w:rsidRPr="00295E6F">
        <w:t xml:space="preserve"> </w:t>
      </w:r>
      <w:r w:rsidR="00C7603D">
        <w:t>wa</w:t>
      </w:r>
      <w:r w:rsidRPr="00295E6F">
        <w:t xml:space="preserve">s the identified member of the executive team named within the Anti-Fraud, Bribery and Corruption Policy who </w:t>
      </w:r>
      <w:r w:rsidR="00642E99">
        <w:t>wa</w:t>
      </w:r>
      <w:r w:rsidRPr="00295E6F">
        <w:t>s proactively and demonstrably responsible for tackling fraud, bribery, and corruption.</w:t>
      </w:r>
    </w:p>
    <w:p w14:paraId="1827B632" w14:textId="3C0F704B" w:rsidR="007A2B31" w:rsidRPr="003B55C8" w:rsidRDefault="007A2B31" w:rsidP="007A2B31">
      <w:pPr>
        <w:pStyle w:val="BodyText"/>
      </w:pPr>
      <w:bookmarkStart w:id="103" w:name="The_ICB_is_committed_to_robustly_investi"/>
      <w:bookmarkEnd w:id="103"/>
      <w:r w:rsidRPr="003B55C8">
        <w:t xml:space="preserve">The ICB </w:t>
      </w:r>
      <w:r w:rsidR="00642E99">
        <w:t>wa</w:t>
      </w:r>
      <w:r w:rsidRPr="003B55C8">
        <w:t xml:space="preserve">s committed to robustly investigating all reports of fraud, bribery and corruption and </w:t>
      </w:r>
      <w:r w:rsidR="00121EE2">
        <w:t>would seek</w:t>
      </w:r>
      <w:r w:rsidRPr="003B55C8">
        <w:t xml:space="preserve"> to recover lost NHS funds were proportionate and necessary.</w:t>
      </w:r>
    </w:p>
    <w:p w14:paraId="04F964FC" w14:textId="2DFCD881" w:rsidR="007A2B31" w:rsidRPr="003B55C8" w:rsidRDefault="007A2B31" w:rsidP="007A2B31">
      <w:pPr>
        <w:pStyle w:val="BodyText"/>
      </w:pPr>
      <w:r w:rsidRPr="003B55C8">
        <w:t>At the end of the financial year, the ICB submit</w:t>
      </w:r>
      <w:r w:rsidR="00121EE2">
        <w:t>ted</w:t>
      </w:r>
      <w:r w:rsidRPr="003B55C8">
        <w:t xml:space="preserve"> a self-assessment to the NHS Counter Fraud Authority against the </w:t>
      </w:r>
      <w:r w:rsidR="779A0B5C">
        <w:t>g</w:t>
      </w:r>
      <w:r w:rsidRPr="003B55C8">
        <w:t xml:space="preserve">overnment </w:t>
      </w:r>
      <w:r w:rsidR="51EDB1B0">
        <w:t>c</w:t>
      </w:r>
      <w:r>
        <w:t xml:space="preserve">ounter </w:t>
      </w:r>
      <w:r w:rsidR="43C98FAD">
        <w:t>f</w:t>
      </w:r>
      <w:r>
        <w:t xml:space="preserve">raud </w:t>
      </w:r>
      <w:r w:rsidR="097AC774">
        <w:t>f</w:t>
      </w:r>
      <w:r w:rsidRPr="003B55C8">
        <w:t xml:space="preserve">unctional </w:t>
      </w:r>
      <w:r w:rsidR="46E8D2BB">
        <w:t>s</w:t>
      </w:r>
      <w:r w:rsidRPr="003B55C8">
        <w:t xml:space="preserve">tandards. The </w:t>
      </w:r>
      <w:r w:rsidR="00023B94">
        <w:t>Chief Finance Officer</w:t>
      </w:r>
      <w:r w:rsidRPr="003B55C8">
        <w:t xml:space="preserve"> and Chair of the Audit Committee authorise</w:t>
      </w:r>
      <w:r w:rsidR="00121EE2">
        <w:t>d</w:t>
      </w:r>
      <w:r w:rsidRPr="003B55C8">
        <w:t xml:space="preserve"> the assessment prior to submission.</w:t>
      </w:r>
    </w:p>
    <w:p w14:paraId="1C969805" w14:textId="00C1FA23" w:rsidR="007A2B31" w:rsidRPr="00A2744F" w:rsidRDefault="007A2B31" w:rsidP="004503C4">
      <w:pPr>
        <w:pStyle w:val="Heading4"/>
      </w:pPr>
      <w:bookmarkStart w:id="104" w:name="Head_of_Internal_Audit_Opinion"/>
      <w:bookmarkEnd w:id="104"/>
      <w:r w:rsidRPr="00A2744F">
        <w:t>Head of Internal Audit</w:t>
      </w:r>
      <w:r w:rsidRPr="00A2744F">
        <w:rPr>
          <w:spacing w:val="-14"/>
        </w:rPr>
        <w:t xml:space="preserve"> </w:t>
      </w:r>
      <w:r w:rsidRPr="00A2744F">
        <w:t>Opinion</w:t>
      </w:r>
    </w:p>
    <w:p w14:paraId="38A20F5E" w14:textId="77777777" w:rsidR="00EF6AE3" w:rsidRPr="00BE672D" w:rsidRDefault="00EF6AE3" w:rsidP="00EF6AE3">
      <w:pPr>
        <w:pStyle w:val="BodyText"/>
      </w:pPr>
      <w:r w:rsidRPr="00BE672D">
        <w:t xml:space="preserve">Following completion of the planned audit work for the </w:t>
      </w:r>
      <w:r>
        <w:t xml:space="preserve">period 1 April 2023 to 31 March 2024 </w:t>
      </w:r>
      <w:r w:rsidRPr="00BE672D">
        <w:t xml:space="preserve">for the </w:t>
      </w:r>
      <w:r w:rsidRPr="00D431DA">
        <w:t>ICB, the Head of Internal Audit issued an independent and objective opinion on the adequacy and effectiveness of the ICB’s system of</w:t>
      </w:r>
      <w:r w:rsidRPr="00BE672D">
        <w:t xml:space="preserve"> risk management, governance and internal control. The Head of Internal Audit concluded that:</w:t>
      </w:r>
    </w:p>
    <w:p w14:paraId="0FDF47AF" w14:textId="2F3BDF08" w:rsidR="007A2B31" w:rsidRPr="00C416A8" w:rsidRDefault="00C416A8" w:rsidP="007A2B31">
      <w:pPr>
        <w:pStyle w:val="BodyText"/>
      </w:pPr>
      <w:r w:rsidRPr="00C416A8">
        <w:t>R</w:t>
      </w:r>
      <w:r w:rsidR="007A2B31" w:rsidRPr="00C416A8">
        <w:t xml:space="preserve">easonable assurance could be given that there </w:t>
      </w:r>
      <w:r w:rsidRPr="00C416A8">
        <w:t>wa</w:t>
      </w:r>
      <w:r w:rsidR="007A2B31" w:rsidRPr="00C416A8">
        <w:t xml:space="preserve">s a generally sound system of internal control, designed to meet the organisation’s objectives, and that controls </w:t>
      </w:r>
      <w:r w:rsidRPr="00C416A8">
        <w:t>were</w:t>
      </w:r>
      <w:r w:rsidR="007A2B31" w:rsidRPr="00C416A8">
        <w:t xml:space="preserve"> generally being applied consistently. However, some weakness in the design and/or inconsistent application of controls, puts the achievement of particular objectives at risk.</w:t>
      </w:r>
    </w:p>
    <w:p w14:paraId="052652E5" w14:textId="298231E5" w:rsidR="007A2B31" w:rsidRDefault="007A2B31" w:rsidP="007A2B31">
      <w:pPr>
        <w:pStyle w:val="BodyText"/>
      </w:pPr>
      <w:r w:rsidRPr="00FE449C">
        <w:t xml:space="preserve">During the period, </w:t>
      </w:r>
      <w:r w:rsidR="01C2BC25">
        <w:t>i</w:t>
      </w:r>
      <w:r w:rsidRPr="00FE449C">
        <w:t xml:space="preserve">nternal </w:t>
      </w:r>
      <w:r w:rsidR="2E04646B">
        <w:t>a</w:t>
      </w:r>
      <w:r w:rsidRPr="00FE449C">
        <w:t>udit issued the following audit reports:</w:t>
      </w:r>
    </w:p>
    <w:tbl>
      <w:tblPr>
        <w:tblStyle w:val="TableGrid"/>
        <w:tblW w:w="0" w:type="auto"/>
        <w:tblInd w:w="108" w:type="dxa"/>
        <w:tblLook w:val="04A0" w:firstRow="1" w:lastRow="0" w:firstColumn="1" w:lastColumn="0" w:noHBand="0" w:noVBand="1"/>
      </w:tblPr>
      <w:tblGrid>
        <w:gridCol w:w="5699"/>
        <w:gridCol w:w="3373"/>
      </w:tblGrid>
      <w:tr w:rsidR="001C0486" w:rsidRPr="00870F06" w14:paraId="26B24ADF" w14:textId="77777777" w:rsidTr="00482974">
        <w:trPr>
          <w:tblHeader/>
        </w:trPr>
        <w:tc>
          <w:tcPr>
            <w:tcW w:w="5699" w:type="dxa"/>
            <w:shd w:val="clear" w:color="auto" w:fill="D9D9D9" w:themeFill="background1" w:themeFillShade="D9"/>
            <w:vAlign w:val="center"/>
          </w:tcPr>
          <w:p w14:paraId="516AE4AC" w14:textId="01170706" w:rsidR="001C0486" w:rsidRPr="00F95D1E" w:rsidRDefault="00EF26DC" w:rsidP="000B0E9D">
            <w:pPr>
              <w:pStyle w:val="BodyText"/>
              <w:spacing w:before="120" w:after="120"/>
              <w:rPr>
                <w:b/>
                <w:bCs/>
              </w:rPr>
            </w:pPr>
            <w:r>
              <w:rPr>
                <w:b/>
                <w:bCs/>
              </w:rPr>
              <w:lastRenderedPageBreak/>
              <w:t>Assignment</w:t>
            </w:r>
          </w:p>
        </w:tc>
        <w:tc>
          <w:tcPr>
            <w:tcW w:w="3373" w:type="dxa"/>
            <w:shd w:val="clear" w:color="auto" w:fill="D9D9D9" w:themeFill="background1" w:themeFillShade="D9"/>
            <w:vAlign w:val="center"/>
          </w:tcPr>
          <w:p w14:paraId="0CD37168" w14:textId="564A1388" w:rsidR="001C0486" w:rsidRPr="00F95D1E" w:rsidRDefault="00550B6F" w:rsidP="000B0E9D">
            <w:pPr>
              <w:pStyle w:val="BodyText"/>
              <w:spacing w:before="120" w:after="120"/>
              <w:rPr>
                <w:b/>
                <w:bCs/>
              </w:rPr>
            </w:pPr>
            <w:r>
              <w:rPr>
                <w:b/>
                <w:bCs/>
              </w:rPr>
              <w:t>Assurance Opinion</w:t>
            </w:r>
          </w:p>
        </w:tc>
      </w:tr>
      <w:tr w:rsidR="00EF35C8" w14:paraId="2D4AFD37" w14:textId="77777777" w:rsidTr="00F95D1E">
        <w:tc>
          <w:tcPr>
            <w:tcW w:w="5699" w:type="dxa"/>
            <w:vAlign w:val="center"/>
          </w:tcPr>
          <w:p w14:paraId="2261687F" w14:textId="02C0E933" w:rsidR="00EF35C8" w:rsidRPr="000B0E9D" w:rsidRDefault="00BF7DF2" w:rsidP="000B0E9D">
            <w:pPr>
              <w:pStyle w:val="BodyText"/>
              <w:spacing w:before="120" w:after="120"/>
            </w:pPr>
            <w:r>
              <w:t xml:space="preserve">Financial </w:t>
            </w:r>
            <w:r w:rsidR="626C04EC">
              <w:t>g</w:t>
            </w:r>
            <w:r>
              <w:t>overnance</w:t>
            </w:r>
          </w:p>
        </w:tc>
        <w:tc>
          <w:tcPr>
            <w:tcW w:w="3373" w:type="dxa"/>
            <w:vAlign w:val="center"/>
          </w:tcPr>
          <w:p w14:paraId="0DF28E55" w14:textId="15E7ACDF" w:rsidR="00EF35C8" w:rsidRPr="000B0E9D" w:rsidRDefault="00BF7DF2" w:rsidP="000B0E9D">
            <w:pPr>
              <w:pStyle w:val="BodyText"/>
              <w:spacing w:before="120" w:after="120"/>
            </w:pPr>
            <w:r>
              <w:t>Substantial</w:t>
            </w:r>
          </w:p>
        </w:tc>
      </w:tr>
      <w:tr w:rsidR="00EF35C8" w14:paraId="443E3AA4" w14:textId="77777777" w:rsidTr="00F95D1E">
        <w:tc>
          <w:tcPr>
            <w:tcW w:w="5699" w:type="dxa"/>
            <w:vAlign w:val="center"/>
          </w:tcPr>
          <w:p w14:paraId="30E0F282" w14:textId="6867CBAB" w:rsidR="00EF35C8" w:rsidRPr="000B0E9D" w:rsidRDefault="00C13812" w:rsidP="000B0E9D">
            <w:pPr>
              <w:pStyle w:val="BodyText"/>
              <w:spacing w:before="120" w:after="120"/>
            </w:pPr>
            <w:r>
              <w:t>R</w:t>
            </w:r>
            <w:r w:rsidR="1EB12109">
              <w:t xml:space="preserve">isk </w:t>
            </w:r>
            <w:r w:rsidR="1B949415">
              <w:t>m</w:t>
            </w:r>
            <w:r w:rsidR="00BF7DF2">
              <w:t>anagement</w:t>
            </w:r>
            <w:r>
              <w:t xml:space="preserve"> and assurance framework</w:t>
            </w:r>
          </w:p>
        </w:tc>
        <w:tc>
          <w:tcPr>
            <w:tcW w:w="3373" w:type="dxa"/>
            <w:vAlign w:val="center"/>
          </w:tcPr>
          <w:p w14:paraId="40C442AA" w14:textId="7800D4D4" w:rsidR="00EF35C8" w:rsidRPr="000B0E9D" w:rsidRDefault="00BF7DF2" w:rsidP="000B0E9D">
            <w:pPr>
              <w:pStyle w:val="BodyText"/>
              <w:spacing w:before="120" w:after="120"/>
            </w:pPr>
            <w:r>
              <w:t>Reasonable</w:t>
            </w:r>
          </w:p>
        </w:tc>
      </w:tr>
      <w:tr w:rsidR="00EF35C8" w14:paraId="36B4044A" w14:textId="77777777" w:rsidTr="00F95D1E">
        <w:tc>
          <w:tcPr>
            <w:tcW w:w="5699" w:type="dxa"/>
            <w:vAlign w:val="center"/>
          </w:tcPr>
          <w:p w14:paraId="225C78FA" w14:textId="2BB5EA77" w:rsidR="00EF35C8" w:rsidRPr="000B0E9D" w:rsidRDefault="00BF7DF2" w:rsidP="000B0E9D">
            <w:pPr>
              <w:pStyle w:val="BodyText"/>
              <w:spacing w:before="120" w:after="120"/>
            </w:pPr>
            <w:r>
              <w:t xml:space="preserve">Conflicts of </w:t>
            </w:r>
            <w:r w:rsidR="638C6213">
              <w:t>i</w:t>
            </w:r>
            <w:r>
              <w:t>nterest</w:t>
            </w:r>
          </w:p>
        </w:tc>
        <w:tc>
          <w:tcPr>
            <w:tcW w:w="3373" w:type="dxa"/>
            <w:vAlign w:val="center"/>
          </w:tcPr>
          <w:p w14:paraId="5099C8AA" w14:textId="411C1A8E" w:rsidR="00EF35C8" w:rsidRPr="000B0E9D" w:rsidRDefault="00BF7DF2" w:rsidP="000B0E9D">
            <w:pPr>
              <w:pStyle w:val="BodyText"/>
              <w:spacing w:before="120" w:after="120"/>
            </w:pPr>
            <w:r>
              <w:t>Substantial</w:t>
            </w:r>
          </w:p>
        </w:tc>
      </w:tr>
      <w:tr w:rsidR="00EF35C8" w14:paraId="6C8640B1" w14:textId="77777777" w:rsidTr="00F95D1E">
        <w:tc>
          <w:tcPr>
            <w:tcW w:w="5699" w:type="dxa"/>
            <w:vAlign w:val="center"/>
          </w:tcPr>
          <w:p w14:paraId="5BD0AB3C" w14:textId="38D150B2" w:rsidR="00EF35C8" w:rsidRPr="000B0E9D" w:rsidRDefault="00BF7DF2" w:rsidP="000B0E9D">
            <w:pPr>
              <w:pStyle w:val="BodyText"/>
              <w:spacing w:before="120" w:after="120"/>
            </w:pPr>
            <w:r>
              <w:t xml:space="preserve">Quality </w:t>
            </w:r>
            <w:r w:rsidR="50949D9B">
              <w:t>m</w:t>
            </w:r>
            <w:r w:rsidR="1EB12109">
              <w:t xml:space="preserve">anagement / </w:t>
            </w:r>
            <w:r w:rsidR="10D1E1DA">
              <w:t>g</w:t>
            </w:r>
            <w:r>
              <w:t>overnance</w:t>
            </w:r>
          </w:p>
        </w:tc>
        <w:tc>
          <w:tcPr>
            <w:tcW w:w="3373" w:type="dxa"/>
            <w:vAlign w:val="center"/>
          </w:tcPr>
          <w:p w14:paraId="6F4606F8" w14:textId="4E24B0FE" w:rsidR="00754B11" w:rsidRPr="000B0E9D" w:rsidRDefault="00754B11" w:rsidP="000B0E9D">
            <w:pPr>
              <w:pStyle w:val="BodyText"/>
              <w:spacing w:before="120" w:after="120"/>
            </w:pPr>
            <w:r>
              <w:t>Reasonable</w:t>
            </w:r>
          </w:p>
        </w:tc>
      </w:tr>
      <w:tr w:rsidR="00961D03" w14:paraId="3B6C823C" w14:textId="77777777" w:rsidTr="00F95D1E">
        <w:tc>
          <w:tcPr>
            <w:tcW w:w="5699" w:type="dxa"/>
            <w:vAlign w:val="center"/>
          </w:tcPr>
          <w:p w14:paraId="1E9D1964" w14:textId="188F8EFB" w:rsidR="00961D03" w:rsidRPr="000B0E9D" w:rsidRDefault="00BF7DF2" w:rsidP="000B0E9D">
            <w:pPr>
              <w:pStyle w:val="BodyText"/>
              <w:spacing w:before="120" w:after="120"/>
            </w:pPr>
            <w:r>
              <w:t>Fit and proper person test</w:t>
            </w:r>
          </w:p>
        </w:tc>
        <w:tc>
          <w:tcPr>
            <w:tcW w:w="3373" w:type="dxa"/>
            <w:vAlign w:val="center"/>
          </w:tcPr>
          <w:p w14:paraId="0BE3C0EA" w14:textId="5C0C3969" w:rsidR="00961D03" w:rsidRPr="000B0E9D" w:rsidRDefault="00C852A8" w:rsidP="000B0E9D">
            <w:pPr>
              <w:pStyle w:val="BodyText"/>
              <w:spacing w:before="120" w:after="120"/>
            </w:pPr>
            <w:r>
              <w:t>Reasonable</w:t>
            </w:r>
          </w:p>
        </w:tc>
      </w:tr>
      <w:tr w:rsidR="001A0BAB" w14:paraId="3E7EB972" w14:textId="77777777" w:rsidTr="00482974">
        <w:tc>
          <w:tcPr>
            <w:tcW w:w="5699" w:type="dxa"/>
          </w:tcPr>
          <w:p w14:paraId="52BCFFB9" w14:textId="511185B8" w:rsidR="001A0BAB" w:rsidRPr="000B0E9D" w:rsidRDefault="00BF7DF2">
            <w:pPr>
              <w:pStyle w:val="BodyText"/>
              <w:spacing w:before="120" w:after="120"/>
            </w:pPr>
            <w:r>
              <w:t xml:space="preserve">Corporate </w:t>
            </w:r>
            <w:r w:rsidR="03EE8DC6">
              <w:t>g</w:t>
            </w:r>
            <w:r>
              <w:t>overnance</w:t>
            </w:r>
          </w:p>
        </w:tc>
        <w:tc>
          <w:tcPr>
            <w:tcW w:w="3373" w:type="dxa"/>
          </w:tcPr>
          <w:p w14:paraId="37AB378C" w14:textId="31478AED" w:rsidR="001A0BAB" w:rsidRDefault="00BF7DF2">
            <w:pPr>
              <w:pStyle w:val="BodyText"/>
              <w:spacing w:before="120" w:after="120"/>
            </w:pPr>
            <w:r>
              <w:t>Reasonable</w:t>
            </w:r>
          </w:p>
        </w:tc>
      </w:tr>
      <w:tr w:rsidR="001A0BAB" w14:paraId="6F778FD6" w14:textId="77777777" w:rsidTr="00482974">
        <w:tc>
          <w:tcPr>
            <w:tcW w:w="5699" w:type="dxa"/>
          </w:tcPr>
          <w:p w14:paraId="59082C94" w14:textId="4A634DA6" w:rsidR="001A0BAB" w:rsidRPr="000B0E9D" w:rsidRDefault="00BF7DF2">
            <w:pPr>
              <w:pStyle w:val="BodyText"/>
              <w:spacing w:before="120" w:after="120"/>
            </w:pPr>
            <w:r>
              <w:t xml:space="preserve">Delegated </w:t>
            </w:r>
            <w:r w:rsidR="58EF8639">
              <w:t>p</w:t>
            </w:r>
            <w:r>
              <w:t xml:space="preserve">rimary </w:t>
            </w:r>
            <w:r w:rsidR="0390F0E0">
              <w:t>c</w:t>
            </w:r>
            <w:r>
              <w:t>are</w:t>
            </w:r>
          </w:p>
        </w:tc>
        <w:tc>
          <w:tcPr>
            <w:tcW w:w="3373" w:type="dxa"/>
          </w:tcPr>
          <w:p w14:paraId="29A30EB2" w14:textId="0D7AA68C" w:rsidR="001A0BAB" w:rsidRDefault="00F10BF1">
            <w:pPr>
              <w:pStyle w:val="BodyText"/>
              <w:spacing w:before="120" w:after="120"/>
            </w:pPr>
            <w:r>
              <w:t>Substantial</w:t>
            </w:r>
          </w:p>
        </w:tc>
      </w:tr>
      <w:tr w:rsidR="001A0BAB" w14:paraId="39D78959" w14:textId="77777777" w:rsidTr="00482974">
        <w:tc>
          <w:tcPr>
            <w:tcW w:w="5699" w:type="dxa"/>
          </w:tcPr>
          <w:p w14:paraId="77ADCBB8" w14:textId="3F21A25C" w:rsidR="001A0BAB" w:rsidRPr="000B0E9D" w:rsidRDefault="00BF7DF2">
            <w:pPr>
              <w:pStyle w:val="BodyText"/>
              <w:spacing w:before="120" w:after="120"/>
            </w:pPr>
            <w:r>
              <w:t xml:space="preserve">Key </w:t>
            </w:r>
            <w:r w:rsidR="57ACC87C">
              <w:t>f</w:t>
            </w:r>
            <w:r w:rsidR="1EB12109">
              <w:t xml:space="preserve">inancial </w:t>
            </w:r>
            <w:r w:rsidR="06EDB027">
              <w:t>s</w:t>
            </w:r>
            <w:r>
              <w:t>ystems</w:t>
            </w:r>
          </w:p>
        </w:tc>
        <w:tc>
          <w:tcPr>
            <w:tcW w:w="3373" w:type="dxa"/>
          </w:tcPr>
          <w:p w14:paraId="616D515F" w14:textId="54829475" w:rsidR="001A0BAB" w:rsidRDefault="001557AB">
            <w:pPr>
              <w:pStyle w:val="BodyText"/>
              <w:spacing w:before="120" w:after="120"/>
            </w:pPr>
            <w:r>
              <w:t>Substantial</w:t>
            </w:r>
          </w:p>
        </w:tc>
      </w:tr>
      <w:tr w:rsidR="00FB6FDC" w14:paraId="5EEA943E" w14:textId="77777777" w:rsidTr="00482974">
        <w:tc>
          <w:tcPr>
            <w:tcW w:w="5699" w:type="dxa"/>
          </w:tcPr>
          <w:p w14:paraId="6BB0E838" w14:textId="10EB42F4" w:rsidR="00FB6FDC" w:rsidRPr="000B0E9D" w:rsidRDefault="00BF7DF2">
            <w:pPr>
              <w:pStyle w:val="BodyText"/>
              <w:spacing w:before="120" w:after="120"/>
            </w:pPr>
            <w:r>
              <w:t>Payroll</w:t>
            </w:r>
          </w:p>
        </w:tc>
        <w:tc>
          <w:tcPr>
            <w:tcW w:w="3373" w:type="dxa"/>
          </w:tcPr>
          <w:p w14:paraId="7CC9A5CD" w14:textId="55980E3D" w:rsidR="00FB6FDC" w:rsidRDefault="0037243E">
            <w:pPr>
              <w:pStyle w:val="BodyText"/>
              <w:spacing w:before="120" w:after="120"/>
            </w:pPr>
            <w:r>
              <w:t xml:space="preserve">Substantial </w:t>
            </w:r>
          </w:p>
        </w:tc>
      </w:tr>
    </w:tbl>
    <w:p w14:paraId="3A0E7E8E" w14:textId="22E551B4" w:rsidR="00FC621C" w:rsidRDefault="00FC621C" w:rsidP="00F05A5E">
      <w:pPr>
        <w:spacing w:before="0" w:after="0"/>
      </w:pPr>
    </w:p>
    <w:p w14:paraId="77DA8D82" w14:textId="77B11DB4" w:rsidR="00316FC0" w:rsidRDefault="00316FC0" w:rsidP="00316FC0">
      <w:pPr>
        <w:pStyle w:val="Heading4"/>
        <w:kinsoku w:val="0"/>
        <w:overflowPunct w:val="0"/>
      </w:pPr>
      <w:r>
        <w:t>Review of the effectiveness of governance, risk management and internal control</w:t>
      </w:r>
    </w:p>
    <w:p w14:paraId="2432840A" w14:textId="2C18FE8F" w:rsidR="006F7C60" w:rsidRDefault="006F7C60" w:rsidP="004116AD">
      <w:pPr>
        <w:pStyle w:val="BodyText"/>
      </w:pPr>
      <w:r>
        <w:t xml:space="preserve">My review of the effectiveness of the system of internal control </w:t>
      </w:r>
      <w:r w:rsidR="006F6A68">
        <w:t>wa</w:t>
      </w:r>
      <w:r>
        <w:t>s informed by the work of the internal auditors, executive managers, and clinical leads within the ICB who have responsibility for the development and maintenance of the internal control framework.</w:t>
      </w:r>
    </w:p>
    <w:p w14:paraId="41003605" w14:textId="7C611EB6" w:rsidR="006F7C60" w:rsidRDefault="006F7C60" w:rsidP="004116AD">
      <w:pPr>
        <w:pStyle w:val="BodyText"/>
      </w:pPr>
      <w:r>
        <w:t xml:space="preserve">I have drawn on performance information available to me. My review </w:t>
      </w:r>
      <w:r w:rsidR="00CE67CB">
        <w:t>wa</w:t>
      </w:r>
      <w:r>
        <w:t>s also informed by comments made by the external auditors in their annual audit letter and other reports.</w:t>
      </w:r>
    </w:p>
    <w:p w14:paraId="6E733E19" w14:textId="77777777" w:rsidR="006F7C60" w:rsidRDefault="006F7C60" w:rsidP="004116AD">
      <w:pPr>
        <w:pStyle w:val="BodyText"/>
      </w:pPr>
      <w:r>
        <w:t>Our assurance framework provides me with evidence that the effectiveness of controls that manage risks to the ICB achieving its principles objectives have been reviewed.</w:t>
      </w:r>
    </w:p>
    <w:p w14:paraId="1FC19C2E" w14:textId="54B784F8" w:rsidR="006F7C60" w:rsidRDefault="006F7C60" w:rsidP="004116AD">
      <w:pPr>
        <w:pStyle w:val="BodyText"/>
      </w:pPr>
      <w:r>
        <w:t>I have been advised on the implications of the result of this review by:</w:t>
      </w:r>
    </w:p>
    <w:p w14:paraId="619162C1" w14:textId="0E68A97E" w:rsidR="006F7C60" w:rsidRPr="00F00305" w:rsidRDefault="006F7C60" w:rsidP="00F00305">
      <w:pPr>
        <w:pStyle w:val="BodyText"/>
        <w:numPr>
          <w:ilvl w:val="0"/>
          <w:numId w:val="39"/>
        </w:numPr>
        <w:rPr>
          <w:szCs w:val="24"/>
        </w:rPr>
      </w:pPr>
      <w:r w:rsidRPr="00F00305">
        <w:rPr>
          <w:szCs w:val="24"/>
        </w:rPr>
        <w:t>The Board.</w:t>
      </w:r>
    </w:p>
    <w:p w14:paraId="21868259" w14:textId="02AF8D28" w:rsidR="006F7C60" w:rsidRPr="00F00305" w:rsidRDefault="006F7C60" w:rsidP="00F00305">
      <w:pPr>
        <w:pStyle w:val="BodyText"/>
        <w:numPr>
          <w:ilvl w:val="0"/>
          <w:numId w:val="39"/>
        </w:numPr>
        <w:rPr>
          <w:szCs w:val="24"/>
        </w:rPr>
      </w:pPr>
      <w:r w:rsidRPr="00F00305">
        <w:rPr>
          <w:szCs w:val="24"/>
        </w:rPr>
        <w:t>The Audit Committee.</w:t>
      </w:r>
    </w:p>
    <w:p w14:paraId="404349F4" w14:textId="436D4C71" w:rsidR="006F7C60" w:rsidRPr="00F00305" w:rsidRDefault="006F7C60" w:rsidP="00F00305">
      <w:pPr>
        <w:pStyle w:val="BodyText"/>
        <w:numPr>
          <w:ilvl w:val="0"/>
          <w:numId w:val="39"/>
        </w:numPr>
        <w:rPr>
          <w:szCs w:val="24"/>
        </w:rPr>
      </w:pPr>
      <w:r w:rsidRPr="00F00305">
        <w:rPr>
          <w:szCs w:val="24"/>
        </w:rPr>
        <w:t>Remuneration Committee.</w:t>
      </w:r>
    </w:p>
    <w:p w14:paraId="7078E344" w14:textId="2FBFDAA7" w:rsidR="006F7C60" w:rsidRPr="00F00305" w:rsidRDefault="006F7C60" w:rsidP="00F00305">
      <w:pPr>
        <w:pStyle w:val="BodyText"/>
        <w:numPr>
          <w:ilvl w:val="0"/>
          <w:numId w:val="39"/>
        </w:numPr>
        <w:rPr>
          <w:szCs w:val="24"/>
        </w:rPr>
      </w:pPr>
      <w:r w:rsidRPr="00F00305">
        <w:rPr>
          <w:szCs w:val="24"/>
        </w:rPr>
        <w:t>Quality Committee.</w:t>
      </w:r>
    </w:p>
    <w:p w14:paraId="68B3886F" w14:textId="3EEEB018" w:rsidR="006F7C60" w:rsidRPr="00F00305" w:rsidRDefault="006F7C60" w:rsidP="00F00305">
      <w:pPr>
        <w:pStyle w:val="BodyText"/>
        <w:numPr>
          <w:ilvl w:val="0"/>
          <w:numId w:val="39"/>
        </w:numPr>
        <w:rPr>
          <w:szCs w:val="24"/>
        </w:rPr>
      </w:pPr>
      <w:r w:rsidRPr="00F00305">
        <w:rPr>
          <w:szCs w:val="24"/>
        </w:rPr>
        <w:t>Finance and Investment Committee.</w:t>
      </w:r>
    </w:p>
    <w:p w14:paraId="4A85F758" w14:textId="21579704" w:rsidR="006F7C60" w:rsidRPr="00F00305" w:rsidRDefault="006F7C60" w:rsidP="00F00305">
      <w:pPr>
        <w:pStyle w:val="BodyText"/>
        <w:numPr>
          <w:ilvl w:val="0"/>
          <w:numId w:val="39"/>
        </w:numPr>
        <w:rPr>
          <w:szCs w:val="24"/>
        </w:rPr>
      </w:pPr>
      <w:r w:rsidRPr="00F00305">
        <w:rPr>
          <w:szCs w:val="24"/>
        </w:rPr>
        <w:t>System Oversight and Assurance Committee.</w:t>
      </w:r>
    </w:p>
    <w:p w14:paraId="106ECFD3" w14:textId="4E20EB63" w:rsidR="006F7C60" w:rsidRPr="00F00305" w:rsidRDefault="006F7C60" w:rsidP="00F00305">
      <w:pPr>
        <w:pStyle w:val="BodyText"/>
        <w:numPr>
          <w:ilvl w:val="0"/>
          <w:numId w:val="39"/>
        </w:numPr>
        <w:rPr>
          <w:szCs w:val="24"/>
        </w:rPr>
      </w:pPr>
      <w:r w:rsidRPr="00F00305">
        <w:rPr>
          <w:szCs w:val="24"/>
        </w:rPr>
        <w:t>Primary Care Commissioning Committee.</w:t>
      </w:r>
    </w:p>
    <w:p w14:paraId="062797DD" w14:textId="32F8E5A0" w:rsidR="006F7C60" w:rsidRPr="00F00305" w:rsidRDefault="006F7C60" w:rsidP="00F00305">
      <w:pPr>
        <w:pStyle w:val="BodyText"/>
        <w:numPr>
          <w:ilvl w:val="0"/>
          <w:numId w:val="39"/>
        </w:numPr>
        <w:rPr>
          <w:szCs w:val="24"/>
        </w:rPr>
      </w:pPr>
      <w:r w:rsidRPr="00F00305">
        <w:rPr>
          <w:szCs w:val="24"/>
        </w:rPr>
        <w:t>Clinical and Muti-professional Congress.</w:t>
      </w:r>
    </w:p>
    <w:p w14:paraId="640F986E" w14:textId="542366D8" w:rsidR="009F5041" w:rsidRPr="00F00305" w:rsidRDefault="009F5041" w:rsidP="00F00305">
      <w:pPr>
        <w:pStyle w:val="BodyText"/>
        <w:numPr>
          <w:ilvl w:val="0"/>
          <w:numId w:val="39"/>
        </w:numPr>
        <w:rPr>
          <w:szCs w:val="24"/>
        </w:rPr>
      </w:pPr>
      <w:r w:rsidRPr="00F00305">
        <w:rPr>
          <w:szCs w:val="24"/>
        </w:rPr>
        <w:t>Executive Committee</w:t>
      </w:r>
    </w:p>
    <w:p w14:paraId="6A19DEB3" w14:textId="54B2A277" w:rsidR="002F10CF" w:rsidRPr="00F00305" w:rsidRDefault="002F10CF" w:rsidP="00F00305">
      <w:pPr>
        <w:pStyle w:val="BodyText"/>
        <w:numPr>
          <w:ilvl w:val="0"/>
          <w:numId w:val="39"/>
        </w:numPr>
        <w:rPr>
          <w:szCs w:val="24"/>
        </w:rPr>
      </w:pPr>
      <w:r w:rsidRPr="00F00305">
        <w:rPr>
          <w:szCs w:val="24"/>
        </w:rPr>
        <w:lastRenderedPageBreak/>
        <w:t>Alliance Committees</w:t>
      </w:r>
    </w:p>
    <w:p w14:paraId="37F9B454" w14:textId="1B06ACA4" w:rsidR="006F7C60" w:rsidRPr="00F00305" w:rsidRDefault="006F7C60" w:rsidP="00F00305">
      <w:pPr>
        <w:pStyle w:val="BodyText"/>
        <w:numPr>
          <w:ilvl w:val="0"/>
          <w:numId w:val="39"/>
        </w:numPr>
        <w:rPr>
          <w:szCs w:val="24"/>
        </w:rPr>
      </w:pPr>
      <w:r w:rsidRPr="00F00305">
        <w:rPr>
          <w:szCs w:val="24"/>
        </w:rPr>
        <w:t>Internal Audit.</w:t>
      </w:r>
    </w:p>
    <w:p w14:paraId="4F2A6119" w14:textId="7637CD85" w:rsidR="00DA7D2B" w:rsidRPr="00F00305" w:rsidRDefault="006F7C60" w:rsidP="00F00305">
      <w:pPr>
        <w:pStyle w:val="BodyText"/>
        <w:numPr>
          <w:ilvl w:val="0"/>
          <w:numId w:val="39"/>
        </w:numPr>
        <w:rPr>
          <w:szCs w:val="24"/>
        </w:rPr>
      </w:pPr>
      <w:r w:rsidRPr="00F00305">
        <w:rPr>
          <w:szCs w:val="24"/>
        </w:rPr>
        <w:t>External Audit.</w:t>
      </w:r>
    </w:p>
    <w:p w14:paraId="7AC25641" w14:textId="77777777" w:rsidR="009451E6" w:rsidRDefault="009451E6" w:rsidP="00CB46B7">
      <w:pPr>
        <w:pStyle w:val="Heading4"/>
        <w:kinsoku w:val="0"/>
        <w:overflowPunct w:val="0"/>
        <w:spacing w:before="0"/>
      </w:pPr>
    </w:p>
    <w:p w14:paraId="07F80535" w14:textId="21DB7272" w:rsidR="00DA7D2B" w:rsidRDefault="00DA7D2B" w:rsidP="00CB46B7">
      <w:pPr>
        <w:pStyle w:val="Heading4"/>
        <w:kinsoku w:val="0"/>
        <w:overflowPunct w:val="0"/>
        <w:spacing w:before="0"/>
      </w:pPr>
      <w:r>
        <w:t>Conclusion</w:t>
      </w:r>
    </w:p>
    <w:p w14:paraId="39D837EC" w14:textId="7D0E30D7" w:rsidR="00CB46B7" w:rsidRPr="009C3512" w:rsidRDefault="00CB46B7" w:rsidP="004116AD">
      <w:pPr>
        <w:pStyle w:val="BodyText"/>
      </w:pPr>
      <w:r>
        <w:t>I concur with the Head of Internal Audit Opinion that during</w:t>
      </w:r>
      <w:r w:rsidRPr="009C3512">
        <w:t xml:space="preserve"> 202</w:t>
      </w:r>
      <w:r w:rsidR="002D15B7" w:rsidRPr="009C3512">
        <w:t>3</w:t>
      </w:r>
      <w:r w:rsidRPr="009C3512">
        <w:t>/2</w:t>
      </w:r>
      <w:r w:rsidR="002D15B7" w:rsidRPr="009C3512">
        <w:t>4</w:t>
      </w:r>
      <w:r w:rsidRPr="009C3512">
        <w:t xml:space="preserve"> there ha</w:t>
      </w:r>
      <w:r w:rsidR="009C3512" w:rsidRPr="009C3512">
        <w:t>d</w:t>
      </w:r>
      <w:r w:rsidRPr="009C3512">
        <w:t xml:space="preserve"> been a generally sound system of internal control, designed to meet the organisation’s objectives, and that controls have been generally applied consistently.</w:t>
      </w:r>
    </w:p>
    <w:p w14:paraId="397F53F2" w14:textId="25C4AC9E" w:rsidR="00CB46B7" w:rsidRDefault="00CB46B7" w:rsidP="004116AD">
      <w:pPr>
        <w:pStyle w:val="BodyText"/>
      </w:pPr>
      <w:r>
        <w:t xml:space="preserve">Action plans to implement any outstanding recommendations from audits </w:t>
      </w:r>
      <w:r w:rsidR="009C3512">
        <w:t>we</w:t>
      </w:r>
      <w:r>
        <w:t>re in place and will continue to be monitored during the 202</w:t>
      </w:r>
      <w:r w:rsidR="00DD689C">
        <w:t>4</w:t>
      </w:r>
      <w:r>
        <w:t>/2</w:t>
      </w:r>
      <w:r w:rsidR="00DD689C">
        <w:t>5</w:t>
      </w:r>
      <w:r>
        <w:t xml:space="preserve"> financial year.</w:t>
      </w:r>
    </w:p>
    <w:p w14:paraId="5538B832" w14:textId="085E7B64" w:rsidR="00CB46B7" w:rsidRDefault="00CB46B7" w:rsidP="004116AD">
      <w:pPr>
        <w:pStyle w:val="BodyText"/>
      </w:pPr>
      <w:r>
        <w:t xml:space="preserve">I confirm that there are no risks which may affect the ICB’s </w:t>
      </w:r>
      <w:r w:rsidR="30037E1C">
        <w:t>l</w:t>
      </w:r>
      <w:r>
        <w:t>icence or serious lapses in control.</w:t>
      </w:r>
    </w:p>
    <w:p w14:paraId="36689EE4" w14:textId="77777777" w:rsidR="00DA7D2B" w:rsidRDefault="00DA7D2B" w:rsidP="00F05A5E">
      <w:pPr>
        <w:spacing w:before="0" w:after="0"/>
        <w:rPr>
          <w:highlight w:val="yellow"/>
        </w:rPr>
      </w:pPr>
    </w:p>
    <w:p w14:paraId="4EFFFAA1" w14:textId="77777777" w:rsidR="005C30D7" w:rsidRDefault="005C30D7" w:rsidP="00F05A5E">
      <w:pPr>
        <w:spacing w:before="0" w:after="0"/>
        <w:rPr>
          <w:highlight w:val="yellow"/>
        </w:rPr>
      </w:pPr>
    </w:p>
    <w:p w14:paraId="0B589763" w14:textId="60B46CD5" w:rsidR="005C30D7" w:rsidRDefault="005C30D7" w:rsidP="00F05A5E">
      <w:pPr>
        <w:spacing w:before="0" w:after="0"/>
        <w:rPr>
          <w:highlight w:val="yellow"/>
        </w:rPr>
      </w:pPr>
    </w:p>
    <w:p w14:paraId="04C0063E" w14:textId="77777777" w:rsidR="005C30D7" w:rsidRDefault="005C30D7" w:rsidP="00F05A5E">
      <w:pPr>
        <w:spacing w:before="0" w:after="0"/>
        <w:rPr>
          <w:highlight w:val="yellow"/>
        </w:rPr>
      </w:pPr>
    </w:p>
    <w:p w14:paraId="6CFB9655" w14:textId="4C427D16" w:rsidR="00FC621C" w:rsidRDefault="00C13CCE" w:rsidP="00F05A5E">
      <w:pPr>
        <w:spacing w:before="0" w:after="0"/>
        <w:rPr>
          <w:b/>
          <w:bCs/>
        </w:rPr>
      </w:pPr>
      <w:r>
        <w:rPr>
          <w:b/>
          <w:bCs/>
        </w:rPr>
        <w:t>Tracy Dowling</w:t>
      </w:r>
    </w:p>
    <w:p w14:paraId="1623AD13" w14:textId="4861612F" w:rsidR="00717BD0" w:rsidRDefault="00C13CCE" w:rsidP="00F05A5E">
      <w:pPr>
        <w:spacing w:before="0" w:after="0"/>
      </w:pPr>
      <w:r>
        <w:t xml:space="preserve">Interim </w:t>
      </w:r>
      <w:r w:rsidR="00717BD0" w:rsidRPr="00717BD0">
        <w:t>Chief Executive of Mid and South Essex Integrated Care Board</w:t>
      </w:r>
    </w:p>
    <w:p w14:paraId="5708B7AC" w14:textId="77777777" w:rsidR="00717BD0" w:rsidRDefault="00717BD0" w:rsidP="00F05A5E">
      <w:pPr>
        <w:spacing w:before="0" w:after="0"/>
      </w:pPr>
    </w:p>
    <w:p w14:paraId="2ADD2E1B" w14:textId="77777777" w:rsidR="00E77035" w:rsidRPr="00FD7877" w:rsidRDefault="00E77035" w:rsidP="00E77035">
      <w:pPr>
        <w:pStyle w:val="BodyText"/>
        <w:rPr>
          <w:b/>
        </w:rPr>
      </w:pPr>
      <w:r>
        <w:t xml:space="preserve">24 June </w:t>
      </w:r>
      <w:r w:rsidRPr="00FD7877">
        <w:t>202</w:t>
      </w:r>
      <w:r>
        <w:t>4</w:t>
      </w:r>
    </w:p>
    <w:p w14:paraId="68713B5F" w14:textId="77777777" w:rsidR="00CD22C9" w:rsidRDefault="00CD22C9" w:rsidP="00F05A5E">
      <w:pPr>
        <w:spacing w:before="0" w:after="0"/>
        <w:rPr>
          <w:highlight w:val="yellow"/>
        </w:rPr>
      </w:pPr>
    </w:p>
    <w:p w14:paraId="4CAEB3C5" w14:textId="77777777" w:rsidR="00211A8E" w:rsidRDefault="00211A8E">
      <w:pPr>
        <w:spacing w:before="0" w:after="200" w:line="276" w:lineRule="auto"/>
        <w:rPr>
          <w:rFonts w:eastAsia="Times" w:cs="Arial"/>
          <w:b/>
          <w:bCs/>
          <w:sz w:val="40"/>
          <w:szCs w:val="40"/>
        </w:rPr>
      </w:pPr>
      <w:bookmarkStart w:id="105" w:name="_Toc126572834"/>
      <w:bookmarkStart w:id="106" w:name="_Toc126572835"/>
      <w:r>
        <w:rPr>
          <w:rFonts w:cs="Arial"/>
          <w:sz w:val="40"/>
          <w:szCs w:val="40"/>
        </w:rPr>
        <w:br w:type="page"/>
      </w:r>
    </w:p>
    <w:p w14:paraId="5E2C8BE3" w14:textId="74FCF704" w:rsidR="00FF1759" w:rsidRPr="00612517" w:rsidRDefault="00FF1759" w:rsidP="002508C6">
      <w:pPr>
        <w:pStyle w:val="Subtitle"/>
      </w:pPr>
      <w:bookmarkStart w:id="107" w:name="_Toc164814838"/>
      <w:bookmarkStart w:id="108" w:name="_Toc164814899"/>
      <w:r w:rsidRPr="00612517">
        <w:lastRenderedPageBreak/>
        <w:t>Remuneration and Staff Report</w:t>
      </w:r>
      <w:bookmarkEnd w:id="105"/>
      <w:bookmarkEnd w:id="107"/>
      <w:bookmarkEnd w:id="108"/>
    </w:p>
    <w:p w14:paraId="4DC680A8" w14:textId="6A5A4A9D" w:rsidR="001C0486" w:rsidRPr="006B1013" w:rsidRDefault="001C0486" w:rsidP="002508C6">
      <w:pPr>
        <w:pStyle w:val="Heading2"/>
        <w:rPr>
          <w:lang w:eastAsia="en-GB"/>
        </w:rPr>
      </w:pPr>
      <w:bookmarkStart w:id="109" w:name="_Toc133356664"/>
      <w:bookmarkStart w:id="110" w:name="_Toc164470278"/>
      <w:bookmarkStart w:id="111" w:name="_Toc164814699"/>
      <w:bookmarkStart w:id="112" w:name="_Toc164814839"/>
      <w:bookmarkStart w:id="113" w:name="_Toc164814900"/>
      <w:r w:rsidRPr="006B1013">
        <w:rPr>
          <w:lang w:eastAsia="en-GB"/>
        </w:rPr>
        <w:t>Remuneration Report</w:t>
      </w:r>
      <w:bookmarkEnd w:id="106"/>
      <w:bookmarkEnd w:id="109"/>
      <w:bookmarkEnd w:id="110"/>
      <w:bookmarkEnd w:id="111"/>
      <w:bookmarkEnd w:id="112"/>
      <w:bookmarkEnd w:id="113"/>
    </w:p>
    <w:p w14:paraId="53429149" w14:textId="77777777" w:rsidR="001C0486" w:rsidRPr="00EC0BD0" w:rsidRDefault="001C0486" w:rsidP="006B1013">
      <w:pPr>
        <w:pStyle w:val="Heading3"/>
        <w:rPr>
          <w:lang w:eastAsia="en-GB"/>
        </w:rPr>
      </w:pPr>
      <w:bookmarkStart w:id="114" w:name="_Toc133356665"/>
      <w:bookmarkStart w:id="115" w:name="_Toc163136031"/>
      <w:bookmarkStart w:id="116" w:name="_Toc164470279"/>
      <w:bookmarkStart w:id="117" w:name="_Toc164814700"/>
      <w:bookmarkStart w:id="118" w:name="_Toc164814840"/>
      <w:bookmarkStart w:id="119" w:name="_Toc164814901"/>
      <w:r w:rsidRPr="00EC0BD0">
        <w:rPr>
          <w:lang w:eastAsia="en-GB"/>
        </w:rPr>
        <w:t>Remuneration Committee</w:t>
      </w:r>
      <w:bookmarkEnd w:id="114"/>
      <w:bookmarkEnd w:id="115"/>
      <w:bookmarkEnd w:id="116"/>
      <w:bookmarkEnd w:id="117"/>
      <w:bookmarkEnd w:id="118"/>
      <w:bookmarkEnd w:id="119"/>
    </w:p>
    <w:p w14:paraId="799CC66E" w14:textId="46CB4D84" w:rsidR="008D5F62" w:rsidRDefault="008D5F62" w:rsidP="008D5F62">
      <w:pPr>
        <w:pStyle w:val="BodyText"/>
      </w:pPr>
      <w:r>
        <w:t>For 202</w:t>
      </w:r>
      <w:r w:rsidR="00A7471E">
        <w:t>3</w:t>
      </w:r>
      <w:r>
        <w:t>/2</w:t>
      </w:r>
      <w:r w:rsidR="00A7471E">
        <w:t>4</w:t>
      </w:r>
      <w:r>
        <w:t xml:space="preserve"> the membership of the remuneration committee was as follows: </w:t>
      </w:r>
    </w:p>
    <w:p w14:paraId="0E756B97" w14:textId="1E926636" w:rsidR="008D5F62" w:rsidRPr="00F00305" w:rsidRDefault="008D5F62" w:rsidP="00F00305">
      <w:pPr>
        <w:pStyle w:val="BodyText"/>
        <w:numPr>
          <w:ilvl w:val="0"/>
          <w:numId w:val="39"/>
        </w:numPr>
        <w:rPr>
          <w:szCs w:val="24"/>
        </w:rPr>
      </w:pPr>
      <w:r w:rsidRPr="00F00305">
        <w:rPr>
          <w:szCs w:val="24"/>
        </w:rPr>
        <w:t>Joe Fielder</w:t>
      </w:r>
      <w:r w:rsidR="00BE103A" w:rsidRPr="00F00305">
        <w:rPr>
          <w:szCs w:val="24"/>
        </w:rPr>
        <w:t>, Non-Executive Member</w:t>
      </w:r>
      <w:r w:rsidR="00A7777A" w:rsidRPr="00F00305">
        <w:rPr>
          <w:szCs w:val="24"/>
        </w:rPr>
        <w:t xml:space="preserve"> (Chair)</w:t>
      </w:r>
    </w:p>
    <w:p w14:paraId="49AD3C9F" w14:textId="3C3267E4" w:rsidR="008D5F62" w:rsidRPr="00F00305" w:rsidRDefault="008D5F62" w:rsidP="00F00305">
      <w:pPr>
        <w:pStyle w:val="BodyText"/>
        <w:numPr>
          <w:ilvl w:val="0"/>
          <w:numId w:val="39"/>
        </w:numPr>
        <w:rPr>
          <w:szCs w:val="24"/>
        </w:rPr>
      </w:pPr>
      <w:r w:rsidRPr="00F00305">
        <w:rPr>
          <w:szCs w:val="24"/>
        </w:rPr>
        <w:t>Peter Fairl</w:t>
      </w:r>
      <w:r w:rsidR="00DF1CF8" w:rsidRPr="00F00305">
        <w:rPr>
          <w:szCs w:val="24"/>
        </w:rPr>
        <w:t>e</w:t>
      </w:r>
      <w:r w:rsidRPr="00F00305">
        <w:rPr>
          <w:szCs w:val="24"/>
        </w:rPr>
        <w:t>y</w:t>
      </w:r>
      <w:r w:rsidR="00BE103A" w:rsidRPr="00F00305">
        <w:rPr>
          <w:szCs w:val="24"/>
        </w:rPr>
        <w:t>, Partner Member</w:t>
      </w:r>
      <w:r w:rsidR="003213FB" w:rsidRPr="00F00305">
        <w:rPr>
          <w:szCs w:val="24"/>
        </w:rPr>
        <w:t xml:space="preserve"> (</w:t>
      </w:r>
      <w:r w:rsidR="00577B25" w:rsidRPr="00F00305">
        <w:rPr>
          <w:szCs w:val="24"/>
        </w:rPr>
        <w:t>until May 2023</w:t>
      </w:r>
      <w:r w:rsidR="003213FB" w:rsidRPr="00F00305">
        <w:rPr>
          <w:szCs w:val="24"/>
        </w:rPr>
        <w:t>)</w:t>
      </w:r>
    </w:p>
    <w:p w14:paraId="7CF0D81C" w14:textId="18422913" w:rsidR="003213FB" w:rsidRPr="00F00305" w:rsidRDefault="003213FB" w:rsidP="00F00305">
      <w:pPr>
        <w:pStyle w:val="BodyText"/>
        <w:numPr>
          <w:ilvl w:val="0"/>
          <w:numId w:val="39"/>
        </w:numPr>
        <w:rPr>
          <w:szCs w:val="24"/>
        </w:rPr>
      </w:pPr>
      <w:r w:rsidRPr="00F00305">
        <w:rPr>
          <w:szCs w:val="24"/>
        </w:rPr>
        <w:t>Mark Harvey</w:t>
      </w:r>
      <w:r w:rsidR="00BE103A" w:rsidRPr="00F00305">
        <w:rPr>
          <w:szCs w:val="24"/>
        </w:rPr>
        <w:t>, Partner Member</w:t>
      </w:r>
      <w:r w:rsidRPr="00F00305">
        <w:rPr>
          <w:szCs w:val="24"/>
        </w:rPr>
        <w:t xml:space="preserve"> (from </w:t>
      </w:r>
      <w:r w:rsidR="00014E62" w:rsidRPr="00F00305">
        <w:rPr>
          <w:szCs w:val="24"/>
        </w:rPr>
        <w:t>October 2023)</w:t>
      </w:r>
    </w:p>
    <w:p w14:paraId="6D3DE60D" w14:textId="7B9CFF87" w:rsidR="008D5F62" w:rsidRPr="00F00305" w:rsidRDefault="00AF3D57" w:rsidP="00F00305">
      <w:pPr>
        <w:pStyle w:val="BodyText"/>
        <w:numPr>
          <w:ilvl w:val="0"/>
          <w:numId w:val="39"/>
        </w:numPr>
        <w:rPr>
          <w:szCs w:val="24"/>
        </w:rPr>
      </w:pPr>
      <w:r w:rsidRPr="00F00305">
        <w:rPr>
          <w:szCs w:val="24"/>
        </w:rPr>
        <w:t xml:space="preserve">Dr </w:t>
      </w:r>
      <w:r w:rsidR="0059292F" w:rsidRPr="00F00305">
        <w:rPr>
          <w:szCs w:val="24"/>
        </w:rPr>
        <w:t>Neha Issar-Brown</w:t>
      </w:r>
      <w:r w:rsidR="00BE103A" w:rsidRPr="00F00305">
        <w:rPr>
          <w:szCs w:val="24"/>
        </w:rPr>
        <w:t>, Non-Executive Member</w:t>
      </w:r>
    </w:p>
    <w:p w14:paraId="4494A479" w14:textId="5DB367F6" w:rsidR="0008532A" w:rsidRPr="00F00305" w:rsidRDefault="00AF3D57" w:rsidP="00F00305">
      <w:pPr>
        <w:pStyle w:val="BodyText"/>
        <w:numPr>
          <w:ilvl w:val="0"/>
          <w:numId w:val="39"/>
        </w:numPr>
        <w:rPr>
          <w:szCs w:val="24"/>
        </w:rPr>
      </w:pPr>
      <w:r w:rsidRPr="00F00305">
        <w:rPr>
          <w:szCs w:val="24"/>
        </w:rPr>
        <w:t xml:space="preserve">Prof. </w:t>
      </w:r>
      <w:r w:rsidR="0059292F" w:rsidRPr="00F00305">
        <w:rPr>
          <w:szCs w:val="24"/>
        </w:rPr>
        <w:t>Shahina Pardha</w:t>
      </w:r>
      <w:r w:rsidRPr="00F00305">
        <w:rPr>
          <w:szCs w:val="24"/>
        </w:rPr>
        <w:t>n</w:t>
      </w:r>
      <w:r w:rsidR="00BE103A" w:rsidRPr="00F00305">
        <w:rPr>
          <w:szCs w:val="24"/>
        </w:rPr>
        <w:t>, Associate Non-Executive Member</w:t>
      </w:r>
      <w:r w:rsidR="0059292F" w:rsidRPr="00F00305">
        <w:rPr>
          <w:szCs w:val="24"/>
        </w:rPr>
        <w:t xml:space="preserve"> (</w:t>
      </w:r>
      <w:r w:rsidR="00425788" w:rsidRPr="00F00305">
        <w:rPr>
          <w:szCs w:val="24"/>
        </w:rPr>
        <w:t>from July to September 2023</w:t>
      </w:r>
      <w:r w:rsidR="00473C09" w:rsidRPr="00F00305">
        <w:rPr>
          <w:szCs w:val="24"/>
        </w:rPr>
        <w:t xml:space="preserve">) </w:t>
      </w:r>
    </w:p>
    <w:p w14:paraId="7AAF7D66" w14:textId="6AC99EFE" w:rsidR="008D5F62" w:rsidRPr="000E535E" w:rsidRDefault="000E535E" w:rsidP="008D5F62">
      <w:pPr>
        <w:pStyle w:val="BodyText"/>
      </w:pPr>
      <w:r w:rsidRPr="000E535E">
        <w:t xml:space="preserve">Governance of the Remuneration Committee is reported within the governance statement above. </w:t>
      </w:r>
    </w:p>
    <w:p w14:paraId="6234C66F" w14:textId="299C0637" w:rsidR="005069AB" w:rsidRDefault="008D5F62" w:rsidP="008D5F62">
      <w:pPr>
        <w:pStyle w:val="BodyText"/>
      </w:pPr>
      <w:r w:rsidRPr="00A72496">
        <w:t>HR and remuneration advice was provided by</w:t>
      </w:r>
      <w:r w:rsidR="0023784C" w:rsidRPr="00A72496">
        <w:t xml:space="preserve"> the</w:t>
      </w:r>
      <w:r w:rsidRPr="00A72496">
        <w:t xml:space="preserve"> </w:t>
      </w:r>
      <w:r w:rsidR="0023784C" w:rsidRPr="00A72496">
        <w:t xml:space="preserve">Executive Chief People Officer, </w:t>
      </w:r>
      <w:r w:rsidRPr="00A72496">
        <w:t>Director of Human Resources</w:t>
      </w:r>
      <w:r w:rsidR="0023784C" w:rsidRPr="00A72496">
        <w:t xml:space="preserve"> and</w:t>
      </w:r>
      <w:r w:rsidRPr="00A72496">
        <w:t xml:space="preserve"> HR </w:t>
      </w:r>
      <w:r w:rsidR="2A6DA7BA">
        <w:t>b</w:t>
      </w:r>
      <w:r w:rsidRPr="00A72496">
        <w:t xml:space="preserve">usiness </w:t>
      </w:r>
      <w:r w:rsidR="66E0395B">
        <w:t>p</w:t>
      </w:r>
      <w:r w:rsidRPr="00A72496">
        <w:t>artner</w:t>
      </w:r>
      <w:r w:rsidR="00DD3476" w:rsidRPr="00A72496">
        <w:t>s,</w:t>
      </w:r>
      <w:r w:rsidRPr="00A72496">
        <w:t xml:space="preserve"> and the committee was informed by local and national guidance on remuneration matters</w:t>
      </w:r>
      <w:r w:rsidR="00B81F89" w:rsidRPr="00A72496">
        <w:t>.</w:t>
      </w:r>
    </w:p>
    <w:p w14:paraId="075DE454" w14:textId="77777777" w:rsidR="003C3793" w:rsidRDefault="003C3793" w:rsidP="003C3793">
      <w:pPr>
        <w:spacing w:line="360" w:lineRule="auto"/>
        <w:jc w:val="both"/>
        <w:rPr>
          <w:rStyle w:val="Heading4Char"/>
        </w:rPr>
      </w:pPr>
      <w:r w:rsidRPr="00652B69">
        <w:rPr>
          <w:rStyle w:val="Heading4Char"/>
        </w:rPr>
        <w:t xml:space="preserve">Percentage change in remuneration of highest paid director </w:t>
      </w:r>
    </w:p>
    <w:tbl>
      <w:tblPr>
        <w:tblW w:w="8460" w:type="dxa"/>
        <w:tblLook w:val="04A0" w:firstRow="1" w:lastRow="0" w:firstColumn="1" w:lastColumn="0" w:noHBand="0" w:noVBand="1"/>
      </w:tblPr>
      <w:tblGrid>
        <w:gridCol w:w="3700"/>
        <w:gridCol w:w="2380"/>
        <w:gridCol w:w="2380"/>
      </w:tblGrid>
      <w:tr w:rsidR="00CA33C6" w:rsidRPr="00CA33C6" w14:paraId="6F12B9D2" w14:textId="77777777" w:rsidTr="00CA33C6">
        <w:trPr>
          <w:trHeight w:val="750"/>
        </w:trPr>
        <w:tc>
          <w:tcPr>
            <w:tcW w:w="3700" w:type="dxa"/>
            <w:tcBorders>
              <w:top w:val="single" w:sz="4" w:space="0" w:color="auto"/>
              <w:left w:val="single" w:sz="4" w:space="0" w:color="auto"/>
              <w:bottom w:val="single" w:sz="4" w:space="0" w:color="auto"/>
              <w:right w:val="single" w:sz="4" w:space="0" w:color="000000"/>
            </w:tcBorders>
            <w:shd w:val="clear" w:color="000000" w:fill="BDD7EE"/>
            <w:vAlign w:val="center"/>
            <w:hideMark/>
          </w:tcPr>
          <w:p w14:paraId="55F41CC9" w14:textId="77777777" w:rsidR="00CA33C6" w:rsidRPr="00CA33C6" w:rsidRDefault="00CA33C6" w:rsidP="00CA33C6">
            <w:pPr>
              <w:spacing w:before="0" w:after="0"/>
              <w:jc w:val="center"/>
              <w:rPr>
                <w:rFonts w:eastAsia="Times New Roman" w:cs="Arial"/>
                <w:sz w:val="20"/>
                <w:szCs w:val="20"/>
                <w:lang w:eastAsia="en-GB"/>
              </w:rPr>
            </w:pPr>
            <w:r w:rsidRPr="00CA33C6">
              <w:rPr>
                <w:rFonts w:eastAsia="Times New Roman" w:cs="Arial"/>
                <w:sz w:val="20"/>
                <w:szCs w:val="20"/>
                <w:lang w:eastAsia="en-GB"/>
              </w:rPr>
              <w:t> </w:t>
            </w:r>
          </w:p>
        </w:tc>
        <w:tc>
          <w:tcPr>
            <w:tcW w:w="2380" w:type="dxa"/>
            <w:tcBorders>
              <w:top w:val="single" w:sz="4" w:space="0" w:color="auto"/>
              <w:left w:val="nil"/>
              <w:bottom w:val="single" w:sz="4" w:space="0" w:color="auto"/>
              <w:right w:val="single" w:sz="4" w:space="0" w:color="000000"/>
            </w:tcBorders>
            <w:shd w:val="clear" w:color="000000" w:fill="BDD7EE"/>
            <w:vAlign w:val="center"/>
            <w:hideMark/>
          </w:tcPr>
          <w:p w14:paraId="11013C04" w14:textId="77777777" w:rsidR="00CA33C6" w:rsidRPr="00CA33C6" w:rsidRDefault="00CA33C6" w:rsidP="00CA33C6">
            <w:pPr>
              <w:spacing w:before="0" w:after="0"/>
              <w:jc w:val="center"/>
              <w:rPr>
                <w:rFonts w:eastAsia="Times New Roman" w:cs="Arial"/>
                <w:sz w:val="20"/>
                <w:szCs w:val="20"/>
                <w:lang w:eastAsia="en-GB"/>
              </w:rPr>
            </w:pPr>
            <w:r w:rsidRPr="00CA33C6">
              <w:rPr>
                <w:rFonts w:eastAsia="Times New Roman" w:cs="Arial"/>
                <w:sz w:val="20"/>
                <w:szCs w:val="20"/>
                <w:lang w:eastAsia="en-GB"/>
              </w:rPr>
              <w:t>Salary and allowances</w:t>
            </w:r>
          </w:p>
        </w:tc>
        <w:tc>
          <w:tcPr>
            <w:tcW w:w="2380" w:type="dxa"/>
            <w:tcBorders>
              <w:top w:val="single" w:sz="4" w:space="0" w:color="auto"/>
              <w:left w:val="nil"/>
              <w:bottom w:val="single" w:sz="4" w:space="0" w:color="auto"/>
              <w:right w:val="single" w:sz="4" w:space="0" w:color="000000"/>
            </w:tcBorders>
            <w:shd w:val="clear" w:color="000000" w:fill="BDD7EE"/>
            <w:vAlign w:val="center"/>
            <w:hideMark/>
          </w:tcPr>
          <w:p w14:paraId="776815A1" w14:textId="77777777" w:rsidR="00CA33C6" w:rsidRPr="00CA33C6" w:rsidRDefault="00CA33C6" w:rsidP="00CA33C6">
            <w:pPr>
              <w:spacing w:before="0" w:after="0"/>
              <w:jc w:val="center"/>
              <w:rPr>
                <w:rFonts w:eastAsia="Times New Roman" w:cs="Arial"/>
                <w:sz w:val="20"/>
                <w:szCs w:val="20"/>
                <w:lang w:eastAsia="en-GB"/>
              </w:rPr>
            </w:pPr>
            <w:r w:rsidRPr="00CA33C6">
              <w:rPr>
                <w:rFonts w:eastAsia="Times New Roman" w:cs="Arial"/>
                <w:sz w:val="20"/>
                <w:szCs w:val="20"/>
                <w:lang w:eastAsia="en-GB"/>
              </w:rPr>
              <w:t>Performance pay and bonuses</w:t>
            </w:r>
          </w:p>
        </w:tc>
      </w:tr>
      <w:tr w:rsidR="00CA33C6" w:rsidRPr="00CA33C6" w14:paraId="3E195BC1" w14:textId="77777777" w:rsidTr="00CA33C6">
        <w:trPr>
          <w:trHeight w:val="1120"/>
        </w:trPr>
        <w:tc>
          <w:tcPr>
            <w:tcW w:w="3700" w:type="dxa"/>
            <w:tcBorders>
              <w:top w:val="single" w:sz="4" w:space="0" w:color="auto"/>
              <w:left w:val="single" w:sz="4" w:space="0" w:color="auto"/>
              <w:bottom w:val="single" w:sz="4" w:space="0" w:color="auto"/>
              <w:right w:val="single" w:sz="4" w:space="0" w:color="000000"/>
            </w:tcBorders>
            <w:shd w:val="clear" w:color="000000" w:fill="BDD7EE"/>
            <w:vAlign w:val="center"/>
            <w:hideMark/>
          </w:tcPr>
          <w:p w14:paraId="3C6FA2B4" w14:textId="77777777" w:rsidR="00CA33C6" w:rsidRPr="00CA33C6" w:rsidRDefault="00CA33C6" w:rsidP="00CA33C6">
            <w:pPr>
              <w:spacing w:before="0" w:after="0"/>
              <w:jc w:val="right"/>
              <w:rPr>
                <w:rFonts w:eastAsia="Times New Roman" w:cs="Arial"/>
                <w:sz w:val="20"/>
                <w:szCs w:val="20"/>
                <w:lang w:eastAsia="en-GB"/>
              </w:rPr>
            </w:pPr>
            <w:r w:rsidRPr="00CA33C6">
              <w:rPr>
                <w:rFonts w:eastAsia="Times New Roman" w:cs="Arial"/>
                <w:sz w:val="20"/>
                <w:szCs w:val="20"/>
                <w:lang w:eastAsia="en-GB"/>
              </w:rPr>
              <w:t>The percentage change from the previous financial year in respect of the highest paid director</w:t>
            </w:r>
          </w:p>
        </w:tc>
        <w:tc>
          <w:tcPr>
            <w:tcW w:w="2380" w:type="dxa"/>
            <w:tcBorders>
              <w:top w:val="single" w:sz="4" w:space="0" w:color="auto"/>
              <w:left w:val="nil"/>
              <w:bottom w:val="single" w:sz="4" w:space="0" w:color="auto"/>
              <w:right w:val="single" w:sz="4" w:space="0" w:color="000000"/>
            </w:tcBorders>
            <w:shd w:val="clear" w:color="000000" w:fill="DDEBF7"/>
            <w:vAlign w:val="center"/>
            <w:hideMark/>
          </w:tcPr>
          <w:p w14:paraId="21C19F25" w14:textId="77777777" w:rsidR="00CA33C6" w:rsidRPr="00CA33C6" w:rsidRDefault="00CA33C6" w:rsidP="00CA33C6">
            <w:pPr>
              <w:spacing w:before="0" w:after="0"/>
              <w:jc w:val="center"/>
              <w:rPr>
                <w:rFonts w:eastAsia="Times New Roman" w:cs="Arial"/>
                <w:sz w:val="20"/>
                <w:szCs w:val="20"/>
                <w:lang w:eastAsia="en-GB"/>
              </w:rPr>
            </w:pPr>
            <w:r w:rsidRPr="00CA33C6">
              <w:rPr>
                <w:rFonts w:eastAsia="Times New Roman" w:cs="Arial"/>
                <w:sz w:val="20"/>
                <w:szCs w:val="20"/>
                <w:lang w:eastAsia="en-GB"/>
              </w:rPr>
              <w:t>-21%</w:t>
            </w:r>
          </w:p>
        </w:tc>
        <w:tc>
          <w:tcPr>
            <w:tcW w:w="2380" w:type="dxa"/>
            <w:tcBorders>
              <w:top w:val="single" w:sz="4" w:space="0" w:color="auto"/>
              <w:left w:val="nil"/>
              <w:bottom w:val="single" w:sz="4" w:space="0" w:color="auto"/>
              <w:right w:val="single" w:sz="4" w:space="0" w:color="000000"/>
            </w:tcBorders>
            <w:shd w:val="clear" w:color="000000" w:fill="DDEBF7"/>
            <w:vAlign w:val="center"/>
            <w:hideMark/>
          </w:tcPr>
          <w:p w14:paraId="1C031A6C" w14:textId="77777777" w:rsidR="00CA33C6" w:rsidRPr="00CA33C6" w:rsidRDefault="00CA33C6" w:rsidP="00CA33C6">
            <w:pPr>
              <w:spacing w:before="0" w:after="0"/>
              <w:jc w:val="center"/>
              <w:rPr>
                <w:rFonts w:eastAsia="Times New Roman" w:cs="Arial"/>
                <w:sz w:val="20"/>
                <w:szCs w:val="20"/>
                <w:lang w:eastAsia="en-GB"/>
              </w:rPr>
            </w:pPr>
            <w:r w:rsidRPr="00CA33C6">
              <w:rPr>
                <w:rFonts w:eastAsia="Times New Roman" w:cs="Arial"/>
                <w:sz w:val="20"/>
                <w:szCs w:val="20"/>
                <w:lang w:eastAsia="en-GB"/>
              </w:rPr>
              <w:t>-21%</w:t>
            </w:r>
          </w:p>
        </w:tc>
      </w:tr>
      <w:tr w:rsidR="00CA33C6" w:rsidRPr="00CA33C6" w14:paraId="74E9A5D6" w14:textId="77777777" w:rsidTr="00CA33C6">
        <w:trPr>
          <w:trHeight w:val="1120"/>
        </w:trPr>
        <w:tc>
          <w:tcPr>
            <w:tcW w:w="3700" w:type="dxa"/>
            <w:tcBorders>
              <w:top w:val="single" w:sz="4" w:space="0" w:color="auto"/>
              <w:left w:val="single" w:sz="4" w:space="0" w:color="auto"/>
              <w:bottom w:val="single" w:sz="4" w:space="0" w:color="auto"/>
              <w:right w:val="single" w:sz="4" w:space="0" w:color="000000"/>
            </w:tcBorders>
            <w:shd w:val="clear" w:color="000000" w:fill="BDD7EE"/>
            <w:vAlign w:val="center"/>
            <w:hideMark/>
          </w:tcPr>
          <w:p w14:paraId="6DE1CFA1" w14:textId="77777777" w:rsidR="00CA33C6" w:rsidRPr="00CA33C6" w:rsidRDefault="00CA33C6" w:rsidP="00CA33C6">
            <w:pPr>
              <w:spacing w:before="0" w:after="0"/>
              <w:jc w:val="right"/>
              <w:rPr>
                <w:rFonts w:eastAsia="Times New Roman" w:cs="Arial"/>
                <w:sz w:val="20"/>
                <w:szCs w:val="20"/>
                <w:lang w:eastAsia="en-GB"/>
              </w:rPr>
            </w:pPr>
            <w:r w:rsidRPr="00CA33C6">
              <w:rPr>
                <w:rFonts w:eastAsia="Times New Roman" w:cs="Arial"/>
                <w:sz w:val="20"/>
                <w:szCs w:val="20"/>
                <w:lang w:eastAsia="en-GB"/>
              </w:rPr>
              <w:t>The average percentage change from the previous financial year in respect of employees of the entity, taken as a whole</w:t>
            </w:r>
          </w:p>
        </w:tc>
        <w:tc>
          <w:tcPr>
            <w:tcW w:w="2380" w:type="dxa"/>
            <w:tcBorders>
              <w:top w:val="single" w:sz="4" w:space="0" w:color="auto"/>
              <w:left w:val="nil"/>
              <w:bottom w:val="single" w:sz="4" w:space="0" w:color="auto"/>
              <w:right w:val="single" w:sz="4" w:space="0" w:color="000000"/>
            </w:tcBorders>
            <w:shd w:val="clear" w:color="000000" w:fill="DDEBF7"/>
            <w:vAlign w:val="center"/>
            <w:hideMark/>
          </w:tcPr>
          <w:p w14:paraId="0AE74F80" w14:textId="77777777" w:rsidR="00CA33C6" w:rsidRPr="00CA33C6" w:rsidRDefault="00CA33C6" w:rsidP="00CA33C6">
            <w:pPr>
              <w:spacing w:before="0" w:after="0"/>
              <w:jc w:val="center"/>
              <w:rPr>
                <w:rFonts w:eastAsia="Times New Roman" w:cs="Arial"/>
                <w:sz w:val="20"/>
                <w:szCs w:val="20"/>
                <w:lang w:eastAsia="en-GB"/>
              </w:rPr>
            </w:pPr>
            <w:r w:rsidRPr="00CA33C6">
              <w:rPr>
                <w:rFonts w:eastAsia="Times New Roman" w:cs="Arial"/>
                <w:sz w:val="20"/>
                <w:szCs w:val="20"/>
                <w:lang w:eastAsia="en-GB"/>
              </w:rPr>
              <w:t>-4%</w:t>
            </w:r>
          </w:p>
        </w:tc>
        <w:tc>
          <w:tcPr>
            <w:tcW w:w="2380" w:type="dxa"/>
            <w:tcBorders>
              <w:top w:val="single" w:sz="4" w:space="0" w:color="auto"/>
              <w:left w:val="nil"/>
              <w:bottom w:val="single" w:sz="4" w:space="0" w:color="auto"/>
              <w:right w:val="single" w:sz="4" w:space="0" w:color="000000"/>
            </w:tcBorders>
            <w:shd w:val="clear" w:color="000000" w:fill="DDEBF7"/>
            <w:vAlign w:val="center"/>
            <w:hideMark/>
          </w:tcPr>
          <w:p w14:paraId="66E1864A" w14:textId="77777777" w:rsidR="00CA33C6" w:rsidRPr="00CA33C6" w:rsidRDefault="00CA33C6" w:rsidP="00CA33C6">
            <w:pPr>
              <w:spacing w:before="0" w:after="0"/>
              <w:jc w:val="center"/>
              <w:rPr>
                <w:rFonts w:eastAsia="Times New Roman" w:cs="Arial"/>
                <w:sz w:val="20"/>
                <w:szCs w:val="20"/>
                <w:lang w:eastAsia="en-GB"/>
              </w:rPr>
            </w:pPr>
            <w:r w:rsidRPr="00CA33C6">
              <w:rPr>
                <w:rFonts w:eastAsia="Times New Roman" w:cs="Arial"/>
                <w:sz w:val="20"/>
                <w:szCs w:val="20"/>
                <w:lang w:eastAsia="en-GB"/>
              </w:rPr>
              <w:t>-4%</w:t>
            </w:r>
          </w:p>
        </w:tc>
      </w:tr>
    </w:tbl>
    <w:p w14:paraId="4581601C" w14:textId="77777777" w:rsidR="007F4C83" w:rsidRDefault="003C3793" w:rsidP="00CA33C6">
      <w:pPr>
        <w:pStyle w:val="BodyText"/>
      </w:pPr>
      <w:r w:rsidRPr="00D22075">
        <w:t xml:space="preserve">The ICB </w:t>
      </w:r>
      <w:r w:rsidR="00CA33C6">
        <w:t>has undertaken</w:t>
      </w:r>
      <w:r w:rsidR="00CA33C6" w:rsidRPr="00D22075">
        <w:t xml:space="preserve"> </w:t>
      </w:r>
      <w:r w:rsidRPr="00D22075">
        <w:t>a restructure during 2023/24</w:t>
      </w:r>
      <w:r w:rsidR="00CA33C6">
        <w:t>, reducing staff numbers by</w:t>
      </w:r>
      <w:r w:rsidRPr="00D22075">
        <w:t xml:space="preserve"> 30%</w:t>
      </w:r>
      <w:r w:rsidR="00CA33C6">
        <w:t>, resulting in an overall reduction in average staff costs.</w:t>
      </w:r>
      <w:r w:rsidRPr="00D22075">
        <w:t xml:space="preserve">  </w:t>
      </w:r>
      <w:r w:rsidR="00CA33C6">
        <w:t>A number of directors, including the highest paid in 2022/23: July 2022 to March 2023, left the ICB, resulting in a reduction in directors’ costs.  The basis of calculation has been revised to only include agency staff in post at March 2024, to be consistent with the treatment of permanent staff.  Annualised pay for permanent staff is now based on their salary as at March 2024.</w:t>
      </w:r>
      <w:bookmarkStart w:id="120" w:name="_Toc133356666"/>
      <w:bookmarkStart w:id="121" w:name="_Toc163136032"/>
      <w:bookmarkStart w:id="122" w:name="_Toc164470280"/>
      <w:bookmarkStart w:id="123" w:name="_Toc164814701"/>
      <w:bookmarkStart w:id="124" w:name="_Toc164814841"/>
      <w:bookmarkStart w:id="125" w:name="_Toc164814902"/>
    </w:p>
    <w:p w14:paraId="665FEEE7" w14:textId="751BC5D5" w:rsidR="001C0486" w:rsidRDefault="001C0486" w:rsidP="00CA33C6">
      <w:pPr>
        <w:pStyle w:val="BodyText"/>
      </w:pPr>
      <w:r w:rsidRPr="00BB600E">
        <w:rPr>
          <w:rStyle w:val="Heading3Char"/>
        </w:rPr>
        <w:t xml:space="preserve">Pay </w:t>
      </w:r>
      <w:r w:rsidR="6B6E589D" w:rsidRPr="3EE31D27">
        <w:rPr>
          <w:rStyle w:val="Heading3Char"/>
        </w:rPr>
        <w:t>r</w:t>
      </w:r>
      <w:r w:rsidR="00454D7F" w:rsidRPr="00BB600E">
        <w:rPr>
          <w:rStyle w:val="Heading3Char"/>
        </w:rPr>
        <w:t xml:space="preserve">atio </w:t>
      </w:r>
      <w:r w:rsidR="587584B8" w:rsidRPr="21957770">
        <w:rPr>
          <w:rStyle w:val="Heading3Char"/>
        </w:rPr>
        <w:t>i</w:t>
      </w:r>
      <w:r w:rsidR="00454D7F" w:rsidRPr="00BB600E">
        <w:rPr>
          <w:rStyle w:val="Heading3Char"/>
        </w:rPr>
        <w:t>nformation</w:t>
      </w:r>
      <w:bookmarkEnd w:id="120"/>
      <w:bookmarkEnd w:id="121"/>
      <w:bookmarkEnd w:id="122"/>
      <w:bookmarkEnd w:id="123"/>
      <w:bookmarkEnd w:id="124"/>
      <w:bookmarkEnd w:id="125"/>
    </w:p>
    <w:p w14:paraId="15FBE343" w14:textId="17105BE1" w:rsidR="007B70CF" w:rsidRDefault="007B70CF" w:rsidP="007B70CF">
      <w:pPr>
        <w:pStyle w:val="BodyText"/>
      </w:pPr>
      <w:r w:rsidRPr="00CE29F5">
        <w:t xml:space="preserve">Reporting bodies are required to disclose the relationship between the remuneration of the highest-paid director / member in their organisation against the 25th percentile, </w:t>
      </w:r>
      <w:r w:rsidRPr="00CE29F5">
        <w:lastRenderedPageBreak/>
        <w:t>median and 75th percentile of remuneration of the organisation’s workforce. Total remuneration</w:t>
      </w:r>
      <w:r w:rsidR="00CA33C6">
        <w:t xml:space="preserve"> is further broken down to show the relationship between the highest paid director’s salary component of their total remuneration, against the </w:t>
      </w:r>
      <w:r w:rsidRPr="00CE29F5">
        <w:t xml:space="preserve">25th percentile, median and 75th percentile </w:t>
      </w:r>
      <w:r w:rsidR="00CA33C6">
        <w:t>of salary components of the organisation’s workforce.</w:t>
      </w:r>
    </w:p>
    <w:p w14:paraId="6A06DA04" w14:textId="27752A42" w:rsidR="007B70CF" w:rsidRPr="007829A4" w:rsidRDefault="007B70CF" w:rsidP="007B70CF">
      <w:pPr>
        <w:pStyle w:val="BodyText"/>
        <w:rPr>
          <w:rFonts w:eastAsia="Times New Roman"/>
          <w:lang w:eastAsia="en-GB"/>
        </w:rPr>
      </w:pPr>
      <w:r w:rsidRPr="007829A4">
        <w:rPr>
          <w:rFonts w:eastAsia="Times New Roman"/>
          <w:lang w:eastAsia="en-GB"/>
        </w:rPr>
        <w:t xml:space="preserve">The banded </w:t>
      </w:r>
      <w:r w:rsidRPr="00A978F7">
        <w:rPr>
          <w:rFonts w:eastAsia="Times New Roman"/>
          <w:lang w:eastAsia="en-GB"/>
        </w:rPr>
        <w:t xml:space="preserve">remuneration of the highest paid director/member in </w:t>
      </w:r>
      <w:r w:rsidR="00471C4B">
        <w:rPr>
          <w:rFonts w:eastAsia="Times New Roman"/>
          <w:lang w:eastAsia="en-GB"/>
        </w:rPr>
        <w:t>MSE</w:t>
      </w:r>
      <w:r w:rsidRPr="00A978F7">
        <w:rPr>
          <w:rFonts w:eastAsia="Times New Roman"/>
          <w:lang w:eastAsia="en-GB"/>
        </w:rPr>
        <w:t xml:space="preserve"> ICB in the financial year 2023/24 was £</w:t>
      </w:r>
      <w:r w:rsidR="00A978F7" w:rsidRPr="00A978F7">
        <w:rPr>
          <w:rFonts w:eastAsia="Times New Roman"/>
          <w:lang w:eastAsia="en-GB"/>
        </w:rPr>
        <w:t>210</w:t>
      </w:r>
      <w:r w:rsidRPr="00A978F7">
        <w:rPr>
          <w:rFonts w:eastAsia="Times New Roman"/>
          <w:lang w:eastAsia="en-GB"/>
        </w:rPr>
        <w:t>K - £</w:t>
      </w:r>
      <w:r w:rsidR="00A978F7" w:rsidRPr="00A978F7">
        <w:rPr>
          <w:rFonts w:eastAsia="Times New Roman"/>
          <w:lang w:eastAsia="en-GB"/>
        </w:rPr>
        <w:t>215</w:t>
      </w:r>
      <w:r w:rsidRPr="00A978F7">
        <w:rPr>
          <w:rFonts w:eastAsia="Times New Roman"/>
          <w:lang w:eastAsia="en-GB"/>
        </w:rPr>
        <w:t>k (2022/23 Jul-22 - Mar-23: £</w:t>
      </w:r>
      <w:r w:rsidR="00A978F7" w:rsidRPr="00A978F7">
        <w:rPr>
          <w:rFonts w:eastAsia="Times New Roman"/>
          <w:lang w:eastAsia="en-GB"/>
        </w:rPr>
        <w:t>265</w:t>
      </w:r>
      <w:r w:rsidRPr="00A978F7">
        <w:rPr>
          <w:rFonts w:eastAsia="Times New Roman"/>
          <w:lang w:eastAsia="en-GB"/>
        </w:rPr>
        <w:t>K - £</w:t>
      </w:r>
      <w:r w:rsidR="00A978F7" w:rsidRPr="00A978F7">
        <w:rPr>
          <w:rFonts w:eastAsia="Times New Roman"/>
          <w:lang w:eastAsia="en-GB"/>
        </w:rPr>
        <w:t>270</w:t>
      </w:r>
      <w:r w:rsidRPr="00A978F7">
        <w:rPr>
          <w:rFonts w:eastAsia="Times New Roman"/>
          <w:lang w:eastAsia="en-GB"/>
        </w:rPr>
        <w:t>k), and the relationship to the remuneration of the organisation's workforce is disclosed in the</w:t>
      </w:r>
      <w:r w:rsidRPr="007829A4">
        <w:rPr>
          <w:rFonts w:eastAsia="Times New Roman"/>
          <w:lang w:eastAsia="en-GB"/>
        </w:rPr>
        <w:t xml:space="preserve"> below table. </w:t>
      </w:r>
    </w:p>
    <w:p w14:paraId="667650D7" w14:textId="0C9472F1" w:rsidR="007B70CF" w:rsidRPr="00A60DF7" w:rsidRDefault="007B70CF" w:rsidP="007B70CF">
      <w:pPr>
        <w:pStyle w:val="BodyText"/>
        <w:rPr>
          <w:rFonts w:eastAsia="Times New Roman"/>
        </w:rPr>
      </w:pPr>
      <w:r w:rsidRPr="007829A4">
        <w:rPr>
          <w:rFonts w:eastAsia="Times New Roman"/>
          <w:color w:val="000000"/>
          <w:lang w:eastAsia="en-GB"/>
        </w:rPr>
        <w:t>Pay Ratio information ta</w:t>
      </w:r>
      <w:r w:rsidRPr="00A978F7">
        <w:rPr>
          <w:rFonts w:eastAsia="Times New Roman"/>
          <w:color w:val="000000"/>
          <w:lang w:eastAsia="en-GB"/>
        </w:rPr>
        <w:t>ble:</w:t>
      </w:r>
      <w:r w:rsidRPr="00A978F7">
        <w:rPr>
          <w:rStyle w:val="Heading4Char"/>
          <w:szCs w:val="24"/>
        </w:rPr>
        <w:t xml:space="preserve"> </w:t>
      </w:r>
    </w:p>
    <w:tbl>
      <w:tblPr>
        <w:tblW w:w="9185" w:type="dxa"/>
        <w:tblLook w:val="04A0" w:firstRow="1" w:lastRow="0" w:firstColumn="1" w:lastColumn="0" w:noHBand="0" w:noVBand="1"/>
      </w:tblPr>
      <w:tblGrid>
        <w:gridCol w:w="3392"/>
        <w:gridCol w:w="2102"/>
        <w:gridCol w:w="1707"/>
        <w:gridCol w:w="1984"/>
      </w:tblGrid>
      <w:tr w:rsidR="00A978F7" w:rsidRPr="00A978F7" w14:paraId="65801681" w14:textId="77777777" w:rsidTr="00A978F7">
        <w:trPr>
          <w:trHeight w:val="403"/>
          <w:tblHeader/>
        </w:trPr>
        <w:tc>
          <w:tcPr>
            <w:tcW w:w="3392" w:type="dxa"/>
            <w:tcBorders>
              <w:top w:val="single" w:sz="8" w:space="0" w:color="auto"/>
              <w:left w:val="single" w:sz="8" w:space="0" w:color="auto"/>
              <w:bottom w:val="single" w:sz="8" w:space="0" w:color="auto"/>
              <w:right w:val="single" w:sz="8" w:space="0" w:color="000000"/>
            </w:tcBorders>
            <w:shd w:val="clear" w:color="000000" w:fill="B4C6E7"/>
            <w:vAlign w:val="center"/>
            <w:hideMark/>
          </w:tcPr>
          <w:p w14:paraId="6F20108C" w14:textId="77777777" w:rsidR="00A978F7" w:rsidRPr="00A978F7" w:rsidRDefault="00A978F7" w:rsidP="00A978F7">
            <w:pPr>
              <w:spacing w:before="0" w:after="0"/>
              <w:jc w:val="right"/>
              <w:rPr>
                <w:rFonts w:eastAsia="Times New Roman" w:cs="Arial"/>
                <w:b/>
                <w:bCs/>
                <w:color w:val="404040"/>
                <w:szCs w:val="24"/>
                <w:lang w:eastAsia="en-GB"/>
              </w:rPr>
            </w:pPr>
            <w:r w:rsidRPr="00A978F7">
              <w:rPr>
                <w:rFonts w:eastAsia="Times New Roman" w:cs="Arial"/>
                <w:b/>
                <w:bCs/>
                <w:color w:val="404040"/>
                <w:szCs w:val="24"/>
                <w:lang w:eastAsia="en-GB"/>
              </w:rPr>
              <w:t>2023-24</w:t>
            </w:r>
          </w:p>
        </w:tc>
        <w:tc>
          <w:tcPr>
            <w:tcW w:w="2102" w:type="dxa"/>
            <w:tcBorders>
              <w:top w:val="single" w:sz="8" w:space="0" w:color="auto"/>
              <w:left w:val="nil"/>
              <w:bottom w:val="single" w:sz="8" w:space="0" w:color="auto"/>
              <w:right w:val="single" w:sz="8" w:space="0" w:color="000000"/>
            </w:tcBorders>
            <w:shd w:val="clear" w:color="000000" w:fill="B4C6E7"/>
            <w:vAlign w:val="center"/>
            <w:hideMark/>
          </w:tcPr>
          <w:p w14:paraId="3C27BAA7" w14:textId="77777777" w:rsidR="00A978F7" w:rsidRPr="00A978F7" w:rsidRDefault="00A978F7" w:rsidP="00A978F7">
            <w:pPr>
              <w:spacing w:before="0" w:after="0"/>
              <w:jc w:val="right"/>
              <w:rPr>
                <w:rFonts w:eastAsia="Times New Roman" w:cs="Arial"/>
                <w:b/>
                <w:bCs/>
                <w:color w:val="404040"/>
                <w:szCs w:val="24"/>
                <w:lang w:eastAsia="en-GB"/>
              </w:rPr>
            </w:pPr>
            <w:r w:rsidRPr="00A978F7">
              <w:rPr>
                <w:rFonts w:eastAsia="Times New Roman" w:cs="Arial"/>
                <w:b/>
                <w:bCs/>
                <w:color w:val="404040"/>
                <w:szCs w:val="24"/>
                <w:lang w:eastAsia="en-GB"/>
              </w:rPr>
              <w:t>25th percentile</w:t>
            </w:r>
          </w:p>
        </w:tc>
        <w:tc>
          <w:tcPr>
            <w:tcW w:w="1707" w:type="dxa"/>
            <w:tcBorders>
              <w:top w:val="single" w:sz="8" w:space="0" w:color="auto"/>
              <w:left w:val="nil"/>
              <w:bottom w:val="single" w:sz="8" w:space="0" w:color="auto"/>
              <w:right w:val="single" w:sz="8" w:space="0" w:color="000000"/>
            </w:tcBorders>
            <w:shd w:val="clear" w:color="000000" w:fill="B4C6E7"/>
            <w:vAlign w:val="center"/>
            <w:hideMark/>
          </w:tcPr>
          <w:p w14:paraId="5B3072CE" w14:textId="77777777" w:rsidR="00A978F7" w:rsidRPr="00A978F7" w:rsidRDefault="00A978F7" w:rsidP="00A978F7">
            <w:pPr>
              <w:spacing w:before="0" w:after="0"/>
              <w:jc w:val="right"/>
              <w:rPr>
                <w:rFonts w:eastAsia="Times New Roman" w:cs="Arial"/>
                <w:b/>
                <w:bCs/>
                <w:color w:val="404040"/>
                <w:szCs w:val="24"/>
                <w:lang w:eastAsia="en-GB"/>
              </w:rPr>
            </w:pPr>
            <w:r w:rsidRPr="00A978F7">
              <w:rPr>
                <w:rFonts w:eastAsia="Times New Roman" w:cs="Arial"/>
                <w:b/>
                <w:bCs/>
                <w:color w:val="404040"/>
                <w:szCs w:val="24"/>
                <w:lang w:eastAsia="en-GB"/>
              </w:rPr>
              <w:t xml:space="preserve">Median </w:t>
            </w:r>
          </w:p>
        </w:tc>
        <w:tc>
          <w:tcPr>
            <w:tcW w:w="1984" w:type="dxa"/>
            <w:tcBorders>
              <w:top w:val="single" w:sz="8" w:space="0" w:color="auto"/>
              <w:left w:val="nil"/>
              <w:bottom w:val="single" w:sz="8" w:space="0" w:color="auto"/>
              <w:right w:val="single" w:sz="8" w:space="0" w:color="000000"/>
            </w:tcBorders>
            <w:shd w:val="clear" w:color="000000" w:fill="B4C6E7"/>
            <w:vAlign w:val="center"/>
            <w:hideMark/>
          </w:tcPr>
          <w:p w14:paraId="6CB13661" w14:textId="77777777" w:rsidR="00A978F7" w:rsidRPr="00A978F7" w:rsidRDefault="00A978F7" w:rsidP="00A978F7">
            <w:pPr>
              <w:spacing w:before="0" w:after="0"/>
              <w:jc w:val="right"/>
              <w:rPr>
                <w:rFonts w:eastAsia="Times New Roman" w:cs="Arial"/>
                <w:b/>
                <w:bCs/>
                <w:color w:val="404040"/>
                <w:szCs w:val="24"/>
                <w:lang w:eastAsia="en-GB"/>
              </w:rPr>
            </w:pPr>
            <w:r w:rsidRPr="00A978F7">
              <w:rPr>
                <w:rFonts w:eastAsia="Times New Roman" w:cs="Arial"/>
                <w:b/>
                <w:bCs/>
                <w:color w:val="404040"/>
                <w:szCs w:val="24"/>
                <w:lang w:eastAsia="en-GB"/>
              </w:rPr>
              <w:t>75th percentile</w:t>
            </w:r>
          </w:p>
        </w:tc>
      </w:tr>
      <w:tr w:rsidR="00A978F7" w:rsidRPr="00A978F7" w14:paraId="0E221B01" w14:textId="77777777" w:rsidTr="00A978F7">
        <w:trPr>
          <w:trHeight w:val="800"/>
        </w:trPr>
        <w:tc>
          <w:tcPr>
            <w:tcW w:w="3392" w:type="dxa"/>
            <w:tcBorders>
              <w:top w:val="nil"/>
              <w:left w:val="single" w:sz="8" w:space="0" w:color="auto"/>
              <w:bottom w:val="single" w:sz="8" w:space="0" w:color="auto"/>
              <w:right w:val="single" w:sz="8" w:space="0" w:color="000000"/>
            </w:tcBorders>
            <w:shd w:val="clear" w:color="000000" w:fill="D9E1F2"/>
            <w:vAlign w:val="center"/>
            <w:hideMark/>
          </w:tcPr>
          <w:p w14:paraId="7DEC4906" w14:textId="77777777" w:rsidR="00A978F7" w:rsidRPr="00A978F7" w:rsidRDefault="00A978F7" w:rsidP="00A978F7">
            <w:pPr>
              <w:spacing w:before="0" w:after="0"/>
              <w:jc w:val="right"/>
              <w:rPr>
                <w:rFonts w:eastAsia="Times New Roman" w:cs="Arial"/>
                <w:color w:val="000000"/>
                <w:szCs w:val="24"/>
                <w:lang w:eastAsia="en-GB"/>
              </w:rPr>
            </w:pPr>
            <w:r w:rsidRPr="00A978F7">
              <w:rPr>
                <w:rFonts w:eastAsia="Times New Roman" w:cs="Arial"/>
                <w:color w:val="000000"/>
                <w:szCs w:val="24"/>
                <w:lang w:eastAsia="en-GB"/>
              </w:rPr>
              <w:t>Total remuneration (£)</w:t>
            </w:r>
          </w:p>
        </w:tc>
        <w:tc>
          <w:tcPr>
            <w:tcW w:w="2102" w:type="dxa"/>
            <w:tcBorders>
              <w:top w:val="single" w:sz="8" w:space="0" w:color="auto"/>
              <w:left w:val="nil"/>
              <w:bottom w:val="single" w:sz="8" w:space="0" w:color="auto"/>
              <w:right w:val="single" w:sz="8" w:space="0" w:color="000000"/>
            </w:tcBorders>
            <w:shd w:val="clear" w:color="000000" w:fill="D9E1F2"/>
            <w:vAlign w:val="center"/>
            <w:hideMark/>
          </w:tcPr>
          <w:p w14:paraId="6CBA562D" w14:textId="77777777" w:rsidR="00A978F7" w:rsidRPr="00A978F7" w:rsidRDefault="00A978F7" w:rsidP="00A978F7">
            <w:pPr>
              <w:spacing w:before="0" w:after="0"/>
              <w:jc w:val="right"/>
              <w:rPr>
                <w:rFonts w:eastAsia="Times New Roman" w:cs="Arial"/>
                <w:color w:val="404040"/>
                <w:szCs w:val="24"/>
                <w:lang w:eastAsia="en-GB"/>
              </w:rPr>
            </w:pPr>
            <w:r w:rsidRPr="00A978F7">
              <w:rPr>
                <w:rFonts w:eastAsia="Times New Roman" w:cs="Arial"/>
                <w:color w:val="404040"/>
                <w:szCs w:val="24"/>
                <w:lang w:eastAsia="en-GB"/>
              </w:rPr>
              <w:t>£32,171</w:t>
            </w:r>
          </w:p>
        </w:tc>
        <w:tc>
          <w:tcPr>
            <w:tcW w:w="1707" w:type="dxa"/>
            <w:tcBorders>
              <w:top w:val="single" w:sz="8" w:space="0" w:color="auto"/>
              <w:left w:val="nil"/>
              <w:bottom w:val="single" w:sz="8" w:space="0" w:color="auto"/>
              <w:right w:val="single" w:sz="8" w:space="0" w:color="000000"/>
            </w:tcBorders>
            <w:shd w:val="clear" w:color="000000" w:fill="D9E1F2"/>
            <w:vAlign w:val="center"/>
            <w:hideMark/>
          </w:tcPr>
          <w:p w14:paraId="4388E4DF" w14:textId="77777777" w:rsidR="00A978F7" w:rsidRPr="00A978F7" w:rsidRDefault="00A978F7" w:rsidP="00A978F7">
            <w:pPr>
              <w:spacing w:before="0" w:after="0"/>
              <w:jc w:val="right"/>
              <w:rPr>
                <w:rFonts w:eastAsia="Times New Roman" w:cs="Arial"/>
                <w:color w:val="404040"/>
                <w:szCs w:val="24"/>
                <w:lang w:eastAsia="en-GB"/>
              </w:rPr>
            </w:pPr>
            <w:r w:rsidRPr="00A978F7">
              <w:rPr>
                <w:rFonts w:eastAsia="Times New Roman" w:cs="Arial"/>
                <w:color w:val="404040"/>
                <w:szCs w:val="24"/>
                <w:lang w:eastAsia="en-GB"/>
              </w:rPr>
              <w:t>£48,007</w:t>
            </w:r>
          </w:p>
        </w:tc>
        <w:tc>
          <w:tcPr>
            <w:tcW w:w="1984" w:type="dxa"/>
            <w:tcBorders>
              <w:top w:val="single" w:sz="8" w:space="0" w:color="auto"/>
              <w:left w:val="nil"/>
              <w:bottom w:val="single" w:sz="8" w:space="0" w:color="auto"/>
              <w:right w:val="single" w:sz="8" w:space="0" w:color="000000"/>
            </w:tcBorders>
            <w:shd w:val="clear" w:color="000000" w:fill="D9E1F2"/>
            <w:vAlign w:val="center"/>
            <w:hideMark/>
          </w:tcPr>
          <w:p w14:paraId="75C127D5" w14:textId="77777777" w:rsidR="00A978F7" w:rsidRPr="00A978F7" w:rsidRDefault="00A978F7" w:rsidP="00A978F7">
            <w:pPr>
              <w:spacing w:before="0" w:after="0"/>
              <w:jc w:val="right"/>
              <w:rPr>
                <w:rFonts w:eastAsia="Times New Roman" w:cs="Arial"/>
                <w:color w:val="404040"/>
                <w:szCs w:val="24"/>
                <w:lang w:eastAsia="en-GB"/>
              </w:rPr>
            </w:pPr>
            <w:r w:rsidRPr="00A978F7">
              <w:rPr>
                <w:rFonts w:eastAsia="Times New Roman" w:cs="Arial"/>
                <w:color w:val="404040"/>
                <w:szCs w:val="24"/>
                <w:lang w:eastAsia="en-GB"/>
              </w:rPr>
              <w:t>£60,983</w:t>
            </w:r>
          </w:p>
        </w:tc>
      </w:tr>
      <w:tr w:rsidR="00A978F7" w:rsidRPr="00A978F7" w14:paraId="66996329" w14:textId="77777777" w:rsidTr="00A978F7">
        <w:trPr>
          <w:trHeight w:val="800"/>
        </w:trPr>
        <w:tc>
          <w:tcPr>
            <w:tcW w:w="3392" w:type="dxa"/>
            <w:tcBorders>
              <w:top w:val="single" w:sz="8" w:space="0" w:color="auto"/>
              <w:left w:val="single" w:sz="8" w:space="0" w:color="auto"/>
              <w:bottom w:val="single" w:sz="8" w:space="0" w:color="auto"/>
              <w:right w:val="single" w:sz="8" w:space="0" w:color="000000"/>
            </w:tcBorders>
            <w:shd w:val="clear" w:color="000000" w:fill="D9E1F2"/>
            <w:vAlign w:val="center"/>
            <w:hideMark/>
          </w:tcPr>
          <w:p w14:paraId="4D72BC52" w14:textId="77777777" w:rsidR="00A978F7" w:rsidRPr="00A978F7" w:rsidRDefault="00A978F7" w:rsidP="00A978F7">
            <w:pPr>
              <w:spacing w:before="0" w:after="0"/>
              <w:jc w:val="right"/>
              <w:rPr>
                <w:rFonts w:eastAsia="Times New Roman" w:cs="Arial"/>
                <w:color w:val="000000"/>
                <w:szCs w:val="24"/>
                <w:lang w:eastAsia="en-GB"/>
              </w:rPr>
            </w:pPr>
            <w:r w:rsidRPr="00A978F7">
              <w:rPr>
                <w:rFonts w:eastAsia="Times New Roman" w:cs="Arial"/>
                <w:color w:val="000000"/>
                <w:szCs w:val="24"/>
                <w:lang w:eastAsia="en-GB"/>
              </w:rPr>
              <w:t>*Salary component of total remuneration (£)</w:t>
            </w:r>
          </w:p>
        </w:tc>
        <w:tc>
          <w:tcPr>
            <w:tcW w:w="2102" w:type="dxa"/>
            <w:tcBorders>
              <w:top w:val="single" w:sz="8" w:space="0" w:color="auto"/>
              <w:left w:val="nil"/>
              <w:bottom w:val="single" w:sz="8" w:space="0" w:color="auto"/>
              <w:right w:val="single" w:sz="8" w:space="0" w:color="000000"/>
            </w:tcBorders>
            <w:shd w:val="clear" w:color="000000" w:fill="D9E1F2"/>
            <w:vAlign w:val="center"/>
            <w:hideMark/>
          </w:tcPr>
          <w:p w14:paraId="45AF7027" w14:textId="77777777" w:rsidR="00A978F7" w:rsidRPr="00A978F7" w:rsidRDefault="00A978F7" w:rsidP="00A978F7">
            <w:pPr>
              <w:spacing w:before="0" w:after="0"/>
              <w:jc w:val="right"/>
              <w:rPr>
                <w:rFonts w:eastAsia="Times New Roman" w:cs="Arial"/>
                <w:color w:val="404040"/>
                <w:szCs w:val="24"/>
                <w:lang w:eastAsia="en-GB"/>
              </w:rPr>
            </w:pPr>
            <w:r w:rsidRPr="00A978F7">
              <w:rPr>
                <w:rFonts w:eastAsia="Times New Roman" w:cs="Arial"/>
                <w:color w:val="404040"/>
                <w:szCs w:val="24"/>
                <w:lang w:eastAsia="en-GB"/>
              </w:rPr>
              <w:t>£32,171</w:t>
            </w:r>
          </w:p>
        </w:tc>
        <w:tc>
          <w:tcPr>
            <w:tcW w:w="1707" w:type="dxa"/>
            <w:tcBorders>
              <w:top w:val="single" w:sz="8" w:space="0" w:color="auto"/>
              <w:left w:val="nil"/>
              <w:bottom w:val="single" w:sz="8" w:space="0" w:color="auto"/>
              <w:right w:val="single" w:sz="8" w:space="0" w:color="000000"/>
            </w:tcBorders>
            <w:shd w:val="clear" w:color="000000" w:fill="D9E1F2"/>
            <w:vAlign w:val="center"/>
            <w:hideMark/>
          </w:tcPr>
          <w:p w14:paraId="766E6440" w14:textId="77777777" w:rsidR="00A978F7" w:rsidRPr="00A978F7" w:rsidRDefault="00A978F7" w:rsidP="00A978F7">
            <w:pPr>
              <w:spacing w:before="0" w:after="0"/>
              <w:jc w:val="right"/>
              <w:rPr>
                <w:rFonts w:eastAsia="Times New Roman" w:cs="Arial"/>
                <w:color w:val="404040"/>
                <w:szCs w:val="24"/>
                <w:lang w:eastAsia="en-GB"/>
              </w:rPr>
            </w:pPr>
            <w:r w:rsidRPr="00A978F7">
              <w:rPr>
                <w:rFonts w:eastAsia="Times New Roman" w:cs="Arial"/>
                <w:color w:val="404040"/>
                <w:szCs w:val="24"/>
                <w:lang w:eastAsia="en-GB"/>
              </w:rPr>
              <w:t>£48,007</w:t>
            </w:r>
          </w:p>
        </w:tc>
        <w:tc>
          <w:tcPr>
            <w:tcW w:w="1984" w:type="dxa"/>
            <w:tcBorders>
              <w:top w:val="single" w:sz="8" w:space="0" w:color="auto"/>
              <w:left w:val="nil"/>
              <w:bottom w:val="single" w:sz="8" w:space="0" w:color="auto"/>
              <w:right w:val="single" w:sz="8" w:space="0" w:color="000000"/>
            </w:tcBorders>
            <w:shd w:val="clear" w:color="000000" w:fill="D9E1F2"/>
            <w:vAlign w:val="center"/>
            <w:hideMark/>
          </w:tcPr>
          <w:p w14:paraId="0408F486" w14:textId="77777777" w:rsidR="00A978F7" w:rsidRPr="00A978F7" w:rsidRDefault="00A978F7" w:rsidP="00A978F7">
            <w:pPr>
              <w:spacing w:before="0" w:after="0"/>
              <w:jc w:val="right"/>
              <w:rPr>
                <w:rFonts w:eastAsia="Times New Roman" w:cs="Arial"/>
                <w:color w:val="404040"/>
                <w:szCs w:val="24"/>
                <w:lang w:eastAsia="en-GB"/>
              </w:rPr>
            </w:pPr>
            <w:r w:rsidRPr="00A978F7">
              <w:rPr>
                <w:rFonts w:eastAsia="Times New Roman" w:cs="Arial"/>
                <w:color w:val="404040"/>
                <w:szCs w:val="24"/>
                <w:lang w:eastAsia="en-GB"/>
              </w:rPr>
              <w:t>£60,983</w:t>
            </w:r>
          </w:p>
        </w:tc>
      </w:tr>
      <w:tr w:rsidR="00A978F7" w:rsidRPr="00A978F7" w14:paraId="40131943" w14:textId="77777777" w:rsidTr="00A978F7">
        <w:trPr>
          <w:trHeight w:val="800"/>
        </w:trPr>
        <w:tc>
          <w:tcPr>
            <w:tcW w:w="3392" w:type="dxa"/>
            <w:tcBorders>
              <w:top w:val="nil"/>
              <w:left w:val="single" w:sz="8" w:space="0" w:color="auto"/>
              <w:bottom w:val="single" w:sz="8" w:space="0" w:color="auto"/>
              <w:right w:val="single" w:sz="8" w:space="0" w:color="000000"/>
            </w:tcBorders>
            <w:shd w:val="clear" w:color="000000" w:fill="D9E1F2"/>
            <w:vAlign w:val="center"/>
            <w:hideMark/>
          </w:tcPr>
          <w:p w14:paraId="257E1BB9" w14:textId="77777777" w:rsidR="00A978F7" w:rsidRPr="00A978F7" w:rsidRDefault="00A978F7" w:rsidP="00A978F7">
            <w:pPr>
              <w:spacing w:before="0" w:after="0"/>
              <w:jc w:val="right"/>
              <w:rPr>
                <w:rFonts w:eastAsia="Times New Roman" w:cs="Arial"/>
                <w:color w:val="000000"/>
                <w:szCs w:val="24"/>
                <w:lang w:eastAsia="en-GB"/>
              </w:rPr>
            </w:pPr>
            <w:r w:rsidRPr="00A978F7">
              <w:rPr>
                <w:rFonts w:eastAsia="Times New Roman" w:cs="Arial"/>
                <w:color w:val="000000"/>
                <w:szCs w:val="24"/>
                <w:lang w:eastAsia="en-GB"/>
              </w:rPr>
              <w:t>Pay ratio information</w:t>
            </w:r>
          </w:p>
        </w:tc>
        <w:tc>
          <w:tcPr>
            <w:tcW w:w="2102" w:type="dxa"/>
            <w:tcBorders>
              <w:top w:val="single" w:sz="8" w:space="0" w:color="auto"/>
              <w:left w:val="nil"/>
              <w:bottom w:val="single" w:sz="8" w:space="0" w:color="auto"/>
              <w:right w:val="single" w:sz="8" w:space="0" w:color="000000"/>
            </w:tcBorders>
            <w:shd w:val="clear" w:color="000000" w:fill="D9E1F2"/>
            <w:noWrap/>
            <w:vAlign w:val="center"/>
            <w:hideMark/>
          </w:tcPr>
          <w:p w14:paraId="71FA5D66" w14:textId="77777777" w:rsidR="00A978F7" w:rsidRPr="00A978F7" w:rsidRDefault="00A978F7" w:rsidP="00A978F7">
            <w:pPr>
              <w:spacing w:before="0" w:after="0"/>
              <w:jc w:val="right"/>
              <w:rPr>
                <w:rFonts w:eastAsia="Times New Roman" w:cs="Arial"/>
                <w:szCs w:val="24"/>
                <w:lang w:eastAsia="en-GB"/>
              </w:rPr>
            </w:pPr>
            <w:r w:rsidRPr="00A978F7">
              <w:rPr>
                <w:rFonts w:eastAsia="Times New Roman" w:cs="Arial"/>
                <w:szCs w:val="24"/>
                <w:lang w:eastAsia="en-GB"/>
              </w:rPr>
              <w:t>6.6 : 1</w:t>
            </w:r>
          </w:p>
        </w:tc>
        <w:tc>
          <w:tcPr>
            <w:tcW w:w="1707" w:type="dxa"/>
            <w:tcBorders>
              <w:top w:val="single" w:sz="8" w:space="0" w:color="auto"/>
              <w:left w:val="nil"/>
              <w:bottom w:val="single" w:sz="8" w:space="0" w:color="auto"/>
              <w:right w:val="single" w:sz="8" w:space="0" w:color="000000"/>
            </w:tcBorders>
            <w:shd w:val="clear" w:color="000000" w:fill="D9E1F2"/>
            <w:noWrap/>
            <w:vAlign w:val="center"/>
            <w:hideMark/>
          </w:tcPr>
          <w:p w14:paraId="2CDE000D" w14:textId="77777777" w:rsidR="00A978F7" w:rsidRPr="00A978F7" w:rsidRDefault="00A978F7" w:rsidP="00A978F7">
            <w:pPr>
              <w:spacing w:before="0" w:after="0"/>
              <w:jc w:val="right"/>
              <w:rPr>
                <w:rFonts w:eastAsia="Times New Roman" w:cs="Arial"/>
                <w:szCs w:val="24"/>
                <w:lang w:eastAsia="en-GB"/>
              </w:rPr>
            </w:pPr>
            <w:r w:rsidRPr="00A978F7">
              <w:rPr>
                <w:rFonts w:eastAsia="Times New Roman" w:cs="Arial"/>
                <w:szCs w:val="24"/>
                <w:lang w:eastAsia="en-GB"/>
              </w:rPr>
              <w:t>4.4 : 1</w:t>
            </w:r>
          </w:p>
        </w:tc>
        <w:tc>
          <w:tcPr>
            <w:tcW w:w="1984" w:type="dxa"/>
            <w:tcBorders>
              <w:top w:val="single" w:sz="8" w:space="0" w:color="auto"/>
              <w:left w:val="nil"/>
              <w:bottom w:val="single" w:sz="8" w:space="0" w:color="auto"/>
              <w:right w:val="single" w:sz="8" w:space="0" w:color="000000"/>
            </w:tcBorders>
            <w:shd w:val="clear" w:color="000000" w:fill="D9E1F2"/>
            <w:noWrap/>
            <w:vAlign w:val="center"/>
            <w:hideMark/>
          </w:tcPr>
          <w:p w14:paraId="5BB4BF13" w14:textId="77777777" w:rsidR="00A978F7" w:rsidRPr="00A978F7" w:rsidRDefault="00A978F7" w:rsidP="00A978F7">
            <w:pPr>
              <w:spacing w:before="0" w:after="0"/>
              <w:jc w:val="right"/>
              <w:rPr>
                <w:rFonts w:eastAsia="Times New Roman" w:cs="Arial"/>
                <w:szCs w:val="24"/>
                <w:lang w:eastAsia="en-GB"/>
              </w:rPr>
            </w:pPr>
            <w:r w:rsidRPr="00A978F7">
              <w:rPr>
                <w:rFonts w:eastAsia="Times New Roman" w:cs="Arial"/>
                <w:szCs w:val="24"/>
                <w:lang w:eastAsia="en-GB"/>
              </w:rPr>
              <w:t>3.5 : 1</w:t>
            </w:r>
          </w:p>
        </w:tc>
      </w:tr>
    </w:tbl>
    <w:p w14:paraId="640843F6" w14:textId="34023983" w:rsidR="007B70CF" w:rsidRDefault="007B70CF" w:rsidP="00A978F7">
      <w:pPr>
        <w:spacing w:before="0" w:after="0"/>
        <w:rPr>
          <w:rFonts w:cs="Arial"/>
          <w:szCs w:val="24"/>
        </w:rPr>
      </w:pPr>
    </w:p>
    <w:tbl>
      <w:tblPr>
        <w:tblW w:w="9204" w:type="dxa"/>
        <w:tblLook w:val="04A0" w:firstRow="1" w:lastRow="0" w:firstColumn="1" w:lastColumn="0" w:noHBand="0" w:noVBand="1"/>
      </w:tblPr>
      <w:tblGrid>
        <w:gridCol w:w="3392"/>
        <w:gridCol w:w="2127"/>
        <w:gridCol w:w="1701"/>
        <w:gridCol w:w="1984"/>
      </w:tblGrid>
      <w:tr w:rsidR="00A978F7" w:rsidRPr="00A978F7" w14:paraId="2D1937FC" w14:textId="77777777" w:rsidTr="00A978F7">
        <w:trPr>
          <w:trHeight w:val="403"/>
          <w:tblHeader/>
        </w:trPr>
        <w:tc>
          <w:tcPr>
            <w:tcW w:w="3392" w:type="dxa"/>
            <w:tcBorders>
              <w:top w:val="single" w:sz="8" w:space="0" w:color="auto"/>
              <w:left w:val="single" w:sz="8" w:space="0" w:color="auto"/>
              <w:bottom w:val="single" w:sz="8" w:space="0" w:color="auto"/>
              <w:right w:val="single" w:sz="8" w:space="0" w:color="000000"/>
            </w:tcBorders>
            <w:shd w:val="clear" w:color="000000" w:fill="C6E0B4"/>
            <w:vAlign w:val="center"/>
            <w:hideMark/>
          </w:tcPr>
          <w:p w14:paraId="37BAD42A" w14:textId="77777777" w:rsidR="00A978F7" w:rsidRPr="00A978F7" w:rsidRDefault="00A978F7" w:rsidP="00A978F7">
            <w:pPr>
              <w:spacing w:before="0" w:after="0"/>
              <w:jc w:val="right"/>
              <w:rPr>
                <w:rFonts w:eastAsia="Times New Roman" w:cs="Arial"/>
                <w:b/>
                <w:bCs/>
                <w:color w:val="404040"/>
                <w:szCs w:val="24"/>
                <w:lang w:eastAsia="en-GB"/>
              </w:rPr>
            </w:pPr>
            <w:r w:rsidRPr="00A978F7">
              <w:rPr>
                <w:rFonts w:eastAsia="Times New Roman" w:cs="Arial"/>
                <w:b/>
                <w:bCs/>
                <w:color w:val="404040"/>
                <w:szCs w:val="24"/>
                <w:lang w:eastAsia="en-GB"/>
              </w:rPr>
              <w:t>2022-23 (July 22 to March 23)</w:t>
            </w:r>
          </w:p>
        </w:tc>
        <w:tc>
          <w:tcPr>
            <w:tcW w:w="2127" w:type="dxa"/>
            <w:tcBorders>
              <w:top w:val="single" w:sz="8" w:space="0" w:color="auto"/>
              <w:left w:val="nil"/>
              <w:bottom w:val="single" w:sz="8" w:space="0" w:color="auto"/>
              <w:right w:val="single" w:sz="8" w:space="0" w:color="000000"/>
            </w:tcBorders>
            <w:shd w:val="clear" w:color="000000" w:fill="C6E0B4"/>
            <w:vAlign w:val="center"/>
            <w:hideMark/>
          </w:tcPr>
          <w:p w14:paraId="156A2BA6" w14:textId="77777777" w:rsidR="00A978F7" w:rsidRPr="00A978F7" w:rsidRDefault="00A978F7" w:rsidP="00A978F7">
            <w:pPr>
              <w:spacing w:before="0" w:after="0"/>
              <w:jc w:val="right"/>
              <w:rPr>
                <w:rFonts w:eastAsia="Times New Roman" w:cs="Arial"/>
                <w:b/>
                <w:bCs/>
                <w:color w:val="404040"/>
                <w:szCs w:val="24"/>
                <w:lang w:eastAsia="en-GB"/>
              </w:rPr>
            </w:pPr>
            <w:r w:rsidRPr="00A978F7">
              <w:rPr>
                <w:rFonts w:eastAsia="Times New Roman" w:cs="Arial"/>
                <w:b/>
                <w:bCs/>
                <w:color w:val="404040"/>
                <w:szCs w:val="24"/>
                <w:lang w:eastAsia="en-GB"/>
              </w:rPr>
              <w:t>25th percentile</w:t>
            </w:r>
          </w:p>
        </w:tc>
        <w:tc>
          <w:tcPr>
            <w:tcW w:w="1701" w:type="dxa"/>
            <w:tcBorders>
              <w:top w:val="single" w:sz="8" w:space="0" w:color="auto"/>
              <w:left w:val="nil"/>
              <w:bottom w:val="single" w:sz="8" w:space="0" w:color="auto"/>
              <w:right w:val="single" w:sz="8" w:space="0" w:color="000000"/>
            </w:tcBorders>
            <w:shd w:val="clear" w:color="000000" w:fill="C6E0B4"/>
            <w:vAlign w:val="center"/>
            <w:hideMark/>
          </w:tcPr>
          <w:p w14:paraId="2519315C" w14:textId="77777777" w:rsidR="00A978F7" w:rsidRPr="00A978F7" w:rsidRDefault="00A978F7" w:rsidP="00A978F7">
            <w:pPr>
              <w:spacing w:before="0" w:after="0"/>
              <w:jc w:val="right"/>
              <w:rPr>
                <w:rFonts w:eastAsia="Times New Roman" w:cs="Arial"/>
                <w:b/>
                <w:bCs/>
                <w:color w:val="404040"/>
                <w:szCs w:val="24"/>
                <w:lang w:eastAsia="en-GB"/>
              </w:rPr>
            </w:pPr>
            <w:r w:rsidRPr="00A978F7">
              <w:rPr>
                <w:rFonts w:eastAsia="Times New Roman" w:cs="Arial"/>
                <w:b/>
                <w:bCs/>
                <w:color w:val="404040"/>
                <w:szCs w:val="24"/>
                <w:lang w:eastAsia="en-GB"/>
              </w:rPr>
              <w:t xml:space="preserve">Median </w:t>
            </w:r>
          </w:p>
        </w:tc>
        <w:tc>
          <w:tcPr>
            <w:tcW w:w="1984" w:type="dxa"/>
            <w:tcBorders>
              <w:top w:val="single" w:sz="8" w:space="0" w:color="auto"/>
              <w:left w:val="nil"/>
              <w:bottom w:val="single" w:sz="8" w:space="0" w:color="auto"/>
              <w:right w:val="single" w:sz="8" w:space="0" w:color="000000"/>
            </w:tcBorders>
            <w:shd w:val="clear" w:color="000000" w:fill="C6E0B4"/>
            <w:vAlign w:val="center"/>
            <w:hideMark/>
          </w:tcPr>
          <w:p w14:paraId="528756C9" w14:textId="77777777" w:rsidR="00A978F7" w:rsidRPr="00A978F7" w:rsidRDefault="00A978F7" w:rsidP="00A978F7">
            <w:pPr>
              <w:spacing w:before="0" w:after="0"/>
              <w:jc w:val="right"/>
              <w:rPr>
                <w:rFonts w:eastAsia="Times New Roman" w:cs="Arial"/>
                <w:b/>
                <w:bCs/>
                <w:color w:val="404040"/>
                <w:szCs w:val="24"/>
                <w:lang w:eastAsia="en-GB"/>
              </w:rPr>
            </w:pPr>
            <w:r w:rsidRPr="00A978F7">
              <w:rPr>
                <w:rFonts w:eastAsia="Times New Roman" w:cs="Arial"/>
                <w:b/>
                <w:bCs/>
                <w:color w:val="404040"/>
                <w:szCs w:val="24"/>
                <w:lang w:eastAsia="en-GB"/>
              </w:rPr>
              <w:t>75th percentile</w:t>
            </w:r>
          </w:p>
        </w:tc>
      </w:tr>
      <w:tr w:rsidR="00A978F7" w:rsidRPr="00A978F7" w14:paraId="05833A47" w14:textId="77777777" w:rsidTr="00A978F7">
        <w:trPr>
          <w:trHeight w:val="800"/>
        </w:trPr>
        <w:tc>
          <w:tcPr>
            <w:tcW w:w="3392" w:type="dxa"/>
            <w:tcBorders>
              <w:top w:val="nil"/>
              <w:left w:val="single" w:sz="8" w:space="0" w:color="auto"/>
              <w:bottom w:val="single" w:sz="8" w:space="0" w:color="auto"/>
              <w:right w:val="single" w:sz="8" w:space="0" w:color="000000"/>
            </w:tcBorders>
            <w:shd w:val="clear" w:color="000000" w:fill="E2EFDA"/>
            <w:vAlign w:val="center"/>
            <w:hideMark/>
          </w:tcPr>
          <w:p w14:paraId="3B8585A8" w14:textId="77777777" w:rsidR="00A978F7" w:rsidRPr="00A978F7" w:rsidRDefault="00A978F7" w:rsidP="00A978F7">
            <w:pPr>
              <w:spacing w:before="0" w:after="0"/>
              <w:jc w:val="right"/>
              <w:rPr>
                <w:rFonts w:eastAsia="Times New Roman" w:cs="Arial"/>
                <w:color w:val="000000"/>
                <w:szCs w:val="24"/>
                <w:lang w:eastAsia="en-GB"/>
              </w:rPr>
            </w:pPr>
            <w:r w:rsidRPr="00A978F7">
              <w:rPr>
                <w:rFonts w:eastAsia="Times New Roman" w:cs="Arial"/>
                <w:color w:val="000000"/>
                <w:szCs w:val="24"/>
                <w:lang w:eastAsia="en-GB"/>
              </w:rPr>
              <w:t>Total remuneration (£)</w:t>
            </w:r>
          </w:p>
        </w:tc>
        <w:tc>
          <w:tcPr>
            <w:tcW w:w="2127" w:type="dxa"/>
            <w:tcBorders>
              <w:top w:val="single" w:sz="8" w:space="0" w:color="auto"/>
              <w:left w:val="nil"/>
              <w:bottom w:val="single" w:sz="8" w:space="0" w:color="auto"/>
              <w:right w:val="single" w:sz="8" w:space="0" w:color="000000"/>
            </w:tcBorders>
            <w:shd w:val="clear" w:color="000000" w:fill="E2EFDA"/>
            <w:vAlign w:val="center"/>
            <w:hideMark/>
          </w:tcPr>
          <w:p w14:paraId="0C653FF9" w14:textId="77777777" w:rsidR="00A978F7" w:rsidRPr="00A978F7" w:rsidRDefault="00A978F7" w:rsidP="00A978F7">
            <w:pPr>
              <w:spacing w:before="0" w:after="0"/>
              <w:jc w:val="right"/>
              <w:rPr>
                <w:rFonts w:eastAsia="Times New Roman" w:cs="Arial"/>
                <w:color w:val="404040"/>
                <w:szCs w:val="24"/>
                <w:lang w:eastAsia="en-GB"/>
              </w:rPr>
            </w:pPr>
            <w:r w:rsidRPr="00A978F7">
              <w:rPr>
                <w:rFonts w:eastAsia="Times New Roman" w:cs="Arial"/>
                <w:color w:val="404040"/>
                <w:szCs w:val="24"/>
                <w:lang w:eastAsia="en-GB"/>
              </w:rPr>
              <w:t>£34,449</w:t>
            </w:r>
          </w:p>
        </w:tc>
        <w:tc>
          <w:tcPr>
            <w:tcW w:w="1701" w:type="dxa"/>
            <w:tcBorders>
              <w:top w:val="single" w:sz="8" w:space="0" w:color="auto"/>
              <w:left w:val="nil"/>
              <w:bottom w:val="single" w:sz="8" w:space="0" w:color="auto"/>
              <w:right w:val="single" w:sz="8" w:space="0" w:color="000000"/>
            </w:tcBorders>
            <w:shd w:val="clear" w:color="000000" w:fill="E2EFDA"/>
            <w:vAlign w:val="center"/>
            <w:hideMark/>
          </w:tcPr>
          <w:p w14:paraId="2353E0F1" w14:textId="77777777" w:rsidR="00A978F7" w:rsidRPr="00A978F7" w:rsidRDefault="00A978F7" w:rsidP="00A978F7">
            <w:pPr>
              <w:spacing w:before="0" w:after="0"/>
              <w:jc w:val="right"/>
              <w:rPr>
                <w:rFonts w:eastAsia="Times New Roman" w:cs="Arial"/>
                <w:color w:val="404040"/>
                <w:szCs w:val="24"/>
                <w:lang w:eastAsia="en-GB"/>
              </w:rPr>
            </w:pPr>
            <w:r w:rsidRPr="00A978F7">
              <w:rPr>
                <w:rFonts w:eastAsia="Times New Roman" w:cs="Arial"/>
                <w:color w:val="404040"/>
                <w:szCs w:val="24"/>
                <w:lang w:eastAsia="en-GB"/>
              </w:rPr>
              <w:t>£50,198</w:t>
            </w:r>
          </w:p>
        </w:tc>
        <w:tc>
          <w:tcPr>
            <w:tcW w:w="1984" w:type="dxa"/>
            <w:tcBorders>
              <w:top w:val="single" w:sz="8" w:space="0" w:color="auto"/>
              <w:left w:val="nil"/>
              <w:bottom w:val="single" w:sz="8" w:space="0" w:color="auto"/>
              <w:right w:val="single" w:sz="8" w:space="0" w:color="000000"/>
            </w:tcBorders>
            <w:shd w:val="clear" w:color="000000" w:fill="E2EFDA"/>
            <w:vAlign w:val="center"/>
            <w:hideMark/>
          </w:tcPr>
          <w:p w14:paraId="63E93AD7" w14:textId="77777777" w:rsidR="00A978F7" w:rsidRPr="00A978F7" w:rsidRDefault="00A978F7" w:rsidP="00A978F7">
            <w:pPr>
              <w:spacing w:before="0" w:after="0"/>
              <w:jc w:val="right"/>
              <w:rPr>
                <w:rFonts w:eastAsia="Times New Roman" w:cs="Arial"/>
                <w:color w:val="404040"/>
                <w:szCs w:val="24"/>
                <w:lang w:eastAsia="en-GB"/>
              </w:rPr>
            </w:pPr>
            <w:r w:rsidRPr="00A978F7">
              <w:rPr>
                <w:rFonts w:eastAsia="Times New Roman" w:cs="Arial"/>
                <w:color w:val="404040"/>
                <w:szCs w:val="24"/>
                <w:lang w:eastAsia="en-GB"/>
              </w:rPr>
              <w:t>£67,394</w:t>
            </w:r>
          </w:p>
        </w:tc>
      </w:tr>
      <w:tr w:rsidR="00A978F7" w:rsidRPr="00A978F7" w14:paraId="6DAFD629" w14:textId="77777777" w:rsidTr="00A978F7">
        <w:trPr>
          <w:trHeight w:val="800"/>
        </w:trPr>
        <w:tc>
          <w:tcPr>
            <w:tcW w:w="3392" w:type="dxa"/>
            <w:tcBorders>
              <w:top w:val="single" w:sz="8" w:space="0" w:color="auto"/>
              <w:left w:val="single" w:sz="8" w:space="0" w:color="auto"/>
              <w:bottom w:val="single" w:sz="8" w:space="0" w:color="auto"/>
              <w:right w:val="single" w:sz="8" w:space="0" w:color="000000"/>
            </w:tcBorders>
            <w:shd w:val="clear" w:color="000000" w:fill="E2EFDA"/>
            <w:vAlign w:val="center"/>
            <w:hideMark/>
          </w:tcPr>
          <w:p w14:paraId="165F660D" w14:textId="77777777" w:rsidR="00A978F7" w:rsidRPr="00A978F7" w:rsidRDefault="00A978F7" w:rsidP="00A978F7">
            <w:pPr>
              <w:spacing w:before="0" w:after="0"/>
              <w:jc w:val="right"/>
              <w:rPr>
                <w:rFonts w:eastAsia="Times New Roman" w:cs="Arial"/>
                <w:color w:val="000000"/>
                <w:szCs w:val="24"/>
                <w:lang w:eastAsia="en-GB"/>
              </w:rPr>
            </w:pPr>
            <w:r w:rsidRPr="00A978F7">
              <w:rPr>
                <w:rFonts w:eastAsia="Times New Roman" w:cs="Arial"/>
                <w:color w:val="000000"/>
                <w:szCs w:val="24"/>
                <w:lang w:eastAsia="en-GB"/>
              </w:rPr>
              <w:t>*Salary component of total remuneration (£)</w:t>
            </w:r>
          </w:p>
        </w:tc>
        <w:tc>
          <w:tcPr>
            <w:tcW w:w="2127" w:type="dxa"/>
            <w:tcBorders>
              <w:top w:val="single" w:sz="8" w:space="0" w:color="auto"/>
              <w:left w:val="nil"/>
              <w:bottom w:val="single" w:sz="8" w:space="0" w:color="auto"/>
              <w:right w:val="single" w:sz="8" w:space="0" w:color="000000"/>
            </w:tcBorders>
            <w:shd w:val="clear" w:color="000000" w:fill="E2EFDA"/>
            <w:vAlign w:val="center"/>
            <w:hideMark/>
          </w:tcPr>
          <w:p w14:paraId="64DAB34C" w14:textId="77777777" w:rsidR="00A978F7" w:rsidRPr="00A978F7" w:rsidRDefault="00A978F7" w:rsidP="00A978F7">
            <w:pPr>
              <w:spacing w:before="0" w:after="0"/>
              <w:jc w:val="right"/>
              <w:rPr>
                <w:rFonts w:eastAsia="Times New Roman" w:cs="Arial"/>
                <w:color w:val="404040"/>
                <w:szCs w:val="24"/>
                <w:lang w:eastAsia="en-GB"/>
              </w:rPr>
            </w:pPr>
            <w:r w:rsidRPr="00A978F7">
              <w:rPr>
                <w:rFonts w:eastAsia="Times New Roman" w:cs="Arial"/>
                <w:color w:val="404040"/>
                <w:szCs w:val="24"/>
                <w:lang w:eastAsia="en-GB"/>
              </w:rPr>
              <w:t>£34,449</w:t>
            </w:r>
          </w:p>
        </w:tc>
        <w:tc>
          <w:tcPr>
            <w:tcW w:w="1701" w:type="dxa"/>
            <w:tcBorders>
              <w:top w:val="single" w:sz="8" w:space="0" w:color="auto"/>
              <w:left w:val="nil"/>
              <w:bottom w:val="single" w:sz="8" w:space="0" w:color="auto"/>
              <w:right w:val="single" w:sz="8" w:space="0" w:color="000000"/>
            </w:tcBorders>
            <w:shd w:val="clear" w:color="000000" w:fill="E2EFDA"/>
            <w:vAlign w:val="center"/>
            <w:hideMark/>
          </w:tcPr>
          <w:p w14:paraId="351D5BC1" w14:textId="77777777" w:rsidR="00A978F7" w:rsidRPr="00A978F7" w:rsidRDefault="00A978F7" w:rsidP="00A978F7">
            <w:pPr>
              <w:spacing w:before="0" w:after="0"/>
              <w:jc w:val="right"/>
              <w:rPr>
                <w:rFonts w:eastAsia="Times New Roman" w:cs="Arial"/>
                <w:color w:val="404040"/>
                <w:szCs w:val="24"/>
                <w:lang w:eastAsia="en-GB"/>
              </w:rPr>
            </w:pPr>
            <w:r w:rsidRPr="00A978F7">
              <w:rPr>
                <w:rFonts w:eastAsia="Times New Roman" w:cs="Arial"/>
                <w:color w:val="404040"/>
                <w:szCs w:val="24"/>
                <w:lang w:eastAsia="en-GB"/>
              </w:rPr>
              <w:t>£50,198</w:t>
            </w:r>
          </w:p>
        </w:tc>
        <w:tc>
          <w:tcPr>
            <w:tcW w:w="1984" w:type="dxa"/>
            <w:tcBorders>
              <w:top w:val="single" w:sz="8" w:space="0" w:color="auto"/>
              <w:left w:val="nil"/>
              <w:bottom w:val="single" w:sz="8" w:space="0" w:color="auto"/>
              <w:right w:val="single" w:sz="8" w:space="0" w:color="000000"/>
            </w:tcBorders>
            <w:shd w:val="clear" w:color="000000" w:fill="E2EFDA"/>
            <w:vAlign w:val="center"/>
            <w:hideMark/>
          </w:tcPr>
          <w:p w14:paraId="4255B93B" w14:textId="77777777" w:rsidR="00A978F7" w:rsidRPr="00A978F7" w:rsidRDefault="00A978F7" w:rsidP="00A978F7">
            <w:pPr>
              <w:spacing w:before="0" w:after="0"/>
              <w:jc w:val="right"/>
              <w:rPr>
                <w:rFonts w:eastAsia="Times New Roman" w:cs="Arial"/>
                <w:color w:val="404040"/>
                <w:szCs w:val="24"/>
                <w:lang w:eastAsia="en-GB"/>
              </w:rPr>
            </w:pPr>
            <w:r w:rsidRPr="00A978F7">
              <w:rPr>
                <w:rFonts w:eastAsia="Times New Roman" w:cs="Arial"/>
                <w:color w:val="404040"/>
                <w:szCs w:val="24"/>
                <w:lang w:eastAsia="en-GB"/>
              </w:rPr>
              <w:t>£67,394</w:t>
            </w:r>
          </w:p>
        </w:tc>
      </w:tr>
      <w:tr w:rsidR="00A978F7" w:rsidRPr="00A978F7" w14:paraId="154DAB21" w14:textId="77777777" w:rsidTr="00A978F7">
        <w:trPr>
          <w:trHeight w:val="800"/>
        </w:trPr>
        <w:tc>
          <w:tcPr>
            <w:tcW w:w="3392" w:type="dxa"/>
            <w:tcBorders>
              <w:top w:val="nil"/>
              <w:left w:val="single" w:sz="8" w:space="0" w:color="auto"/>
              <w:bottom w:val="single" w:sz="8" w:space="0" w:color="auto"/>
              <w:right w:val="single" w:sz="8" w:space="0" w:color="000000"/>
            </w:tcBorders>
            <w:shd w:val="clear" w:color="000000" w:fill="E2EFDA"/>
            <w:vAlign w:val="center"/>
            <w:hideMark/>
          </w:tcPr>
          <w:p w14:paraId="0DB7D8E9" w14:textId="77777777" w:rsidR="00A978F7" w:rsidRPr="00A978F7" w:rsidRDefault="00A978F7" w:rsidP="00A978F7">
            <w:pPr>
              <w:spacing w:before="0" w:after="0"/>
              <w:jc w:val="right"/>
              <w:rPr>
                <w:rFonts w:eastAsia="Times New Roman" w:cs="Arial"/>
                <w:color w:val="000000"/>
                <w:szCs w:val="24"/>
                <w:lang w:eastAsia="en-GB"/>
              </w:rPr>
            </w:pPr>
            <w:r w:rsidRPr="00A978F7">
              <w:rPr>
                <w:rFonts w:eastAsia="Times New Roman" w:cs="Arial"/>
                <w:color w:val="000000"/>
                <w:szCs w:val="24"/>
                <w:lang w:eastAsia="en-GB"/>
              </w:rPr>
              <w:t>Pay ratio information</w:t>
            </w:r>
          </w:p>
        </w:tc>
        <w:tc>
          <w:tcPr>
            <w:tcW w:w="2127" w:type="dxa"/>
            <w:tcBorders>
              <w:top w:val="single" w:sz="8" w:space="0" w:color="auto"/>
              <w:left w:val="nil"/>
              <w:bottom w:val="single" w:sz="8" w:space="0" w:color="auto"/>
              <w:right w:val="single" w:sz="8" w:space="0" w:color="000000"/>
            </w:tcBorders>
            <w:shd w:val="clear" w:color="000000" w:fill="E2EFDA"/>
            <w:noWrap/>
            <w:vAlign w:val="center"/>
            <w:hideMark/>
          </w:tcPr>
          <w:p w14:paraId="6109196A" w14:textId="77777777" w:rsidR="00A978F7" w:rsidRPr="00A978F7" w:rsidRDefault="00A978F7" w:rsidP="00A978F7">
            <w:pPr>
              <w:spacing w:before="0" w:after="0"/>
              <w:jc w:val="right"/>
              <w:rPr>
                <w:rFonts w:eastAsia="Times New Roman" w:cs="Arial"/>
                <w:szCs w:val="24"/>
                <w:lang w:eastAsia="en-GB"/>
              </w:rPr>
            </w:pPr>
            <w:r w:rsidRPr="00A978F7">
              <w:rPr>
                <w:rFonts w:eastAsia="Times New Roman" w:cs="Arial"/>
                <w:szCs w:val="24"/>
                <w:lang w:eastAsia="en-GB"/>
              </w:rPr>
              <w:t>7.8 : 1</w:t>
            </w:r>
          </w:p>
        </w:tc>
        <w:tc>
          <w:tcPr>
            <w:tcW w:w="1701" w:type="dxa"/>
            <w:tcBorders>
              <w:top w:val="single" w:sz="8" w:space="0" w:color="auto"/>
              <w:left w:val="nil"/>
              <w:bottom w:val="single" w:sz="8" w:space="0" w:color="auto"/>
              <w:right w:val="single" w:sz="8" w:space="0" w:color="000000"/>
            </w:tcBorders>
            <w:shd w:val="clear" w:color="000000" w:fill="E2EFDA"/>
            <w:noWrap/>
            <w:vAlign w:val="center"/>
            <w:hideMark/>
          </w:tcPr>
          <w:p w14:paraId="3520EF3F" w14:textId="77777777" w:rsidR="00A978F7" w:rsidRPr="00A978F7" w:rsidRDefault="00A978F7" w:rsidP="00A978F7">
            <w:pPr>
              <w:spacing w:before="0" w:after="0"/>
              <w:jc w:val="right"/>
              <w:rPr>
                <w:rFonts w:eastAsia="Times New Roman" w:cs="Arial"/>
                <w:szCs w:val="24"/>
                <w:lang w:eastAsia="en-GB"/>
              </w:rPr>
            </w:pPr>
            <w:r w:rsidRPr="00A978F7">
              <w:rPr>
                <w:rFonts w:eastAsia="Times New Roman" w:cs="Arial"/>
                <w:szCs w:val="24"/>
                <w:lang w:eastAsia="en-GB"/>
              </w:rPr>
              <w:t>5.3 : 1</w:t>
            </w:r>
          </w:p>
        </w:tc>
        <w:tc>
          <w:tcPr>
            <w:tcW w:w="1984" w:type="dxa"/>
            <w:tcBorders>
              <w:top w:val="single" w:sz="8" w:space="0" w:color="auto"/>
              <w:left w:val="nil"/>
              <w:bottom w:val="single" w:sz="8" w:space="0" w:color="auto"/>
              <w:right w:val="single" w:sz="8" w:space="0" w:color="000000"/>
            </w:tcBorders>
            <w:shd w:val="clear" w:color="000000" w:fill="E2EFDA"/>
            <w:noWrap/>
            <w:vAlign w:val="center"/>
            <w:hideMark/>
          </w:tcPr>
          <w:p w14:paraId="4B870167" w14:textId="77777777" w:rsidR="00A978F7" w:rsidRPr="00A978F7" w:rsidRDefault="00A978F7" w:rsidP="00A978F7">
            <w:pPr>
              <w:spacing w:before="0" w:after="0"/>
              <w:jc w:val="right"/>
              <w:rPr>
                <w:rFonts w:eastAsia="Times New Roman" w:cs="Arial"/>
                <w:szCs w:val="24"/>
                <w:lang w:eastAsia="en-GB"/>
              </w:rPr>
            </w:pPr>
            <w:r w:rsidRPr="00A978F7">
              <w:rPr>
                <w:rFonts w:eastAsia="Times New Roman" w:cs="Arial"/>
                <w:szCs w:val="24"/>
                <w:lang w:eastAsia="en-GB"/>
              </w:rPr>
              <w:t>4.0 : 1</w:t>
            </w:r>
          </w:p>
        </w:tc>
      </w:tr>
    </w:tbl>
    <w:p w14:paraId="2C2417E0" w14:textId="50FAA673" w:rsidR="007B70CF" w:rsidRPr="007829A4" w:rsidRDefault="007B70CF" w:rsidP="00910817">
      <w:pPr>
        <w:pStyle w:val="BodyText"/>
        <w:rPr>
          <w:lang w:eastAsia="en-GB"/>
        </w:rPr>
      </w:pPr>
      <w:r w:rsidRPr="007829A4">
        <w:rPr>
          <w:lang w:eastAsia="en-GB"/>
        </w:rPr>
        <w:t xml:space="preserve">*No </w:t>
      </w:r>
      <w:r w:rsidR="335370C5" w:rsidRPr="1D78BEDC">
        <w:rPr>
          <w:lang w:eastAsia="en-GB"/>
        </w:rPr>
        <w:t>p</w:t>
      </w:r>
      <w:r w:rsidRPr="007829A4">
        <w:rPr>
          <w:lang w:eastAsia="en-GB"/>
        </w:rPr>
        <w:t xml:space="preserve">erformance </w:t>
      </w:r>
      <w:r w:rsidR="2DC722F4" w:rsidRPr="6C5B5345">
        <w:rPr>
          <w:lang w:eastAsia="en-GB"/>
        </w:rPr>
        <w:t>p</w:t>
      </w:r>
      <w:r w:rsidRPr="007829A4">
        <w:rPr>
          <w:lang w:eastAsia="en-GB"/>
        </w:rPr>
        <w:t xml:space="preserve">ay and </w:t>
      </w:r>
      <w:r w:rsidR="7CD3BD2C" w:rsidRPr="6C5B5345">
        <w:rPr>
          <w:lang w:eastAsia="en-GB"/>
        </w:rPr>
        <w:t>b</w:t>
      </w:r>
      <w:r w:rsidRPr="6C5B5345">
        <w:rPr>
          <w:lang w:eastAsia="en-GB"/>
        </w:rPr>
        <w:t xml:space="preserve">onus </w:t>
      </w:r>
      <w:r w:rsidR="31635B7E" w:rsidRPr="6C5B5345">
        <w:rPr>
          <w:lang w:eastAsia="en-GB"/>
        </w:rPr>
        <w:t>p</w:t>
      </w:r>
      <w:r w:rsidRPr="007829A4">
        <w:rPr>
          <w:lang w:eastAsia="en-GB"/>
        </w:rPr>
        <w:t xml:space="preserve">ayments are paid by the </w:t>
      </w:r>
      <w:r w:rsidR="00A31731">
        <w:rPr>
          <w:lang w:eastAsia="en-GB"/>
        </w:rPr>
        <w:t>ICB</w:t>
      </w:r>
      <w:r w:rsidRPr="007829A4">
        <w:rPr>
          <w:lang w:eastAsia="en-GB"/>
        </w:rPr>
        <w:t xml:space="preserve">, therefore both </w:t>
      </w:r>
      <w:r w:rsidR="4E272FCC" w:rsidRPr="4B280B11">
        <w:rPr>
          <w:lang w:eastAsia="en-GB"/>
        </w:rPr>
        <w:t>s</w:t>
      </w:r>
      <w:r w:rsidRPr="007829A4">
        <w:rPr>
          <w:lang w:eastAsia="en-GB"/>
        </w:rPr>
        <w:t xml:space="preserve">alary component and </w:t>
      </w:r>
      <w:r w:rsidR="73A19C3E" w:rsidRPr="4B280B11">
        <w:rPr>
          <w:lang w:eastAsia="en-GB"/>
        </w:rPr>
        <w:t>t</w:t>
      </w:r>
      <w:r w:rsidRPr="4B280B11">
        <w:rPr>
          <w:lang w:eastAsia="en-GB"/>
        </w:rPr>
        <w:t xml:space="preserve">otal </w:t>
      </w:r>
      <w:r w:rsidR="68D912B1" w:rsidRPr="4B280B11">
        <w:rPr>
          <w:lang w:eastAsia="en-GB"/>
        </w:rPr>
        <w:t>r</w:t>
      </w:r>
      <w:r w:rsidRPr="007829A4">
        <w:rPr>
          <w:lang w:eastAsia="en-GB"/>
        </w:rPr>
        <w:t>emuneration are the same.</w:t>
      </w:r>
    </w:p>
    <w:p w14:paraId="50A73162" w14:textId="7D7EFBD5" w:rsidR="007B70CF" w:rsidRPr="007829A4" w:rsidRDefault="007B70CF" w:rsidP="00910817">
      <w:pPr>
        <w:pStyle w:val="BodyText"/>
        <w:rPr>
          <w:lang w:eastAsia="en-GB"/>
        </w:rPr>
      </w:pPr>
      <w:r w:rsidRPr="007829A4">
        <w:rPr>
          <w:lang w:eastAsia="en-GB"/>
        </w:rPr>
        <w:t>In 2023/24</w:t>
      </w:r>
      <w:r w:rsidR="007F4C83">
        <w:rPr>
          <w:lang w:eastAsia="en-GB"/>
        </w:rPr>
        <w:t>,</w:t>
      </w:r>
      <w:r w:rsidRPr="007829A4">
        <w:rPr>
          <w:lang w:eastAsia="en-GB"/>
        </w:rPr>
        <w:t xml:space="preserve"> </w:t>
      </w:r>
      <w:r w:rsidR="00A978F7">
        <w:rPr>
          <w:lang w:eastAsia="en-GB"/>
        </w:rPr>
        <w:t>0</w:t>
      </w:r>
      <w:r w:rsidR="00A978F7" w:rsidRPr="007829A4">
        <w:rPr>
          <w:lang w:eastAsia="en-GB"/>
        </w:rPr>
        <w:t xml:space="preserve"> </w:t>
      </w:r>
      <w:r w:rsidRPr="007829A4">
        <w:rPr>
          <w:lang w:eastAsia="en-GB"/>
        </w:rPr>
        <w:t>employee</w:t>
      </w:r>
      <w:r w:rsidR="00A978F7">
        <w:rPr>
          <w:lang w:eastAsia="en-GB"/>
        </w:rPr>
        <w:t>s</w:t>
      </w:r>
      <w:r w:rsidRPr="007829A4">
        <w:rPr>
          <w:lang w:eastAsia="en-GB"/>
        </w:rPr>
        <w:t xml:space="preserve"> received </w:t>
      </w:r>
      <w:r w:rsidR="00A978F7">
        <w:rPr>
          <w:lang w:eastAsia="en-GB"/>
        </w:rPr>
        <w:t xml:space="preserve">annualised </w:t>
      </w:r>
      <w:r w:rsidRPr="007829A4">
        <w:rPr>
          <w:lang w:eastAsia="en-GB"/>
        </w:rPr>
        <w:t>remuneration in excess of the highest-paid director (2022/23 Jul-22 - Mar-</w:t>
      </w:r>
      <w:r w:rsidRPr="00A978F7">
        <w:rPr>
          <w:lang w:eastAsia="en-GB"/>
        </w:rPr>
        <w:t xml:space="preserve">23: </w:t>
      </w:r>
      <w:r w:rsidR="00A978F7" w:rsidRPr="00A978F7">
        <w:rPr>
          <w:lang w:eastAsia="en-GB"/>
        </w:rPr>
        <w:t>0</w:t>
      </w:r>
      <w:r w:rsidR="00A978F7">
        <w:rPr>
          <w:lang w:eastAsia="en-GB"/>
        </w:rPr>
        <w:t>)</w:t>
      </w:r>
    </w:p>
    <w:p w14:paraId="5716B05B" w14:textId="18D50DC4" w:rsidR="00BA75D9" w:rsidRDefault="007B70CF" w:rsidP="00910817">
      <w:pPr>
        <w:pStyle w:val="BodyText"/>
        <w:rPr>
          <w:lang w:eastAsia="en-GB"/>
        </w:rPr>
      </w:pPr>
      <w:r w:rsidRPr="00D9459C">
        <w:rPr>
          <w:lang w:eastAsia="en-GB"/>
        </w:rPr>
        <w:t xml:space="preserve">During the reporting period 2023/24, </w:t>
      </w:r>
      <w:r w:rsidRPr="00A978F7">
        <w:rPr>
          <w:lang w:eastAsia="en-GB"/>
        </w:rPr>
        <w:t>remuneration ranged from £</w:t>
      </w:r>
      <w:r w:rsidR="00A978F7" w:rsidRPr="00A978F7">
        <w:rPr>
          <w:lang w:eastAsia="en-GB"/>
        </w:rPr>
        <w:t xml:space="preserve">1k </w:t>
      </w:r>
      <w:r w:rsidRPr="00A978F7">
        <w:rPr>
          <w:lang w:eastAsia="en-GB"/>
        </w:rPr>
        <w:t>to £</w:t>
      </w:r>
      <w:r w:rsidR="00A978F7" w:rsidRPr="00A978F7">
        <w:rPr>
          <w:lang w:eastAsia="en-GB"/>
        </w:rPr>
        <w:t>212</w:t>
      </w:r>
      <w:r w:rsidRPr="00A978F7">
        <w:rPr>
          <w:lang w:eastAsia="en-GB"/>
        </w:rPr>
        <w:t>k (2022/23 Jul-22 - Mar-23: £</w:t>
      </w:r>
      <w:r w:rsidR="00A978F7" w:rsidRPr="00A978F7">
        <w:rPr>
          <w:lang w:eastAsia="en-GB"/>
        </w:rPr>
        <w:t>6</w:t>
      </w:r>
      <w:r w:rsidRPr="00A978F7">
        <w:rPr>
          <w:lang w:eastAsia="en-GB"/>
        </w:rPr>
        <w:t>k to £</w:t>
      </w:r>
      <w:r w:rsidR="00A978F7" w:rsidRPr="00A978F7">
        <w:rPr>
          <w:lang w:eastAsia="en-GB"/>
        </w:rPr>
        <w:t>266</w:t>
      </w:r>
      <w:r w:rsidRPr="00A978F7">
        <w:rPr>
          <w:lang w:eastAsia="en-GB"/>
        </w:rPr>
        <w:t>k)</w:t>
      </w:r>
      <w:r w:rsidRPr="00D9459C">
        <w:rPr>
          <w:lang w:eastAsia="en-GB"/>
        </w:rPr>
        <w:t xml:space="preserve"> based on annualised, full-time equivalent remuneration of all staff (including temporary and agency staff). </w:t>
      </w:r>
    </w:p>
    <w:p w14:paraId="5BAD814F" w14:textId="45473059" w:rsidR="007B70CF" w:rsidRPr="00D9459C" w:rsidRDefault="007B70CF" w:rsidP="00910817">
      <w:pPr>
        <w:pStyle w:val="BodyText"/>
        <w:rPr>
          <w:lang w:eastAsia="en-GB"/>
        </w:rPr>
      </w:pPr>
      <w:r w:rsidRPr="00D9459C">
        <w:rPr>
          <w:lang w:eastAsia="en-GB"/>
        </w:rPr>
        <w:t xml:space="preserve">Total remuneration includes salary, non-consolidated performance-related pay, benefits-in-kind, but not severance payments.  It does not include employer pension contributions and the cash equivalent transfer value of pensions.  </w:t>
      </w:r>
    </w:p>
    <w:p w14:paraId="02DEBB51" w14:textId="19CB1069" w:rsidR="001C0486" w:rsidRPr="00EC0BD0" w:rsidRDefault="001C0486" w:rsidP="00910817">
      <w:pPr>
        <w:pStyle w:val="Heading3"/>
        <w:rPr>
          <w:lang w:eastAsia="en-GB"/>
        </w:rPr>
      </w:pPr>
      <w:bookmarkStart w:id="126" w:name="_Toc133356667"/>
      <w:bookmarkStart w:id="127" w:name="_Toc163136033"/>
      <w:bookmarkStart w:id="128" w:name="_Toc164470281"/>
      <w:bookmarkStart w:id="129" w:name="_Toc164814702"/>
      <w:bookmarkStart w:id="130" w:name="_Toc164814842"/>
      <w:bookmarkStart w:id="131" w:name="_Toc164814903"/>
      <w:r w:rsidRPr="00EC0BD0">
        <w:rPr>
          <w:lang w:eastAsia="en-GB"/>
        </w:rPr>
        <w:t>Policy on the remuneration of senior managers</w:t>
      </w:r>
      <w:bookmarkEnd w:id="126"/>
      <w:r w:rsidR="004667D6">
        <w:rPr>
          <w:lang w:eastAsia="en-GB"/>
        </w:rPr>
        <w:t xml:space="preserve"> and very senior managers</w:t>
      </w:r>
      <w:bookmarkEnd w:id="127"/>
      <w:bookmarkEnd w:id="128"/>
      <w:bookmarkEnd w:id="129"/>
      <w:bookmarkEnd w:id="130"/>
      <w:bookmarkEnd w:id="131"/>
      <w:r w:rsidRPr="00EC0BD0">
        <w:rPr>
          <w:lang w:eastAsia="en-GB"/>
        </w:rPr>
        <w:t xml:space="preserve"> </w:t>
      </w:r>
    </w:p>
    <w:p w14:paraId="54BE4735" w14:textId="1BE17E19" w:rsidR="008F5258" w:rsidRDefault="008F5258" w:rsidP="008F5258">
      <w:pPr>
        <w:pStyle w:val="BodyText"/>
      </w:pPr>
      <w:r w:rsidRPr="00E33F7F">
        <w:t>Senior</w:t>
      </w:r>
      <w:r>
        <w:t xml:space="preserve"> managers are subject to Agenda for Change terms and conditions, </w:t>
      </w:r>
      <w:r w:rsidR="00A978F7">
        <w:t>except for</w:t>
      </w:r>
      <w:r>
        <w:t xml:space="preserve"> those roles which are subject to the VSM (Very Senior Managers) framework.  </w:t>
      </w:r>
      <w:r w:rsidRPr="00E33F7F">
        <w:t xml:space="preserve"> </w:t>
      </w:r>
      <w:r>
        <w:t xml:space="preserve">The </w:t>
      </w:r>
      <w:r>
        <w:lastRenderedPageBreak/>
        <w:t xml:space="preserve">salaries of governing body members are determined by remuneration committee </w:t>
      </w:r>
      <w:r w:rsidRPr="00245854">
        <w:t xml:space="preserve">with national and local guidance (provided by the </w:t>
      </w:r>
      <w:r w:rsidR="001E6867">
        <w:t>Chief Finance Officer</w:t>
      </w:r>
      <w:r w:rsidRPr="00245854">
        <w:t xml:space="preserve"> and </w:t>
      </w:r>
      <w:r>
        <w:t xml:space="preserve">Director </w:t>
      </w:r>
      <w:r w:rsidRPr="00245854">
        <w:t>of Human Resources) being considered in all decisions.</w:t>
      </w:r>
    </w:p>
    <w:p w14:paraId="0177CB8A" w14:textId="77777777" w:rsidR="004B1F80" w:rsidRPr="00612517" w:rsidRDefault="004B1F80" w:rsidP="004B1F80">
      <w:pPr>
        <w:pStyle w:val="Heading4"/>
        <w:rPr>
          <w:rFonts w:eastAsia="Times New Roman"/>
          <w:lang w:eastAsia="en-GB"/>
        </w:rPr>
      </w:pPr>
      <w:r w:rsidRPr="00612517">
        <w:rPr>
          <w:rFonts w:eastAsia="Times New Roman"/>
          <w:lang w:eastAsia="en-GB"/>
        </w:rPr>
        <w:t>Remuneration of Very Senior Managers</w:t>
      </w:r>
    </w:p>
    <w:p w14:paraId="6697D128" w14:textId="6D7C2DEB" w:rsidR="00C76496" w:rsidRPr="00980B52" w:rsidRDefault="00354553" w:rsidP="00980B52">
      <w:pPr>
        <w:pStyle w:val="BodyText"/>
      </w:pPr>
      <w:r w:rsidRPr="00980B52">
        <w:t xml:space="preserve">Remuneration of very senior managers was determined by the ICB Remuneration Committee </w:t>
      </w:r>
      <w:r w:rsidR="00980B52" w:rsidRPr="00980B52">
        <w:t>in accordance with its terms of reference.</w:t>
      </w:r>
      <w:r w:rsidR="00C76496" w:rsidRPr="00980B52">
        <w:t xml:space="preserve"> </w:t>
      </w:r>
    </w:p>
    <w:p w14:paraId="15FA325E" w14:textId="77777777" w:rsidR="003C211D" w:rsidRPr="001B4F4B" w:rsidRDefault="003C211D" w:rsidP="001B4F4B">
      <w:pPr>
        <w:pStyle w:val="BodyText"/>
        <w:rPr>
          <w:b/>
          <w:bCs/>
        </w:rPr>
      </w:pPr>
      <w:r w:rsidRPr="001B4F4B">
        <w:rPr>
          <w:b/>
          <w:bCs/>
        </w:rPr>
        <w:t>Policy on the duration of contracts, notice periods and termination payments</w:t>
      </w:r>
    </w:p>
    <w:p w14:paraId="488DAF24" w14:textId="77777777" w:rsidR="00365397" w:rsidRDefault="00365397" w:rsidP="00365397">
      <w:pPr>
        <w:pStyle w:val="BodyText"/>
      </w:pPr>
      <w:bookmarkStart w:id="132" w:name="_Toc133356670"/>
      <w:r w:rsidRPr="00245854">
        <w:t>The duration of contracts is determined by the duration of the roles and responsibilities to be</w:t>
      </w:r>
      <w:r>
        <w:t xml:space="preserve"> </w:t>
      </w:r>
      <w:r w:rsidRPr="00245854">
        <w:t xml:space="preserve">undertaken. The contracts of the </w:t>
      </w:r>
      <w:r>
        <w:t>Chief Executive</w:t>
      </w:r>
      <w:r w:rsidRPr="00245854">
        <w:t xml:space="preserve"> Officer, directors and other staff are</w:t>
      </w:r>
      <w:r>
        <w:t xml:space="preserve"> </w:t>
      </w:r>
      <w:r w:rsidRPr="00245854">
        <w:t>permanent unless applicable to a time-limited project or funding, in which case contracts will be</w:t>
      </w:r>
      <w:r>
        <w:t xml:space="preserve"> </w:t>
      </w:r>
      <w:r w:rsidRPr="00245854">
        <w:t>offered on a fixed term.</w:t>
      </w:r>
    </w:p>
    <w:p w14:paraId="71FAD266" w14:textId="3E668492" w:rsidR="002031B2" w:rsidRPr="00245854" w:rsidRDefault="002031B2" w:rsidP="00365397">
      <w:pPr>
        <w:pStyle w:val="BodyText"/>
      </w:pPr>
      <w:r w:rsidRPr="00245854">
        <w:t xml:space="preserve">The notice period applying to the </w:t>
      </w:r>
      <w:r>
        <w:t xml:space="preserve">Chief Executive </w:t>
      </w:r>
      <w:r w:rsidRPr="00245854">
        <w:t>Officer is six months. For directors and other</w:t>
      </w:r>
      <w:r>
        <w:t xml:space="preserve"> </w:t>
      </w:r>
      <w:r w:rsidRPr="00245854">
        <w:t>senior managers, the notice period is three months. Any termination payments would be in</w:t>
      </w:r>
      <w:r>
        <w:t xml:space="preserve"> </w:t>
      </w:r>
      <w:r w:rsidRPr="00245854">
        <w:t>accordance with relevant contractual, legislative and HMRC requirements.</w:t>
      </w:r>
    </w:p>
    <w:p w14:paraId="69A365A7" w14:textId="6B0264A3" w:rsidR="00202329" w:rsidRDefault="00202329" w:rsidP="001E694A">
      <w:pPr>
        <w:pStyle w:val="BodyText"/>
        <w:rPr>
          <w:b/>
          <w:bCs/>
        </w:rPr>
      </w:pPr>
      <w:r>
        <w:rPr>
          <w:b/>
          <w:bCs/>
        </w:rPr>
        <w:t xml:space="preserve">Senior </w:t>
      </w:r>
      <w:r w:rsidR="713F3B04" w:rsidRPr="1878E7AF">
        <w:rPr>
          <w:b/>
          <w:bCs/>
        </w:rPr>
        <w:t>m</w:t>
      </w:r>
      <w:r w:rsidRPr="1878E7AF">
        <w:rPr>
          <w:b/>
          <w:bCs/>
        </w:rPr>
        <w:t xml:space="preserve">anager </w:t>
      </w:r>
      <w:r w:rsidR="1EA15D75" w:rsidRPr="1878E7AF">
        <w:rPr>
          <w:b/>
          <w:bCs/>
        </w:rPr>
        <w:t>r</w:t>
      </w:r>
      <w:r>
        <w:rPr>
          <w:b/>
          <w:bCs/>
        </w:rPr>
        <w:t>emuneration (including salary and pension entitlements)</w:t>
      </w:r>
    </w:p>
    <w:p w14:paraId="3105230C" w14:textId="6761DC9A" w:rsidR="003C386C" w:rsidRPr="00080034" w:rsidRDefault="003C386C" w:rsidP="00080034">
      <w:pPr>
        <w:pStyle w:val="BodyText"/>
        <w:rPr>
          <w:b/>
          <w:bCs/>
        </w:rPr>
      </w:pPr>
      <w:r w:rsidRPr="00080034">
        <w:rPr>
          <w:b/>
          <w:bCs/>
        </w:rPr>
        <w:t xml:space="preserve">ICB </w:t>
      </w:r>
      <w:r w:rsidR="2BBF538D" w:rsidRPr="00080034">
        <w:rPr>
          <w:b/>
          <w:bCs/>
        </w:rPr>
        <w:t>r</w:t>
      </w:r>
      <w:r w:rsidRPr="00080034">
        <w:rPr>
          <w:b/>
          <w:bCs/>
        </w:rPr>
        <w:t xml:space="preserve">emuneration </w:t>
      </w:r>
      <w:r w:rsidR="0A3CDBA9" w:rsidRPr="00080034">
        <w:rPr>
          <w:b/>
          <w:bCs/>
        </w:rPr>
        <w:t>r</w:t>
      </w:r>
      <w:r w:rsidRPr="00080034">
        <w:rPr>
          <w:b/>
          <w:bCs/>
        </w:rPr>
        <w:t>eports 2023-24</w:t>
      </w:r>
    </w:p>
    <w:p w14:paraId="2D1E4C44" w14:textId="54E2EAD6" w:rsidR="003C386C" w:rsidRPr="008D0694" w:rsidRDefault="003C386C" w:rsidP="008D0694">
      <w:pPr>
        <w:pStyle w:val="BodyText"/>
      </w:pPr>
      <w:r w:rsidRPr="008D0694">
        <w:t xml:space="preserve">This </w:t>
      </w:r>
      <w:r w:rsidR="00471C4B" w:rsidRPr="008D0694">
        <w:t>ICB</w:t>
      </w:r>
      <w:r w:rsidRPr="008D0694">
        <w:t xml:space="preserve"> </w:t>
      </w:r>
      <w:r w:rsidR="3092866C" w:rsidRPr="008D0694">
        <w:t>r</w:t>
      </w:r>
      <w:r w:rsidRPr="008D0694">
        <w:t xml:space="preserve">emuneration </w:t>
      </w:r>
      <w:r w:rsidR="0593209B" w:rsidRPr="008D0694">
        <w:t>r</w:t>
      </w:r>
      <w:r w:rsidRPr="008D0694">
        <w:t xml:space="preserve">eport for 2023-24 is shown in two sections, representing the </w:t>
      </w:r>
      <w:r w:rsidR="57935F99" w:rsidRPr="008D0694">
        <w:t>s</w:t>
      </w:r>
      <w:r w:rsidRPr="008D0694">
        <w:t xml:space="preserve">alary and </w:t>
      </w:r>
      <w:r w:rsidR="08D58160" w:rsidRPr="008D0694">
        <w:t>a</w:t>
      </w:r>
      <w:r w:rsidRPr="008D0694">
        <w:t xml:space="preserve">llowances and </w:t>
      </w:r>
      <w:r w:rsidR="31A5F583" w:rsidRPr="008D0694">
        <w:t>p</w:t>
      </w:r>
      <w:r w:rsidRPr="008D0694">
        <w:t>ension entitlements of the senior leadership of the ICB.</w:t>
      </w:r>
    </w:p>
    <w:p w14:paraId="5B5DE5A0" w14:textId="545D3C0C" w:rsidR="003C386C" w:rsidRPr="00080034" w:rsidRDefault="003C386C" w:rsidP="00080034">
      <w:pPr>
        <w:pStyle w:val="BodyText"/>
        <w:rPr>
          <w:b/>
          <w:bCs/>
        </w:rPr>
      </w:pPr>
      <w:r w:rsidRPr="00080034">
        <w:rPr>
          <w:b/>
          <w:bCs/>
        </w:rPr>
        <w:t xml:space="preserve">ICB </w:t>
      </w:r>
      <w:r w:rsidR="62C5A267" w:rsidRPr="00080034">
        <w:rPr>
          <w:b/>
          <w:bCs/>
        </w:rPr>
        <w:t>s</w:t>
      </w:r>
      <w:r w:rsidRPr="00080034">
        <w:rPr>
          <w:b/>
          <w:bCs/>
        </w:rPr>
        <w:t xml:space="preserve">alary and </w:t>
      </w:r>
      <w:r w:rsidR="1857B6FE" w:rsidRPr="00080034">
        <w:rPr>
          <w:b/>
          <w:bCs/>
        </w:rPr>
        <w:t>a</w:t>
      </w:r>
      <w:r w:rsidRPr="00080034">
        <w:rPr>
          <w:b/>
          <w:bCs/>
        </w:rPr>
        <w:t xml:space="preserve">llowances </w:t>
      </w:r>
      <w:r w:rsidR="5DF050AE" w:rsidRPr="00080034">
        <w:rPr>
          <w:b/>
          <w:bCs/>
        </w:rPr>
        <w:t>t</w:t>
      </w:r>
      <w:r w:rsidRPr="00080034">
        <w:rPr>
          <w:b/>
          <w:bCs/>
        </w:rPr>
        <w:t>able:</w:t>
      </w:r>
    </w:p>
    <w:p w14:paraId="3C3F17D9" w14:textId="2057EAD0" w:rsidR="003C386C" w:rsidRPr="008D0694" w:rsidRDefault="003C386C" w:rsidP="008D0694">
      <w:pPr>
        <w:pStyle w:val="BodyText"/>
      </w:pPr>
      <w:r w:rsidRPr="008D0694">
        <w:t xml:space="preserve">This includes the </w:t>
      </w:r>
      <w:r w:rsidR="00471C4B" w:rsidRPr="008D0694">
        <w:t>ICB</w:t>
      </w:r>
      <w:r w:rsidRPr="008D0694">
        <w:t xml:space="preserve"> specific </w:t>
      </w:r>
      <w:r w:rsidR="2F7338B2" w:rsidRPr="008D0694">
        <w:t>r</w:t>
      </w:r>
      <w:r w:rsidRPr="008D0694">
        <w:t xml:space="preserve">emuneration </w:t>
      </w:r>
      <w:r w:rsidR="6709FEEE" w:rsidRPr="008D0694">
        <w:t>r</w:t>
      </w:r>
      <w:r w:rsidRPr="008D0694">
        <w:t>eport table of directors and senior managers.</w:t>
      </w:r>
    </w:p>
    <w:p w14:paraId="5B82A8D0" w14:textId="24CC4EBF" w:rsidR="003C386C" w:rsidRPr="00080034" w:rsidRDefault="003C386C" w:rsidP="00080034">
      <w:pPr>
        <w:pStyle w:val="BodyText"/>
        <w:rPr>
          <w:b/>
          <w:bCs/>
        </w:rPr>
      </w:pPr>
      <w:r w:rsidRPr="00080034">
        <w:rPr>
          <w:b/>
          <w:bCs/>
        </w:rPr>
        <w:t xml:space="preserve">ICB </w:t>
      </w:r>
      <w:r w:rsidR="5AA4BD2B" w:rsidRPr="00080034">
        <w:rPr>
          <w:b/>
          <w:bCs/>
        </w:rPr>
        <w:t>p</w:t>
      </w:r>
      <w:r w:rsidRPr="00080034">
        <w:rPr>
          <w:b/>
          <w:bCs/>
        </w:rPr>
        <w:t xml:space="preserve">ension </w:t>
      </w:r>
      <w:r w:rsidR="4BC3E259" w:rsidRPr="00080034">
        <w:rPr>
          <w:b/>
          <w:bCs/>
        </w:rPr>
        <w:t>t</w:t>
      </w:r>
      <w:r w:rsidRPr="00080034">
        <w:rPr>
          <w:b/>
          <w:bCs/>
        </w:rPr>
        <w:t>able:</w:t>
      </w:r>
    </w:p>
    <w:p w14:paraId="156D499C" w14:textId="67D7E395" w:rsidR="00382E5A" w:rsidRPr="008D0694" w:rsidRDefault="003C386C" w:rsidP="008D0694">
      <w:pPr>
        <w:pStyle w:val="BodyText"/>
      </w:pPr>
      <w:r w:rsidRPr="008D0694">
        <w:t xml:space="preserve">This includes the </w:t>
      </w:r>
      <w:r w:rsidR="00471C4B" w:rsidRPr="008D0694">
        <w:t>ICB</w:t>
      </w:r>
      <w:r w:rsidRPr="008D0694">
        <w:t xml:space="preserve"> specific </w:t>
      </w:r>
      <w:r w:rsidR="533BC8FA" w:rsidRPr="008D0694">
        <w:t>p</w:t>
      </w:r>
      <w:r w:rsidRPr="008D0694">
        <w:t>ension entitlements of directors and senior managers.</w:t>
      </w:r>
    </w:p>
    <w:p w14:paraId="796EEA19" w14:textId="00A8158B" w:rsidR="001E694A" w:rsidRDefault="001E694A" w:rsidP="008D0694">
      <w:pPr>
        <w:pStyle w:val="BodyText"/>
        <w:sectPr w:rsidR="001E694A" w:rsidSect="000D1FC6">
          <w:footerReference w:type="default" r:id="rId49"/>
          <w:pgSz w:w="11906" w:h="16838"/>
          <w:pgMar w:top="987" w:right="1134" w:bottom="851" w:left="1440" w:header="851" w:footer="722" w:gutter="0"/>
          <w:cols w:space="708"/>
          <w:docGrid w:linePitch="360"/>
        </w:sectPr>
      </w:pPr>
    </w:p>
    <w:p w14:paraId="6BAF1870" w14:textId="1C873B94" w:rsidR="004674F2" w:rsidRDefault="005F5545" w:rsidP="00020263">
      <w:pPr>
        <w:rPr>
          <w:noProof/>
        </w:rPr>
      </w:pPr>
      <w:r w:rsidRPr="005F5545">
        <w:rPr>
          <w:noProof/>
        </w:rPr>
        <w:lastRenderedPageBreak/>
        <w:drawing>
          <wp:inline distT="0" distB="0" distL="0" distR="0" wp14:anchorId="0BA157B7" wp14:editId="65DB1F66">
            <wp:extent cx="9417050" cy="5763895"/>
            <wp:effectExtent l="0" t="0" r="0" b="8255"/>
            <wp:docPr id="9" name="Picture 9" descr="Complex table showing the salaries and allowances of senior managers for 20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omplex table showing the salaries and allowances of senior managers for 2023/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417050" cy="5763895"/>
                    </a:xfrm>
                    <a:prstGeom prst="rect">
                      <a:avLst/>
                    </a:prstGeom>
                    <a:noFill/>
                    <a:ln>
                      <a:noFill/>
                    </a:ln>
                  </pic:spPr>
                </pic:pic>
              </a:graphicData>
            </a:graphic>
          </wp:inline>
        </w:drawing>
      </w:r>
    </w:p>
    <w:p w14:paraId="17A2CB4F" w14:textId="0C62A107" w:rsidR="00CB7898" w:rsidRDefault="005F5545" w:rsidP="00020263">
      <w:r w:rsidRPr="005F5545">
        <w:rPr>
          <w:noProof/>
        </w:rPr>
        <w:lastRenderedPageBreak/>
        <w:drawing>
          <wp:inline distT="0" distB="0" distL="0" distR="0" wp14:anchorId="2D4AF358" wp14:editId="1F10A17B">
            <wp:extent cx="9417050" cy="3434715"/>
            <wp:effectExtent l="0" t="0" r="0" b="0"/>
            <wp:docPr id="10" name="Picture 10" descr="Detailed notes to the salaries and allowances of senior managers for 20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etailed notes to the salaries and allowances of senior managers for 2023/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417050" cy="3434715"/>
                    </a:xfrm>
                    <a:prstGeom prst="rect">
                      <a:avLst/>
                    </a:prstGeom>
                    <a:noFill/>
                    <a:ln>
                      <a:noFill/>
                    </a:ln>
                  </pic:spPr>
                </pic:pic>
              </a:graphicData>
            </a:graphic>
          </wp:inline>
        </w:drawing>
      </w:r>
    </w:p>
    <w:p w14:paraId="634DFC9A" w14:textId="424D5562" w:rsidR="00B87EED" w:rsidRDefault="00B87EED" w:rsidP="00020263"/>
    <w:p w14:paraId="5B8A673E" w14:textId="77777777" w:rsidR="00B87EED" w:rsidRDefault="00B87EED" w:rsidP="00020263"/>
    <w:p w14:paraId="500D0F2D" w14:textId="0A752190" w:rsidR="00FD6E22" w:rsidRDefault="00FD6E22" w:rsidP="00020263"/>
    <w:p w14:paraId="55F62539" w14:textId="0B9BE540" w:rsidR="0032462C" w:rsidRDefault="0032462C" w:rsidP="00020263">
      <w:r w:rsidRPr="007D1423">
        <w:rPr>
          <w:noProof/>
        </w:rPr>
        <w:lastRenderedPageBreak/>
        <w:drawing>
          <wp:inline distT="0" distB="0" distL="0" distR="0" wp14:anchorId="76B67DF8" wp14:editId="17C2FEF8">
            <wp:extent cx="9161780" cy="5297170"/>
            <wp:effectExtent l="0" t="0" r="1270" b="0"/>
            <wp:docPr id="24" name="Picture 24" descr="Table showing the salaries and allowances of senior managers during 2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able showing the salaries and allowances of senior managers during 2022/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161780" cy="5297170"/>
                    </a:xfrm>
                    <a:prstGeom prst="rect">
                      <a:avLst/>
                    </a:prstGeom>
                    <a:noFill/>
                    <a:ln>
                      <a:noFill/>
                    </a:ln>
                  </pic:spPr>
                </pic:pic>
              </a:graphicData>
            </a:graphic>
          </wp:inline>
        </w:drawing>
      </w:r>
    </w:p>
    <w:bookmarkEnd w:id="132"/>
    <w:p w14:paraId="721AEB55" w14:textId="0254467F" w:rsidR="00803E45" w:rsidRDefault="00803E45" w:rsidP="001C0486"/>
    <w:p w14:paraId="6FAE1012" w14:textId="77777777" w:rsidR="00CB7898" w:rsidRDefault="00CB7898" w:rsidP="001C0486"/>
    <w:p w14:paraId="0494B100" w14:textId="7F2B1F62" w:rsidR="0032462C" w:rsidRDefault="00B508B0" w:rsidP="001C0486">
      <w:r w:rsidRPr="00401959">
        <w:rPr>
          <w:noProof/>
        </w:rPr>
        <w:drawing>
          <wp:inline distT="0" distB="0" distL="0" distR="0" wp14:anchorId="345FF19B" wp14:editId="4B0FF0A5">
            <wp:extent cx="9417050" cy="3291959"/>
            <wp:effectExtent l="0" t="0" r="0" b="3810"/>
            <wp:docPr id="5" name="Picture 5" descr="Notes to the table of salaries and allowances of senior managers for 2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Notes to the table of salaries and allowances of senior managers for 2022/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417050" cy="3291959"/>
                    </a:xfrm>
                    <a:prstGeom prst="rect">
                      <a:avLst/>
                    </a:prstGeom>
                    <a:noFill/>
                    <a:ln>
                      <a:noFill/>
                    </a:ln>
                  </pic:spPr>
                </pic:pic>
              </a:graphicData>
            </a:graphic>
          </wp:inline>
        </w:drawing>
      </w:r>
    </w:p>
    <w:p w14:paraId="15486578" w14:textId="77777777" w:rsidR="0032462C" w:rsidRDefault="0032462C" w:rsidP="001C0486"/>
    <w:p w14:paraId="0E0B64F3" w14:textId="77777777" w:rsidR="00B508B0" w:rsidRDefault="00B508B0" w:rsidP="001C0486"/>
    <w:p w14:paraId="54A42D4C" w14:textId="5BAD28B6" w:rsidR="00B508B0" w:rsidRDefault="00A9138A" w:rsidP="001C0486">
      <w:r w:rsidRPr="00A9138A">
        <w:rPr>
          <w:noProof/>
        </w:rPr>
        <w:lastRenderedPageBreak/>
        <w:drawing>
          <wp:inline distT="0" distB="0" distL="0" distR="0" wp14:anchorId="685C9EB1" wp14:editId="2A4FB29C">
            <wp:extent cx="9417050" cy="2961640"/>
            <wp:effectExtent l="0" t="0" r="0" b="0"/>
            <wp:docPr id="12" name="Picture 12" descr="Complex table of pension entitlements of directors and senior managers 20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omplex table of pension entitlements of directors and senior managers 2023/2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417050" cy="2961640"/>
                    </a:xfrm>
                    <a:prstGeom prst="rect">
                      <a:avLst/>
                    </a:prstGeom>
                    <a:noFill/>
                    <a:ln>
                      <a:noFill/>
                    </a:ln>
                    <a:effectLst/>
                  </pic:spPr>
                </pic:pic>
              </a:graphicData>
            </a:graphic>
          </wp:inline>
        </w:drawing>
      </w:r>
    </w:p>
    <w:p w14:paraId="5DB401A6" w14:textId="1AF915BC" w:rsidR="00A9138A" w:rsidRDefault="00A9138A" w:rsidP="001C0486">
      <w:r w:rsidRPr="00A9138A">
        <w:rPr>
          <w:noProof/>
        </w:rPr>
        <w:drawing>
          <wp:inline distT="0" distB="0" distL="0" distR="0" wp14:anchorId="3A8305BF" wp14:editId="69EC8E59">
            <wp:extent cx="9417050" cy="683895"/>
            <wp:effectExtent l="0" t="0" r="0" b="1905"/>
            <wp:docPr id="14" name="Picture 14" descr="Notes to the pensions entitlement statement for directors and senior managers 20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Notes to the pensions entitlement statement for directors and senior managers 2023/2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417050" cy="683895"/>
                    </a:xfrm>
                    <a:prstGeom prst="rect">
                      <a:avLst/>
                    </a:prstGeom>
                    <a:noFill/>
                    <a:ln>
                      <a:noFill/>
                    </a:ln>
                  </pic:spPr>
                </pic:pic>
              </a:graphicData>
            </a:graphic>
          </wp:inline>
        </w:drawing>
      </w:r>
    </w:p>
    <w:p w14:paraId="64DD8F1D" w14:textId="50F6E917" w:rsidR="00CB7898" w:rsidRPr="003E292E" w:rsidRDefault="00C20620" w:rsidP="001C0486">
      <w:r w:rsidRPr="007D1423">
        <w:rPr>
          <w:noProof/>
        </w:rPr>
        <w:lastRenderedPageBreak/>
        <w:drawing>
          <wp:inline distT="0" distB="0" distL="0" distR="0" wp14:anchorId="2B58F278" wp14:editId="62754867">
            <wp:extent cx="9417050" cy="2488182"/>
            <wp:effectExtent l="0" t="0" r="0" b="7620"/>
            <wp:docPr id="25" name="Picture 25" descr="Table showing pension entitlements for directors and senior managers for 2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able showing pension entitlements for directors and senior managers for 2022/2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417050" cy="2488182"/>
                    </a:xfrm>
                    <a:prstGeom prst="rect">
                      <a:avLst/>
                    </a:prstGeom>
                    <a:noFill/>
                    <a:ln>
                      <a:noFill/>
                    </a:ln>
                  </pic:spPr>
                </pic:pic>
              </a:graphicData>
            </a:graphic>
          </wp:inline>
        </w:drawing>
      </w:r>
    </w:p>
    <w:p w14:paraId="1DD7B111" w14:textId="327ADF89" w:rsidR="001C0486" w:rsidRDefault="003E292E" w:rsidP="006B1013">
      <w:pPr>
        <w:pStyle w:val="Heading3"/>
        <w:rPr>
          <w:lang w:eastAsia="en-GB"/>
        </w:rPr>
      </w:pPr>
      <w:bookmarkStart w:id="133" w:name="_Toc133356672"/>
      <w:bookmarkStart w:id="134" w:name="_Toc163136034"/>
      <w:bookmarkStart w:id="135" w:name="_Toc164470282"/>
      <w:bookmarkStart w:id="136" w:name="_Toc164814703"/>
      <w:bookmarkStart w:id="137" w:name="_Toc164814843"/>
      <w:bookmarkStart w:id="138" w:name="_Toc164814904"/>
      <w:r w:rsidRPr="30CDA6A5">
        <w:rPr>
          <w:lang w:eastAsia="en-GB"/>
        </w:rPr>
        <w:t xml:space="preserve">Cash </w:t>
      </w:r>
      <w:r w:rsidR="72278114" w:rsidRPr="30CDA6A5">
        <w:rPr>
          <w:lang w:eastAsia="en-GB"/>
        </w:rPr>
        <w:t>e</w:t>
      </w:r>
      <w:r w:rsidRPr="30CDA6A5">
        <w:rPr>
          <w:lang w:eastAsia="en-GB"/>
        </w:rPr>
        <w:t xml:space="preserve">quivalent </w:t>
      </w:r>
      <w:r w:rsidR="30313059" w:rsidRPr="30CDA6A5">
        <w:rPr>
          <w:lang w:eastAsia="en-GB"/>
        </w:rPr>
        <w:t>t</w:t>
      </w:r>
      <w:r w:rsidRPr="30CDA6A5">
        <w:rPr>
          <w:lang w:eastAsia="en-GB"/>
        </w:rPr>
        <w:t xml:space="preserve">ransfer </w:t>
      </w:r>
      <w:r w:rsidR="02854687" w:rsidRPr="30CDA6A5">
        <w:rPr>
          <w:lang w:eastAsia="en-GB"/>
        </w:rPr>
        <w:t>v</w:t>
      </w:r>
      <w:r w:rsidRPr="30CDA6A5">
        <w:rPr>
          <w:lang w:eastAsia="en-GB"/>
        </w:rPr>
        <w:t>alues</w:t>
      </w:r>
      <w:bookmarkEnd w:id="133"/>
      <w:bookmarkEnd w:id="134"/>
      <w:bookmarkEnd w:id="135"/>
      <w:bookmarkEnd w:id="136"/>
      <w:bookmarkEnd w:id="137"/>
      <w:bookmarkEnd w:id="138"/>
    </w:p>
    <w:p w14:paraId="3805388E" w14:textId="6D542C67" w:rsidR="003F5ACB" w:rsidRPr="00F00305" w:rsidRDefault="003F5ACB" w:rsidP="00F00305">
      <w:pPr>
        <w:pStyle w:val="BodyText"/>
      </w:pPr>
      <w:r w:rsidRPr="00F00305">
        <w:t>A cash equivalent transfer value (CETV) is the actuarially assessed capital value of the pension scheme benefits accrued by a member at a particular point in time. The benefits valued are the member’s accrued benefits and any contingent spouse’s (or other allowable beneficiary’s) pension payable from the scheme.</w:t>
      </w:r>
    </w:p>
    <w:p w14:paraId="68ADCD92" w14:textId="0587E4C8" w:rsidR="00A9138A" w:rsidRPr="00F00305" w:rsidRDefault="00A9138A" w:rsidP="00F00305">
      <w:pPr>
        <w:pStyle w:val="BodyText"/>
      </w:pPr>
      <w:r w:rsidRPr="00F00305">
        <w:t>CETV figures are calculated using the guidance on discount rates for calculating unfunded public service pension contribution rates that was extant at 31 March 2024.  HM Treasury published updated guidance on 27 April 2023; this guidance will be used in the calculation of 2023/24 CETV figures.</w:t>
      </w:r>
    </w:p>
    <w:p w14:paraId="47F14366" w14:textId="564B372E" w:rsidR="00F25EE2" w:rsidRPr="00F00305" w:rsidRDefault="00F25EE2" w:rsidP="00F00305">
      <w:pPr>
        <w:pStyle w:val="BodyText"/>
      </w:pPr>
      <w:r w:rsidRPr="00F00305">
        <w:t>CETVs are calculated in accordance with SI 2008 No.10500 Occupational Pension Schemes (Trans</w:t>
      </w:r>
      <w:r w:rsidR="00225980">
        <w:t>f</w:t>
      </w:r>
      <w:r w:rsidRPr="00F00305">
        <w:t>er Values).</w:t>
      </w:r>
    </w:p>
    <w:p w14:paraId="241F7030" w14:textId="04F7B62F" w:rsidR="003F5ACB" w:rsidRPr="00F00305" w:rsidRDefault="003F5ACB" w:rsidP="00F00305">
      <w:pPr>
        <w:pStyle w:val="BodyText"/>
      </w:pPr>
      <w:r w:rsidRPr="00F00305">
        <w:t xml:space="preserve">The CETV figures and the other pension details include the value of any pension benefits in another scheme or arrangement which the individual has transferred to the NHS pension scheme. </w:t>
      </w:r>
      <w:r w:rsidR="00F25EE2" w:rsidRPr="00F00305">
        <w:t xml:space="preserve">The pension figures shown relate to the benefits that the individual has accrued as a consequence of their total membership of the pension scheme, not just their service in a senior capacity to which disclosure is required.  </w:t>
      </w:r>
      <w:r w:rsidRPr="00F00305">
        <w:t xml:space="preserve">They also include any additional pension benefit accrued to the member as a result of their purchasing additional years of pension service in the scheme at their own cost. </w:t>
      </w:r>
    </w:p>
    <w:p w14:paraId="209C6A70" w14:textId="430DB164" w:rsidR="001C0486" w:rsidRPr="00466A40" w:rsidRDefault="001C0486" w:rsidP="006B1013">
      <w:pPr>
        <w:pStyle w:val="Heading3"/>
        <w:rPr>
          <w:lang w:eastAsia="en-GB"/>
        </w:rPr>
      </w:pPr>
      <w:bookmarkStart w:id="139" w:name="_Toc133356673"/>
      <w:bookmarkStart w:id="140" w:name="_Toc163136035"/>
      <w:bookmarkStart w:id="141" w:name="_Toc164470283"/>
      <w:bookmarkStart w:id="142" w:name="_Toc164814704"/>
      <w:bookmarkStart w:id="143" w:name="_Toc164814844"/>
      <w:bookmarkStart w:id="144" w:name="_Toc164814905"/>
      <w:r w:rsidRPr="00466A40">
        <w:rPr>
          <w:lang w:eastAsia="en-GB"/>
        </w:rPr>
        <w:lastRenderedPageBreak/>
        <w:t xml:space="preserve">Real </w:t>
      </w:r>
      <w:r w:rsidR="5710F63A" w:rsidRPr="756A66D5">
        <w:rPr>
          <w:lang w:eastAsia="en-GB"/>
        </w:rPr>
        <w:t>i</w:t>
      </w:r>
      <w:r w:rsidR="00726CC4" w:rsidRPr="00466A40">
        <w:rPr>
          <w:lang w:eastAsia="en-GB"/>
        </w:rPr>
        <w:t xml:space="preserve">ncrease </w:t>
      </w:r>
      <w:r w:rsidRPr="00466A40">
        <w:rPr>
          <w:lang w:eastAsia="en-GB"/>
        </w:rPr>
        <w:t>in CETV</w:t>
      </w:r>
      <w:bookmarkEnd w:id="139"/>
      <w:bookmarkEnd w:id="140"/>
      <w:bookmarkEnd w:id="141"/>
      <w:bookmarkEnd w:id="142"/>
      <w:bookmarkEnd w:id="143"/>
      <w:bookmarkEnd w:id="144"/>
    </w:p>
    <w:p w14:paraId="65437F12" w14:textId="2E14D223" w:rsidR="00FD1913" w:rsidRPr="00F00305" w:rsidRDefault="00FD1913" w:rsidP="00F00305">
      <w:pPr>
        <w:pStyle w:val="BodyText"/>
      </w:pPr>
      <w:bookmarkStart w:id="145" w:name="_Toc133356674"/>
      <w:r w:rsidRPr="00F00305">
        <w:t xml:space="preserve">This reflects the increase in CETV </w:t>
      </w:r>
      <w:r w:rsidR="00F25EE2" w:rsidRPr="00F00305">
        <w:t>effectively</w:t>
      </w:r>
      <w:r w:rsidRPr="00F00305">
        <w:t xml:space="preserve"> funded by the employer. It does not include the increase in accrued pension due to inflation or contributions paid by the employee (including the value of any benefits transferred from another scheme or arrangement).</w:t>
      </w:r>
    </w:p>
    <w:p w14:paraId="00620183" w14:textId="6DE4D528" w:rsidR="001C0486" w:rsidRPr="00466A40" w:rsidRDefault="001C0486" w:rsidP="006B1013">
      <w:pPr>
        <w:pStyle w:val="Heading3"/>
        <w:rPr>
          <w:lang w:eastAsia="en-GB"/>
        </w:rPr>
      </w:pPr>
      <w:bookmarkStart w:id="146" w:name="_Toc163136036"/>
      <w:bookmarkStart w:id="147" w:name="_Toc164470284"/>
      <w:bookmarkStart w:id="148" w:name="_Toc164814705"/>
      <w:bookmarkStart w:id="149" w:name="_Toc164814845"/>
      <w:bookmarkStart w:id="150" w:name="_Toc164814906"/>
      <w:r w:rsidRPr="00466A40">
        <w:rPr>
          <w:lang w:eastAsia="en-GB"/>
        </w:rPr>
        <w:t>Compensation on early retirement for loss of office</w:t>
      </w:r>
      <w:bookmarkEnd w:id="145"/>
      <w:bookmarkEnd w:id="146"/>
      <w:bookmarkEnd w:id="147"/>
      <w:bookmarkEnd w:id="148"/>
      <w:bookmarkEnd w:id="149"/>
      <w:bookmarkEnd w:id="150"/>
    </w:p>
    <w:p w14:paraId="03A7DA17" w14:textId="77777777" w:rsidR="00002F49" w:rsidRPr="00F00305" w:rsidRDefault="00002F49" w:rsidP="00F00305">
      <w:pPr>
        <w:pStyle w:val="BodyText"/>
      </w:pPr>
      <w:r w:rsidRPr="00F00305">
        <w:t>For the 2023/24 accounting period there were none.</w:t>
      </w:r>
    </w:p>
    <w:p w14:paraId="27FF74A7" w14:textId="77777777" w:rsidR="001C0486" w:rsidRPr="00466A40" w:rsidRDefault="001C0486" w:rsidP="006B1013">
      <w:pPr>
        <w:pStyle w:val="Heading3"/>
        <w:rPr>
          <w:lang w:eastAsia="en-GB"/>
        </w:rPr>
      </w:pPr>
      <w:bookmarkStart w:id="151" w:name="_Toc133356675"/>
      <w:bookmarkStart w:id="152" w:name="_Toc163136037"/>
      <w:bookmarkStart w:id="153" w:name="_Toc164470285"/>
      <w:bookmarkStart w:id="154" w:name="_Toc164814706"/>
      <w:bookmarkStart w:id="155" w:name="_Toc164814846"/>
      <w:bookmarkStart w:id="156" w:name="_Toc164814907"/>
      <w:r w:rsidRPr="00466A40">
        <w:rPr>
          <w:lang w:eastAsia="en-GB"/>
        </w:rPr>
        <w:t>Payments to past directors</w:t>
      </w:r>
      <w:bookmarkEnd w:id="151"/>
      <w:bookmarkEnd w:id="152"/>
      <w:bookmarkEnd w:id="153"/>
      <w:bookmarkEnd w:id="154"/>
      <w:bookmarkEnd w:id="155"/>
      <w:bookmarkEnd w:id="156"/>
    </w:p>
    <w:p w14:paraId="2320A7DE" w14:textId="63AC10BB" w:rsidR="00CB7898" w:rsidRDefault="000F40A9" w:rsidP="00F00305">
      <w:pPr>
        <w:pStyle w:val="BodyText"/>
      </w:pPr>
      <w:r w:rsidRPr="00F00305">
        <w:t>For the 2023/24 accounting period there were none.</w:t>
      </w:r>
    </w:p>
    <w:p w14:paraId="1A2A4BD6" w14:textId="77777777" w:rsidR="000F40A9" w:rsidRDefault="000F40A9" w:rsidP="000F40A9">
      <w:bookmarkStart w:id="157" w:name="_Toc133356676"/>
    </w:p>
    <w:p w14:paraId="06E8E22F" w14:textId="060C1FBD" w:rsidR="000F40A9" w:rsidRPr="000F40A9" w:rsidRDefault="000F40A9" w:rsidP="000F40A9">
      <w:pPr>
        <w:sectPr w:rsidR="000F40A9" w:rsidRPr="000F40A9" w:rsidSect="009C7555">
          <w:pgSz w:w="16838" w:h="11906" w:orient="landscape"/>
          <w:pgMar w:top="1440" w:right="987" w:bottom="1134" w:left="1021" w:header="851" w:footer="722" w:gutter="0"/>
          <w:cols w:space="708"/>
          <w:docGrid w:linePitch="360"/>
        </w:sectPr>
      </w:pPr>
    </w:p>
    <w:p w14:paraId="30A6A70E" w14:textId="77777777" w:rsidR="001C0486" w:rsidRDefault="001C0486" w:rsidP="006B1013">
      <w:pPr>
        <w:pStyle w:val="Heading2"/>
      </w:pPr>
      <w:bookmarkStart w:id="158" w:name="_Toc164470286"/>
      <w:bookmarkStart w:id="159" w:name="_Toc164814707"/>
      <w:bookmarkStart w:id="160" w:name="_Toc164814847"/>
      <w:bookmarkStart w:id="161" w:name="_Toc164814908"/>
      <w:r w:rsidRPr="00612517">
        <w:lastRenderedPageBreak/>
        <w:t>Staff Report</w:t>
      </w:r>
      <w:bookmarkEnd w:id="157"/>
      <w:bookmarkEnd w:id="158"/>
      <w:bookmarkEnd w:id="159"/>
      <w:bookmarkEnd w:id="160"/>
      <w:bookmarkEnd w:id="161"/>
      <w:r w:rsidRPr="00612517">
        <w:t xml:space="preserve"> </w:t>
      </w:r>
    </w:p>
    <w:p w14:paraId="7AE27375" w14:textId="77777777" w:rsidR="001C0486" w:rsidRPr="00612517" w:rsidRDefault="001C0486" w:rsidP="006B1013">
      <w:pPr>
        <w:pStyle w:val="Heading3"/>
        <w:rPr>
          <w:i/>
        </w:rPr>
      </w:pPr>
      <w:bookmarkStart w:id="162" w:name="_Toc133356677"/>
      <w:bookmarkStart w:id="163" w:name="_Toc163136040"/>
      <w:bookmarkStart w:id="164" w:name="_Toc164470288"/>
      <w:bookmarkStart w:id="165" w:name="_Toc164814708"/>
      <w:bookmarkStart w:id="166" w:name="_Toc164814848"/>
      <w:bookmarkStart w:id="167" w:name="_Toc164814909"/>
      <w:r w:rsidRPr="00612517">
        <w:t>Number of senior managers</w:t>
      </w:r>
      <w:bookmarkEnd w:id="162"/>
      <w:bookmarkEnd w:id="163"/>
      <w:bookmarkEnd w:id="164"/>
      <w:bookmarkEnd w:id="165"/>
      <w:bookmarkEnd w:id="166"/>
      <w:bookmarkEnd w:id="167"/>
    </w:p>
    <w:p w14:paraId="45D57D03" w14:textId="000B284E" w:rsidR="00EF1E6F" w:rsidRDefault="00DB7105" w:rsidP="00EF1E6F">
      <w:pPr>
        <w:spacing w:line="360" w:lineRule="auto"/>
        <w:rPr>
          <w:rFonts w:cs="Arial"/>
          <w:szCs w:val="24"/>
        </w:rPr>
      </w:pPr>
      <w:bookmarkStart w:id="168" w:name="_Toc133356678"/>
      <w:r>
        <w:rPr>
          <w:rFonts w:cs="Arial"/>
          <w:szCs w:val="24"/>
        </w:rPr>
        <w:t xml:space="preserve">In 2023/24, the ICB had </w:t>
      </w:r>
      <w:r w:rsidR="00270F65">
        <w:rPr>
          <w:rFonts w:cs="Arial"/>
          <w:szCs w:val="24"/>
        </w:rPr>
        <w:t>88</w:t>
      </w:r>
      <w:r w:rsidR="00335649">
        <w:rPr>
          <w:rFonts w:cs="Arial"/>
          <w:szCs w:val="24"/>
        </w:rPr>
        <w:t xml:space="preserve"> senior managers.</w:t>
      </w:r>
    </w:p>
    <w:p w14:paraId="762558DC" w14:textId="6D8198A3" w:rsidR="001C0486" w:rsidRPr="00F6331B" w:rsidRDefault="001C0486" w:rsidP="006B1013">
      <w:pPr>
        <w:pStyle w:val="Heading3"/>
        <w:rPr>
          <w:color w:val="FF0000"/>
        </w:rPr>
      </w:pPr>
      <w:bookmarkStart w:id="169" w:name="_Toc163136041"/>
      <w:bookmarkStart w:id="170" w:name="_Toc164470289"/>
      <w:bookmarkStart w:id="171" w:name="_Toc164814709"/>
      <w:bookmarkStart w:id="172" w:name="_Toc164814849"/>
      <w:bookmarkStart w:id="173" w:name="_Toc164814910"/>
      <w:r w:rsidRPr="00612517">
        <w:t>Staff numbers and costs</w:t>
      </w:r>
      <w:bookmarkEnd w:id="168"/>
      <w:bookmarkEnd w:id="169"/>
      <w:bookmarkEnd w:id="170"/>
      <w:bookmarkEnd w:id="171"/>
      <w:bookmarkEnd w:id="172"/>
      <w:bookmarkEnd w:id="173"/>
      <w:r w:rsidR="00AE1192">
        <w:t xml:space="preserve"> </w:t>
      </w:r>
      <w:r w:rsidR="00AE1192" w:rsidRPr="00F6331B">
        <w:rPr>
          <w:color w:val="FF0000"/>
        </w:rPr>
        <w:t>(subject to audit)</w:t>
      </w:r>
    </w:p>
    <w:tbl>
      <w:tblPr>
        <w:tblW w:w="0" w:type="auto"/>
        <w:tblCellMar>
          <w:left w:w="0" w:type="dxa"/>
          <w:right w:w="0" w:type="dxa"/>
        </w:tblCellMar>
        <w:tblLook w:val="04A0" w:firstRow="1" w:lastRow="0" w:firstColumn="1" w:lastColumn="0" w:noHBand="0" w:noVBand="1"/>
      </w:tblPr>
      <w:tblGrid>
        <w:gridCol w:w="2967"/>
        <w:gridCol w:w="1418"/>
        <w:gridCol w:w="1559"/>
      </w:tblGrid>
      <w:tr w:rsidR="00D15FD7" w:rsidRPr="00ED41B9" w14:paraId="292A456B" w14:textId="77777777" w:rsidTr="00A61145">
        <w:trPr>
          <w:trHeight w:val="300"/>
        </w:trPr>
        <w:tc>
          <w:tcPr>
            <w:tcW w:w="2967" w:type="dxa"/>
            <w:tcBorders>
              <w:top w:val="single" w:sz="4" w:space="0" w:color="auto"/>
              <w:left w:val="single" w:sz="8" w:space="0" w:color="auto"/>
              <w:bottom w:val="single" w:sz="8" w:space="0" w:color="auto"/>
            </w:tcBorders>
            <w:tcMar>
              <w:top w:w="108" w:type="dxa"/>
              <w:left w:w="108" w:type="dxa"/>
              <w:bottom w:w="108" w:type="dxa"/>
              <w:right w:w="108" w:type="dxa"/>
            </w:tcMar>
          </w:tcPr>
          <w:p w14:paraId="5B18E274" w14:textId="702BF530" w:rsidR="00D15FD7" w:rsidRPr="00ED41B9" w:rsidRDefault="00A61145" w:rsidP="00A61145">
            <w:pPr>
              <w:spacing w:before="0" w:after="0"/>
              <w:rPr>
                <w:sz w:val="20"/>
                <w:szCs w:val="18"/>
              </w:rPr>
            </w:pPr>
            <w:bookmarkStart w:id="174" w:name="_Toc133356679"/>
            <w:r w:rsidRPr="00ED41B9">
              <w:rPr>
                <w:sz w:val="20"/>
                <w:szCs w:val="18"/>
                <w:u w:val="single"/>
              </w:rPr>
              <w:t>EMPLOYED STAFF</w:t>
            </w:r>
          </w:p>
        </w:tc>
        <w:tc>
          <w:tcPr>
            <w:tcW w:w="1418" w:type="dxa"/>
            <w:tcBorders>
              <w:top w:val="single" w:sz="4" w:space="0" w:color="auto"/>
              <w:bottom w:val="single" w:sz="8" w:space="0" w:color="auto"/>
            </w:tcBorders>
            <w:tcMar>
              <w:top w:w="108" w:type="dxa"/>
              <w:left w:w="108" w:type="dxa"/>
              <w:bottom w:w="108" w:type="dxa"/>
              <w:right w:w="108" w:type="dxa"/>
            </w:tcMar>
          </w:tcPr>
          <w:p w14:paraId="64B47320" w14:textId="13C3415A" w:rsidR="00D15FD7" w:rsidRPr="00ED41B9" w:rsidRDefault="00D15FD7" w:rsidP="00A61145">
            <w:pPr>
              <w:spacing w:before="0" w:after="0"/>
              <w:jc w:val="center"/>
              <w:rPr>
                <w:sz w:val="20"/>
                <w:szCs w:val="18"/>
              </w:rPr>
            </w:pPr>
          </w:p>
        </w:tc>
        <w:tc>
          <w:tcPr>
            <w:tcW w:w="1559" w:type="dxa"/>
            <w:tcBorders>
              <w:top w:val="single" w:sz="4" w:space="0" w:color="auto"/>
              <w:bottom w:val="single" w:sz="8" w:space="0" w:color="auto"/>
              <w:right w:val="single" w:sz="8" w:space="0" w:color="auto"/>
            </w:tcBorders>
            <w:tcMar>
              <w:top w:w="108" w:type="dxa"/>
              <w:left w:w="108" w:type="dxa"/>
              <w:bottom w:w="108" w:type="dxa"/>
              <w:right w:w="108" w:type="dxa"/>
            </w:tcMar>
          </w:tcPr>
          <w:p w14:paraId="79B17D8B" w14:textId="76D99202" w:rsidR="00D15FD7" w:rsidRPr="00ED41B9" w:rsidRDefault="00D15FD7" w:rsidP="00A61145">
            <w:pPr>
              <w:spacing w:before="0" w:after="0"/>
              <w:jc w:val="center"/>
              <w:rPr>
                <w:sz w:val="20"/>
                <w:szCs w:val="18"/>
              </w:rPr>
            </w:pPr>
          </w:p>
        </w:tc>
      </w:tr>
      <w:tr w:rsidR="00A61145" w:rsidRPr="00ED41B9" w14:paraId="5E3D228B" w14:textId="77777777" w:rsidTr="00A61145">
        <w:trPr>
          <w:trHeight w:val="300"/>
        </w:trPr>
        <w:tc>
          <w:tcPr>
            <w:tcW w:w="2967" w:type="dxa"/>
            <w:tcBorders>
              <w:top w:val="nil"/>
              <w:left w:val="single" w:sz="8" w:space="0" w:color="auto"/>
              <w:bottom w:val="single" w:sz="8" w:space="0" w:color="auto"/>
              <w:right w:val="single" w:sz="8" w:space="0" w:color="auto"/>
            </w:tcBorders>
            <w:tcMar>
              <w:top w:w="108" w:type="dxa"/>
              <w:left w:w="108" w:type="dxa"/>
              <w:bottom w:w="108" w:type="dxa"/>
              <w:right w:w="108" w:type="dxa"/>
            </w:tcMar>
          </w:tcPr>
          <w:p w14:paraId="5DAF785D" w14:textId="733BFBE8" w:rsidR="00A61145" w:rsidRPr="00ED41B9" w:rsidRDefault="00A61145" w:rsidP="00A61145">
            <w:pPr>
              <w:spacing w:before="0" w:after="0"/>
              <w:rPr>
                <w:sz w:val="20"/>
                <w:szCs w:val="18"/>
              </w:rPr>
            </w:pPr>
            <w:r w:rsidRPr="00ED41B9">
              <w:rPr>
                <w:sz w:val="20"/>
                <w:szCs w:val="18"/>
              </w:rPr>
              <w:t>Employee category</w:t>
            </w:r>
          </w:p>
        </w:tc>
        <w:tc>
          <w:tcPr>
            <w:tcW w:w="1418" w:type="dxa"/>
            <w:tcBorders>
              <w:top w:val="nil"/>
              <w:left w:val="nil"/>
              <w:bottom w:val="single" w:sz="8" w:space="0" w:color="auto"/>
              <w:right w:val="single" w:sz="8" w:space="0" w:color="auto"/>
            </w:tcBorders>
            <w:tcMar>
              <w:top w:w="108" w:type="dxa"/>
              <w:left w:w="108" w:type="dxa"/>
              <w:bottom w:w="108" w:type="dxa"/>
              <w:right w:w="108" w:type="dxa"/>
            </w:tcMar>
          </w:tcPr>
          <w:p w14:paraId="2FA97AF4" w14:textId="5F3BF73A" w:rsidR="00A61145" w:rsidRPr="00ED41B9" w:rsidRDefault="00A61145" w:rsidP="00A61145">
            <w:pPr>
              <w:spacing w:before="0" w:after="0"/>
              <w:jc w:val="center"/>
              <w:rPr>
                <w:sz w:val="20"/>
                <w:szCs w:val="18"/>
              </w:rPr>
            </w:pPr>
            <w:r w:rsidRPr="00ED41B9">
              <w:rPr>
                <w:sz w:val="20"/>
                <w:szCs w:val="18"/>
              </w:rPr>
              <w:t>Headcount</w:t>
            </w:r>
          </w:p>
        </w:tc>
        <w:tc>
          <w:tcPr>
            <w:tcW w:w="1559" w:type="dxa"/>
            <w:tcBorders>
              <w:top w:val="nil"/>
              <w:left w:val="nil"/>
              <w:bottom w:val="single" w:sz="8" w:space="0" w:color="auto"/>
              <w:right w:val="single" w:sz="8" w:space="0" w:color="auto"/>
            </w:tcBorders>
            <w:tcMar>
              <w:top w:w="108" w:type="dxa"/>
              <w:left w:w="108" w:type="dxa"/>
              <w:bottom w:w="108" w:type="dxa"/>
              <w:right w:w="108" w:type="dxa"/>
            </w:tcMar>
          </w:tcPr>
          <w:p w14:paraId="13DE9D16" w14:textId="1A886754" w:rsidR="00A61145" w:rsidRPr="00ED41B9" w:rsidRDefault="00A61145" w:rsidP="00A61145">
            <w:pPr>
              <w:spacing w:before="0" w:after="0"/>
              <w:jc w:val="center"/>
              <w:rPr>
                <w:sz w:val="20"/>
                <w:szCs w:val="18"/>
              </w:rPr>
            </w:pPr>
            <w:r w:rsidRPr="00ED41B9">
              <w:rPr>
                <w:sz w:val="20"/>
                <w:szCs w:val="18"/>
              </w:rPr>
              <w:t>WTE</w:t>
            </w:r>
          </w:p>
        </w:tc>
      </w:tr>
      <w:tr w:rsidR="00A61145" w:rsidRPr="00ED41B9" w14:paraId="43D2FA3F" w14:textId="77777777" w:rsidTr="00A61145">
        <w:trPr>
          <w:trHeight w:val="300"/>
        </w:trPr>
        <w:tc>
          <w:tcPr>
            <w:tcW w:w="2967" w:type="dxa"/>
            <w:tcBorders>
              <w:top w:val="nil"/>
              <w:left w:val="single" w:sz="8" w:space="0" w:color="auto"/>
              <w:bottom w:val="single" w:sz="8" w:space="0" w:color="auto"/>
              <w:right w:val="single" w:sz="8" w:space="0" w:color="auto"/>
            </w:tcBorders>
            <w:tcMar>
              <w:top w:w="108" w:type="dxa"/>
              <w:left w:w="108" w:type="dxa"/>
              <w:bottom w:w="108" w:type="dxa"/>
              <w:right w:w="108" w:type="dxa"/>
            </w:tcMar>
            <w:hideMark/>
          </w:tcPr>
          <w:p w14:paraId="55B5E087" w14:textId="77777777" w:rsidR="00A61145" w:rsidRPr="00ED41B9" w:rsidRDefault="00A61145" w:rsidP="00A61145">
            <w:pPr>
              <w:spacing w:before="0" w:after="0"/>
              <w:rPr>
                <w:sz w:val="20"/>
                <w:szCs w:val="18"/>
              </w:rPr>
            </w:pPr>
            <w:r w:rsidRPr="00ED41B9">
              <w:rPr>
                <w:sz w:val="20"/>
                <w:szCs w:val="18"/>
              </w:rPr>
              <w:t>Permanent</w:t>
            </w:r>
          </w:p>
        </w:tc>
        <w:tc>
          <w:tcPr>
            <w:tcW w:w="1418" w:type="dxa"/>
            <w:tcBorders>
              <w:top w:val="nil"/>
              <w:left w:val="nil"/>
              <w:bottom w:val="single" w:sz="8" w:space="0" w:color="auto"/>
              <w:right w:val="single" w:sz="8" w:space="0" w:color="auto"/>
            </w:tcBorders>
            <w:tcMar>
              <w:top w:w="108" w:type="dxa"/>
              <w:left w:w="108" w:type="dxa"/>
              <w:bottom w:w="108" w:type="dxa"/>
              <w:right w:w="108" w:type="dxa"/>
            </w:tcMar>
            <w:hideMark/>
          </w:tcPr>
          <w:p w14:paraId="3D737FE6" w14:textId="77777777" w:rsidR="00A61145" w:rsidRPr="00ED41B9" w:rsidRDefault="00A61145" w:rsidP="00A61145">
            <w:pPr>
              <w:spacing w:before="0" w:after="0"/>
              <w:jc w:val="center"/>
              <w:rPr>
                <w:sz w:val="20"/>
                <w:szCs w:val="18"/>
              </w:rPr>
            </w:pPr>
            <w:r w:rsidRPr="00ED41B9">
              <w:rPr>
                <w:sz w:val="20"/>
                <w:szCs w:val="18"/>
              </w:rPr>
              <w:t>375</w:t>
            </w:r>
          </w:p>
        </w:tc>
        <w:tc>
          <w:tcPr>
            <w:tcW w:w="1559" w:type="dxa"/>
            <w:tcBorders>
              <w:top w:val="nil"/>
              <w:left w:val="nil"/>
              <w:bottom w:val="single" w:sz="8" w:space="0" w:color="auto"/>
              <w:right w:val="single" w:sz="8" w:space="0" w:color="auto"/>
            </w:tcBorders>
            <w:tcMar>
              <w:top w:w="108" w:type="dxa"/>
              <w:left w:w="108" w:type="dxa"/>
              <w:bottom w:w="108" w:type="dxa"/>
              <w:right w:w="108" w:type="dxa"/>
            </w:tcMar>
            <w:hideMark/>
          </w:tcPr>
          <w:p w14:paraId="12FE60C4" w14:textId="77777777" w:rsidR="00A61145" w:rsidRPr="00ED41B9" w:rsidRDefault="00A61145" w:rsidP="00A61145">
            <w:pPr>
              <w:spacing w:before="0" w:after="0"/>
              <w:jc w:val="center"/>
              <w:rPr>
                <w:sz w:val="20"/>
                <w:szCs w:val="18"/>
              </w:rPr>
            </w:pPr>
            <w:r w:rsidRPr="00ED41B9">
              <w:rPr>
                <w:sz w:val="20"/>
                <w:szCs w:val="18"/>
              </w:rPr>
              <w:t>348.97</w:t>
            </w:r>
          </w:p>
        </w:tc>
      </w:tr>
      <w:tr w:rsidR="00A61145" w:rsidRPr="00ED41B9" w14:paraId="79656905" w14:textId="77777777" w:rsidTr="00A61145">
        <w:trPr>
          <w:trHeight w:val="300"/>
        </w:trPr>
        <w:tc>
          <w:tcPr>
            <w:tcW w:w="2967" w:type="dxa"/>
            <w:tcBorders>
              <w:top w:val="nil"/>
              <w:left w:val="single" w:sz="8" w:space="0" w:color="auto"/>
              <w:bottom w:val="single" w:sz="8" w:space="0" w:color="auto"/>
              <w:right w:val="single" w:sz="8" w:space="0" w:color="auto"/>
            </w:tcBorders>
            <w:tcMar>
              <w:top w:w="108" w:type="dxa"/>
              <w:left w:w="108" w:type="dxa"/>
              <w:bottom w:w="108" w:type="dxa"/>
              <w:right w:w="108" w:type="dxa"/>
            </w:tcMar>
            <w:hideMark/>
          </w:tcPr>
          <w:p w14:paraId="0FD721D3" w14:textId="77777777" w:rsidR="00A61145" w:rsidRPr="00ED41B9" w:rsidRDefault="00A61145" w:rsidP="00A61145">
            <w:pPr>
              <w:spacing w:before="0" w:after="0"/>
              <w:rPr>
                <w:sz w:val="20"/>
                <w:szCs w:val="18"/>
              </w:rPr>
            </w:pPr>
            <w:r w:rsidRPr="00ED41B9">
              <w:rPr>
                <w:sz w:val="20"/>
                <w:szCs w:val="18"/>
              </w:rPr>
              <w:t>Fixed-term</w:t>
            </w:r>
          </w:p>
        </w:tc>
        <w:tc>
          <w:tcPr>
            <w:tcW w:w="1418" w:type="dxa"/>
            <w:tcBorders>
              <w:top w:val="nil"/>
              <w:left w:val="nil"/>
              <w:bottom w:val="single" w:sz="8" w:space="0" w:color="auto"/>
              <w:right w:val="single" w:sz="8" w:space="0" w:color="auto"/>
            </w:tcBorders>
            <w:tcMar>
              <w:top w:w="108" w:type="dxa"/>
              <w:left w:w="108" w:type="dxa"/>
              <w:bottom w:w="108" w:type="dxa"/>
              <w:right w:w="108" w:type="dxa"/>
            </w:tcMar>
            <w:hideMark/>
          </w:tcPr>
          <w:p w14:paraId="4B395473" w14:textId="77777777" w:rsidR="00A61145" w:rsidRPr="00ED41B9" w:rsidRDefault="00A61145" w:rsidP="00A61145">
            <w:pPr>
              <w:spacing w:before="0" w:after="0"/>
              <w:jc w:val="center"/>
              <w:rPr>
                <w:sz w:val="20"/>
                <w:szCs w:val="18"/>
              </w:rPr>
            </w:pPr>
            <w:r w:rsidRPr="00ED41B9">
              <w:rPr>
                <w:sz w:val="20"/>
                <w:szCs w:val="18"/>
              </w:rPr>
              <w:t>43</w:t>
            </w:r>
          </w:p>
        </w:tc>
        <w:tc>
          <w:tcPr>
            <w:tcW w:w="1559" w:type="dxa"/>
            <w:tcBorders>
              <w:top w:val="nil"/>
              <w:left w:val="nil"/>
              <w:bottom w:val="single" w:sz="8" w:space="0" w:color="auto"/>
              <w:right w:val="single" w:sz="8" w:space="0" w:color="auto"/>
            </w:tcBorders>
            <w:tcMar>
              <w:top w:w="108" w:type="dxa"/>
              <w:left w:w="108" w:type="dxa"/>
              <w:bottom w:w="108" w:type="dxa"/>
              <w:right w:w="108" w:type="dxa"/>
            </w:tcMar>
            <w:hideMark/>
          </w:tcPr>
          <w:p w14:paraId="71698D7A" w14:textId="77777777" w:rsidR="00A61145" w:rsidRPr="00ED41B9" w:rsidRDefault="00A61145" w:rsidP="00A61145">
            <w:pPr>
              <w:spacing w:before="0" w:after="0"/>
              <w:jc w:val="center"/>
              <w:rPr>
                <w:sz w:val="20"/>
                <w:szCs w:val="18"/>
              </w:rPr>
            </w:pPr>
            <w:r w:rsidRPr="00ED41B9">
              <w:rPr>
                <w:sz w:val="20"/>
                <w:szCs w:val="18"/>
              </w:rPr>
              <w:t>30.68</w:t>
            </w:r>
          </w:p>
        </w:tc>
      </w:tr>
      <w:tr w:rsidR="00A61145" w:rsidRPr="00ED41B9" w14:paraId="0DE3477B" w14:textId="77777777" w:rsidTr="00A61145">
        <w:trPr>
          <w:trHeight w:val="300"/>
        </w:trPr>
        <w:tc>
          <w:tcPr>
            <w:tcW w:w="2967" w:type="dxa"/>
            <w:tcBorders>
              <w:top w:val="nil"/>
              <w:left w:val="single" w:sz="8" w:space="0" w:color="auto"/>
              <w:bottom w:val="single" w:sz="8" w:space="0" w:color="auto"/>
              <w:right w:val="single" w:sz="8" w:space="0" w:color="auto"/>
            </w:tcBorders>
            <w:tcMar>
              <w:top w:w="108" w:type="dxa"/>
              <w:left w:w="108" w:type="dxa"/>
              <w:bottom w:w="108" w:type="dxa"/>
              <w:right w:w="108" w:type="dxa"/>
            </w:tcMar>
            <w:hideMark/>
          </w:tcPr>
          <w:p w14:paraId="427ACDA4" w14:textId="77777777" w:rsidR="00A61145" w:rsidRPr="00ED41B9" w:rsidRDefault="00A61145" w:rsidP="00A61145">
            <w:pPr>
              <w:spacing w:before="0" w:after="0"/>
              <w:rPr>
                <w:sz w:val="20"/>
                <w:szCs w:val="18"/>
              </w:rPr>
            </w:pPr>
            <w:r w:rsidRPr="00ED41B9">
              <w:rPr>
                <w:sz w:val="20"/>
                <w:szCs w:val="18"/>
              </w:rPr>
              <w:t>TOTAL</w:t>
            </w:r>
          </w:p>
        </w:tc>
        <w:tc>
          <w:tcPr>
            <w:tcW w:w="1418" w:type="dxa"/>
            <w:tcBorders>
              <w:top w:val="nil"/>
              <w:left w:val="nil"/>
              <w:bottom w:val="single" w:sz="8" w:space="0" w:color="auto"/>
              <w:right w:val="single" w:sz="8" w:space="0" w:color="auto"/>
            </w:tcBorders>
            <w:tcMar>
              <w:top w:w="108" w:type="dxa"/>
              <w:left w:w="108" w:type="dxa"/>
              <w:bottom w:w="108" w:type="dxa"/>
              <w:right w:w="108" w:type="dxa"/>
            </w:tcMar>
            <w:hideMark/>
          </w:tcPr>
          <w:p w14:paraId="7C2FEAE9" w14:textId="77777777" w:rsidR="00A61145" w:rsidRPr="00ED41B9" w:rsidRDefault="00A61145" w:rsidP="00A61145">
            <w:pPr>
              <w:spacing w:before="0" w:after="0"/>
              <w:jc w:val="center"/>
              <w:rPr>
                <w:sz w:val="20"/>
                <w:szCs w:val="18"/>
              </w:rPr>
            </w:pPr>
            <w:r w:rsidRPr="00ED41B9">
              <w:rPr>
                <w:sz w:val="20"/>
                <w:szCs w:val="18"/>
              </w:rPr>
              <w:t>418</w:t>
            </w:r>
          </w:p>
        </w:tc>
        <w:tc>
          <w:tcPr>
            <w:tcW w:w="1559" w:type="dxa"/>
            <w:tcBorders>
              <w:top w:val="nil"/>
              <w:left w:val="nil"/>
              <w:bottom w:val="single" w:sz="8" w:space="0" w:color="auto"/>
              <w:right w:val="single" w:sz="8" w:space="0" w:color="auto"/>
            </w:tcBorders>
            <w:tcMar>
              <w:top w:w="108" w:type="dxa"/>
              <w:left w:w="108" w:type="dxa"/>
              <w:bottom w:w="108" w:type="dxa"/>
              <w:right w:w="108" w:type="dxa"/>
            </w:tcMar>
            <w:hideMark/>
          </w:tcPr>
          <w:p w14:paraId="5553E0C8" w14:textId="77777777" w:rsidR="00A61145" w:rsidRPr="00ED41B9" w:rsidRDefault="00A61145" w:rsidP="00A61145">
            <w:pPr>
              <w:spacing w:before="0" w:after="0"/>
              <w:jc w:val="center"/>
              <w:rPr>
                <w:sz w:val="20"/>
                <w:szCs w:val="18"/>
              </w:rPr>
            </w:pPr>
            <w:r w:rsidRPr="00ED41B9">
              <w:rPr>
                <w:sz w:val="20"/>
                <w:szCs w:val="18"/>
              </w:rPr>
              <w:t>379.65</w:t>
            </w:r>
          </w:p>
        </w:tc>
      </w:tr>
      <w:tr w:rsidR="00A61145" w:rsidRPr="00ED41B9" w14:paraId="640E7990" w14:textId="77777777" w:rsidTr="00A61145">
        <w:trPr>
          <w:trHeight w:val="300"/>
        </w:trPr>
        <w:tc>
          <w:tcPr>
            <w:tcW w:w="2967" w:type="dxa"/>
            <w:tcBorders>
              <w:top w:val="single" w:sz="8" w:space="0" w:color="auto"/>
              <w:left w:val="single" w:sz="8" w:space="0" w:color="auto"/>
              <w:bottom w:val="single" w:sz="8" w:space="0" w:color="auto"/>
            </w:tcBorders>
            <w:tcMar>
              <w:top w:w="108" w:type="dxa"/>
              <w:left w:w="108" w:type="dxa"/>
              <w:bottom w:w="108" w:type="dxa"/>
              <w:right w:w="108" w:type="dxa"/>
            </w:tcMar>
          </w:tcPr>
          <w:p w14:paraId="164EA6DF" w14:textId="4401F29C" w:rsidR="00A61145" w:rsidRPr="00ED41B9" w:rsidRDefault="00A61145" w:rsidP="00A61145">
            <w:pPr>
              <w:spacing w:before="0" w:after="0"/>
              <w:rPr>
                <w:sz w:val="20"/>
                <w:szCs w:val="18"/>
              </w:rPr>
            </w:pPr>
            <w:r w:rsidRPr="00ED41B9">
              <w:rPr>
                <w:sz w:val="20"/>
                <w:szCs w:val="18"/>
                <w:u w:val="single"/>
              </w:rPr>
              <w:t>AGENCY &amp; INTERIM</w:t>
            </w:r>
          </w:p>
        </w:tc>
        <w:tc>
          <w:tcPr>
            <w:tcW w:w="1418" w:type="dxa"/>
            <w:tcBorders>
              <w:top w:val="single" w:sz="8" w:space="0" w:color="auto"/>
              <w:bottom w:val="single" w:sz="8" w:space="0" w:color="auto"/>
            </w:tcBorders>
            <w:tcMar>
              <w:top w:w="108" w:type="dxa"/>
              <w:left w:w="108" w:type="dxa"/>
              <w:bottom w:w="108" w:type="dxa"/>
              <w:right w:w="108" w:type="dxa"/>
            </w:tcMar>
          </w:tcPr>
          <w:p w14:paraId="62646751" w14:textId="77777777" w:rsidR="00A61145" w:rsidRPr="00ED41B9" w:rsidRDefault="00A61145" w:rsidP="00A61145">
            <w:pPr>
              <w:spacing w:before="0" w:after="0"/>
              <w:jc w:val="center"/>
              <w:rPr>
                <w:sz w:val="20"/>
                <w:szCs w:val="18"/>
              </w:rPr>
            </w:pPr>
          </w:p>
        </w:tc>
        <w:tc>
          <w:tcPr>
            <w:tcW w:w="1559" w:type="dxa"/>
            <w:tcBorders>
              <w:top w:val="single" w:sz="8" w:space="0" w:color="auto"/>
              <w:bottom w:val="single" w:sz="8" w:space="0" w:color="auto"/>
              <w:right w:val="single" w:sz="8" w:space="0" w:color="auto"/>
            </w:tcBorders>
            <w:tcMar>
              <w:top w:w="108" w:type="dxa"/>
              <w:left w:w="108" w:type="dxa"/>
              <w:bottom w:w="108" w:type="dxa"/>
              <w:right w:w="108" w:type="dxa"/>
            </w:tcMar>
          </w:tcPr>
          <w:p w14:paraId="40DC7201" w14:textId="77777777" w:rsidR="00A61145" w:rsidRPr="00ED41B9" w:rsidRDefault="00A61145" w:rsidP="00A61145">
            <w:pPr>
              <w:spacing w:before="0" w:after="0"/>
              <w:jc w:val="center"/>
              <w:rPr>
                <w:sz w:val="20"/>
                <w:szCs w:val="18"/>
              </w:rPr>
            </w:pPr>
          </w:p>
        </w:tc>
      </w:tr>
      <w:tr w:rsidR="00A61145" w:rsidRPr="00ED41B9" w14:paraId="2EB751E6" w14:textId="77777777" w:rsidTr="00A61145">
        <w:trPr>
          <w:trHeight w:val="300"/>
        </w:trPr>
        <w:tc>
          <w:tcPr>
            <w:tcW w:w="2967" w:type="dxa"/>
            <w:tcBorders>
              <w:top w:val="nil"/>
              <w:left w:val="single" w:sz="8" w:space="0" w:color="auto"/>
              <w:bottom w:val="single" w:sz="8" w:space="0" w:color="auto"/>
              <w:right w:val="single" w:sz="8" w:space="0" w:color="auto"/>
            </w:tcBorders>
            <w:tcMar>
              <w:top w:w="108" w:type="dxa"/>
              <w:left w:w="108" w:type="dxa"/>
              <w:bottom w:w="108" w:type="dxa"/>
              <w:right w:w="108" w:type="dxa"/>
            </w:tcMar>
            <w:hideMark/>
          </w:tcPr>
          <w:p w14:paraId="493528DB" w14:textId="77777777" w:rsidR="00A61145" w:rsidRPr="00ED41B9" w:rsidRDefault="00A61145" w:rsidP="00A61145">
            <w:pPr>
              <w:spacing w:before="0" w:after="0"/>
              <w:rPr>
                <w:sz w:val="20"/>
                <w:szCs w:val="18"/>
              </w:rPr>
            </w:pPr>
            <w:r w:rsidRPr="00ED41B9">
              <w:rPr>
                <w:sz w:val="20"/>
                <w:szCs w:val="18"/>
              </w:rPr>
              <w:t>TOTAL</w:t>
            </w:r>
          </w:p>
        </w:tc>
        <w:tc>
          <w:tcPr>
            <w:tcW w:w="1418" w:type="dxa"/>
            <w:tcBorders>
              <w:top w:val="nil"/>
              <w:left w:val="nil"/>
              <w:bottom w:val="single" w:sz="8" w:space="0" w:color="auto"/>
              <w:right w:val="single" w:sz="8" w:space="0" w:color="auto"/>
            </w:tcBorders>
            <w:tcMar>
              <w:top w:w="108" w:type="dxa"/>
              <w:left w:w="108" w:type="dxa"/>
              <w:bottom w:w="108" w:type="dxa"/>
              <w:right w:w="108" w:type="dxa"/>
            </w:tcMar>
            <w:hideMark/>
          </w:tcPr>
          <w:p w14:paraId="176D30B4" w14:textId="77777777" w:rsidR="00A61145" w:rsidRPr="00ED41B9" w:rsidRDefault="00A61145" w:rsidP="00A61145">
            <w:pPr>
              <w:spacing w:before="0" w:after="0"/>
              <w:jc w:val="center"/>
              <w:rPr>
                <w:sz w:val="20"/>
                <w:szCs w:val="18"/>
              </w:rPr>
            </w:pPr>
            <w:r w:rsidRPr="00ED41B9">
              <w:rPr>
                <w:sz w:val="20"/>
                <w:szCs w:val="18"/>
              </w:rPr>
              <w:t>105</w:t>
            </w:r>
          </w:p>
        </w:tc>
        <w:tc>
          <w:tcPr>
            <w:tcW w:w="1559" w:type="dxa"/>
            <w:tcBorders>
              <w:top w:val="nil"/>
              <w:left w:val="nil"/>
              <w:bottom w:val="single" w:sz="8" w:space="0" w:color="auto"/>
              <w:right w:val="single" w:sz="8" w:space="0" w:color="auto"/>
            </w:tcBorders>
            <w:tcMar>
              <w:top w:w="108" w:type="dxa"/>
              <w:left w:w="108" w:type="dxa"/>
              <w:bottom w:w="108" w:type="dxa"/>
              <w:right w:w="108" w:type="dxa"/>
            </w:tcMar>
            <w:hideMark/>
          </w:tcPr>
          <w:p w14:paraId="52F22662" w14:textId="77777777" w:rsidR="00A61145" w:rsidRPr="00ED41B9" w:rsidRDefault="00A61145" w:rsidP="00A61145">
            <w:pPr>
              <w:spacing w:before="0" w:after="0"/>
              <w:jc w:val="center"/>
              <w:rPr>
                <w:sz w:val="20"/>
                <w:szCs w:val="18"/>
              </w:rPr>
            </w:pPr>
            <w:r w:rsidRPr="00ED41B9">
              <w:rPr>
                <w:sz w:val="20"/>
                <w:szCs w:val="18"/>
              </w:rPr>
              <w:t>44.17</w:t>
            </w:r>
          </w:p>
        </w:tc>
      </w:tr>
      <w:tr w:rsidR="00A61145" w:rsidRPr="00ED41B9" w14:paraId="5C52E7CB" w14:textId="77777777" w:rsidTr="00A61145">
        <w:trPr>
          <w:trHeight w:val="300"/>
        </w:trPr>
        <w:tc>
          <w:tcPr>
            <w:tcW w:w="2967" w:type="dxa"/>
            <w:tcBorders>
              <w:top w:val="nil"/>
              <w:left w:val="single" w:sz="8" w:space="0" w:color="auto"/>
              <w:bottom w:val="single" w:sz="8" w:space="0" w:color="auto"/>
              <w:right w:val="single" w:sz="8" w:space="0" w:color="auto"/>
            </w:tcBorders>
            <w:tcMar>
              <w:top w:w="108" w:type="dxa"/>
              <w:left w:w="108" w:type="dxa"/>
              <w:bottom w:w="108" w:type="dxa"/>
              <w:right w:w="108" w:type="dxa"/>
            </w:tcMar>
            <w:hideMark/>
          </w:tcPr>
          <w:p w14:paraId="49CDA54B" w14:textId="77777777" w:rsidR="00A61145" w:rsidRPr="00ED41B9" w:rsidRDefault="00A61145" w:rsidP="00A61145">
            <w:pPr>
              <w:spacing w:before="0" w:after="0"/>
              <w:rPr>
                <w:b/>
                <w:bCs/>
                <w:sz w:val="20"/>
                <w:szCs w:val="18"/>
              </w:rPr>
            </w:pPr>
            <w:r w:rsidRPr="00ED41B9">
              <w:rPr>
                <w:b/>
                <w:bCs/>
                <w:sz w:val="20"/>
                <w:szCs w:val="18"/>
              </w:rPr>
              <w:t>GRAND TOTAL</w:t>
            </w:r>
          </w:p>
        </w:tc>
        <w:tc>
          <w:tcPr>
            <w:tcW w:w="1418" w:type="dxa"/>
            <w:tcBorders>
              <w:top w:val="nil"/>
              <w:left w:val="nil"/>
              <w:bottom w:val="single" w:sz="8" w:space="0" w:color="auto"/>
              <w:right w:val="single" w:sz="8" w:space="0" w:color="auto"/>
            </w:tcBorders>
            <w:tcMar>
              <w:top w:w="108" w:type="dxa"/>
              <w:left w:w="108" w:type="dxa"/>
              <w:bottom w:w="108" w:type="dxa"/>
              <w:right w:w="108" w:type="dxa"/>
            </w:tcMar>
            <w:hideMark/>
          </w:tcPr>
          <w:p w14:paraId="714B05AF" w14:textId="77777777" w:rsidR="00A61145" w:rsidRPr="00ED41B9" w:rsidRDefault="00A61145" w:rsidP="00A61145">
            <w:pPr>
              <w:spacing w:before="0" w:after="0"/>
              <w:jc w:val="center"/>
              <w:rPr>
                <w:b/>
                <w:bCs/>
                <w:sz w:val="20"/>
                <w:szCs w:val="18"/>
              </w:rPr>
            </w:pPr>
            <w:r w:rsidRPr="00ED41B9">
              <w:rPr>
                <w:b/>
                <w:bCs/>
                <w:sz w:val="20"/>
                <w:szCs w:val="18"/>
              </w:rPr>
              <w:t>523</w:t>
            </w:r>
          </w:p>
        </w:tc>
        <w:tc>
          <w:tcPr>
            <w:tcW w:w="1559" w:type="dxa"/>
            <w:tcBorders>
              <w:top w:val="nil"/>
              <w:left w:val="nil"/>
              <w:bottom w:val="single" w:sz="8" w:space="0" w:color="auto"/>
              <w:right w:val="single" w:sz="8" w:space="0" w:color="auto"/>
            </w:tcBorders>
            <w:tcMar>
              <w:top w:w="108" w:type="dxa"/>
              <w:left w:w="108" w:type="dxa"/>
              <w:bottom w:w="108" w:type="dxa"/>
              <w:right w:w="108" w:type="dxa"/>
            </w:tcMar>
            <w:hideMark/>
          </w:tcPr>
          <w:p w14:paraId="662609CD" w14:textId="77777777" w:rsidR="00A61145" w:rsidRPr="00ED41B9" w:rsidRDefault="00A61145" w:rsidP="00A61145">
            <w:pPr>
              <w:spacing w:before="0" w:after="0"/>
              <w:jc w:val="center"/>
              <w:rPr>
                <w:b/>
                <w:bCs/>
                <w:sz w:val="20"/>
                <w:szCs w:val="18"/>
              </w:rPr>
            </w:pPr>
            <w:r w:rsidRPr="00ED41B9">
              <w:rPr>
                <w:b/>
                <w:bCs/>
                <w:sz w:val="20"/>
                <w:szCs w:val="18"/>
              </w:rPr>
              <w:t>421.82</w:t>
            </w:r>
          </w:p>
        </w:tc>
      </w:tr>
    </w:tbl>
    <w:p w14:paraId="4801CE46" w14:textId="099DD20A" w:rsidR="001C0486" w:rsidRDefault="001C0486" w:rsidP="001929E6">
      <w:pPr>
        <w:pStyle w:val="Heading3"/>
      </w:pPr>
      <w:bookmarkStart w:id="175" w:name="_Toc163136042"/>
      <w:bookmarkStart w:id="176" w:name="_Toc164470290"/>
      <w:bookmarkStart w:id="177" w:name="_Toc164814710"/>
      <w:bookmarkStart w:id="178" w:name="_Toc164814850"/>
      <w:bookmarkStart w:id="179" w:name="_Toc164814911"/>
      <w:r w:rsidRPr="00612517">
        <w:t>Staff composition</w:t>
      </w:r>
      <w:bookmarkEnd w:id="174"/>
      <w:bookmarkEnd w:id="175"/>
      <w:bookmarkEnd w:id="176"/>
      <w:bookmarkEnd w:id="177"/>
      <w:bookmarkEnd w:id="178"/>
      <w:bookmarkEnd w:id="179"/>
    </w:p>
    <w:tbl>
      <w:tblPr>
        <w:tblW w:w="4714" w:type="pct"/>
        <w:tblCellMar>
          <w:left w:w="0" w:type="dxa"/>
          <w:right w:w="0" w:type="dxa"/>
        </w:tblCellMar>
        <w:tblLook w:val="04A0" w:firstRow="1" w:lastRow="0" w:firstColumn="1" w:lastColumn="0" w:noHBand="0" w:noVBand="1"/>
      </w:tblPr>
      <w:tblGrid>
        <w:gridCol w:w="1471"/>
        <w:gridCol w:w="333"/>
        <w:gridCol w:w="467"/>
        <w:gridCol w:w="467"/>
        <w:gridCol w:w="467"/>
        <w:gridCol w:w="467"/>
        <w:gridCol w:w="467"/>
        <w:gridCol w:w="467"/>
        <w:gridCol w:w="467"/>
        <w:gridCol w:w="467"/>
        <w:gridCol w:w="467"/>
        <w:gridCol w:w="723"/>
        <w:gridCol w:w="803"/>
        <w:gridCol w:w="1273"/>
      </w:tblGrid>
      <w:tr w:rsidR="00AD165E" w:rsidRPr="00ED41B9" w14:paraId="5D12CF02" w14:textId="77777777" w:rsidTr="00311554">
        <w:trPr>
          <w:trHeight w:val="225"/>
        </w:trPr>
        <w:tc>
          <w:tcPr>
            <w:tcW w:w="845" w:type="pct"/>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3661E800" w14:textId="77777777" w:rsidR="00AD165E" w:rsidRPr="00ED41B9" w:rsidRDefault="00AD165E">
            <w:pPr>
              <w:rPr>
                <w:rFonts w:cs="Arial"/>
                <w:color w:val="000000"/>
                <w:sz w:val="20"/>
                <w:szCs w:val="20"/>
                <w:lang w:eastAsia="en-GB"/>
              </w:rPr>
            </w:pPr>
            <w:bookmarkStart w:id="180" w:name="_Toc133356680"/>
            <w:r w:rsidRPr="00ED41B9">
              <w:rPr>
                <w:rFonts w:cs="Arial"/>
                <w:color w:val="000000"/>
                <w:sz w:val="20"/>
                <w:szCs w:val="20"/>
                <w:lang w:eastAsia="en-GB"/>
              </w:rPr>
              <w:t>Pay Band</w:t>
            </w:r>
          </w:p>
        </w:tc>
        <w:tc>
          <w:tcPr>
            <w:tcW w:w="199"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650E0B5C" w14:textId="77777777" w:rsidR="00AD165E" w:rsidRPr="00ED41B9" w:rsidRDefault="00AD165E">
            <w:pPr>
              <w:jc w:val="right"/>
              <w:rPr>
                <w:rFonts w:cs="Arial"/>
                <w:color w:val="000000"/>
                <w:sz w:val="20"/>
                <w:szCs w:val="20"/>
                <w:lang w:eastAsia="en-GB"/>
              </w:rPr>
            </w:pPr>
            <w:r w:rsidRPr="00ED41B9">
              <w:rPr>
                <w:rFonts w:cs="Arial"/>
                <w:color w:val="000000"/>
                <w:sz w:val="20"/>
                <w:szCs w:val="20"/>
                <w:lang w:eastAsia="en-GB"/>
              </w:rPr>
              <w:t>3</w:t>
            </w:r>
          </w:p>
        </w:tc>
        <w:tc>
          <w:tcPr>
            <w:tcW w:w="275"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66D6AD93" w14:textId="77777777" w:rsidR="00AD165E" w:rsidRPr="00ED41B9" w:rsidRDefault="00AD165E">
            <w:pPr>
              <w:jc w:val="right"/>
              <w:rPr>
                <w:rFonts w:cs="Arial"/>
                <w:color w:val="000000"/>
                <w:sz w:val="20"/>
                <w:szCs w:val="20"/>
                <w:lang w:eastAsia="en-GB"/>
              </w:rPr>
            </w:pPr>
            <w:r w:rsidRPr="00ED41B9">
              <w:rPr>
                <w:rFonts w:cs="Arial"/>
                <w:color w:val="000000"/>
                <w:sz w:val="20"/>
                <w:szCs w:val="20"/>
                <w:lang w:eastAsia="en-GB"/>
              </w:rPr>
              <w:t>4</w:t>
            </w:r>
          </w:p>
        </w:tc>
        <w:tc>
          <w:tcPr>
            <w:tcW w:w="275"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54CDC27C" w14:textId="77777777" w:rsidR="00AD165E" w:rsidRPr="00ED41B9" w:rsidRDefault="00AD165E">
            <w:pPr>
              <w:jc w:val="right"/>
              <w:rPr>
                <w:rFonts w:cs="Arial"/>
                <w:color w:val="000000"/>
                <w:sz w:val="20"/>
                <w:szCs w:val="20"/>
                <w:lang w:eastAsia="en-GB"/>
              </w:rPr>
            </w:pPr>
            <w:r w:rsidRPr="00ED41B9">
              <w:rPr>
                <w:rFonts w:cs="Arial"/>
                <w:color w:val="000000"/>
                <w:sz w:val="20"/>
                <w:szCs w:val="20"/>
                <w:lang w:eastAsia="en-GB"/>
              </w:rPr>
              <w:t>5</w:t>
            </w:r>
          </w:p>
        </w:tc>
        <w:tc>
          <w:tcPr>
            <w:tcW w:w="275"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74AADFF7" w14:textId="77777777" w:rsidR="00AD165E" w:rsidRPr="00ED41B9" w:rsidRDefault="00AD165E">
            <w:pPr>
              <w:jc w:val="right"/>
              <w:rPr>
                <w:rFonts w:cs="Arial"/>
                <w:color w:val="000000"/>
                <w:sz w:val="20"/>
                <w:szCs w:val="20"/>
                <w:lang w:eastAsia="en-GB"/>
              </w:rPr>
            </w:pPr>
            <w:r w:rsidRPr="00ED41B9">
              <w:rPr>
                <w:rFonts w:cs="Arial"/>
                <w:color w:val="000000"/>
                <w:sz w:val="20"/>
                <w:szCs w:val="20"/>
                <w:lang w:eastAsia="en-GB"/>
              </w:rPr>
              <w:t>6</w:t>
            </w:r>
          </w:p>
        </w:tc>
        <w:tc>
          <w:tcPr>
            <w:tcW w:w="275"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5A5F0D86" w14:textId="77777777" w:rsidR="00AD165E" w:rsidRPr="00ED41B9" w:rsidRDefault="00AD165E">
            <w:pPr>
              <w:jc w:val="right"/>
              <w:rPr>
                <w:rFonts w:cs="Arial"/>
                <w:color w:val="000000"/>
                <w:sz w:val="20"/>
                <w:szCs w:val="20"/>
                <w:lang w:eastAsia="en-GB"/>
              </w:rPr>
            </w:pPr>
            <w:r w:rsidRPr="00ED41B9">
              <w:rPr>
                <w:rFonts w:cs="Arial"/>
                <w:color w:val="000000"/>
                <w:sz w:val="20"/>
                <w:szCs w:val="20"/>
                <w:lang w:eastAsia="en-GB"/>
              </w:rPr>
              <w:t>7</w:t>
            </w:r>
          </w:p>
        </w:tc>
        <w:tc>
          <w:tcPr>
            <w:tcW w:w="275"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0B96C532" w14:textId="77777777" w:rsidR="00AD165E" w:rsidRPr="00ED41B9" w:rsidRDefault="00AD165E">
            <w:pPr>
              <w:jc w:val="right"/>
              <w:rPr>
                <w:rFonts w:cs="Arial"/>
                <w:color w:val="000000"/>
                <w:sz w:val="20"/>
                <w:szCs w:val="20"/>
                <w:lang w:eastAsia="en-GB"/>
              </w:rPr>
            </w:pPr>
            <w:r w:rsidRPr="00ED41B9">
              <w:rPr>
                <w:rFonts w:cs="Arial"/>
                <w:color w:val="000000"/>
                <w:sz w:val="20"/>
                <w:szCs w:val="20"/>
                <w:lang w:eastAsia="en-GB"/>
              </w:rPr>
              <w:t>8a</w:t>
            </w:r>
          </w:p>
        </w:tc>
        <w:tc>
          <w:tcPr>
            <w:tcW w:w="275"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3217B7C7" w14:textId="77777777" w:rsidR="00AD165E" w:rsidRPr="00ED41B9" w:rsidRDefault="00AD165E">
            <w:pPr>
              <w:jc w:val="right"/>
              <w:rPr>
                <w:rFonts w:cs="Arial"/>
                <w:color w:val="000000"/>
                <w:sz w:val="20"/>
                <w:szCs w:val="20"/>
                <w:lang w:eastAsia="en-GB"/>
              </w:rPr>
            </w:pPr>
            <w:r w:rsidRPr="00ED41B9">
              <w:rPr>
                <w:rFonts w:cs="Arial"/>
                <w:color w:val="000000"/>
                <w:sz w:val="20"/>
                <w:szCs w:val="20"/>
                <w:lang w:eastAsia="en-GB"/>
              </w:rPr>
              <w:t>8b</w:t>
            </w:r>
          </w:p>
        </w:tc>
        <w:tc>
          <w:tcPr>
            <w:tcW w:w="275" w:type="pct"/>
            <w:tcBorders>
              <w:top w:val="single" w:sz="8" w:space="0" w:color="auto"/>
              <w:left w:val="nil"/>
              <w:bottom w:val="single" w:sz="8" w:space="0" w:color="auto"/>
              <w:right w:val="single" w:sz="8" w:space="0" w:color="auto"/>
            </w:tcBorders>
            <w:shd w:val="clear" w:color="auto" w:fill="BFBFBF"/>
            <w:noWrap/>
            <w:tcMar>
              <w:top w:w="0" w:type="dxa"/>
              <w:left w:w="108" w:type="dxa"/>
              <w:bottom w:w="0" w:type="dxa"/>
              <w:right w:w="108" w:type="dxa"/>
            </w:tcMar>
            <w:vAlign w:val="bottom"/>
            <w:hideMark/>
          </w:tcPr>
          <w:p w14:paraId="52F21200" w14:textId="77777777" w:rsidR="00AD165E" w:rsidRPr="00ED41B9" w:rsidRDefault="00AD165E">
            <w:pPr>
              <w:jc w:val="right"/>
              <w:rPr>
                <w:rFonts w:cs="Arial"/>
                <w:color w:val="000000"/>
                <w:sz w:val="20"/>
                <w:szCs w:val="20"/>
                <w:lang w:eastAsia="en-GB"/>
              </w:rPr>
            </w:pPr>
            <w:r w:rsidRPr="00ED41B9">
              <w:rPr>
                <w:rFonts w:cs="Arial"/>
                <w:color w:val="000000"/>
                <w:sz w:val="20"/>
                <w:szCs w:val="20"/>
                <w:lang w:eastAsia="en-GB"/>
              </w:rPr>
              <w:t>8c</w:t>
            </w:r>
          </w:p>
        </w:tc>
        <w:tc>
          <w:tcPr>
            <w:tcW w:w="275" w:type="pct"/>
            <w:tcBorders>
              <w:top w:val="single" w:sz="8" w:space="0" w:color="auto"/>
              <w:left w:val="nil"/>
              <w:bottom w:val="single" w:sz="8" w:space="0" w:color="auto"/>
              <w:right w:val="single" w:sz="8" w:space="0" w:color="auto"/>
            </w:tcBorders>
            <w:shd w:val="clear" w:color="auto" w:fill="BFBFBF"/>
            <w:noWrap/>
            <w:tcMar>
              <w:top w:w="0" w:type="dxa"/>
              <w:left w:w="108" w:type="dxa"/>
              <w:bottom w:w="0" w:type="dxa"/>
              <w:right w:w="108" w:type="dxa"/>
            </w:tcMar>
            <w:vAlign w:val="bottom"/>
            <w:hideMark/>
          </w:tcPr>
          <w:p w14:paraId="2BA9797F" w14:textId="77777777" w:rsidR="00AD165E" w:rsidRPr="00ED41B9" w:rsidRDefault="00AD165E">
            <w:pPr>
              <w:jc w:val="right"/>
              <w:rPr>
                <w:rFonts w:cs="Arial"/>
                <w:color w:val="000000"/>
                <w:sz w:val="20"/>
                <w:szCs w:val="20"/>
                <w:lang w:eastAsia="en-GB"/>
              </w:rPr>
            </w:pPr>
            <w:r w:rsidRPr="00ED41B9">
              <w:rPr>
                <w:rFonts w:cs="Arial"/>
                <w:color w:val="000000"/>
                <w:sz w:val="20"/>
                <w:szCs w:val="20"/>
                <w:lang w:eastAsia="en-GB"/>
              </w:rPr>
              <w:t>8d</w:t>
            </w:r>
          </w:p>
        </w:tc>
        <w:tc>
          <w:tcPr>
            <w:tcW w:w="275" w:type="pct"/>
            <w:tcBorders>
              <w:top w:val="single" w:sz="8" w:space="0" w:color="auto"/>
              <w:left w:val="nil"/>
              <w:bottom w:val="single" w:sz="8" w:space="0" w:color="auto"/>
              <w:right w:val="single" w:sz="8" w:space="0" w:color="auto"/>
            </w:tcBorders>
            <w:shd w:val="clear" w:color="auto" w:fill="BFBFBF"/>
            <w:noWrap/>
            <w:tcMar>
              <w:top w:w="0" w:type="dxa"/>
              <w:left w:w="108" w:type="dxa"/>
              <w:bottom w:w="0" w:type="dxa"/>
              <w:right w:w="108" w:type="dxa"/>
            </w:tcMar>
            <w:vAlign w:val="bottom"/>
            <w:hideMark/>
          </w:tcPr>
          <w:p w14:paraId="1FA6BB68" w14:textId="77777777" w:rsidR="00AD165E" w:rsidRPr="00ED41B9" w:rsidRDefault="00AD165E">
            <w:pPr>
              <w:jc w:val="right"/>
              <w:rPr>
                <w:rFonts w:cs="Arial"/>
                <w:color w:val="000000"/>
                <w:sz w:val="20"/>
                <w:szCs w:val="20"/>
                <w:lang w:eastAsia="en-GB"/>
              </w:rPr>
            </w:pPr>
            <w:r w:rsidRPr="00ED41B9">
              <w:rPr>
                <w:rFonts w:cs="Arial"/>
                <w:color w:val="000000"/>
                <w:sz w:val="20"/>
                <w:szCs w:val="20"/>
                <w:lang w:eastAsia="en-GB"/>
              </w:rPr>
              <w:t>9</w:t>
            </w:r>
          </w:p>
        </w:tc>
        <w:tc>
          <w:tcPr>
            <w:tcW w:w="420" w:type="pct"/>
            <w:tcBorders>
              <w:top w:val="single" w:sz="8" w:space="0" w:color="auto"/>
              <w:left w:val="nil"/>
              <w:bottom w:val="single" w:sz="8" w:space="0" w:color="auto"/>
              <w:right w:val="single" w:sz="8" w:space="0" w:color="auto"/>
            </w:tcBorders>
            <w:shd w:val="clear" w:color="auto" w:fill="BFBFBF"/>
            <w:noWrap/>
            <w:tcMar>
              <w:top w:w="0" w:type="dxa"/>
              <w:left w:w="108" w:type="dxa"/>
              <w:bottom w:w="0" w:type="dxa"/>
              <w:right w:w="108" w:type="dxa"/>
            </w:tcMar>
            <w:vAlign w:val="bottom"/>
            <w:hideMark/>
          </w:tcPr>
          <w:p w14:paraId="5A703615" w14:textId="77777777" w:rsidR="00AD165E" w:rsidRPr="00ED41B9" w:rsidRDefault="00AD165E">
            <w:pPr>
              <w:rPr>
                <w:rFonts w:cs="Arial"/>
                <w:color w:val="000000"/>
                <w:sz w:val="20"/>
                <w:szCs w:val="20"/>
                <w:lang w:eastAsia="en-GB"/>
              </w:rPr>
            </w:pPr>
            <w:r w:rsidRPr="00ED41B9">
              <w:rPr>
                <w:rFonts w:cs="Arial"/>
                <w:color w:val="000000"/>
                <w:sz w:val="20"/>
                <w:szCs w:val="20"/>
                <w:lang w:eastAsia="en-GB"/>
              </w:rPr>
              <w:t>VSM</w:t>
            </w:r>
          </w:p>
        </w:tc>
        <w:tc>
          <w:tcPr>
            <w:tcW w:w="465"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1DD7B167" w14:textId="77777777" w:rsidR="00AD165E" w:rsidRPr="00ED41B9" w:rsidRDefault="00AD165E">
            <w:pPr>
              <w:rPr>
                <w:rFonts w:cs="Arial"/>
                <w:color w:val="000000"/>
                <w:sz w:val="20"/>
                <w:szCs w:val="20"/>
                <w:lang w:eastAsia="en-GB"/>
              </w:rPr>
            </w:pPr>
            <w:r w:rsidRPr="00ED41B9">
              <w:rPr>
                <w:rFonts w:cs="Arial"/>
                <w:color w:val="000000"/>
                <w:sz w:val="20"/>
                <w:szCs w:val="20"/>
                <w:lang w:eastAsia="en-GB"/>
              </w:rPr>
              <w:t>Other</w:t>
            </w:r>
          </w:p>
        </w:tc>
        <w:tc>
          <w:tcPr>
            <w:tcW w:w="595"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76BD73DD" w14:textId="77777777" w:rsidR="00AD165E" w:rsidRPr="00ED41B9" w:rsidRDefault="00AD165E">
            <w:pPr>
              <w:rPr>
                <w:rFonts w:cs="Arial"/>
                <w:color w:val="000000"/>
                <w:sz w:val="20"/>
                <w:szCs w:val="20"/>
                <w:lang w:eastAsia="en-GB"/>
              </w:rPr>
            </w:pPr>
            <w:r w:rsidRPr="00ED41B9">
              <w:rPr>
                <w:rFonts w:cs="Arial"/>
                <w:color w:val="000000"/>
                <w:sz w:val="20"/>
                <w:szCs w:val="20"/>
                <w:lang w:eastAsia="en-GB"/>
              </w:rPr>
              <w:t>Grand Total</w:t>
            </w:r>
          </w:p>
        </w:tc>
      </w:tr>
      <w:tr w:rsidR="00AD165E" w:rsidRPr="00ED41B9" w14:paraId="4B2197E7" w14:textId="77777777" w:rsidTr="00311554">
        <w:trPr>
          <w:trHeight w:val="225"/>
        </w:trPr>
        <w:tc>
          <w:tcPr>
            <w:tcW w:w="845"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359C64F5" w14:textId="77777777" w:rsidR="00AD165E" w:rsidRPr="00ED41B9" w:rsidRDefault="00AD165E">
            <w:pPr>
              <w:rPr>
                <w:rFonts w:cs="Arial"/>
                <w:color w:val="000000"/>
                <w:sz w:val="20"/>
                <w:szCs w:val="20"/>
                <w:lang w:eastAsia="en-GB"/>
              </w:rPr>
            </w:pPr>
            <w:r w:rsidRPr="00ED41B9">
              <w:rPr>
                <w:rFonts w:cs="Arial"/>
                <w:color w:val="000000"/>
                <w:sz w:val="20"/>
                <w:szCs w:val="20"/>
                <w:lang w:eastAsia="en-GB"/>
              </w:rPr>
              <w:t> </w:t>
            </w:r>
          </w:p>
        </w:tc>
        <w:tc>
          <w:tcPr>
            <w:tcW w:w="199"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BD9CDB1" w14:textId="77777777" w:rsidR="00AD165E" w:rsidRPr="00ED41B9" w:rsidRDefault="00AD165E">
            <w:pPr>
              <w:rPr>
                <w:rFonts w:cs="Arial"/>
                <w:color w:val="000000"/>
                <w:sz w:val="20"/>
                <w:szCs w:val="20"/>
                <w:lang w:eastAsia="en-GB"/>
              </w:rPr>
            </w:pPr>
            <w:r w:rsidRPr="00ED41B9">
              <w:rPr>
                <w:rFonts w:cs="Arial"/>
                <w:color w:val="000000"/>
                <w:sz w:val="20"/>
                <w:szCs w:val="20"/>
                <w:lang w:eastAsia="en-GB"/>
              </w:rPr>
              <w:t> </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DB4CC19" w14:textId="77777777" w:rsidR="00AD165E" w:rsidRPr="00ED41B9" w:rsidRDefault="00AD165E">
            <w:pPr>
              <w:rPr>
                <w:rFonts w:cs="Arial"/>
                <w:color w:val="000000"/>
                <w:sz w:val="20"/>
                <w:szCs w:val="20"/>
                <w:lang w:eastAsia="en-GB"/>
              </w:rPr>
            </w:pPr>
            <w:r w:rsidRPr="00ED41B9">
              <w:rPr>
                <w:rFonts w:cs="Arial"/>
                <w:color w:val="000000"/>
                <w:sz w:val="20"/>
                <w:szCs w:val="20"/>
                <w:lang w:eastAsia="en-GB"/>
              </w:rPr>
              <w:t> </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C06E241" w14:textId="77777777" w:rsidR="00AD165E" w:rsidRPr="00ED41B9" w:rsidRDefault="00AD165E">
            <w:pPr>
              <w:rPr>
                <w:rFonts w:cs="Arial"/>
                <w:color w:val="000000"/>
                <w:sz w:val="20"/>
                <w:szCs w:val="20"/>
                <w:lang w:eastAsia="en-GB"/>
              </w:rPr>
            </w:pPr>
            <w:r w:rsidRPr="00ED41B9">
              <w:rPr>
                <w:rFonts w:cs="Arial"/>
                <w:color w:val="000000"/>
                <w:sz w:val="20"/>
                <w:szCs w:val="20"/>
                <w:lang w:eastAsia="en-GB"/>
              </w:rPr>
              <w:t> </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F22A52A" w14:textId="77777777" w:rsidR="00AD165E" w:rsidRPr="00ED41B9" w:rsidRDefault="00AD165E">
            <w:pPr>
              <w:rPr>
                <w:rFonts w:cs="Arial"/>
                <w:color w:val="000000"/>
                <w:sz w:val="20"/>
                <w:szCs w:val="20"/>
                <w:lang w:eastAsia="en-GB"/>
              </w:rPr>
            </w:pPr>
            <w:r w:rsidRPr="00ED41B9">
              <w:rPr>
                <w:rFonts w:cs="Arial"/>
                <w:color w:val="000000"/>
                <w:sz w:val="20"/>
                <w:szCs w:val="20"/>
                <w:lang w:eastAsia="en-GB"/>
              </w:rPr>
              <w:t> </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F271605" w14:textId="77777777" w:rsidR="00AD165E" w:rsidRPr="00ED41B9" w:rsidRDefault="00AD165E">
            <w:pPr>
              <w:rPr>
                <w:rFonts w:cs="Arial"/>
                <w:color w:val="000000"/>
                <w:sz w:val="20"/>
                <w:szCs w:val="20"/>
                <w:lang w:eastAsia="en-GB"/>
              </w:rPr>
            </w:pPr>
            <w:r w:rsidRPr="00ED41B9">
              <w:rPr>
                <w:rFonts w:cs="Arial"/>
                <w:color w:val="000000"/>
                <w:sz w:val="20"/>
                <w:szCs w:val="20"/>
                <w:lang w:eastAsia="en-GB"/>
              </w:rPr>
              <w:t> </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984AEE3" w14:textId="77777777" w:rsidR="00AD165E" w:rsidRPr="00ED41B9" w:rsidRDefault="00AD165E">
            <w:pPr>
              <w:jc w:val="right"/>
              <w:rPr>
                <w:rFonts w:cs="Arial"/>
                <w:color w:val="000000"/>
                <w:sz w:val="20"/>
                <w:szCs w:val="20"/>
                <w:lang w:eastAsia="en-GB"/>
              </w:rPr>
            </w:pPr>
            <w:r w:rsidRPr="00ED41B9">
              <w:rPr>
                <w:rFonts w:cs="Arial"/>
                <w:color w:val="000000"/>
                <w:sz w:val="20"/>
                <w:szCs w:val="20"/>
                <w:lang w:eastAsia="en-GB"/>
              </w:rPr>
              <w:t> </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235F1B1" w14:textId="77777777" w:rsidR="00AD165E" w:rsidRPr="00ED41B9" w:rsidRDefault="00AD165E">
            <w:pPr>
              <w:jc w:val="right"/>
              <w:rPr>
                <w:rFonts w:cs="Arial"/>
                <w:color w:val="000000"/>
                <w:sz w:val="20"/>
                <w:szCs w:val="20"/>
                <w:lang w:eastAsia="en-GB"/>
              </w:rPr>
            </w:pPr>
            <w:r w:rsidRPr="00ED41B9">
              <w:rPr>
                <w:rFonts w:cs="Arial"/>
                <w:color w:val="000000"/>
                <w:sz w:val="20"/>
                <w:szCs w:val="20"/>
                <w:lang w:eastAsia="en-GB"/>
              </w:rPr>
              <w:t> </w:t>
            </w:r>
          </w:p>
        </w:tc>
        <w:tc>
          <w:tcPr>
            <w:tcW w:w="1245" w:type="pct"/>
            <w:gridSpan w:val="4"/>
            <w:tcBorders>
              <w:top w:val="nil"/>
              <w:left w:val="nil"/>
              <w:bottom w:val="single" w:sz="8" w:space="0" w:color="auto"/>
              <w:right w:val="single" w:sz="8" w:space="0" w:color="auto"/>
            </w:tcBorders>
            <w:shd w:val="clear" w:color="auto" w:fill="BFBFBF"/>
            <w:noWrap/>
            <w:tcMar>
              <w:top w:w="0" w:type="dxa"/>
              <w:left w:w="108" w:type="dxa"/>
              <w:bottom w:w="0" w:type="dxa"/>
              <w:right w:w="108" w:type="dxa"/>
            </w:tcMar>
            <w:vAlign w:val="bottom"/>
            <w:hideMark/>
          </w:tcPr>
          <w:p w14:paraId="3A85C1C2" w14:textId="77777777" w:rsidR="00AD165E" w:rsidRPr="00ED41B9" w:rsidRDefault="00AD165E">
            <w:pPr>
              <w:jc w:val="center"/>
              <w:rPr>
                <w:rFonts w:cs="Arial"/>
                <w:color w:val="000000"/>
                <w:sz w:val="20"/>
                <w:szCs w:val="20"/>
                <w:lang w:eastAsia="en-GB"/>
              </w:rPr>
            </w:pPr>
            <w:r w:rsidRPr="00ED41B9">
              <w:rPr>
                <w:rFonts w:cs="Arial"/>
                <w:color w:val="000000"/>
                <w:sz w:val="20"/>
                <w:szCs w:val="20"/>
                <w:lang w:eastAsia="en-GB"/>
              </w:rPr>
              <w:t>Senior Managers</w:t>
            </w:r>
          </w:p>
        </w:tc>
        <w:tc>
          <w:tcPr>
            <w:tcW w:w="46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866FAA1" w14:textId="77777777" w:rsidR="00AD165E" w:rsidRPr="00ED41B9" w:rsidRDefault="00AD165E">
            <w:pPr>
              <w:rPr>
                <w:rFonts w:cs="Arial"/>
                <w:color w:val="000000"/>
                <w:sz w:val="20"/>
                <w:szCs w:val="20"/>
                <w:lang w:eastAsia="en-GB"/>
              </w:rPr>
            </w:pPr>
            <w:r w:rsidRPr="00ED41B9">
              <w:rPr>
                <w:rFonts w:cs="Arial"/>
                <w:color w:val="000000"/>
                <w:sz w:val="20"/>
                <w:szCs w:val="20"/>
                <w:lang w:eastAsia="en-GB"/>
              </w:rPr>
              <w:t> </w:t>
            </w:r>
          </w:p>
        </w:tc>
        <w:tc>
          <w:tcPr>
            <w:tcW w:w="59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1A9D372" w14:textId="77777777" w:rsidR="00AD165E" w:rsidRPr="00ED41B9" w:rsidRDefault="00AD165E">
            <w:pPr>
              <w:rPr>
                <w:rFonts w:cs="Arial"/>
                <w:color w:val="000000"/>
                <w:sz w:val="20"/>
                <w:szCs w:val="20"/>
                <w:lang w:eastAsia="en-GB"/>
              </w:rPr>
            </w:pPr>
            <w:r w:rsidRPr="00ED41B9">
              <w:rPr>
                <w:rFonts w:cs="Arial"/>
                <w:color w:val="000000"/>
                <w:sz w:val="20"/>
                <w:szCs w:val="20"/>
                <w:lang w:eastAsia="en-GB"/>
              </w:rPr>
              <w:t> </w:t>
            </w:r>
          </w:p>
        </w:tc>
      </w:tr>
      <w:tr w:rsidR="00AD165E" w:rsidRPr="00ED41B9" w14:paraId="2B7030BD" w14:textId="77777777" w:rsidTr="00311554">
        <w:trPr>
          <w:trHeight w:val="225"/>
        </w:trPr>
        <w:tc>
          <w:tcPr>
            <w:tcW w:w="845"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2CD4A70" w14:textId="77777777" w:rsidR="00AD165E" w:rsidRPr="00ED41B9" w:rsidRDefault="00AD165E">
            <w:pPr>
              <w:rPr>
                <w:rFonts w:cs="Arial"/>
                <w:color w:val="000000"/>
                <w:sz w:val="20"/>
                <w:szCs w:val="20"/>
                <w:lang w:eastAsia="en-GB"/>
              </w:rPr>
            </w:pPr>
            <w:r w:rsidRPr="00ED41B9">
              <w:rPr>
                <w:rFonts w:cs="Arial"/>
                <w:color w:val="000000"/>
                <w:sz w:val="20"/>
                <w:szCs w:val="20"/>
                <w:lang w:eastAsia="en-GB"/>
              </w:rPr>
              <w:t>Female</w:t>
            </w:r>
          </w:p>
        </w:tc>
        <w:tc>
          <w:tcPr>
            <w:tcW w:w="199" w:type="pct"/>
            <w:tcBorders>
              <w:top w:val="nil"/>
              <w:left w:val="nil"/>
              <w:bottom w:val="single" w:sz="8" w:space="0" w:color="auto"/>
              <w:right w:val="single" w:sz="8" w:space="0" w:color="auto"/>
            </w:tcBorders>
            <w:noWrap/>
            <w:tcMar>
              <w:top w:w="0" w:type="dxa"/>
              <w:left w:w="108" w:type="dxa"/>
              <w:bottom w:w="0" w:type="dxa"/>
              <w:right w:w="108" w:type="dxa"/>
            </w:tcMar>
            <w:hideMark/>
          </w:tcPr>
          <w:p w14:paraId="78AD9C80" w14:textId="77777777" w:rsidR="00AD165E" w:rsidRPr="00ED41B9" w:rsidRDefault="00AD165E">
            <w:pPr>
              <w:jc w:val="right"/>
              <w:rPr>
                <w:rFonts w:cs="Arial"/>
                <w:color w:val="000000"/>
                <w:sz w:val="20"/>
                <w:szCs w:val="20"/>
                <w:lang w:eastAsia="en-GB"/>
              </w:rPr>
            </w:pPr>
            <w:r w:rsidRPr="00ED41B9">
              <w:rPr>
                <w:rFonts w:cs="Arial"/>
                <w:sz w:val="20"/>
                <w:szCs w:val="20"/>
              </w:rPr>
              <w:t>4</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hideMark/>
          </w:tcPr>
          <w:p w14:paraId="3759D755" w14:textId="77777777" w:rsidR="00AD165E" w:rsidRPr="00ED41B9" w:rsidRDefault="00AD165E">
            <w:pPr>
              <w:jc w:val="right"/>
              <w:rPr>
                <w:rFonts w:cs="Arial"/>
                <w:color w:val="000000"/>
                <w:sz w:val="20"/>
                <w:szCs w:val="20"/>
                <w:lang w:eastAsia="en-GB"/>
              </w:rPr>
            </w:pPr>
            <w:r w:rsidRPr="00ED41B9">
              <w:rPr>
                <w:rFonts w:cs="Arial"/>
                <w:sz w:val="20"/>
                <w:szCs w:val="20"/>
              </w:rPr>
              <w:t>43</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hideMark/>
          </w:tcPr>
          <w:p w14:paraId="0CA6A309" w14:textId="77777777" w:rsidR="00AD165E" w:rsidRPr="00ED41B9" w:rsidRDefault="00AD165E">
            <w:pPr>
              <w:jc w:val="right"/>
              <w:rPr>
                <w:rFonts w:cs="Arial"/>
                <w:color w:val="000000"/>
                <w:sz w:val="20"/>
                <w:szCs w:val="20"/>
                <w:lang w:eastAsia="en-GB"/>
              </w:rPr>
            </w:pPr>
            <w:r w:rsidRPr="00ED41B9">
              <w:rPr>
                <w:rFonts w:cs="Arial"/>
                <w:sz w:val="20"/>
                <w:szCs w:val="20"/>
              </w:rPr>
              <w:t>35</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hideMark/>
          </w:tcPr>
          <w:p w14:paraId="6FC94ADC" w14:textId="77777777" w:rsidR="00AD165E" w:rsidRPr="00ED41B9" w:rsidRDefault="00AD165E">
            <w:pPr>
              <w:jc w:val="right"/>
              <w:rPr>
                <w:rFonts w:cs="Arial"/>
                <w:color w:val="000000"/>
                <w:sz w:val="20"/>
                <w:szCs w:val="20"/>
                <w:lang w:eastAsia="en-GB"/>
              </w:rPr>
            </w:pPr>
            <w:r w:rsidRPr="00ED41B9">
              <w:rPr>
                <w:rFonts w:cs="Arial"/>
                <w:sz w:val="20"/>
                <w:szCs w:val="20"/>
              </w:rPr>
              <w:t>71</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hideMark/>
          </w:tcPr>
          <w:p w14:paraId="1849DBC6" w14:textId="77777777" w:rsidR="00AD165E" w:rsidRPr="00ED41B9" w:rsidRDefault="00AD165E">
            <w:pPr>
              <w:jc w:val="right"/>
              <w:rPr>
                <w:rFonts w:cs="Arial"/>
                <w:color w:val="000000"/>
                <w:sz w:val="20"/>
                <w:szCs w:val="20"/>
                <w:lang w:eastAsia="en-GB"/>
              </w:rPr>
            </w:pPr>
            <w:r w:rsidRPr="00ED41B9">
              <w:rPr>
                <w:rFonts w:cs="Arial"/>
                <w:sz w:val="20"/>
                <w:szCs w:val="20"/>
              </w:rPr>
              <w:t>46</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hideMark/>
          </w:tcPr>
          <w:p w14:paraId="64810C86" w14:textId="77777777" w:rsidR="00AD165E" w:rsidRPr="00ED41B9" w:rsidRDefault="00AD165E">
            <w:pPr>
              <w:jc w:val="right"/>
              <w:rPr>
                <w:rFonts w:cs="Arial"/>
                <w:color w:val="000000"/>
                <w:sz w:val="20"/>
                <w:szCs w:val="20"/>
                <w:lang w:eastAsia="en-GB"/>
              </w:rPr>
            </w:pPr>
            <w:r w:rsidRPr="00ED41B9">
              <w:rPr>
                <w:rFonts w:cs="Arial"/>
                <w:sz w:val="20"/>
                <w:szCs w:val="20"/>
              </w:rPr>
              <w:t>52</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hideMark/>
          </w:tcPr>
          <w:p w14:paraId="45CA6977" w14:textId="77777777" w:rsidR="00AD165E" w:rsidRPr="00ED41B9" w:rsidRDefault="00AD165E">
            <w:pPr>
              <w:jc w:val="right"/>
              <w:rPr>
                <w:rFonts w:cs="Arial"/>
                <w:color w:val="000000"/>
                <w:sz w:val="20"/>
                <w:szCs w:val="20"/>
                <w:lang w:eastAsia="en-GB"/>
              </w:rPr>
            </w:pPr>
            <w:r w:rsidRPr="00ED41B9">
              <w:rPr>
                <w:rFonts w:cs="Arial"/>
                <w:sz w:val="20"/>
                <w:szCs w:val="20"/>
              </w:rPr>
              <w:t>34</w:t>
            </w:r>
          </w:p>
        </w:tc>
        <w:tc>
          <w:tcPr>
            <w:tcW w:w="275" w:type="pct"/>
            <w:tcBorders>
              <w:top w:val="nil"/>
              <w:left w:val="nil"/>
              <w:bottom w:val="single" w:sz="8" w:space="0" w:color="auto"/>
              <w:right w:val="single" w:sz="8" w:space="0" w:color="auto"/>
            </w:tcBorders>
            <w:shd w:val="clear" w:color="auto" w:fill="BFBFBF"/>
            <w:noWrap/>
            <w:tcMar>
              <w:top w:w="0" w:type="dxa"/>
              <w:left w:w="108" w:type="dxa"/>
              <w:bottom w:w="0" w:type="dxa"/>
              <w:right w:w="108" w:type="dxa"/>
            </w:tcMar>
            <w:hideMark/>
          </w:tcPr>
          <w:p w14:paraId="013CCC95" w14:textId="77777777" w:rsidR="00AD165E" w:rsidRPr="00ED41B9" w:rsidRDefault="00AD165E">
            <w:pPr>
              <w:jc w:val="right"/>
              <w:rPr>
                <w:rFonts w:cs="Arial"/>
                <w:color w:val="000000"/>
                <w:sz w:val="20"/>
                <w:szCs w:val="20"/>
                <w:lang w:eastAsia="en-GB"/>
              </w:rPr>
            </w:pPr>
            <w:r w:rsidRPr="00ED41B9">
              <w:rPr>
                <w:rFonts w:cs="Arial"/>
                <w:color w:val="000000"/>
                <w:sz w:val="20"/>
                <w:szCs w:val="20"/>
              </w:rPr>
              <w:t>25</w:t>
            </w:r>
          </w:p>
        </w:tc>
        <w:tc>
          <w:tcPr>
            <w:tcW w:w="275" w:type="pct"/>
            <w:tcBorders>
              <w:top w:val="nil"/>
              <w:left w:val="nil"/>
              <w:bottom w:val="single" w:sz="8" w:space="0" w:color="auto"/>
              <w:right w:val="single" w:sz="8" w:space="0" w:color="auto"/>
            </w:tcBorders>
            <w:shd w:val="clear" w:color="auto" w:fill="BFBFBF"/>
            <w:noWrap/>
            <w:tcMar>
              <w:top w:w="0" w:type="dxa"/>
              <w:left w:w="108" w:type="dxa"/>
              <w:bottom w:w="0" w:type="dxa"/>
              <w:right w:w="108" w:type="dxa"/>
            </w:tcMar>
            <w:hideMark/>
          </w:tcPr>
          <w:p w14:paraId="14811525" w14:textId="77777777" w:rsidR="00AD165E" w:rsidRPr="00ED41B9" w:rsidRDefault="00AD165E">
            <w:pPr>
              <w:jc w:val="right"/>
              <w:rPr>
                <w:rFonts w:cs="Arial"/>
                <w:color w:val="000000"/>
                <w:sz w:val="20"/>
                <w:szCs w:val="20"/>
                <w:lang w:eastAsia="en-GB"/>
              </w:rPr>
            </w:pPr>
            <w:r w:rsidRPr="00ED41B9">
              <w:rPr>
                <w:rFonts w:cs="Arial"/>
                <w:color w:val="000000"/>
                <w:sz w:val="20"/>
                <w:szCs w:val="20"/>
              </w:rPr>
              <w:t>16</w:t>
            </w:r>
          </w:p>
        </w:tc>
        <w:tc>
          <w:tcPr>
            <w:tcW w:w="275" w:type="pct"/>
            <w:tcBorders>
              <w:top w:val="nil"/>
              <w:left w:val="nil"/>
              <w:bottom w:val="single" w:sz="8" w:space="0" w:color="auto"/>
              <w:right w:val="single" w:sz="8" w:space="0" w:color="auto"/>
            </w:tcBorders>
            <w:shd w:val="clear" w:color="auto" w:fill="BFBFBF"/>
            <w:noWrap/>
            <w:tcMar>
              <w:top w:w="0" w:type="dxa"/>
              <w:left w:w="108" w:type="dxa"/>
              <w:bottom w:w="0" w:type="dxa"/>
              <w:right w:w="108" w:type="dxa"/>
            </w:tcMar>
            <w:hideMark/>
          </w:tcPr>
          <w:p w14:paraId="3714FBF1" w14:textId="77777777" w:rsidR="00AD165E" w:rsidRPr="00ED41B9" w:rsidRDefault="00AD165E">
            <w:pPr>
              <w:jc w:val="right"/>
              <w:rPr>
                <w:rFonts w:cs="Arial"/>
                <w:color w:val="000000"/>
                <w:sz w:val="20"/>
                <w:szCs w:val="20"/>
                <w:lang w:eastAsia="en-GB"/>
              </w:rPr>
            </w:pPr>
            <w:r w:rsidRPr="00ED41B9">
              <w:rPr>
                <w:rFonts w:cs="Arial"/>
                <w:color w:val="000000"/>
                <w:sz w:val="20"/>
                <w:szCs w:val="20"/>
              </w:rPr>
              <w:t>8</w:t>
            </w:r>
          </w:p>
        </w:tc>
        <w:tc>
          <w:tcPr>
            <w:tcW w:w="420" w:type="pct"/>
            <w:tcBorders>
              <w:top w:val="nil"/>
              <w:left w:val="nil"/>
              <w:bottom w:val="single" w:sz="8" w:space="0" w:color="auto"/>
              <w:right w:val="single" w:sz="8" w:space="0" w:color="auto"/>
            </w:tcBorders>
            <w:shd w:val="clear" w:color="auto" w:fill="BFBFBF"/>
            <w:noWrap/>
            <w:tcMar>
              <w:top w:w="0" w:type="dxa"/>
              <w:left w:w="108" w:type="dxa"/>
              <w:bottom w:w="0" w:type="dxa"/>
              <w:right w:w="108" w:type="dxa"/>
            </w:tcMar>
            <w:vAlign w:val="bottom"/>
            <w:hideMark/>
          </w:tcPr>
          <w:p w14:paraId="3B12272D" w14:textId="77777777" w:rsidR="00AD165E" w:rsidRPr="00ED41B9" w:rsidRDefault="00AD165E">
            <w:pPr>
              <w:jc w:val="right"/>
              <w:rPr>
                <w:rFonts w:cs="Arial"/>
                <w:color w:val="000000"/>
                <w:sz w:val="20"/>
                <w:szCs w:val="20"/>
                <w:lang w:eastAsia="en-GB"/>
              </w:rPr>
            </w:pPr>
            <w:r w:rsidRPr="00ED41B9">
              <w:rPr>
                <w:rFonts w:cs="Arial"/>
                <w:color w:val="000000"/>
                <w:sz w:val="20"/>
                <w:szCs w:val="20"/>
                <w:lang w:eastAsia="en-GB"/>
              </w:rPr>
              <w:t>7</w:t>
            </w:r>
          </w:p>
        </w:tc>
        <w:tc>
          <w:tcPr>
            <w:tcW w:w="46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275CA9B" w14:textId="77777777" w:rsidR="00AD165E" w:rsidRPr="00ED41B9" w:rsidRDefault="00AD165E">
            <w:pPr>
              <w:jc w:val="right"/>
              <w:rPr>
                <w:rFonts w:cs="Arial"/>
                <w:color w:val="000000"/>
                <w:sz w:val="20"/>
                <w:szCs w:val="20"/>
                <w:lang w:eastAsia="en-GB"/>
              </w:rPr>
            </w:pPr>
            <w:r w:rsidRPr="00ED41B9">
              <w:rPr>
                <w:rFonts w:cs="Arial"/>
                <w:color w:val="000000"/>
                <w:sz w:val="20"/>
                <w:szCs w:val="20"/>
                <w:lang w:eastAsia="en-GB"/>
              </w:rPr>
              <w:t>61</w:t>
            </w:r>
          </w:p>
        </w:tc>
        <w:tc>
          <w:tcPr>
            <w:tcW w:w="59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BEA6D4F" w14:textId="77777777" w:rsidR="00AD165E" w:rsidRPr="00ED41B9" w:rsidRDefault="00AD165E">
            <w:pPr>
              <w:jc w:val="right"/>
              <w:rPr>
                <w:rFonts w:cs="Arial"/>
                <w:color w:val="000000"/>
                <w:sz w:val="20"/>
                <w:szCs w:val="20"/>
                <w:lang w:eastAsia="en-GB"/>
              </w:rPr>
            </w:pPr>
            <w:r w:rsidRPr="00ED41B9">
              <w:rPr>
                <w:rFonts w:cs="Arial"/>
                <w:color w:val="000000"/>
                <w:sz w:val="20"/>
                <w:szCs w:val="20"/>
                <w:lang w:eastAsia="en-GB"/>
              </w:rPr>
              <w:t>402</w:t>
            </w:r>
          </w:p>
        </w:tc>
      </w:tr>
      <w:tr w:rsidR="00AD165E" w:rsidRPr="00ED41B9" w14:paraId="29AB342F" w14:textId="77777777" w:rsidTr="00311554">
        <w:trPr>
          <w:trHeight w:val="225"/>
        </w:trPr>
        <w:tc>
          <w:tcPr>
            <w:tcW w:w="845"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0A0A8F9D" w14:textId="77777777" w:rsidR="00AD165E" w:rsidRPr="00ED41B9" w:rsidRDefault="00AD165E">
            <w:pPr>
              <w:rPr>
                <w:rFonts w:cs="Arial"/>
                <w:color w:val="000000"/>
                <w:sz w:val="20"/>
                <w:szCs w:val="20"/>
                <w:lang w:eastAsia="en-GB"/>
              </w:rPr>
            </w:pPr>
            <w:r w:rsidRPr="00ED41B9">
              <w:rPr>
                <w:rFonts w:cs="Arial"/>
                <w:color w:val="000000"/>
                <w:sz w:val="20"/>
                <w:szCs w:val="20"/>
                <w:lang w:eastAsia="en-GB"/>
              </w:rPr>
              <w:t>Male</w:t>
            </w:r>
          </w:p>
        </w:tc>
        <w:tc>
          <w:tcPr>
            <w:tcW w:w="199" w:type="pct"/>
            <w:tcBorders>
              <w:top w:val="nil"/>
              <w:left w:val="nil"/>
              <w:bottom w:val="single" w:sz="8" w:space="0" w:color="auto"/>
              <w:right w:val="single" w:sz="8" w:space="0" w:color="auto"/>
            </w:tcBorders>
            <w:noWrap/>
            <w:tcMar>
              <w:top w:w="0" w:type="dxa"/>
              <w:left w:w="108" w:type="dxa"/>
              <w:bottom w:w="0" w:type="dxa"/>
              <w:right w:w="108" w:type="dxa"/>
            </w:tcMar>
            <w:hideMark/>
          </w:tcPr>
          <w:p w14:paraId="5234426A" w14:textId="77777777" w:rsidR="00AD165E" w:rsidRPr="00ED41B9" w:rsidRDefault="00AD165E">
            <w:pPr>
              <w:jc w:val="right"/>
              <w:rPr>
                <w:rFonts w:cs="Arial"/>
                <w:color w:val="000000"/>
                <w:sz w:val="20"/>
                <w:szCs w:val="20"/>
                <w:lang w:eastAsia="en-GB"/>
              </w:rPr>
            </w:pPr>
            <w:r w:rsidRPr="00ED41B9">
              <w:rPr>
                <w:rFonts w:cs="Arial"/>
                <w:sz w:val="20"/>
                <w:szCs w:val="20"/>
              </w:rPr>
              <w:t>1</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hideMark/>
          </w:tcPr>
          <w:p w14:paraId="39E4C82E" w14:textId="77777777" w:rsidR="00AD165E" w:rsidRPr="00ED41B9" w:rsidRDefault="00AD165E">
            <w:pPr>
              <w:jc w:val="right"/>
              <w:rPr>
                <w:rFonts w:cs="Arial"/>
                <w:color w:val="000000"/>
                <w:sz w:val="20"/>
                <w:szCs w:val="20"/>
                <w:lang w:eastAsia="en-GB"/>
              </w:rPr>
            </w:pPr>
            <w:r w:rsidRPr="00ED41B9">
              <w:rPr>
                <w:rFonts w:cs="Arial"/>
                <w:sz w:val="20"/>
                <w:szCs w:val="20"/>
              </w:rPr>
              <w:t>10</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hideMark/>
          </w:tcPr>
          <w:p w14:paraId="18E0673A" w14:textId="77777777" w:rsidR="00AD165E" w:rsidRPr="00ED41B9" w:rsidRDefault="00AD165E">
            <w:pPr>
              <w:jc w:val="right"/>
              <w:rPr>
                <w:rFonts w:cs="Arial"/>
                <w:color w:val="000000"/>
                <w:sz w:val="20"/>
                <w:szCs w:val="20"/>
                <w:lang w:eastAsia="en-GB"/>
              </w:rPr>
            </w:pPr>
            <w:r w:rsidRPr="00ED41B9">
              <w:rPr>
                <w:rFonts w:cs="Arial"/>
                <w:sz w:val="20"/>
                <w:szCs w:val="20"/>
              </w:rPr>
              <w:t>3</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hideMark/>
          </w:tcPr>
          <w:p w14:paraId="73E4DFBA" w14:textId="77777777" w:rsidR="00AD165E" w:rsidRPr="00ED41B9" w:rsidRDefault="00AD165E">
            <w:pPr>
              <w:jc w:val="right"/>
              <w:rPr>
                <w:rFonts w:cs="Arial"/>
                <w:color w:val="000000"/>
                <w:sz w:val="20"/>
                <w:szCs w:val="20"/>
                <w:lang w:eastAsia="en-GB"/>
              </w:rPr>
            </w:pPr>
            <w:r w:rsidRPr="00ED41B9">
              <w:rPr>
                <w:rFonts w:cs="Arial"/>
                <w:sz w:val="20"/>
                <w:szCs w:val="20"/>
              </w:rPr>
              <w:t>6</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hideMark/>
          </w:tcPr>
          <w:p w14:paraId="2E67E399" w14:textId="77777777" w:rsidR="00AD165E" w:rsidRPr="00ED41B9" w:rsidRDefault="00AD165E">
            <w:pPr>
              <w:jc w:val="right"/>
              <w:rPr>
                <w:rFonts w:cs="Arial"/>
                <w:color w:val="000000"/>
                <w:sz w:val="20"/>
                <w:szCs w:val="20"/>
                <w:lang w:eastAsia="en-GB"/>
              </w:rPr>
            </w:pPr>
            <w:r w:rsidRPr="00ED41B9">
              <w:rPr>
                <w:rFonts w:cs="Arial"/>
                <w:sz w:val="20"/>
                <w:szCs w:val="20"/>
              </w:rPr>
              <w:t>14</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hideMark/>
          </w:tcPr>
          <w:p w14:paraId="62933654" w14:textId="77777777" w:rsidR="00AD165E" w:rsidRPr="00ED41B9" w:rsidRDefault="00AD165E">
            <w:pPr>
              <w:jc w:val="right"/>
              <w:rPr>
                <w:rFonts w:cs="Arial"/>
                <w:color w:val="000000"/>
                <w:sz w:val="20"/>
                <w:szCs w:val="20"/>
                <w:lang w:eastAsia="en-GB"/>
              </w:rPr>
            </w:pPr>
            <w:r w:rsidRPr="00ED41B9">
              <w:rPr>
                <w:rFonts w:cs="Arial"/>
                <w:sz w:val="20"/>
                <w:szCs w:val="20"/>
              </w:rPr>
              <w:t>8</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hideMark/>
          </w:tcPr>
          <w:p w14:paraId="449814E0" w14:textId="77777777" w:rsidR="00AD165E" w:rsidRPr="00ED41B9" w:rsidRDefault="00AD165E">
            <w:pPr>
              <w:jc w:val="right"/>
              <w:rPr>
                <w:rFonts w:cs="Arial"/>
                <w:color w:val="000000"/>
                <w:sz w:val="20"/>
                <w:szCs w:val="20"/>
                <w:lang w:eastAsia="en-GB"/>
              </w:rPr>
            </w:pPr>
            <w:r w:rsidRPr="00ED41B9">
              <w:rPr>
                <w:rFonts w:cs="Arial"/>
                <w:sz w:val="20"/>
                <w:szCs w:val="20"/>
              </w:rPr>
              <w:t>7</w:t>
            </w:r>
          </w:p>
        </w:tc>
        <w:tc>
          <w:tcPr>
            <w:tcW w:w="275" w:type="pct"/>
            <w:tcBorders>
              <w:top w:val="nil"/>
              <w:left w:val="nil"/>
              <w:bottom w:val="single" w:sz="8" w:space="0" w:color="auto"/>
              <w:right w:val="single" w:sz="8" w:space="0" w:color="auto"/>
            </w:tcBorders>
            <w:shd w:val="clear" w:color="auto" w:fill="BFBFBF"/>
            <w:noWrap/>
            <w:tcMar>
              <w:top w:w="0" w:type="dxa"/>
              <w:left w:w="108" w:type="dxa"/>
              <w:bottom w:w="0" w:type="dxa"/>
              <w:right w:w="108" w:type="dxa"/>
            </w:tcMar>
            <w:hideMark/>
          </w:tcPr>
          <w:p w14:paraId="19659F7B" w14:textId="77777777" w:rsidR="00AD165E" w:rsidRPr="00ED41B9" w:rsidRDefault="00AD165E">
            <w:pPr>
              <w:jc w:val="right"/>
              <w:rPr>
                <w:rFonts w:cs="Arial"/>
                <w:color w:val="000000"/>
                <w:sz w:val="20"/>
                <w:szCs w:val="20"/>
                <w:lang w:eastAsia="en-GB"/>
              </w:rPr>
            </w:pPr>
            <w:r w:rsidRPr="00ED41B9">
              <w:rPr>
                <w:rFonts w:cs="Arial"/>
                <w:color w:val="000000"/>
                <w:sz w:val="20"/>
                <w:szCs w:val="20"/>
              </w:rPr>
              <w:t>11</w:t>
            </w:r>
          </w:p>
        </w:tc>
        <w:tc>
          <w:tcPr>
            <w:tcW w:w="275" w:type="pct"/>
            <w:tcBorders>
              <w:top w:val="nil"/>
              <w:left w:val="nil"/>
              <w:bottom w:val="single" w:sz="8" w:space="0" w:color="auto"/>
              <w:right w:val="single" w:sz="8" w:space="0" w:color="auto"/>
            </w:tcBorders>
            <w:shd w:val="clear" w:color="auto" w:fill="BFBFBF"/>
            <w:noWrap/>
            <w:tcMar>
              <w:top w:w="0" w:type="dxa"/>
              <w:left w:w="108" w:type="dxa"/>
              <w:bottom w:w="0" w:type="dxa"/>
              <w:right w:w="108" w:type="dxa"/>
            </w:tcMar>
            <w:hideMark/>
          </w:tcPr>
          <w:p w14:paraId="6AA3FDCF" w14:textId="77777777" w:rsidR="00AD165E" w:rsidRPr="00ED41B9" w:rsidRDefault="00AD165E">
            <w:pPr>
              <w:jc w:val="right"/>
              <w:rPr>
                <w:rFonts w:cs="Arial"/>
                <w:color w:val="000000"/>
                <w:sz w:val="20"/>
                <w:szCs w:val="20"/>
                <w:lang w:eastAsia="en-GB"/>
              </w:rPr>
            </w:pPr>
            <w:r w:rsidRPr="00ED41B9">
              <w:rPr>
                <w:rFonts w:cs="Arial"/>
                <w:color w:val="000000"/>
                <w:sz w:val="20"/>
                <w:szCs w:val="20"/>
              </w:rPr>
              <w:t>9</w:t>
            </w:r>
          </w:p>
        </w:tc>
        <w:tc>
          <w:tcPr>
            <w:tcW w:w="275" w:type="pct"/>
            <w:tcBorders>
              <w:top w:val="nil"/>
              <w:left w:val="nil"/>
              <w:bottom w:val="single" w:sz="8" w:space="0" w:color="auto"/>
              <w:right w:val="single" w:sz="8" w:space="0" w:color="auto"/>
            </w:tcBorders>
            <w:shd w:val="clear" w:color="auto" w:fill="BFBFBF"/>
            <w:noWrap/>
            <w:tcMar>
              <w:top w:w="0" w:type="dxa"/>
              <w:left w:w="108" w:type="dxa"/>
              <w:bottom w:w="0" w:type="dxa"/>
              <w:right w:w="108" w:type="dxa"/>
            </w:tcMar>
            <w:hideMark/>
          </w:tcPr>
          <w:p w14:paraId="304CDD05" w14:textId="77777777" w:rsidR="00AD165E" w:rsidRPr="00ED41B9" w:rsidRDefault="00AD165E">
            <w:pPr>
              <w:jc w:val="right"/>
              <w:rPr>
                <w:rFonts w:cs="Arial"/>
                <w:color w:val="000000"/>
                <w:sz w:val="20"/>
                <w:szCs w:val="20"/>
                <w:lang w:eastAsia="en-GB"/>
              </w:rPr>
            </w:pPr>
            <w:r w:rsidRPr="00ED41B9">
              <w:rPr>
                <w:rFonts w:cs="Arial"/>
                <w:color w:val="000000"/>
                <w:sz w:val="20"/>
                <w:szCs w:val="20"/>
              </w:rPr>
              <w:t>7</w:t>
            </w:r>
          </w:p>
        </w:tc>
        <w:tc>
          <w:tcPr>
            <w:tcW w:w="420" w:type="pct"/>
            <w:tcBorders>
              <w:top w:val="nil"/>
              <w:left w:val="nil"/>
              <w:bottom w:val="single" w:sz="8" w:space="0" w:color="auto"/>
              <w:right w:val="single" w:sz="8" w:space="0" w:color="auto"/>
            </w:tcBorders>
            <w:shd w:val="clear" w:color="auto" w:fill="BFBFBF"/>
            <w:noWrap/>
            <w:tcMar>
              <w:top w:w="0" w:type="dxa"/>
              <w:left w:w="108" w:type="dxa"/>
              <w:bottom w:w="0" w:type="dxa"/>
              <w:right w:w="108" w:type="dxa"/>
            </w:tcMar>
            <w:vAlign w:val="bottom"/>
            <w:hideMark/>
          </w:tcPr>
          <w:p w14:paraId="0FC7D519" w14:textId="77777777" w:rsidR="00AD165E" w:rsidRPr="00ED41B9" w:rsidRDefault="00AD165E">
            <w:pPr>
              <w:jc w:val="right"/>
              <w:rPr>
                <w:rFonts w:cs="Arial"/>
                <w:color w:val="000000"/>
                <w:sz w:val="20"/>
                <w:szCs w:val="20"/>
                <w:lang w:eastAsia="en-GB"/>
              </w:rPr>
            </w:pPr>
            <w:r w:rsidRPr="00ED41B9">
              <w:rPr>
                <w:rFonts w:cs="Arial"/>
                <w:color w:val="000000"/>
                <w:sz w:val="20"/>
                <w:szCs w:val="20"/>
                <w:lang w:eastAsia="en-GB"/>
              </w:rPr>
              <w:t>5</w:t>
            </w:r>
          </w:p>
        </w:tc>
        <w:tc>
          <w:tcPr>
            <w:tcW w:w="46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046D01E" w14:textId="77777777" w:rsidR="00AD165E" w:rsidRPr="00ED41B9" w:rsidRDefault="00AD165E">
            <w:pPr>
              <w:jc w:val="right"/>
              <w:rPr>
                <w:rFonts w:cs="Arial"/>
                <w:color w:val="000000"/>
                <w:sz w:val="20"/>
                <w:szCs w:val="20"/>
                <w:lang w:eastAsia="en-GB"/>
              </w:rPr>
            </w:pPr>
            <w:r w:rsidRPr="00ED41B9">
              <w:rPr>
                <w:rFonts w:cs="Arial"/>
                <w:color w:val="000000"/>
                <w:sz w:val="20"/>
                <w:szCs w:val="20"/>
                <w:lang w:eastAsia="en-GB"/>
              </w:rPr>
              <w:t>40</w:t>
            </w:r>
          </w:p>
        </w:tc>
        <w:tc>
          <w:tcPr>
            <w:tcW w:w="59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7AAAC92" w14:textId="77777777" w:rsidR="00AD165E" w:rsidRPr="00ED41B9" w:rsidRDefault="00AD165E">
            <w:pPr>
              <w:jc w:val="right"/>
              <w:rPr>
                <w:rFonts w:cs="Arial"/>
                <w:color w:val="000000"/>
                <w:sz w:val="20"/>
                <w:szCs w:val="20"/>
                <w:lang w:eastAsia="en-GB"/>
              </w:rPr>
            </w:pPr>
            <w:r w:rsidRPr="00ED41B9">
              <w:rPr>
                <w:rFonts w:cs="Arial"/>
                <w:color w:val="000000"/>
                <w:sz w:val="20"/>
                <w:szCs w:val="20"/>
                <w:lang w:eastAsia="en-GB"/>
              </w:rPr>
              <w:t>121</w:t>
            </w:r>
          </w:p>
        </w:tc>
      </w:tr>
      <w:tr w:rsidR="00AD165E" w:rsidRPr="00ED41B9" w14:paraId="2F5525AA" w14:textId="77777777" w:rsidTr="00311554">
        <w:trPr>
          <w:trHeight w:val="225"/>
        </w:trPr>
        <w:tc>
          <w:tcPr>
            <w:tcW w:w="845"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7FDBA74" w14:textId="77777777" w:rsidR="00AD165E" w:rsidRPr="00ED41B9" w:rsidRDefault="00AD165E">
            <w:pPr>
              <w:rPr>
                <w:rFonts w:cs="Arial"/>
                <w:color w:val="000000"/>
                <w:sz w:val="20"/>
                <w:szCs w:val="20"/>
                <w:lang w:eastAsia="en-GB"/>
              </w:rPr>
            </w:pPr>
            <w:r w:rsidRPr="00ED41B9">
              <w:rPr>
                <w:rFonts w:cs="Arial"/>
                <w:color w:val="000000"/>
                <w:sz w:val="20"/>
                <w:szCs w:val="20"/>
                <w:lang w:eastAsia="en-GB"/>
              </w:rPr>
              <w:t>Grand Total</w:t>
            </w:r>
          </w:p>
        </w:tc>
        <w:tc>
          <w:tcPr>
            <w:tcW w:w="199" w:type="pct"/>
            <w:tcBorders>
              <w:top w:val="nil"/>
              <w:left w:val="nil"/>
              <w:bottom w:val="single" w:sz="8" w:space="0" w:color="auto"/>
              <w:right w:val="single" w:sz="8" w:space="0" w:color="auto"/>
            </w:tcBorders>
            <w:noWrap/>
            <w:tcMar>
              <w:top w:w="0" w:type="dxa"/>
              <w:left w:w="108" w:type="dxa"/>
              <w:bottom w:w="0" w:type="dxa"/>
              <w:right w:w="108" w:type="dxa"/>
            </w:tcMar>
            <w:hideMark/>
          </w:tcPr>
          <w:p w14:paraId="4BE6C3A4" w14:textId="77777777" w:rsidR="00AD165E" w:rsidRPr="00ED41B9" w:rsidRDefault="00AD165E">
            <w:pPr>
              <w:jc w:val="right"/>
              <w:rPr>
                <w:rFonts w:cs="Arial"/>
                <w:color w:val="000000"/>
                <w:sz w:val="20"/>
                <w:szCs w:val="20"/>
                <w:lang w:eastAsia="en-GB"/>
              </w:rPr>
            </w:pPr>
            <w:r w:rsidRPr="00ED41B9">
              <w:rPr>
                <w:rFonts w:cs="Arial"/>
                <w:sz w:val="20"/>
                <w:szCs w:val="20"/>
              </w:rPr>
              <w:t>5</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hideMark/>
          </w:tcPr>
          <w:p w14:paraId="6EEC39B3" w14:textId="77777777" w:rsidR="00AD165E" w:rsidRPr="00ED41B9" w:rsidRDefault="00AD165E">
            <w:pPr>
              <w:jc w:val="right"/>
              <w:rPr>
                <w:rFonts w:cs="Arial"/>
                <w:color w:val="000000"/>
                <w:sz w:val="20"/>
                <w:szCs w:val="20"/>
                <w:lang w:eastAsia="en-GB"/>
              </w:rPr>
            </w:pPr>
            <w:r w:rsidRPr="00ED41B9">
              <w:rPr>
                <w:rFonts w:cs="Arial"/>
                <w:sz w:val="20"/>
                <w:szCs w:val="20"/>
              </w:rPr>
              <w:t>53</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hideMark/>
          </w:tcPr>
          <w:p w14:paraId="776E8109" w14:textId="77777777" w:rsidR="00AD165E" w:rsidRPr="00ED41B9" w:rsidRDefault="00AD165E">
            <w:pPr>
              <w:jc w:val="right"/>
              <w:rPr>
                <w:rFonts w:cs="Arial"/>
                <w:color w:val="000000"/>
                <w:sz w:val="20"/>
                <w:szCs w:val="20"/>
                <w:lang w:eastAsia="en-GB"/>
              </w:rPr>
            </w:pPr>
            <w:r w:rsidRPr="00ED41B9">
              <w:rPr>
                <w:rFonts w:cs="Arial"/>
                <w:sz w:val="20"/>
                <w:szCs w:val="20"/>
              </w:rPr>
              <w:t>38</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hideMark/>
          </w:tcPr>
          <w:p w14:paraId="65591D98" w14:textId="77777777" w:rsidR="00AD165E" w:rsidRPr="00ED41B9" w:rsidRDefault="00AD165E">
            <w:pPr>
              <w:jc w:val="right"/>
              <w:rPr>
                <w:rFonts w:cs="Arial"/>
                <w:color w:val="000000"/>
                <w:sz w:val="20"/>
                <w:szCs w:val="20"/>
                <w:lang w:eastAsia="en-GB"/>
              </w:rPr>
            </w:pPr>
            <w:r w:rsidRPr="00ED41B9">
              <w:rPr>
                <w:rFonts w:cs="Arial"/>
                <w:sz w:val="20"/>
                <w:szCs w:val="20"/>
              </w:rPr>
              <w:t>77</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hideMark/>
          </w:tcPr>
          <w:p w14:paraId="26D13CA4" w14:textId="77777777" w:rsidR="00AD165E" w:rsidRPr="00ED41B9" w:rsidRDefault="00AD165E">
            <w:pPr>
              <w:jc w:val="right"/>
              <w:rPr>
                <w:rFonts w:cs="Arial"/>
                <w:color w:val="000000"/>
                <w:sz w:val="20"/>
                <w:szCs w:val="20"/>
                <w:lang w:eastAsia="en-GB"/>
              </w:rPr>
            </w:pPr>
            <w:r w:rsidRPr="00ED41B9">
              <w:rPr>
                <w:rFonts w:cs="Arial"/>
                <w:sz w:val="20"/>
                <w:szCs w:val="20"/>
              </w:rPr>
              <w:t>60</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hideMark/>
          </w:tcPr>
          <w:p w14:paraId="4410330C" w14:textId="77777777" w:rsidR="00AD165E" w:rsidRPr="00ED41B9" w:rsidRDefault="00AD165E">
            <w:pPr>
              <w:jc w:val="right"/>
              <w:rPr>
                <w:rFonts w:cs="Arial"/>
                <w:color w:val="000000"/>
                <w:sz w:val="20"/>
                <w:szCs w:val="20"/>
                <w:lang w:eastAsia="en-GB"/>
              </w:rPr>
            </w:pPr>
            <w:r w:rsidRPr="00ED41B9">
              <w:rPr>
                <w:rFonts w:cs="Arial"/>
                <w:sz w:val="20"/>
                <w:szCs w:val="20"/>
              </w:rPr>
              <w:t>60</w:t>
            </w:r>
          </w:p>
        </w:tc>
        <w:tc>
          <w:tcPr>
            <w:tcW w:w="275" w:type="pct"/>
            <w:tcBorders>
              <w:top w:val="nil"/>
              <w:left w:val="nil"/>
              <w:bottom w:val="single" w:sz="8" w:space="0" w:color="auto"/>
              <w:right w:val="single" w:sz="8" w:space="0" w:color="auto"/>
            </w:tcBorders>
            <w:noWrap/>
            <w:tcMar>
              <w:top w:w="0" w:type="dxa"/>
              <w:left w:w="108" w:type="dxa"/>
              <w:bottom w:w="0" w:type="dxa"/>
              <w:right w:w="108" w:type="dxa"/>
            </w:tcMar>
            <w:hideMark/>
          </w:tcPr>
          <w:p w14:paraId="3C833A89" w14:textId="77777777" w:rsidR="00AD165E" w:rsidRPr="00ED41B9" w:rsidRDefault="00AD165E">
            <w:pPr>
              <w:jc w:val="right"/>
              <w:rPr>
                <w:rFonts w:cs="Arial"/>
                <w:color w:val="000000"/>
                <w:sz w:val="20"/>
                <w:szCs w:val="20"/>
                <w:lang w:eastAsia="en-GB"/>
              </w:rPr>
            </w:pPr>
            <w:r w:rsidRPr="00ED41B9">
              <w:rPr>
                <w:rFonts w:cs="Arial"/>
                <w:sz w:val="20"/>
                <w:szCs w:val="20"/>
              </w:rPr>
              <w:t>41</w:t>
            </w:r>
          </w:p>
        </w:tc>
        <w:tc>
          <w:tcPr>
            <w:tcW w:w="275" w:type="pct"/>
            <w:tcBorders>
              <w:top w:val="nil"/>
              <w:left w:val="nil"/>
              <w:bottom w:val="single" w:sz="8" w:space="0" w:color="auto"/>
              <w:right w:val="single" w:sz="8" w:space="0" w:color="auto"/>
            </w:tcBorders>
            <w:shd w:val="clear" w:color="auto" w:fill="BFBFBF"/>
            <w:noWrap/>
            <w:tcMar>
              <w:top w:w="0" w:type="dxa"/>
              <w:left w:w="108" w:type="dxa"/>
              <w:bottom w:w="0" w:type="dxa"/>
              <w:right w:w="108" w:type="dxa"/>
            </w:tcMar>
            <w:hideMark/>
          </w:tcPr>
          <w:p w14:paraId="1169782F" w14:textId="77777777" w:rsidR="00AD165E" w:rsidRPr="00ED41B9" w:rsidRDefault="00AD165E">
            <w:pPr>
              <w:jc w:val="right"/>
              <w:rPr>
                <w:rFonts w:cs="Arial"/>
                <w:color w:val="000000"/>
                <w:sz w:val="20"/>
                <w:szCs w:val="20"/>
                <w:lang w:eastAsia="en-GB"/>
              </w:rPr>
            </w:pPr>
            <w:r w:rsidRPr="00ED41B9">
              <w:rPr>
                <w:rFonts w:cs="Arial"/>
                <w:color w:val="000000"/>
                <w:sz w:val="20"/>
                <w:szCs w:val="20"/>
              </w:rPr>
              <w:t>36</w:t>
            </w:r>
          </w:p>
        </w:tc>
        <w:tc>
          <w:tcPr>
            <w:tcW w:w="275" w:type="pct"/>
            <w:tcBorders>
              <w:top w:val="nil"/>
              <w:left w:val="nil"/>
              <w:bottom w:val="single" w:sz="8" w:space="0" w:color="auto"/>
              <w:right w:val="single" w:sz="8" w:space="0" w:color="auto"/>
            </w:tcBorders>
            <w:shd w:val="clear" w:color="auto" w:fill="BFBFBF"/>
            <w:noWrap/>
            <w:tcMar>
              <w:top w:w="0" w:type="dxa"/>
              <w:left w:w="108" w:type="dxa"/>
              <w:bottom w:w="0" w:type="dxa"/>
              <w:right w:w="108" w:type="dxa"/>
            </w:tcMar>
            <w:hideMark/>
          </w:tcPr>
          <w:p w14:paraId="16345175" w14:textId="77777777" w:rsidR="00AD165E" w:rsidRPr="00ED41B9" w:rsidRDefault="00AD165E">
            <w:pPr>
              <w:jc w:val="right"/>
              <w:rPr>
                <w:rFonts w:cs="Arial"/>
                <w:color w:val="000000"/>
                <w:sz w:val="20"/>
                <w:szCs w:val="20"/>
                <w:lang w:eastAsia="en-GB"/>
              </w:rPr>
            </w:pPr>
            <w:r w:rsidRPr="00ED41B9">
              <w:rPr>
                <w:rFonts w:cs="Arial"/>
                <w:color w:val="000000"/>
                <w:sz w:val="20"/>
                <w:szCs w:val="20"/>
              </w:rPr>
              <w:t>25</w:t>
            </w:r>
          </w:p>
        </w:tc>
        <w:tc>
          <w:tcPr>
            <w:tcW w:w="275" w:type="pct"/>
            <w:tcBorders>
              <w:top w:val="nil"/>
              <w:left w:val="nil"/>
              <w:bottom w:val="single" w:sz="8" w:space="0" w:color="auto"/>
              <w:right w:val="single" w:sz="8" w:space="0" w:color="auto"/>
            </w:tcBorders>
            <w:shd w:val="clear" w:color="auto" w:fill="BFBFBF"/>
            <w:noWrap/>
            <w:tcMar>
              <w:top w:w="0" w:type="dxa"/>
              <w:left w:w="108" w:type="dxa"/>
              <w:bottom w:w="0" w:type="dxa"/>
              <w:right w:w="108" w:type="dxa"/>
            </w:tcMar>
            <w:hideMark/>
          </w:tcPr>
          <w:p w14:paraId="7025B9B0" w14:textId="77777777" w:rsidR="00AD165E" w:rsidRPr="00ED41B9" w:rsidRDefault="00AD165E">
            <w:pPr>
              <w:jc w:val="right"/>
              <w:rPr>
                <w:rFonts w:cs="Arial"/>
                <w:color w:val="000000"/>
                <w:sz w:val="20"/>
                <w:szCs w:val="20"/>
                <w:lang w:eastAsia="en-GB"/>
              </w:rPr>
            </w:pPr>
            <w:r w:rsidRPr="00ED41B9">
              <w:rPr>
                <w:rFonts w:cs="Arial"/>
                <w:color w:val="000000"/>
                <w:sz w:val="20"/>
                <w:szCs w:val="20"/>
              </w:rPr>
              <w:t>15</w:t>
            </w:r>
          </w:p>
        </w:tc>
        <w:tc>
          <w:tcPr>
            <w:tcW w:w="420" w:type="pct"/>
            <w:tcBorders>
              <w:top w:val="nil"/>
              <w:left w:val="nil"/>
              <w:bottom w:val="single" w:sz="8" w:space="0" w:color="auto"/>
              <w:right w:val="single" w:sz="8" w:space="0" w:color="auto"/>
            </w:tcBorders>
            <w:shd w:val="clear" w:color="auto" w:fill="BFBFBF"/>
            <w:noWrap/>
            <w:tcMar>
              <w:top w:w="0" w:type="dxa"/>
              <w:left w:w="108" w:type="dxa"/>
              <w:bottom w:w="0" w:type="dxa"/>
              <w:right w:w="108" w:type="dxa"/>
            </w:tcMar>
            <w:vAlign w:val="bottom"/>
            <w:hideMark/>
          </w:tcPr>
          <w:p w14:paraId="72517A03" w14:textId="77777777" w:rsidR="00AD165E" w:rsidRPr="00ED41B9" w:rsidRDefault="00AD165E">
            <w:pPr>
              <w:jc w:val="right"/>
              <w:rPr>
                <w:rFonts w:cs="Arial"/>
                <w:color w:val="000000"/>
                <w:sz w:val="20"/>
                <w:szCs w:val="20"/>
                <w:lang w:eastAsia="en-GB"/>
              </w:rPr>
            </w:pPr>
            <w:r w:rsidRPr="00ED41B9">
              <w:rPr>
                <w:rFonts w:cs="Arial"/>
                <w:color w:val="000000"/>
                <w:sz w:val="20"/>
                <w:szCs w:val="20"/>
                <w:lang w:eastAsia="en-GB"/>
              </w:rPr>
              <w:t>12</w:t>
            </w:r>
          </w:p>
        </w:tc>
        <w:tc>
          <w:tcPr>
            <w:tcW w:w="46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AC2C6A4" w14:textId="77777777" w:rsidR="00AD165E" w:rsidRPr="00ED41B9" w:rsidRDefault="00AD165E">
            <w:pPr>
              <w:jc w:val="right"/>
              <w:rPr>
                <w:rFonts w:cs="Arial"/>
                <w:color w:val="000000"/>
                <w:sz w:val="20"/>
                <w:szCs w:val="20"/>
                <w:lang w:eastAsia="en-GB"/>
              </w:rPr>
            </w:pPr>
            <w:r w:rsidRPr="00ED41B9">
              <w:rPr>
                <w:rFonts w:cs="Arial"/>
                <w:color w:val="000000"/>
                <w:sz w:val="20"/>
                <w:szCs w:val="20"/>
                <w:lang w:eastAsia="en-GB"/>
              </w:rPr>
              <w:t>101</w:t>
            </w:r>
          </w:p>
        </w:tc>
        <w:tc>
          <w:tcPr>
            <w:tcW w:w="595" w:type="pct"/>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D4B5DAA" w14:textId="77777777" w:rsidR="00AD165E" w:rsidRPr="00ED41B9" w:rsidRDefault="00AD165E">
            <w:pPr>
              <w:jc w:val="right"/>
              <w:rPr>
                <w:rFonts w:cs="Arial"/>
                <w:color w:val="000000"/>
                <w:sz w:val="20"/>
                <w:szCs w:val="20"/>
                <w:lang w:eastAsia="en-GB"/>
              </w:rPr>
            </w:pPr>
            <w:r w:rsidRPr="00ED41B9">
              <w:rPr>
                <w:rFonts w:cs="Arial"/>
                <w:color w:val="000000"/>
                <w:sz w:val="20"/>
                <w:szCs w:val="20"/>
                <w:lang w:eastAsia="en-GB"/>
              </w:rPr>
              <w:t>523</w:t>
            </w:r>
          </w:p>
        </w:tc>
      </w:tr>
    </w:tbl>
    <w:p w14:paraId="7C2D0884" w14:textId="3FD5699B" w:rsidR="001C0486" w:rsidRDefault="001C0486" w:rsidP="006B1013">
      <w:pPr>
        <w:pStyle w:val="Heading3"/>
      </w:pPr>
      <w:bookmarkStart w:id="181" w:name="_Toc163136043"/>
      <w:bookmarkStart w:id="182" w:name="_Toc164470291"/>
      <w:bookmarkStart w:id="183" w:name="_Toc164814711"/>
      <w:bookmarkStart w:id="184" w:name="_Toc164814851"/>
      <w:bookmarkStart w:id="185" w:name="_Toc164814912"/>
      <w:r w:rsidRPr="00612517">
        <w:t>Sickness absence data</w:t>
      </w:r>
      <w:bookmarkEnd w:id="180"/>
      <w:bookmarkEnd w:id="181"/>
      <w:bookmarkEnd w:id="182"/>
      <w:bookmarkEnd w:id="183"/>
      <w:bookmarkEnd w:id="184"/>
      <w:bookmarkEnd w:id="185"/>
    </w:p>
    <w:tbl>
      <w:tblPr>
        <w:tblW w:w="0" w:type="auto"/>
        <w:tblCellMar>
          <w:left w:w="0" w:type="dxa"/>
          <w:right w:w="0" w:type="dxa"/>
        </w:tblCellMar>
        <w:tblLook w:val="04A0" w:firstRow="1" w:lastRow="0" w:firstColumn="1" w:lastColumn="0" w:noHBand="0" w:noVBand="1"/>
      </w:tblPr>
      <w:tblGrid>
        <w:gridCol w:w="1395"/>
        <w:gridCol w:w="1450"/>
        <w:gridCol w:w="1116"/>
        <w:gridCol w:w="1217"/>
      </w:tblGrid>
      <w:tr w:rsidR="00C6058F" w:rsidRPr="00ED41B9" w14:paraId="20B9265B" w14:textId="77777777" w:rsidTr="00C6058F">
        <w:tc>
          <w:tcPr>
            <w:tcW w:w="0" w:type="auto"/>
            <w:tcBorders>
              <w:top w:val="single" w:sz="8" w:space="0" w:color="auto"/>
              <w:left w:val="single" w:sz="8" w:space="0" w:color="auto"/>
              <w:bottom w:val="single" w:sz="8" w:space="0" w:color="auto"/>
              <w:right w:val="single" w:sz="8" w:space="0" w:color="auto"/>
            </w:tcBorders>
            <w:tcMar>
              <w:top w:w="108" w:type="dxa"/>
              <w:left w:w="108" w:type="dxa"/>
              <w:bottom w:w="108" w:type="dxa"/>
              <w:right w:w="108" w:type="dxa"/>
            </w:tcMar>
          </w:tcPr>
          <w:p w14:paraId="5F398592" w14:textId="77777777" w:rsidR="00C6058F" w:rsidRPr="00ED41B9" w:rsidRDefault="00C6058F" w:rsidP="00C6058F">
            <w:pPr>
              <w:spacing w:before="0" w:after="0"/>
              <w:rPr>
                <w:rFonts w:ascii="Calibri" w:hAnsi="Calibri"/>
                <w:sz w:val="20"/>
                <w:szCs w:val="18"/>
              </w:rPr>
            </w:pPr>
            <w:r w:rsidRPr="00ED41B9">
              <w:rPr>
                <w:sz w:val="20"/>
                <w:szCs w:val="18"/>
              </w:rPr>
              <w:t>Average FTE</w:t>
            </w:r>
          </w:p>
          <w:p w14:paraId="3CC609A1" w14:textId="77777777" w:rsidR="00C6058F" w:rsidRPr="00ED41B9" w:rsidRDefault="00C6058F" w:rsidP="00C6058F">
            <w:pPr>
              <w:spacing w:before="0" w:after="0"/>
              <w:rPr>
                <w:sz w:val="20"/>
                <w:szCs w:val="18"/>
              </w:rPr>
            </w:pPr>
          </w:p>
        </w:tc>
        <w:tc>
          <w:tcPr>
            <w:tcW w:w="0" w:type="auto"/>
            <w:tcBorders>
              <w:top w:val="single" w:sz="8" w:space="0" w:color="auto"/>
              <w:left w:val="nil"/>
              <w:bottom w:val="single" w:sz="8" w:space="0" w:color="auto"/>
              <w:right w:val="single" w:sz="8" w:space="0" w:color="auto"/>
            </w:tcBorders>
            <w:tcMar>
              <w:top w:w="108" w:type="dxa"/>
              <w:left w:w="108" w:type="dxa"/>
              <w:bottom w:w="108" w:type="dxa"/>
              <w:right w:w="108" w:type="dxa"/>
            </w:tcMar>
          </w:tcPr>
          <w:p w14:paraId="146C4C4B" w14:textId="77777777" w:rsidR="00C6058F" w:rsidRPr="00ED41B9" w:rsidRDefault="00C6058F" w:rsidP="00C6058F">
            <w:pPr>
              <w:spacing w:before="0" w:after="0"/>
              <w:rPr>
                <w:sz w:val="20"/>
                <w:szCs w:val="18"/>
              </w:rPr>
            </w:pPr>
            <w:r w:rsidRPr="00ED41B9">
              <w:rPr>
                <w:sz w:val="20"/>
                <w:szCs w:val="18"/>
              </w:rPr>
              <w:t xml:space="preserve">Average Sick </w:t>
            </w:r>
          </w:p>
          <w:p w14:paraId="19B794D1" w14:textId="77777777" w:rsidR="00C6058F" w:rsidRPr="00ED41B9" w:rsidRDefault="00C6058F" w:rsidP="00C6058F">
            <w:pPr>
              <w:spacing w:before="0" w:after="0"/>
              <w:rPr>
                <w:sz w:val="20"/>
                <w:szCs w:val="18"/>
              </w:rPr>
            </w:pPr>
            <w:r w:rsidRPr="00ED41B9">
              <w:rPr>
                <w:sz w:val="20"/>
                <w:szCs w:val="18"/>
              </w:rPr>
              <w:t>Days per FTE</w:t>
            </w:r>
          </w:p>
          <w:p w14:paraId="32D4D8EA" w14:textId="77777777" w:rsidR="00C6058F" w:rsidRPr="00ED41B9" w:rsidRDefault="00C6058F" w:rsidP="00C6058F">
            <w:pPr>
              <w:spacing w:before="0" w:after="0"/>
              <w:rPr>
                <w:sz w:val="20"/>
                <w:szCs w:val="18"/>
              </w:rPr>
            </w:pPr>
          </w:p>
        </w:tc>
        <w:tc>
          <w:tcPr>
            <w:tcW w:w="0" w:type="auto"/>
            <w:tcBorders>
              <w:top w:val="single" w:sz="8" w:space="0" w:color="auto"/>
              <w:left w:val="nil"/>
              <w:bottom w:val="single" w:sz="8" w:space="0" w:color="auto"/>
              <w:right w:val="single" w:sz="8" w:space="0" w:color="auto"/>
            </w:tcBorders>
            <w:tcMar>
              <w:top w:w="108" w:type="dxa"/>
              <w:left w:w="108" w:type="dxa"/>
              <w:bottom w:w="108" w:type="dxa"/>
              <w:right w:w="108" w:type="dxa"/>
            </w:tcMar>
            <w:hideMark/>
          </w:tcPr>
          <w:p w14:paraId="2A924B52" w14:textId="77777777" w:rsidR="00C6058F" w:rsidRPr="00ED41B9" w:rsidRDefault="00C6058F" w:rsidP="00C6058F">
            <w:pPr>
              <w:spacing w:before="0" w:after="0"/>
              <w:rPr>
                <w:sz w:val="20"/>
                <w:szCs w:val="18"/>
              </w:rPr>
            </w:pPr>
            <w:r w:rsidRPr="00ED41B9">
              <w:rPr>
                <w:sz w:val="20"/>
                <w:szCs w:val="18"/>
              </w:rPr>
              <w:t xml:space="preserve">FTE-Days </w:t>
            </w:r>
          </w:p>
          <w:p w14:paraId="4960591D" w14:textId="77777777" w:rsidR="00C6058F" w:rsidRPr="00ED41B9" w:rsidRDefault="00C6058F" w:rsidP="00C6058F">
            <w:pPr>
              <w:spacing w:before="0" w:after="0"/>
              <w:rPr>
                <w:sz w:val="20"/>
                <w:szCs w:val="18"/>
              </w:rPr>
            </w:pPr>
            <w:r w:rsidRPr="00ED41B9">
              <w:rPr>
                <w:sz w:val="20"/>
                <w:szCs w:val="18"/>
              </w:rPr>
              <w:t xml:space="preserve">recorded </w:t>
            </w:r>
          </w:p>
          <w:p w14:paraId="10477C96" w14:textId="77777777" w:rsidR="00C6058F" w:rsidRPr="00ED41B9" w:rsidRDefault="00C6058F" w:rsidP="00C6058F">
            <w:pPr>
              <w:spacing w:before="0" w:after="0"/>
              <w:rPr>
                <w:sz w:val="20"/>
                <w:szCs w:val="18"/>
              </w:rPr>
            </w:pPr>
            <w:r w:rsidRPr="00ED41B9">
              <w:rPr>
                <w:sz w:val="20"/>
                <w:szCs w:val="18"/>
              </w:rPr>
              <w:t xml:space="preserve">Sickness </w:t>
            </w:r>
          </w:p>
          <w:p w14:paraId="2183522C" w14:textId="77777777" w:rsidR="00C6058F" w:rsidRPr="00ED41B9" w:rsidRDefault="00C6058F" w:rsidP="00C6058F">
            <w:pPr>
              <w:spacing w:before="0" w:after="0"/>
              <w:rPr>
                <w:sz w:val="20"/>
                <w:szCs w:val="18"/>
              </w:rPr>
            </w:pPr>
            <w:r w:rsidRPr="00ED41B9">
              <w:rPr>
                <w:sz w:val="20"/>
                <w:szCs w:val="18"/>
              </w:rPr>
              <w:t>Absence</w:t>
            </w:r>
          </w:p>
        </w:tc>
        <w:tc>
          <w:tcPr>
            <w:tcW w:w="0" w:type="auto"/>
            <w:tcBorders>
              <w:top w:val="single" w:sz="8" w:space="0" w:color="auto"/>
              <w:left w:val="nil"/>
              <w:bottom w:val="single" w:sz="8" w:space="0" w:color="auto"/>
              <w:right w:val="single" w:sz="8" w:space="0" w:color="auto"/>
            </w:tcBorders>
            <w:tcMar>
              <w:top w:w="108" w:type="dxa"/>
              <w:left w:w="108" w:type="dxa"/>
              <w:bottom w:w="108" w:type="dxa"/>
              <w:right w:w="108" w:type="dxa"/>
            </w:tcMar>
          </w:tcPr>
          <w:p w14:paraId="45F426FE" w14:textId="77777777" w:rsidR="00C6058F" w:rsidRPr="00ED41B9" w:rsidRDefault="00C6058F" w:rsidP="00C6058F">
            <w:pPr>
              <w:spacing w:before="0" w:after="0"/>
              <w:rPr>
                <w:sz w:val="20"/>
                <w:szCs w:val="18"/>
              </w:rPr>
            </w:pPr>
            <w:r w:rsidRPr="00ED41B9">
              <w:rPr>
                <w:sz w:val="20"/>
                <w:szCs w:val="18"/>
              </w:rPr>
              <w:t xml:space="preserve">FTE-Days </w:t>
            </w:r>
          </w:p>
          <w:p w14:paraId="4288C347" w14:textId="77777777" w:rsidR="00C6058F" w:rsidRPr="00ED41B9" w:rsidRDefault="00C6058F" w:rsidP="00C6058F">
            <w:pPr>
              <w:spacing w:before="0" w:after="0"/>
              <w:rPr>
                <w:sz w:val="20"/>
                <w:szCs w:val="18"/>
              </w:rPr>
            </w:pPr>
            <w:r w:rsidRPr="00ED41B9">
              <w:rPr>
                <w:sz w:val="20"/>
                <w:szCs w:val="18"/>
              </w:rPr>
              <w:t xml:space="preserve">Available </w:t>
            </w:r>
          </w:p>
          <w:p w14:paraId="13B84EF1" w14:textId="77777777" w:rsidR="00C6058F" w:rsidRPr="00ED41B9" w:rsidRDefault="00C6058F" w:rsidP="00C6058F">
            <w:pPr>
              <w:spacing w:before="0" w:after="0"/>
              <w:rPr>
                <w:sz w:val="20"/>
                <w:szCs w:val="18"/>
              </w:rPr>
            </w:pPr>
          </w:p>
        </w:tc>
      </w:tr>
      <w:tr w:rsidR="00C6058F" w:rsidRPr="00ED41B9" w14:paraId="6397E054" w14:textId="77777777" w:rsidTr="00C6058F">
        <w:tc>
          <w:tcPr>
            <w:tcW w:w="0" w:type="auto"/>
            <w:tcBorders>
              <w:top w:val="nil"/>
              <w:left w:val="single" w:sz="8" w:space="0" w:color="auto"/>
              <w:bottom w:val="single" w:sz="8" w:space="0" w:color="auto"/>
              <w:right w:val="single" w:sz="8" w:space="0" w:color="auto"/>
            </w:tcBorders>
            <w:tcMar>
              <w:top w:w="108" w:type="dxa"/>
              <w:left w:w="108" w:type="dxa"/>
              <w:bottom w:w="108" w:type="dxa"/>
              <w:right w:w="108" w:type="dxa"/>
            </w:tcMar>
            <w:hideMark/>
          </w:tcPr>
          <w:p w14:paraId="7A012A60" w14:textId="77777777" w:rsidR="00C6058F" w:rsidRPr="00ED41B9" w:rsidRDefault="00C6058F" w:rsidP="00C6058F">
            <w:pPr>
              <w:spacing w:before="0" w:after="0"/>
              <w:rPr>
                <w:sz w:val="20"/>
                <w:szCs w:val="18"/>
              </w:rPr>
            </w:pPr>
            <w:r w:rsidRPr="00ED41B9">
              <w:rPr>
                <w:sz w:val="20"/>
                <w:szCs w:val="18"/>
              </w:rPr>
              <w:t>431.39</w:t>
            </w:r>
          </w:p>
        </w:tc>
        <w:tc>
          <w:tcPr>
            <w:tcW w:w="0" w:type="auto"/>
            <w:tcBorders>
              <w:top w:val="nil"/>
              <w:left w:val="nil"/>
              <w:bottom w:val="single" w:sz="8" w:space="0" w:color="auto"/>
              <w:right w:val="single" w:sz="8" w:space="0" w:color="auto"/>
            </w:tcBorders>
            <w:tcMar>
              <w:top w:w="108" w:type="dxa"/>
              <w:left w:w="108" w:type="dxa"/>
              <w:bottom w:w="108" w:type="dxa"/>
              <w:right w:w="108" w:type="dxa"/>
            </w:tcMar>
            <w:hideMark/>
          </w:tcPr>
          <w:p w14:paraId="19C3A35B" w14:textId="77777777" w:rsidR="00C6058F" w:rsidRPr="00ED41B9" w:rsidRDefault="00C6058F" w:rsidP="00C6058F">
            <w:pPr>
              <w:spacing w:before="0" w:after="0"/>
              <w:rPr>
                <w:sz w:val="20"/>
                <w:szCs w:val="18"/>
              </w:rPr>
            </w:pPr>
            <w:r w:rsidRPr="00ED41B9">
              <w:rPr>
                <w:sz w:val="20"/>
                <w:szCs w:val="18"/>
              </w:rPr>
              <w:t>14.26</w:t>
            </w:r>
          </w:p>
        </w:tc>
        <w:tc>
          <w:tcPr>
            <w:tcW w:w="0" w:type="auto"/>
            <w:tcBorders>
              <w:top w:val="nil"/>
              <w:left w:val="nil"/>
              <w:bottom w:val="single" w:sz="8" w:space="0" w:color="auto"/>
              <w:right w:val="single" w:sz="8" w:space="0" w:color="auto"/>
            </w:tcBorders>
            <w:tcMar>
              <w:top w:w="108" w:type="dxa"/>
              <w:left w:w="108" w:type="dxa"/>
              <w:bottom w:w="108" w:type="dxa"/>
              <w:right w:w="108" w:type="dxa"/>
            </w:tcMar>
            <w:hideMark/>
          </w:tcPr>
          <w:p w14:paraId="015EA4EB" w14:textId="77777777" w:rsidR="00C6058F" w:rsidRPr="00ED41B9" w:rsidRDefault="00C6058F" w:rsidP="00C6058F">
            <w:pPr>
              <w:spacing w:before="0" w:after="0"/>
              <w:rPr>
                <w:sz w:val="20"/>
                <w:szCs w:val="18"/>
              </w:rPr>
            </w:pPr>
            <w:r w:rsidRPr="00ED41B9">
              <w:rPr>
                <w:sz w:val="20"/>
                <w:szCs w:val="18"/>
              </w:rPr>
              <w:t>6151.19</w:t>
            </w:r>
          </w:p>
        </w:tc>
        <w:tc>
          <w:tcPr>
            <w:tcW w:w="0" w:type="auto"/>
            <w:tcBorders>
              <w:top w:val="nil"/>
              <w:left w:val="nil"/>
              <w:bottom w:val="single" w:sz="8" w:space="0" w:color="auto"/>
              <w:right w:val="single" w:sz="8" w:space="0" w:color="auto"/>
            </w:tcBorders>
            <w:tcMar>
              <w:top w:w="108" w:type="dxa"/>
              <w:left w:w="108" w:type="dxa"/>
              <w:bottom w:w="108" w:type="dxa"/>
              <w:right w:w="108" w:type="dxa"/>
            </w:tcMar>
            <w:hideMark/>
          </w:tcPr>
          <w:p w14:paraId="26E96A18" w14:textId="77777777" w:rsidR="00C6058F" w:rsidRPr="00ED41B9" w:rsidRDefault="00C6058F" w:rsidP="00C6058F">
            <w:pPr>
              <w:spacing w:before="0" w:after="0"/>
              <w:rPr>
                <w:sz w:val="20"/>
                <w:szCs w:val="18"/>
              </w:rPr>
            </w:pPr>
            <w:r w:rsidRPr="00ED41B9">
              <w:rPr>
                <w:sz w:val="20"/>
                <w:szCs w:val="18"/>
              </w:rPr>
              <w:t>157,890.26</w:t>
            </w:r>
          </w:p>
        </w:tc>
      </w:tr>
    </w:tbl>
    <w:p w14:paraId="1DCF366C" w14:textId="09811D23" w:rsidR="008B07E2" w:rsidRPr="008B07E2" w:rsidRDefault="008B07E2" w:rsidP="006B1013">
      <w:pPr>
        <w:pStyle w:val="Heading3"/>
        <w:rPr>
          <w:b w:val="0"/>
          <w:bCs w:val="0"/>
        </w:rPr>
      </w:pPr>
      <w:bookmarkStart w:id="186" w:name="_Toc164814712"/>
      <w:bookmarkStart w:id="187" w:name="_Toc164814852"/>
      <w:bookmarkStart w:id="188" w:name="_Toc164814913"/>
      <w:bookmarkStart w:id="189" w:name="_Toc133356681"/>
      <w:bookmarkStart w:id="190" w:name="_Toc163136044"/>
      <w:bookmarkStart w:id="191" w:name="_Toc164470292"/>
      <w:r w:rsidRPr="008B07E2">
        <w:rPr>
          <w:b w:val="0"/>
          <w:bCs w:val="0"/>
        </w:rPr>
        <w:lastRenderedPageBreak/>
        <w:t>Sickness absence data can be found here</w:t>
      </w:r>
      <w:r w:rsidRPr="000654D7">
        <w:rPr>
          <w:b w:val="0"/>
          <w:bCs w:val="0"/>
        </w:rPr>
        <w:t xml:space="preserve">: </w:t>
      </w:r>
      <w:hyperlink r:id="rId57" w:history="1">
        <w:r w:rsidR="000654D7" w:rsidRPr="000654D7">
          <w:rPr>
            <w:rStyle w:val="Hyperlink"/>
            <w:b w:val="0"/>
            <w:bCs w:val="0"/>
          </w:rPr>
          <w:t>https://digital.nhs.uk/data-and-information/publications/statistical/nhs-sickness-absence-rates</w:t>
        </w:r>
        <w:bookmarkEnd w:id="186"/>
        <w:bookmarkEnd w:id="187"/>
        <w:bookmarkEnd w:id="188"/>
      </w:hyperlink>
    </w:p>
    <w:p w14:paraId="4211FEBD" w14:textId="1BE43B9A" w:rsidR="00F80E80" w:rsidRDefault="001C0486" w:rsidP="006B1013">
      <w:pPr>
        <w:pStyle w:val="Heading3"/>
        <w:rPr>
          <w:noProof/>
        </w:rPr>
      </w:pPr>
      <w:bookmarkStart w:id="192" w:name="_Toc164814713"/>
      <w:bookmarkStart w:id="193" w:name="_Toc164814853"/>
      <w:bookmarkStart w:id="194" w:name="_Toc164814914"/>
      <w:r>
        <w:t>Staff turnover percentages</w:t>
      </w:r>
      <w:bookmarkStart w:id="195" w:name="_Toc133356682"/>
      <w:bookmarkEnd w:id="189"/>
      <w:bookmarkEnd w:id="190"/>
      <w:bookmarkEnd w:id="191"/>
      <w:bookmarkEnd w:id="192"/>
      <w:bookmarkEnd w:id="193"/>
      <w:bookmarkEnd w:id="194"/>
    </w:p>
    <w:p w14:paraId="5C02955B" w14:textId="0476453D" w:rsidR="005F1902" w:rsidRDefault="005F1902" w:rsidP="008F67EF">
      <w:pPr>
        <w:spacing w:line="360" w:lineRule="auto"/>
        <w:rPr>
          <w:rFonts w:cs="Arial"/>
          <w:szCs w:val="24"/>
          <w:highlight w:val="yellow"/>
        </w:rPr>
      </w:pPr>
      <w:r>
        <w:rPr>
          <w:noProof/>
        </w:rPr>
        <w:drawing>
          <wp:inline distT="0" distB="0" distL="0" distR="0" wp14:anchorId="3150C5EA" wp14:editId="3CF7D912">
            <wp:extent cx="4581525" cy="2752725"/>
            <wp:effectExtent l="0" t="0" r="9525" b="9525"/>
            <wp:docPr id="63" name="Picture 63" descr="Bar chart showing staff turnover perce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Bar chart showing staff turnover percentages."/>
                    <pic:cNvPicPr>
                      <a:picLocks noChangeAspect="1" noChangeArrowheads="1"/>
                    </pic:cNvPicPr>
                  </pic:nvPicPr>
                  <pic:blipFill>
                    <a:blip r:embed="rId58" r:link="rId59">
                      <a:extLst>
                        <a:ext uri="{28A0092B-C50C-407E-A947-70E740481C1C}">
                          <a14:useLocalDpi xmlns:a14="http://schemas.microsoft.com/office/drawing/2010/main" val="0"/>
                        </a:ext>
                      </a:extLst>
                    </a:blip>
                    <a:srcRect/>
                    <a:stretch>
                      <a:fillRect/>
                    </a:stretch>
                  </pic:blipFill>
                  <pic:spPr bwMode="auto">
                    <a:xfrm>
                      <a:off x="0" y="0"/>
                      <a:ext cx="4581525" cy="2752725"/>
                    </a:xfrm>
                    <a:prstGeom prst="rect">
                      <a:avLst/>
                    </a:prstGeom>
                    <a:noFill/>
                    <a:ln>
                      <a:noFill/>
                    </a:ln>
                  </pic:spPr>
                </pic:pic>
              </a:graphicData>
            </a:graphic>
          </wp:inline>
        </w:drawing>
      </w:r>
    </w:p>
    <w:p w14:paraId="176680A4" w14:textId="2F6EA08D" w:rsidR="001C0486" w:rsidRPr="00612517" w:rsidRDefault="001C0486" w:rsidP="006B1013">
      <w:pPr>
        <w:pStyle w:val="Heading3"/>
        <w:rPr>
          <w:i/>
        </w:rPr>
      </w:pPr>
      <w:bookmarkStart w:id="196" w:name="_Toc163136045"/>
      <w:bookmarkStart w:id="197" w:name="_Toc164470293"/>
      <w:bookmarkStart w:id="198" w:name="_Toc164814714"/>
      <w:bookmarkStart w:id="199" w:name="_Toc164814854"/>
      <w:bookmarkStart w:id="200" w:name="_Toc164814915"/>
      <w:r>
        <w:t>Staff engagement percentages</w:t>
      </w:r>
      <w:bookmarkEnd w:id="195"/>
      <w:bookmarkEnd w:id="196"/>
      <w:bookmarkEnd w:id="197"/>
      <w:bookmarkEnd w:id="198"/>
      <w:bookmarkEnd w:id="199"/>
      <w:bookmarkEnd w:id="200"/>
    </w:p>
    <w:p w14:paraId="0E08651E" w14:textId="2F2AAC64" w:rsidR="00F64B91" w:rsidRPr="00443E4A" w:rsidRDefault="00471C4B" w:rsidP="00F64B91">
      <w:pPr>
        <w:pStyle w:val="BodyText"/>
        <w:overflowPunct w:val="0"/>
        <w:ind w:right="278"/>
      </w:pPr>
      <w:bookmarkStart w:id="201" w:name="_Toc133356683"/>
      <w:r>
        <w:t>MSE</w:t>
      </w:r>
      <w:r w:rsidR="00F64B91" w:rsidRPr="00443E4A">
        <w:t xml:space="preserve"> ICB participated in the NHS Staff Survey and the results have been presented across joint </w:t>
      </w:r>
      <w:r w:rsidR="45A85793">
        <w:t>d</w:t>
      </w:r>
      <w:r w:rsidR="00F64B91" w:rsidRPr="00443E4A">
        <w:t xml:space="preserve">irectorates and teams. The ICBs chose Picker to run the survey and results were published nationally on </w:t>
      </w:r>
      <w:r w:rsidR="00F64B91">
        <w:t>7</w:t>
      </w:r>
      <w:r w:rsidR="00F64B91" w:rsidRPr="00917AEF">
        <w:rPr>
          <w:vertAlign w:val="superscript"/>
        </w:rPr>
        <w:t>th</w:t>
      </w:r>
      <w:r w:rsidR="00F64B91" w:rsidRPr="00443E4A">
        <w:t xml:space="preserve"> March 2024</w:t>
      </w:r>
      <w:r w:rsidR="00252F3D">
        <w:t>.</w:t>
      </w:r>
    </w:p>
    <w:p w14:paraId="106F4DC3" w14:textId="132440C9" w:rsidR="00F64B91" w:rsidRPr="00443E4A" w:rsidRDefault="00F64B91" w:rsidP="00F64B91">
      <w:pPr>
        <w:pStyle w:val="BodyText"/>
        <w:overflowPunct w:val="0"/>
        <w:spacing w:before="1"/>
        <w:ind w:right="168"/>
      </w:pPr>
      <w:r w:rsidRPr="00443E4A">
        <w:t xml:space="preserve">The ICB had a response rate of 62%. Whilst this </w:t>
      </w:r>
      <w:r w:rsidR="0063487B">
        <w:t>wa</w:t>
      </w:r>
      <w:r w:rsidRPr="00443E4A">
        <w:t xml:space="preserve">s 2% lower than the previous year it </w:t>
      </w:r>
      <w:r w:rsidR="00252F3D">
        <w:t>wa</w:t>
      </w:r>
      <w:r w:rsidRPr="00443E4A">
        <w:t>s significant as</w:t>
      </w:r>
      <w:r w:rsidR="0063487B">
        <w:t>,</w:t>
      </w:r>
      <w:r w:rsidRPr="00443E4A">
        <w:t xml:space="preserve"> </w:t>
      </w:r>
      <w:r w:rsidR="0063487B">
        <w:t xml:space="preserve">at the time, </w:t>
      </w:r>
      <w:r w:rsidRPr="00443E4A">
        <w:t xml:space="preserve">the ICB was </w:t>
      </w:r>
      <w:r w:rsidR="0063487B">
        <w:t>undergoing</w:t>
      </w:r>
      <w:r w:rsidRPr="00443E4A">
        <w:t xml:space="preserve"> a </w:t>
      </w:r>
      <w:r w:rsidR="002B3591">
        <w:t>large-scale</w:t>
      </w:r>
      <w:r w:rsidRPr="00443E4A">
        <w:t xml:space="preserve"> organisational change programme that </w:t>
      </w:r>
      <w:r w:rsidR="002B3591">
        <w:t>saw</w:t>
      </w:r>
      <w:r w:rsidRPr="00443E4A">
        <w:t xml:space="preserve"> nearly 100 staff leave </w:t>
      </w:r>
      <w:r w:rsidR="002B3591">
        <w:t xml:space="preserve">the </w:t>
      </w:r>
      <w:r w:rsidRPr="00443E4A">
        <w:t xml:space="preserve">ICB because of voluntary resignation, voluntary redundancy, and compulsory redundancy. </w:t>
      </w:r>
      <w:r>
        <w:t xml:space="preserve">The ICB’s approach to the management of change was commended as best practice by the </w:t>
      </w:r>
      <w:r w:rsidR="00F46054">
        <w:t>NHSE</w:t>
      </w:r>
      <w:r w:rsidR="003F7B9B">
        <w:t xml:space="preserve"> </w:t>
      </w:r>
      <w:r w:rsidR="0D83CA6C">
        <w:t>r</w:t>
      </w:r>
      <w:r>
        <w:t>egion</w:t>
      </w:r>
      <w:r w:rsidR="003F7B9B">
        <w:t>al team</w:t>
      </w:r>
      <w:r>
        <w:t xml:space="preserve"> and by the ICB Board.</w:t>
      </w:r>
    </w:p>
    <w:p w14:paraId="3B164963" w14:textId="6A0E9280" w:rsidR="00F64B91" w:rsidRDefault="00F64B91" w:rsidP="00F64B91">
      <w:pPr>
        <w:pStyle w:val="BodyText"/>
        <w:overflowPunct w:val="0"/>
        <w:spacing w:before="1"/>
        <w:ind w:right="168"/>
      </w:pPr>
      <w:r w:rsidRPr="00443E4A">
        <w:t xml:space="preserve">Key themes </w:t>
      </w:r>
      <w:r w:rsidR="003F7B9B">
        <w:t>were</w:t>
      </w:r>
      <w:r w:rsidRPr="00443E4A">
        <w:t xml:space="preserve"> shared with the ICB </w:t>
      </w:r>
      <w:r w:rsidR="231F3339">
        <w:t>e</w:t>
      </w:r>
      <w:r>
        <w:t xml:space="preserve">xecutive </w:t>
      </w:r>
      <w:r w:rsidR="22C19653">
        <w:t>t</w:t>
      </w:r>
      <w:r w:rsidRPr="00443E4A">
        <w:t>eam</w:t>
      </w:r>
      <w:r w:rsidR="000146C2">
        <w:t xml:space="preserve"> who commenced work </w:t>
      </w:r>
      <w:r w:rsidRPr="00443E4A">
        <w:t>with their teams to write action plans in response to the staff survey results. In addition, the ICB ha</w:t>
      </w:r>
      <w:r w:rsidR="000146C2">
        <w:t>d</w:t>
      </w:r>
      <w:r w:rsidRPr="00443E4A">
        <w:t xml:space="preserve"> a Staff Engagement group</w:t>
      </w:r>
      <w:r w:rsidR="000146C2">
        <w:t xml:space="preserve"> (</w:t>
      </w:r>
      <w:r w:rsidRPr="00443E4A">
        <w:t>since January 2022</w:t>
      </w:r>
      <w:r w:rsidR="000146C2">
        <w:t>)</w:t>
      </w:r>
      <w:r w:rsidRPr="00443E4A">
        <w:t xml:space="preserve"> and this group will be engaged with developing an action plan along with all other staff network chairs. </w:t>
      </w:r>
    </w:p>
    <w:p w14:paraId="60678B32" w14:textId="7D4D15D2" w:rsidR="00F64B91" w:rsidRDefault="00F64B91" w:rsidP="00F64B91">
      <w:pPr>
        <w:pStyle w:val="BodyText"/>
        <w:overflowPunct w:val="0"/>
        <w:spacing w:before="1"/>
        <w:ind w:right="168"/>
      </w:pPr>
      <w:r w:rsidRPr="00443E4A">
        <w:t xml:space="preserve">The ICB has several staff networks including LGBTQ+, </w:t>
      </w:r>
      <w:r w:rsidR="6D370831">
        <w:t>d</w:t>
      </w:r>
      <w:r>
        <w:t xml:space="preserve">iversity, </w:t>
      </w:r>
      <w:r w:rsidR="5A99B258">
        <w:t>w</w:t>
      </w:r>
      <w:r>
        <w:t xml:space="preserve">omen, </w:t>
      </w:r>
      <w:r w:rsidR="226C8F4F">
        <w:t>P</w:t>
      </w:r>
      <w:r w:rsidRPr="00443E4A">
        <w:t xml:space="preserve">ositive </w:t>
      </w:r>
      <w:r>
        <w:t>W</w:t>
      </w:r>
      <w:r w:rsidRPr="00443E4A">
        <w:t xml:space="preserve">ays to </w:t>
      </w:r>
      <w:r>
        <w:t>W</w:t>
      </w:r>
      <w:r w:rsidRPr="00443E4A">
        <w:t>ellness</w:t>
      </w:r>
      <w:r>
        <w:t xml:space="preserve"> (a peer support group for staff with long terms conditions)</w:t>
      </w:r>
      <w:r w:rsidRPr="00443E4A">
        <w:t xml:space="preserve"> and a number of </w:t>
      </w:r>
      <w:r>
        <w:t xml:space="preserve">staff </w:t>
      </w:r>
      <w:r w:rsidRPr="00443E4A">
        <w:t>champion groups</w:t>
      </w:r>
      <w:r>
        <w:t xml:space="preserve"> which include </w:t>
      </w:r>
      <w:r w:rsidR="3C1FF12F">
        <w:t>w</w:t>
      </w:r>
      <w:r>
        <w:t xml:space="preserve">ellbeing, Freedom to Speak up and Mental Health First Aiders. 70% of staff </w:t>
      </w:r>
      <w:r w:rsidR="00112E80">
        <w:t>said</w:t>
      </w:r>
      <w:r>
        <w:t xml:space="preserve"> that the ICB </w:t>
      </w:r>
      <w:r w:rsidR="00112E80">
        <w:t>made</w:t>
      </w:r>
      <w:r>
        <w:t xml:space="preserve"> reasonable adjustments to enable them to carry out their work which </w:t>
      </w:r>
      <w:r w:rsidR="00112E80">
        <w:t>wa</w:t>
      </w:r>
      <w:r>
        <w:t xml:space="preserve">s above the national average of 63%.  </w:t>
      </w:r>
    </w:p>
    <w:p w14:paraId="4FE1C239" w14:textId="6AA57CB5" w:rsidR="00F64B91" w:rsidRDefault="00F64B91" w:rsidP="00F64B91">
      <w:pPr>
        <w:pStyle w:val="BodyText"/>
        <w:overflowPunct w:val="0"/>
        <w:spacing w:before="1"/>
        <w:ind w:right="168"/>
      </w:pPr>
      <w:r>
        <w:lastRenderedPageBreak/>
        <w:t xml:space="preserve">75% of ICB staff </w:t>
      </w:r>
      <w:r w:rsidR="00112E80">
        <w:t>said</w:t>
      </w:r>
      <w:r>
        <w:t xml:space="preserve"> that they </w:t>
      </w:r>
      <w:r w:rsidR="00112E80">
        <w:t>were</w:t>
      </w:r>
      <w:r>
        <w:t xml:space="preserve"> satisfied with the opportunities for flexible working again above the national average of 68%. </w:t>
      </w:r>
    </w:p>
    <w:p w14:paraId="415CF0FB" w14:textId="6DD857BB" w:rsidR="00F64B91" w:rsidRPr="00443E4A" w:rsidRDefault="00F64B91" w:rsidP="00F64B91">
      <w:pPr>
        <w:pStyle w:val="BodyText"/>
        <w:overflowPunct w:val="0"/>
        <w:spacing w:before="1"/>
        <w:ind w:right="168"/>
      </w:pPr>
      <w:r>
        <w:t xml:space="preserve">The ICB </w:t>
      </w:r>
      <w:r w:rsidR="00112E80">
        <w:t>wa</w:t>
      </w:r>
      <w:r>
        <w:t>s also a partner member in a system Staff Experience and Wellbeing Group and an Equality Diversity and Inclusion Group lo</w:t>
      </w:r>
      <w:r w:rsidRPr="00443E4A">
        <w:t>oking at key themes such as health and wellbeing</w:t>
      </w:r>
      <w:r>
        <w:t xml:space="preserve">, engagement, </w:t>
      </w:r>
      <w:r w:rsidRPr="00443E4A">
        <w:t xml:space="preserve">diversity, and inclusion and </w:t>
      </w:r>
      <w:r>
        <w:t>sharing best practice.</w:t>
      </w:r>
      <w:r w:rsidRPr="00443E4A">
        <w:t xml:space="preserve"> </w:t>
      </w:r>
      <w:r>
        <w:t>Together we w</w:t>
      </w:r>
      <w:r w:rsidRPr="00443E4A">
        <w:t>ill build on these themes and actions for the 202</w:t>
      </w:r>
      <w:r w:rsidR="007F6D68">
        <w:t>4</w:t>
      </w:r>
      <w:r w:rsidRPr="00443E4A">
        <w:t>/2</w:t>
      </w:r>
      <w:r w:rsidR="007F6D68">
        <w:t>5</w:t>
      </w:r>
      <w:r w:rsidRPr="00443E4A">
        <w:t xml:space="preserve"> survey, supporting </w:t>
      </w:r>
      <w:r>
        <w:t>the de</w:t>
      </w:r>
      <w:r w:rsidRPr="00443E4A">
        <w:t>velopment of organisational planning in response to the survey and giving the opportunity to staff to shape th</w:t>
      </w:r>
      <w:r w:rsidR="007F6D68">
        <w:t>e</w:t>
      </w:r>
      <w:r w:rsidRPr="00443E4A">
        <w:rPr>
          <w:spacing w:val="-37"/>
        </w:rPr>
        <w:t xml:space="preserve"> </w:t>
      </w:r>
      <w:r w:rsidRPr="00443E4A">
        <w:t>plan.</w:t>
      </w:r>
    </w:p>
    <w:p w14:paraId="777AB6C4" w14:textId="63287DA2" w:rsidR="00F64B91" w:rsidRPr="00443E4A" w:rsidRDefault="00F64B91" w:rsidP="002E5AFC">
      <w:pPr>
        <w:pStyle w:val="BodyText"/>
        <w:overflowPunct w:val="0"/>
        <w:spacing w:before="1"/>
        <w:ind w:right="168"/>
      </w:pPr>
      <w:r w:rsidRPr="00443E4A">
        <w:t xml:space="preserve">There </w:t>
      </w:r>
      <w:r w:rsidR="007F6D68">
        <w:t>were</w:t>
      </w:r>
      <w:r w:rsidRPr="00443E4A">
        <w:t xml:space="preserve"> regular all-staff briefings to communicate key messages, as well as operational updates and regular updates on system priorities.</w:t>
      </w:r>
    </w:p>
    <w:p w14:paraId="729FEF90" w14:textId="0866729F" w:rsidR="00F64B91" w:rsidRPr="002E5AFC" w:rsidRDefault="00F64B91" w:rsidP="002E5AFC">
      <w:pPr>
        <w:pStyle w:val="BodyText"/>
        <w:overflowPunct w:val="0"/>
        <w:spacing w:before="1"/>
        <w:ind w:right="168"/>
      </w:pPr>
      <w:r w:rsidRPr="002E5AFC">
        <w:t>The ICB recently launched its values which were created by 250 ICB staff and reaffirmed its vison, mission and value</w:t>
      </w:r>
      <w:r w:rsidR="00A84054" w:rsidRPr="002E5AFC">
        <w:t>s</w:t>
      </w:r>
      <w:r w:rsidRPr="002E5AFC">
        <w:t xml:space="preserve"> post the restructure. </w:t>
      </w:r>
    </w:p>
    <w:p w14:paraId="7C662801" w14:textId="68C94FD7" w:rsidR="00F64B91" w:rsidRPr="009F3413" w:rsidRDefault="00F64B91" w:rsidP="00F64B91">
      <w:pPr>
        <w:pStyle w:val="BodyText"/>
        <w:overflowPunct w:val="0"/>
        <w:spacing w:before="10"/>
      </w:pPr>
      <w:r w:rsidRPr="009F3413">
        <w:t xml:space="preserve">The ICB created a 3 Phase </w:t>
      </w:r>
      <w:r>
        <w:t>O</w:t>
      </w:r>
      <w:r w:rsidRPr="009F3413">
        <w:t xml:space="preserve">rganisational </w:t>
      </w:r>
      <w:r>
        <w:t>D</w:t>
      </w:r>
      <w:r w:rsidRPr="009F3413">
        <w:t xml:space="preserve">evelopment </w:t>
      </w:r>
      <w:r>
        <w:t>P</w:t>
      </w:r>
      <w:r w:rsidRPr="009F3413">
        <w:t>lan which clearly outline</w:t>
      </w:r>
      <w:r w:rsidR="00E020B8">
        <w:t>d</w:t>
      </w:r>
      <w:r w:rsidRPr="009F3413">
        <w:t xml:space="preserve"> the many opportunities for staff to get involved in making </w:t>
      </w:r>
      <w:r w:rsidR="00E020B8">
        <w:t>the ICB</w:t>
      </w:r>
      <w:r w:rsidRPr="009F3413">
        <w:t xml:space="preserve"> a great place to work and an employer of choice</w:t>
      </w:r>
      <w:r>
        <w:t>, continuing to build on the ICS commitment</w:t>
      </w:r>
      <w:r w:rsidR="00E020B8">
        <w:t>:</w:t>
      </w:r>
      <w:r>
        <w:t xml:space="preserve"> </w:t>
      </w:r>
      <w:r w:rsidRPr="009F3413">
        <w:t xml:space="preserve"> </w:t>
      </w:r>
    </w:p>
    <w:p w14:paraId="12D17A40" w14:textId="77777777" w:rsidR="00F64B91" w:rsidRPr="0010321C" w:rsidRDefault="00F64B91" w:rsidP="00F64B91">
      <w:pPr>
        <w:pStyle w:val="BodyText"/>
        <w:overflowPunct w:val="0"/>
        <w:ind w:left="686" w:right="774" w:hanging="45"/>
        <w:jc w:val="center"/>
        <w:rPr>
          <w:i/>
          <w:iCs/>
        </w:rPr>
      </w:pPr>
      <w:r w:rsidRPr="0010321C">
        <w:rPr>
          <w:i/>
          <w:iCs/>
        </w:rPr>
        <w:t>“We will adopt a ‘one workforce’ approach, making people feel more valued, empowered, developed, and respected to support recruitment and retention”</w:t>
      </w:r>
    </w:p>
    <w:p w14:paraId="38CD6EF2" w14:textId="70D62B4B" w:rsidR="00F64B91" w:rsidRDefault="00F64B91" w:rsidP="00F64B91">
      <w:pPr>
        <w:pStyle w:val="BodyText"/>
        <w:overflowPunct w:val="0"/>
        <w:spacing w:before="1"/>
        <w:ind w:left="1024"/>
        <w:rPr>
          <w:i/>
          <w:iCs/>
          <w:sz w:val="16"/>
          <w:szCs w:val="16"/>
        </w:rPr>
      </w:pPr>
      <w:r>
        <w:rPr>
          <w:i/>
          <w:iCs/>
          <w:sz w:val="16"/>
          <w:szCs w:val="16"/>
        </w:rPr>
        <w:t xml:space="preserve">Commitment from ICS partner made during </w:t>
      </w:r>
      <w:r w:rsidR="00471C4B">
        <w:rPr>
          <w:i/>
          <w:iCs/>
          <w:sz w:val="16"/>
          <w:szCs w:val="16"/>
        </w:rPr>
        <w:t>ICP</w:t>
      </w:r>
      <w:r>
        <w:rPr>
          <w:i/>
          <w:iCs/>
          <w:sz w:val="16"/>
          <w:szCs w:val="16"/>
        </w:rPr>
        <w:t xml:space="preserve"> Strategy design.</w:t>
      </w:r>
    </w:p>
    <w:p w14:paraId="191EC3D3" w14:textId="2B83FED1" w:rsidR="00F64B91" w:rsidRDefault="00F64B91" w:rsidP="00F64B91">
      <w:pPr>
        <w:pStyle w:val="BodyText"/>
        <w:overflowPunct w:val="0"/>
        <w:spacing w:before="11"/>
      </w:pPr>
      <w:r>
        <w:t xml:space="preserve">Only 28% of staff would recommend </w:t>
      </w:r>
      <w:r w:rsidR="00010726">
        <w:t>the</w:t>
      </w:r>
      <w:r>
        <w:t xml:space="preserve"> ICB as a place to work which </w:t>
      </w:r>
      <w:r w:rsidR="00010726">
        <w:t>wa</w:t>
      </w:r>
      <w:r>
        <w:t xml:space="preserve">s </w:t>
      </w:r>
      <w:r w:rsidR="00010726">
        <w:t>significantly</w:t>
      </w:r>
      <w:r>
        <w:t xml:space="preserve"> below the national average of 52% but this was against a backdrop of significantly impactful organisational change. However, in terms of attraction rates the ICB </w:t>
      </w:r>
      <w:r w:rsidR="00010726">
        <w:t>wa</w:t>
      </w:r>
      <w:r>
        <w:t xml:space="preserve">s very attractive in the recruitment market showing high levels of interest by high calibre applicants. </w:t>
      </w:r>
    </w:p>
    <w:p w14:paraId="7EE235B4" w14:textId="295432E9" w:rsidR="00F64B91" w:rsidRDefault="00F64B91" w:rsidP="00F64B91">
      <w:pPr>
        <w:pStyle w:val="BodyText"/>
        <w:overflowPunct w:val="0"/>
        <w:spacing w:before="11"/>
      </w:pPr>
      <w:r>
        <w:t xml:space="preserve">Alongside this, the ICB reviewed its recruitment practices to make them values based and inclusive. This is part of a new ICB People Management Strategy which looks at all elements of people management throughout the employees’ journey from start to finish. </w:t>
      </w:r>
    </w:p>
    <w:p w14:paraId="102BE713" w14:textId="43955D6E" w:rsidR="001C0486" w:rsidRDefault="001C0486" w:rsidP="006B1013">
      <w:pPr>
        <w:pStyle w:val="Heading3"/>
      </w:pPr>
      <w:bookmarkStart w:id="202" w:name="_Toc163136046"/>
      <w:bookmarkStart w:id="203" w:name="_Toc164470294"/>
      <w:bookmarkStart w:id="204" w:name="_Toc164814715"/>
      <w:bookmarkStart w:id="205" w:name="_Toc164814855"/>
      <w:bookmarkStart w:id="206" w:name="_Toc164814916"/>
      <w:r>
        <w:t>Staff policies</w:t>
      </w:r>
      <w:bookmarkEnd w:id="201"/>
      <w:bookmarkEnd w:id="202"/>
      <w:bookmarkEnd w:id="203"/>
      <w:bookmarkEnd w:id="204"/>
      <w:bookmarkEnd w:id="205"/>
      <w:bookmarkEnd w:id="206"/>
    </w:p>
    <w:p w14:paraId="5779682B" w14:textId="405676C4" w:rsidR="003A6D05" w:rsidRDefault="003A6D05" w:rsidP="003A6D05">
      <w:pPr>
        <w:pStyle w:val="BodyText"/>
        <w:overflowPunct w:val="0"/>
        <w:spacing w:before="10"/>
      </w:pPr>
      <w:r w:rsidRPr="006A2FD9">
        <w:t>The ICB ha</w:t>
      </w:r>
      <w:r w:rsidR="003A7F5C">
        <w:t>d</w:t>
      </w:r>
      <w:r w:rsidRPr="006A2FD9">
        <w:t xml:space="preserve"> a comprehensive set of HR </w:t>
      </w:r>
      <w:r w:rsidR="0F9A50A6">
        <w:t>p</w:t>
      </w:r>
      <w:r w:rsidRPr="006A2FD9">
        <w:t xml:space="preserve">olicies </w:t>
      </w:r>
      <w:r>
        <w:t xml:space="preserve">to support managers and staff through this employment journey and </w:t>
      </w:r>
      <w:r w:rsidR="003A7F5C">
        <w:t>wa</w:t>
      </w:r>
      <w:r>
        <w:t xml:space="preserve">s creating a </w:t>
      </w:r>
      <w:r w:rsidR="002A3281">
        <w:t>manager’s</w:t>
      </w:r>
      <w:r>
        <w:t xml:space="preserve"> </w:t>
      </w:r>
      <w:r w:rsidR="07DE4E3F">
        <w:t>t</w:t>
      </w:r>
      <w:r>
        <w:t xml:space="preserve">oolkit to allow easy access to all policies and guidance notes. Both the People Management Strategy and the </w:t>
      </w:r>
      <w:r w:rsidR="1A6BC847">
        <w:t>m</w:t>
      </w:r>
      <w:r>
        <w:t xml:space="preserve">anagers </w:t>
      </w:r>
      <w:r w:rsidR="1BF476A8">
        <w:t>t</w:t>
      </w:r>
      <w:r>
        <w:t>oolkit will be promoted via monthly Managers Learning Networks.</w:t>
      </w:r>
    </w:p>
    <w:p w14:paraId="35E4ACF9" w14:textId="428954CF" w:rsidR="003A6D05" w:rsidRDefault="003A6D05" w:rsidP="003A6D05">
      <w:pPr>
        <w:pStyle w:val="BodyText"/>
        <w:overflowPunct w:val="0"/>
        <w:spacing w:before="10"/>
      </w:pPr>
      <w:r>
        <w:t xml:space="preserve">All ICB </w:t>
      </w:r>
      <w:r w:rsidR="329BE2F9">
        <w:t>p</w:t>
      </w:r>
      <w:r>
        <w:t xml:space="preserve">olicies </w:t>
      </w:r>
      <w:r w:rsidR="003A7F5C">
        <w:t>we</w:t>
      </w:r>
      <w:r>
        <w:t>re reviewed and updated in the light of any legislative changes and reviewed biannually as required by the ICB.</w:t>
      </w:r>
    </w:p>
    <w:p w14:paraId="6334A463" w14:textId="29876AC2" w:rsidR="003A6D05" w:rsidRDefault="003A6D05" w:rsidP="003A6D05">
      <w:pPr>
        <w:pStyle w:val="BodyText"/>
        <w:overflowPunct w:val="0"/>
        <w:spacing w:before="10"/>
      </w:pPr>
      <w:r>
        <w:t xml:space="preserve">The ICB created a new Menopause Strategy that has been through its ratification process to include engaging with the </w:t>
      </w:r>
      <w:r w:rsidR="165C6516">
        <w:t>w</w:t>
      </w:r>
      <w:r>
        <w:t xml:space="preserve">omen’s network and </w:t>
      </w:r>
      <w:r w:rsidR="003A7F5C">
        <w:t xml:space="preserve">was </w:t>
      </w:r>
      <w:r>
        <w:t xml:space="preserve">published on </w:t>
      </w:r>
      <w:r w:rsidR="003A7F5C">
        <w:t>the</w:t>
      </w:r>
      <w:r>
        <w:t xml:space="preserve"> staff </w:t>
      </w:r>
      <w:r>
        <w:lastRenderedPageBreak/>
        <w:t xml:space="preserve">intranet. The ICB </w:t>
      </w:r>
      <w:r w:rsidR="003A7F5C">
        <w:t>(</w:t>
      </w:r>
      <w:r>
        <w:t>as required by a national directive</w:t>
      </w:r>
      <w:r w:rsidR="003A7F5C">
        <w:t>)</w:t>
      </w:r>
      <w:r>
        <w:t xml:space="preserve"> adopted and published a new Freedom to Speak up (FTSUP) /</w:t>
      </w:r>
      <w:r w:rsidR="003A7F5C">
        <w:t xml:space="preserve"> </w:t>
      </w:r>
      <w:r>
        <w:t>Whistleblowing Policy.</w:t>
      </w:r>
    </w:p>
    <w:p w14:paraId="306BA72D" w14:textId="01ABD6DF" w:rsidR="003A6D05" w:rsidRDefault="003A6D05" w:rsidP="003A6D05">
      <w:pPr>
        <w:pStyle w:val="BodyText"/>
        <w:overflowPunct w:val="0"/>
        <w:spacing w:before="10"/>
        <w:rPr>
          <w:rStyle w:val="ui-provider"/>
        </w:rPr>
      </w:pPr>
      <w:r>
        <w:rPr>
          <w:rStyle w:val="ui-provider"/>
        </w:rPr>
        <w:t>The ICB ha</w:t>
      </w:r>
      <w:r w:rsidR="00E23E7F">
        <w:rPr>
          <w:rStyle w:val="ui-provider"/>
        </w:rPr>
        <w:t>s</w:t>
      </w:r>
      <w:r>
        <w:rPr>
          <w:rStyle w:val="ui-provider"/>
        </w:rPr>
        <w:t xml:space="preserve"> a FTSU Guardian, 2 Senior FTSU Officers and FTSU Champions. The ICB adopted the national FTSU Policy and </w:t>
      </w:r>
      <w:r w:rsidR="003A7F5C">
        <w:rPr>
          <w:rStyle w:val="ui-provider"/>
        </w:rPr>
        <w:t>wa</w:t>
      </w:r>
      <w:r>
        <w:rPr>
          <w:rStyle w:val="ui-provider"/>
        </w:rPr>
        <w:t xml:space="preserve">s receiving disclosures from ICB and </w:t>
      </w:r>
      <w:r w:rsidR="0AD958F8" w:rsidRPr="46923ACF">
        <w:rPr>
          <w:rStyle w:val="ui-provider"/>
        </w:rPr>
        <w:t>p</w:t>
      </w:r>
      <w:r>
        <w:rPr>
          <w:rStyle w:val="ui-provider"/>
        </w:rPr>
        <w:t xml:space="preserve">rimary </w:t>
      </w:r>
      <w:r w:rsidR="4A7B345B" w:rsidRPr="6B51F4C5">
        <w:rPr>
          <w:rStyle w:val="ui-provider"/>
        </w:rPr>
        <w:t>c</w:t>
      </w:r>
      <w:r w:rsidRPr="6B51F4C5">
        <w:rPr>
          <w:rStyle w:val="ui-provider"/>
        </w:rPr>
        <w:t xml:space="preserve">are </w:t>
      </w:r>
      <w:r w:rsidR="7E75D0C5" w:rsidRPr="6B51F4C5">
        <w:rPr>
          <w:rStyle w:val="ui-provider"/>
        </w:rPr>
        <w:t>s</w:t>
      </w:r>
      <w:r>
        <w:rPr>
          <w:rStyle w:val="ui-provider"/>
        </w:rPr>
        <w:t xml:space="preserve">taff. Staff who disclose information </w:t>
      </w:r>
      <w:r w:rsidR="003A7F5C">
        <w:rPr>
          <w:rStyle w:val="ui-provider"/>
        </w:rPr>
        <w:t>we</w:t>
      </w:r>
      <w:r>
        <w:rPr>
          <w:rStyle w:val="ui-provider"/>
        </w:rPr>
        <w:t xml:space="preserve">re offered wellbeing support and anonymity is protected. The ICB HR </w:t>
      </w:r>
      <w:r w:rsidR="03C8B48C" w:rsidRPr="6B51F4C5">
        <w:rPr>
          <w:rStyle w:val="ui-provider"/>
        </w:rPr>
        <w:t>t</w:t>
      </w:r>
      <w:r>
        <w:rPr>
          <w:rStyle w:val="ui-provider"/>
        </w:rPr>
        <w:t>eam met regularly with the FTSU Champions to discuss promotion and embedding of this policy and the FTSU Guardian report</w:t>
      </w:r>
      <w:r w:rsidR="00161981">
        <w:rPr>
          <w:rStyle w:val="ui-provider"/>
        </w:rPr>
        <w:t>ed</w:t>
      </w:r>
      <w:r>
        <w:rPr>
          <w:rStyle w:val="ui-provider"/>
        </w:rPr>
        <w:t xml:space="preserve"> high level themes to the ICB Board.</w:t>
      </w:r>
    </w:p>
    <w:p w14:paraId="5CDE0A23" w14:textId="385EE8A0" w:rsidR="00A813EC" w:rsidRPr="002C52D3" w:rsidRDefault="00A813EC" w:rsidP="002C52D3">
      <w:pPr>
        <w:pStyle w:val="BodyText"/>
        <w:rPr>
          <w:b/>
          <w:bCs/>
        </w:rPr>
      </w:pPr>
      <w:r w:rsidRPr="002C52D3">
        <w:rPr>
          <w:b/>
          <w:bCs/>
        </w:rPr>
        <w:t xml:space="preserve">Health and </w:t>
      </w:r>
      <w:r w:rsidR="0EFAF75A" w:rsidRPr="6B51F4C5">
        <w:rPr>
          <w:b/>
          <w:bCs/>
        </w:rPr>
        <w:t>w</w:t>
      </w:r>
      <w:r w:rsidRPr="002C52D3">
        <w:rPr>
          <w:b/>
          <w:bCs/>
        </w:rPr>
        <w:t>ellbeing</w:t>
      </w:r>
    </w:p>
    <w:p w14:paraId="215E93C4" w14:textId="164A65D3" w:rsidR="00A813EC" w:rsidRDefault="00E23E7F" w:rsidP="00836518">
      <w:r>
        <w:t xml:space="preserve">The ICB commissioned Optima to provide both the </w:t>
      </w:r>
      <w:r w:rsidR="33740CB2">
        <w:t>o</w:t>
      </w:r>
      <w:r>
        <w:t xml:space="preserve">ccupational </w:t>
      </w:r>
      <w:r w:rsidR="68ACC216">
        <w:t>h</w:t>
      </w:r>
      <w:r>
        <w:t xml:space="preserve">ealth </w:t>
      </w:r>
      <w:r w:rsidR="27771863">
        <w:t>s</w:t>
      </w:r>
      <w:r>
        <w:t xml:space="preserve">ervice and the Employee Assist Programme (EAP) </w:t>
      </w:r>
      <w:r w:rsidR="1F637188">
        <w:t>s</w:t>
      </w:r>
      <w:r>
        <w:t>ervice</w:t>
      </w:r>
      <w:r w:rsidR="00AF128C">
        <w:t>.  During the organisational change process, a company called Renovo was commissioned to provide complimentary support for staff which included deve</w:t>
      </w:r>
      <w:r w:rsidR="008F6667">
        <w:t>lopmental sessions, coaching and career advice. These sessions were very well utilised.  Their services were accessed over 550 times during the process.  The ICB is committed to improving the health and wellbeing of its staff, having wellbeing conversations as part of regular one to one sessions and appraisals.</w:t>
      </w:r>
    </w:p>
    <w:p w14:paraId="140981A5" w14:textId="66F1898E" w:rsidR="00430DB1" w:rsidRDefault="00A813EC" w:rsidP="00430DB1">
      <w:pPr>
        <w:pStyle w:val="BodyText"/>
        <w:rPr>
          <w:b/>
          <w:bCs/>
        </w:rPr>
      </w:pPr>
      <w:r w:rsidRPr="002C52D3">
        <w:rPr>
          <w:b/>
          <w:bCs/>
        </w:rPr>
        <w:t xml:space="preserve">Equality, </w:t>
      </w:r>
      <w:r w:rsidR="008959E4" w:rsidRPr="002C52D3">
        <w:rPr>
          <w:b/>
          <w:bCs/>
        </w:rPr>
        <w:t>Diversity,</w:t>
      </w:r>
      <w:r w:rsidRPr="002C52D3">
        <w:rPr>
          <w:b/>
          <w:bCs/>
        </w:rPr>
        <w:t xml:space="preserve"> and Inclusion </w:t>
      </w:r>
      <w:r w:rsidR="00430DB1" w:rsidRPr="00FC1AEC">
        <w:rPr>
          <w:b/>
          <w:bCs/>
        </w:rPr>
        <w:t>(ED&amp;I)</w:t>
      </w:r>
    </w:p>
    <w:p w14:paraId="07319E8B" w14:textId="3F30FFC2" w:rsidR="00430DB1" w:rsidRDefault="00430DB1" w:rsidP="00615F40">
      <w:pPr>
        <w:pStyle w:val="BodyText"/>
        <w:overflowPunct w:val="0"/>
        <w:spacing w:before="68"/>
        <w:ind w:right="145"/>
      </w:pPr>
      <w:r w:rsidRPr="0018613C">
        <w:t>In November 2023</w:t>
      </w:r>
      <w:r w:rsidR="00161981">
        <w:t>,</w:t>
      </w:r>
      <w:r w:rsidRPr="0018613C">
        <w:t xml:space="preserve"> the ICB Board met to review the </w:t>
      </w:r>
      <w:r w:rsidR="77FA46B8">
        <w:t>n</w:t>
      </w:r>
      <w:r w:rsidRPr="0018613C">
        <w:t>ational ED&amp;I High Impact Framework which require</w:t>
      </w:r>
      <w:r w:rsidR="00161981">
        <w:t>d</w:t>
      </w:r>
      <w:r w:rsidRPr="0018613C">
        <w:t xml:space="preserve"> improvement evidence against 6 prescribed areas</w:t>
      </w:r>
      <w:r w:rsidR="00161981">
        <w:t>:</w:t>
      </w:r>
      <w:r w:rsidRPr="0018613C">
        <w:t xml:space="preserve"> </w:t>
      </w:r>
    </w:p>
    <w:p w14:paraId="1A66F6BC" w14:textId="507E1151" w:rsidR="00430DB1" w:rsidRPr="00F00305" w:rsidRDefault="00430DB1" w:rsidP="00F00305">
      <w:pPr>
        <w:pStyle w:val="BodyText"/>
        <w:numPr>
          <w:ilvl w:val="0"/>
          <w:numId w:val="39"/>
        </w:numPr>
        <w:rPr>
          <w:szCs w:val="24"/>
        </w:rPr>
      </w:pPr>
      <w:r w:rsidRPr="00F00305">
        <w:rPr>
          <w:szCs w:val="24"/>
        </w:rPr>
        <w:t xml:space="preserve">Chief executives, chairs and </w:t>
      </w:r>
      <w:r w:rsidR="00F46054" w:rsidRPr="00F00305">
        <w:rPr>
          <w:szCs w:val="24"/>
        </w:rPr>
        <w:t xml:space="preserve">Board </w:t>
      </w:r>
      <w:r w:rsidRPr="00F00305">
        <w:rPr>
          <w:szCs w:val="24"/>
        </w:rPr>
        <w:t>members must have specific and measurable EDI objectives to which they will be individually and collectively accountable.</w:t>
      </w:r>
    </w:p>
    <w:p w14:paraId="7B144AA8" w14:textId="77777777" w:rsidR="00430DB1" w:rsidRPr="00F00305" w:rsidRDefault="00430DB1" w:rsidP="00F00305">
      <w:pPr>
        <w:pStyle w:val="BodyText"/>
        <w:numPr>
          <w:ilvl w:val="0"/>
          <w:numId w:val="39"/>
        </w:numPr>
        <w:rPr>
          <w:szCs w:val="24"/>
        </w:rPr>
      </w:pPr>
      <w:r w:rsidRPr="00F00305">
        <w:rPr>
          <w:szCs w:val="24"/>
        </w:rPr>
        <w:t>Embed fair and inclusive recruitment processes and talent management strategies that target under-representation and lack of diversity.</w:t>
      </w:r>
    </w:p>
    <w:p w14:paraId="5481105B" w14:textId="77777777" w:rsidR="00430DB1" w:rsidRPr="00F00305" w:rsidRDefault="00430DB1" w:rsidP="00F00305">
      <w:pPr>
        <w:pStyle w:val="BodyText"/>
        <w:numPr>
          <w:ilvl w:val="0"/>
          <w:numId w:val="39"/>
        </w:numPr>
        <w:rPr>
          <w:szCs w:val="24"/>
        </w:rPr>
      </w:pPr>
      <w:r w:rsidRPr="00F00305">
        <w:rPr>
          <w:szCs w:val="24"/>
        </w:rPr>
        <w:t>Develop and implement an improvement plan to eliminate pay gaps.</w:t>
      </w:r>
    </w:p>
    <w:p w14:paraId="765D60AD" w14:textId="77777777" w:rsidR="00430DB1" w:rsidRPr="00F00305" w:rsidRDefault="00430DB1" w:rsidP="00F00305">
      <w:pPr>
        <w:pStyle w:val="BodyText"/>
        <w:numPr>
          <w:ilvl w:val="0"/>
          <w:numId w:val="39"/>
        </w:numPr>
        <w:rPr>
          <w:szCs w:val="24"/>
        </w:rPr>
      </w:pPr>
      <w:r w:rsidRPr="00F00305">
        <w:rPr>
          <w:szCs w:val="24"/>
        </w:rPr>
        <w:t>Develop and implement an improvement plan to address health inequalities within the workforce.</w:t>
      </w:r>
    </w:p>
    <w:p w14:paraId="7752C315" w14:textId="42656987" w:rsidR="00430DB1" w:rsidRPr="00F00305" w:rsidRDefault="00430DB1" w:rsidP="00F00305">
      <w:pPr>
        <w:pStyle w:val="BodyText"/>
        <w:numPr>
          <w:ilvl w:val="0"/>
          <w:numId w:val="39"/>
        </w:numPr>
        <w:rPr>
          <w:szCs w:val="24"/>
        </w:rPr>
      </w:pPr>
      <w:r w:rsidRPr="00F00305">
        <w:rPr>
          <w:szCs w:val="24"/>
        </w:rPr>
        <w:t xml:space="preserve">Implement a comprehensive induction, </w:t>
      </w:r>
      <w:r w:rsidR="00EC3319" w:rsidRPr="00F00305">
        <w:rPr>
          <w:szCs w:val="24"/>
        </w:rPr>
        <w:t>onboarding,</w:t>
      </w:r>
      <w:r w:rsidRPr="00F00305">
        <w:rPr>
          <w:szCs w:val="24"/>
        </w:rPr>
        <w:t xml:space="preserve"> and development programme for internationally recruited staff.</w:t>
      </w:r>
    </w:p>
    <w:p w14:paraId="3D12EEBF" w14:textId="77777777" w:rsidR="00430DB1" w:rsidRPr="00F00305" w:rsidRDefault="00430DB1" w:rsidP="00F00305">
      <w:pPr>
        <w:pStyle w:val="BodyText"/>
        <w:numPr>
          <w:ilvl w:val="0"/>
          <w:numId w:val="39"/>
        </w:numPr>
        <w:rPr>
          <w:szCs w:val="24"/>
        </w:rPr>
      </w:pPr>
      <w:r w:rsidRPr="00F00305">
        <w:rPr>
          <w:szCs w:val="24"/>
        </w:rPr>
        <w:t>Create an environment that eliminates the conditions in which bullying, discrimination, harassment and physical violence at work occur.​</w:t>
      </w:r>
    </w:p>
    <w:p w14:paraId="1E9E6D8A" w14:textId="4E153481" w:rsidR="00430DB1" w:rsidRPr="00F60124" w:rsidRDefault="00430DB1" w:rsidP="00430DB1">
      <w:pPr>
        <w:pStyle w:val="BodyText"/>
        <w:overflowPunct w:val="0"/>
        <w:spacing w:before="68"/>
        <w:ind w:right="145"/>
      </w:pPr>
      <w:r w:rsidRPr="00F60124">
        <w:t xml:space="preserve">The ICB </w:t>
      </w:r>
      <w:r w:rsidR="00EC3319">
        <w:t>wa</w:t>
      </w:r>
      <w:r w:rsidRPr="00F60124">
        <w:t xml:space="preserve">s working internally and with partners to create a comprehensive data set to evidence progress both as a system and as an ICB. The system ED&amp;I </w:t>
      </w:r>
      <w:r w:rsidR="7752578A">
        <w:t>g</w:t>
      </w:r>
      <w:r w:rsidRPr="00F60124">
        <w:t xml:space="preserve">roup </w:t>
      </w:r>
      <w:r w:rsidR="00EC3319">
        <w:t>provided</w:t>
      </w:r>
      <w:r w:rsidRPr="00F60124">
        <w:t xml:space="preserve"> an opportunity to share best practice and to hold each other to account for delivery. In March </w:t>
      </w:r>
      <w:r>
        <w:t>2024</w:t>
      </w:r>
      <w:r w:rsidR="00EC49BB">
        <w:t>,</w:t>
      </w:r>
      <w:r w:rsidRPr="00F60124">
        <w:t xml:space="preserve"> the People </w:t>
      </w:r>
      <w:r>
        <w:t>B</w:t>
      </w:r>
      <w:r w:rsidRPr="00F60124">
        <w:t xml:space="preserve">oard </w:t>
      </w:r>
      <w:r>
        <w:t xml:space="preserve">undertook </w:t>
      </w:r>
      <w:r w:rsidRPr="00F60124">
        <w:t xml:space="preserve">a deep dive into the inclusion data </w:t>
      </w:r>
      <w:r w:rsidR="00EC49BB">
        <w:t xml:space="preserve">for </w:t>
      </w:r>
      <w:r w:rsidR="00471C4B">
        <w:t>MSE</w:t>
      </w:r>
      <w:r w:rsidR="00EC49BB">
        <w:t>,</w:t>
      </w:r>
      <w:r w:rsidRPr="00F60124">
        <w:t xml:space="preserve"> as well as</w:t>
      </w:r>
      <w:r>
        <w:t xml:space="preserve"> creating space </w:t>
      </w:r>
      <w:r w:rsidRPr="00F60124">
        <w:t>to understand the lived experience of those staff that have protected characteristics acknowledging the intersectionality of all staff.</w:t>
      </w:r>
    </w:p>
    <w:p w14:paraId="42DC926D" w14:textId="616DD6A9" w:rsidR="00430DB1" w:rsidRPr="00F60124" w:rsidRDefault="00430DB1" w:rsidP="00430DB1">
      <w:pPr>
        <w:pStyle w:val="BodyText"/>
        <w:overflowPunct w:val="0"/>
        <w:ind w:right="318"/>
      </w:pPr>
      <w:r w:rsidRPr="00F60124">
        <w:lastRenderedPageBreak/>
        <w:t xml:space="preserve">The ICB </w:t>
      </w:r>
      <w:r w:rsidR="00917AEF">
        <w:t>develop</w:t>
      </w:r>
      <w:r w:rsidR="00AA1238">
        <w:t>e</w:t>
      </w:r>
      <w:r w:rsidRPr="00F60124">
        <w:t xml:space="preserve">d </w:t>
      </w:r>
      <w:r w:rsidR="00A57021">
        <w:t xml:space="preserve">and published </w:t>
      </w:r>
      <w:r w:rsidRPr="00F60124">
        <w:t xml:space="preserve">a </w:t>
      </w:r>
      <w:r w:rsidR="00A97C14">
        <w:t>Workforce Race Equality Standard (</w:t>
      </w:r>
      <w:r w:rsidRPr="00F60124">
        <w:t>WRES</w:t>
      </w:r>
      <w:r w:rsidR="00A97C14">
        <w:t>)</w:t>
      </w:r>
      <w:r w:rsidRPr="00F60124">
        <w:t xml:space="preserve"> report and action plan that staff had the opportunity to contribute to and </w:t>
      </w:r>
      <w:r w:rsidR="00B23FC7">
        <w:t>the ICB will further develop the Workforce Disability</w:t>
      </w:r>
      <w:r w:rsidR="00B709C4">
        <w:t xml:space="preserve"> Equality Standard (</w:t>
      </w:r>
      <w:r w:rsidRPr="00F60124">
        <w:t>WDES</w:t>
      </w:r>
      <w:r w:rsidR="00B709C4">
        <w:t>)</w:t>
      </w:r>
      <w:r w:rsidRPr="00F60124">
        <w:t xml:space="preserve"> report and action plan in 202</w:t>
      </w:r>
      <w:r>
        <w:t>4</w:t>
      </w:r>
      <w:r w:rsidRPr="00F60124">
        <w:t>. These will be regularly monitored to ensure progress against agreed objectives.</w:t>
      </w:r>
    </w:p>
    <w:p w14:paraId="0BECEEEB" w14:textId="22E13B64" w:rsidR="00430DB1" w:rsidRDefault="00430DB1" w:rsidP="00430DB1">
      <w:pPr>
        <w:pStyle w:val="BodyText"/>
        <w:overflowPunct w:val="0"/>
        <w:spacing w:before="10"/>
      </w:pPr>
      <w:r>
        <w:t xml:space="preserve">The ICB also prepared </w:t>
      </w:r>
      <w:r w:rsidR="00B709C4">
        <w:t xml:space="preserve">and published </w:t>
      </w:r>
      <w:r>
        <w:t>a Pay Gender Gap Report which show</w:t>
      </w:r>
      <w:r w:rsidR="00A57021">
        <w:t>ed</w:t>
      </w:r>
      <w:r>
        <w:t xml:space="preserve"> that both the ICB and the NHS </w:t>
      </w:r>
      <w:r w:rsidR="002A3281">
        <w:t>still</w:t>
      </w:r>
      <w:r>
        <w:t xml:space="preserve"> ha</w:t>
      </w:r>
      <w:r w:rsidR="00A57021">
        <w:t>d</w:t>
      </w:r>
      <w:r>
        <w:t xml:space="preserve"> a bias in the totality of what men and women earn</w:t>
      </w:r>
      <w:r w:rsidR="00A57021">
        <w:t>ed</w:t>
      </w:r>
      <w:r>
        <w:t>.</w:t>
      </w:r>
    </w:p>
    <w:p w14:paraId="7433694F" w14:textId="42C33AEC" w:rsidR="00430DB1" w:rsidRDefault="00430DB1" w:rsidP="00430DB1">
      <w:pPr>
        <w:pStyle w:val="BodyText"/>
        <w:overflowPunct w:val="0"/>
        <w:spacing w:before="10"/>
      </w:pPr>
      <w:r>
        <w:t xml:space="preserve">Progress against these plans </w:t>
      </w:r>
      <w:r w:rsidR="00A57021">
        <w:t>was and continues to be</w:t>
      </w:r>
      <w:r>
        <w:t xml:space="preserve"> driven and monitored by the ICB Inclusion and Belonging Steering Group, Chaired by the Executive Chief Nursing Officer. </w:t>
      </w:r>
    </w:p>
    <w:p w14:paraId="4820BC97" w14:textId="237C53C5" w:rsidR="00CC6FA4" w:rsidRDefault="00430DB1" w:rsidP="00430DB1">
      <w:pPr>
        <w:pStyle w:val="BodyText"/>
      </w:pPr>
      <w:r w:rsidRPr="00F60124">
        <w:t xml:space="preserve">The ICB </w:t>
      </w:r>
      <w:r w:rsidR="2C9C38B3">
        <w:t>e</w:t>
      </w:r>
      <w:r w:rsidRPr="00F60124">
        <w:t xml:space="preserve">xecutive </w:t>
      </w:r>
      <w:r w:rsidR="3CF9FE25">
        <w:t>t</w:t>
      </w:r>
      <w:r w:rsidRPr="00F60124">
        <w:t>eam</w:t>
      </w:r>
      <w:r>
        <w:t xml:space="preserve"> </w:t>
      </w:r>
      <w:r w:rsidRPr="00F60124">
        <w:t>participate</w:t>
      </w:r>
      <w:r>
        <w:t>d</w:t>
      </w:r>
      <w:r w:rsidRPr="00F60124">
        <w:t xml:space="preserve"> in the MSE reciprocal mentoring for inclusion programme through the NHS Leadership </w:t>
      </w:r>
      <w:r w:rsidR="658C1BFD">
        <w:t>A</w:t>
      </w:r>
      <w:r w:rsidRPr="00F60124">
        <w:t xml:space="preserve">cademy, a commitment that </w:t>
      </w:r>
      <w:r>
        <w:t>was</w:t>
      </w:r>
      <w:r w:rsidRPr="00F60124">
        <w:t xml:space="preserve"> made by the </w:t>
      </w:r>
      <w:r w:rsidR="68E9EAB1">
        <w:t>e</w:t>
      </w:r>
      <w:r w:rsidRPr="00F60124">
        <w:t>xecutive teams from across the system.</w:t>
      </w:r>
      <w:r>
        <w:t xml:space="preserve"> This scheme</w:t>
      </w:r>
      <w:r w:rsidR="000F599B">
        <w:t xml:space="preserve"> will be</w:t>
      </w:r>
      <w:r>
        <w:t xml:space="preserve"> refreshed and relaunched in 2024/25.</w:t>
      </w:r>
    </w:p>
    <w:p w14:paraId="151F5D1A" w14:textId="73A65F84" w:rsidR="00A813EC" w:rsidRPr="00015982" w:rsidRDefault="00A813EC" w:rsidP="00430DB1">
      <w:pPr>
        <w:pStyle w:val="BodyText"/>
        <w:rPr>
          <w:b/>
          <w:bCs/>
        </w:rPr>
      </w:pPr>
      <w:r w:rsidRPr="00015982">
        <w:rPr>
          <w:b/>
          <w:bCs/>
        </w:rPr>
        <w:t xml:space="preserve">Health and </w:t>
      </w:r>
      <w:r w:rsidR="7F3F7DDD" w:rsidRPr="02F1C195">
        <w:rPr>
          <w:b/>
          <w:bCs/>
        </w:rPr>
        <w:t>s</w:t>
      </w:r>
      <w:r w:rsidRPr="00015982">
        <w:rPr>
          <w:b/>
          <w:bCs/>
        </w:rPr>
        <w:t>afety</w:t>
      </w:r>
    </w:p>
    <w:p w14:paraId="72AB0908" w14:textId="24BFB9DE" w:rsidR="00155130" w:rsidRPr="00C025A3" w:rsidRDefault="00155130" w:rsidP="00155130">
      <w:pPr>
        <w:pStyle w:val="BodyText"/>
        <w:overflowPunct w:val="0"/>
        <w:spacing w:before="1"/>
        <w:ind w:right="119"/>
      </w:pPr>
      <w:r w:rsidRPr="00C025A3">
        <w:t xml:space="preserve">The ICB’s Health and Safety Policy sets out responsibilities </w:t>
      </w:r>
      <w:r w:rsidR="00EA0097">
        <w:t xml:space="preserve">of the ICB </w:t>
      </w:r>
      <w:r w:rsidRPr="00C025A3">
        <w:t xml:space="preserve">and those of employees under the Health and Safety Work Act 1974. Health and safety, fire safety and manual handling </w:t>
      </w:r>
      <w:r w:rsidR="00EA0097">
        <w:t>were</w:t>
      </w:r>
      <w:r w:rsidRPr="00C025A3">
        <w:t xml:space="preserve"> included in the mandatory training programme for all ICB staff.</w:t>
      </w:r>
    </w:p>
    <w:p w14:paraId="0F3941D1" w14:textId="5F729DE4" w:rsidR="00155130" w:rsidRDefault="00155130" w:rsidP="00155130">
      <w:pPr>
        <w:pStyle w:val="BodyText"/>
        <w:overflowPunct w:val="0"/>
        <w:spacing w:before="1"/>
        <w:ind w:right="266"/>
      </w:pPr>
      <w:r w:rsidRPr="00C025A3">
        <w:t>Risk assessment and inspections identif</w:t>
      </w:r>
      <w:r w:rsidR="00EA0097">
        <w:t>ied</w:t>
      </w:r>
      <w:r w:rsidRPr="00C025A3">
        <w:t xml:space="preserve"> health and safety issues </w:t>
      </w:r>
      <w:r w:rsidR="006909F5">
        <w:t xml:space="preserve">for which </w:t>
      </w:r>
      <w:r w:rsidRPr="00C025A3">
        <w:t xml:space="preserve">action </w:t>
      </w:r>
      <w:r w:rsidR="006909F5">
        <w:t>was</w:t>
      </w:r>
      <w:r w:rsidRPr="00C025A3">
        <w:t xml:space="preserve"> taken to reduce risks to staff and other users of ICB premises. Although ICB staff continue to work in a hybrid way, regular </w:t>
      </w:r>
      <w:r w:rsidR="006909F5" w:rsidRPr="00C025A3">
        <w:t>health,</w:t>
      </w:r>
      <w:r w:rsidRPr="00C025A3">
        <w:t xml:space="preserve"> and safety inspections, building system tests and maintenance continued throughout the year.</w:t>
      </w:r>
    </w:p>
    <w:p w14:paraId="36652050" w14:textId="77E1EF9B" w:rsidR="00A813EC" w:rsidRPr="00015982" w:rsidRDefault="00155130" w:rsidP="00155130">
      <w:pPr>
        <w:pStyle w:val="BodyText"/>
      </w:pPr>
      <w:r>
        <w:t xml:space="preserve">The ICB </w:t>
      </w:r>
      <w:r w:rsidR="1D6FFC2C">
        <w:t>s</w:t>
      </w:r>
      <w:r>
        <w:t xml:space="preserve">tress </w:t>
      </w:r>
      <w:r w:rsidR="0A7837B4">
        <w:t>r</w:t>
      </w:r>
      <w:r>
        <w:t xml:space="preserve">isk </w:t>
      </w:r>
      <w:r w:rsidR="2A583645">
        <w:t>a</w:t>
      </w:r>
      <w:r>
        <w:t xml:space="preserve">ssessment </w:t>
      </w:r>
      <w:r w:rsidR="006909F5">
        <w:t>was</w:t>
      </w:r>
      <w:r>
        <w:t xml:space="preserve"> being updated, </w:t>
      </w:r>
      <w:r w:rsidR="3FADBED1">
        <w:t>s</w:t>
      </w:r>
      <w:r>
        <w:t xml:space="preserve">tress </w:t>
      </w:r>
      <w:r w:rsidR="72AD405C">
        <w:t>a</w:t>
      </w:r>
      <w:r>
        <w:t xml:space="preserve">nxiety and </w:t>
      </w:r>
      <w:r w:rsidR="2C52CB9E">
        <w:t>d</w:t>
      </w:r>
      <w:r>
        <w:t xml:space="preserve">epression </w:t>
      </w:r>
      <w:r w:rsidR="006909F5">
        <w:t>wa</w:t>
      </w:r>
      <w:r>
        <w:t>s the highest cause o</w:t>
      </w:r>
      <w:r w:rsidR="006909F5">
        <w:t>f</w:t>
      </w:r>
      <w:r>
        <w:t xml:space="preserve"> sickness absence in the ICB, the system and the NHS as a whole</w:t>
      </w:r>
      <w:r w:rsidR="006909F5">
        <w:t>.</w:t>
      </w:r>
    </w:p>
    <w:p w14:paraId="34C02813" w14:textId="73B24999" w:rsidR="001C0486" w:rsidRDefault="001C0486" w:rsidP="006B1013">
      <w:pPr>
        <w:pStyle w:val="Heading3"/>
      </w:pPr>
      <w:bookmarkStart w:id="207" w:name="_Toc133356684"/>
      <w:bookmarkStart w:id="208" w:name="_Toc163136047"/>
      <w:bookmarkStart w:id="209" w:name="_Toc164470295"/>
      <w:bookmarkStart w:id="210" w:name="_Toc164814716"/>
      <w:bookmarkStart w:id="211" w:name="_Toc164814856"/>
      <w:bookmarkStart w:id="212" w:name="_Toc164814917"/>
      <w:r w:rsidRPr="00C60101">
        <w:t xml:space="preserve">Trade </w:t>
      </w:r>
      <w:r w:rsidR="4A8264B9">
        <w:t>u</w:t>
      </w:r>
      <w:r>
        <w:t xml:space="preserve">nion </w:t>
      </w:r>
      <w:r w:rsidR="2B41A59B">
        <w:t>f</w:t>
      </w:r>
      <w:r w:rsidRPr="00C60101">
        <w:t xml:space="preserve">acility </w:t>
      </w:r>
      <w:r w:rsidR="2AE408B5">
        <w:t>t</w:t>
      </w:r>
      <w:r>
        <w:t xml:space="preserve">ime </w:t>
      </w:r>
      <w:r w:rsidR="62620286">
        <w:t>r</w:t>
      </w:r>
      <w:r>
        <w:t xml:space="preserve">eporting </w:t>
      </w:r>
      <w:r w:rsidR="39089A4E">
        <w:t>r</w:t>
      </w:r>
      <w:r w:rsidRPr="00C60101">
        <w:t>equirements</w:t>
      </w:r>
      <w:bookmarkEnd w:id="207"/>
      <w:bookmarkEnd w:id="208"/>
      <w:bookmarkEnd w:id="209"/>
      <w:bookmarkEnd w:id="210"/>
      <w:bookmarkEnd w:id="211"/>
      <w:bookmarkEnd w:id="212"/>
      <w:r w:rsidR="00CA42C0">
        <w:t xml:space="preserve"> </w:t>
      </w:r>
    </w:p>
    <w:p w14:paraId="71427D38" w14:textId="35B037D5" w:rsidR="005C4A91" w:rsidRPr="00E20BA1" w:rsidRDefault="005C4A91" w:rsidP="00615F40">
      <w:pPr>
        <w:pStyle w:val="BodyText"/>
        <w:overflowPunct w:val="0"/>
      </w:pPr>
      <w:bookmarkStart w:id="213" w:name="_Toc133356686"/>
      <w:r w:rsidRPr="002A3281">
        <w:t>There was no Trade Union Facility Time in 2023/24.</w:t>
      </w:r>
      <w:r>
        <w:t xml:space="preserve"> </w:t>
      </w:r>
    </w:p>
    <w:p w14:paraId="487B66B7" w14:textId="521EC80D" w:rsidR="00E877CA" w:rsidRPr="00AF73DA" w:rsidRDefault="001C0486" w:rsidP="00B61ECC">
      <w:pPr>
        <w:pStyle w:val="Heading3"/>
      </w:pPr>
      <w:bookmarkStart w:id="214" w:name="_Toc163136048"/>
      <w:bookmarkStart w:id="215" w:name="_Toc164470296"/>
      <w:bookmarkStart w:id="216" w:name="_Toc164814717"/>
      <w:bookmarkStart w:id="217" w:name="_Toc164814857"/>
      <w:bookmarkStart w:id="218" w:name="_Toc164814918"/>
      <w:r w:rsidRPr="00612517">
        <w:t>Expenditure on consultancy</w:t>
      </w:r>
      <w:bookmarkStart w:id="219" w:name="_Toc133356687"/>
      <w:bookmarkEnd w:id="213"/>
      <w:bookmarkEnd w:id="214"/>
      <w:bookmarkEnd w:id="215"/>
      <w:bookmarkEnd w:id="216"/>
      <w:bookmarkEnd w:id="217"/>
      <w:bookmarkEnd w:id="218"/>
    </w:p>
    <w:p w14:paraId="48972167" w14:textId="7DFA9898" w:rsidR="009C1583" w:rsidRPr="00D52174" w:rsidRDefault="009C1583" w:rsidP="009C1583">
      <w:pPr>
        <w:spacing w:line="360" w:lineRule="auto"/>
        <w:rPr>
          <w:rFonts w:cs="Arial"/>
          <w:szCs w:val="24"/>
        </w:rPr>
      </w:pPr>
      <w:r w:rsidRPr="00515FDA">
        <w:rPr>
          <w:rFonts w:cs="Arial"/>
          <w:szCs w:val="24"/>
        </w:rPr>
        <w:t>Administr</w:t>
      </w:r>
      <w:r w:rsidRPr="00D52174">
        <w:rPr>
          <w:rFonts w:cs="Arial"/>
          <w:szCs w:val="24"/>
        </w:rPr>
        <w:t xml:space="preserve">ative </w:t>
      </w:r>
      <w:r w:rsidRPr="00D52174">
        <w:rPr>
          <w:rFonts w:cs="Arial"/>
          <w:szCs w:val="24"/>
        </w:rPr>
        <w:tab/>
        <w:t>£</w:t>
      </w:r>
      <w:r w:rsidR="00D52174" w:rsidRPr="00D52174">
        <w:rPr>
          <w:rFonts w:cs="Arial"/>
          <w:szCs w:val="24"/>
        </w:rPr>
        <w:t>309</w:t>
      </w:r>
      <w:r w:rsidRPr="00D52174">
        <w:rPr>
          <w:rFonts w:cs="Arial"/>
          <w:szCs w:val="24"/>
        </w:rPr>
        <w:t>k</w:t>
      </w:r>
    </w:p>
    <w:p w14:paraId="68E9443B" w14:textId="5253872F" w:rsidR="009C1583" w:rsidRPr="00D52174" w:rsidRDefault="009C1583" w:rsidP="009C1583">
      <w:pPr>
        <w:spacing w:line="360" w:lineRule="auto"/>
        <w:rPr>
          <w:rFonts w:cs="Arial"/>
          <w:szCs w:val="24"/>
        </w:rPr>
      </w:pPr>
      <w:r w:rsidRPr="00D52174">
        <w:rPr>
          <w:rFonts w:cs="Arial"/>
          <w:szCs w:val="24"/>
        </w:rPr>
        <w:t>Programme</w:t>
      </w:r>
      <w:r w:rsidRPr="00D52174">
        <w:rPr>
          <w:rFonts w:cs="Arial"/>
          <w:szCs w:val="24"/>
        </w:rPr>
        <w:tab/>
        <w:t xml:space="preserve"> </w:t>
      </w:r>
      <w:r w:rsidRPr="00D52174">
        <w:rPr>
          <w:rFonts w:cs="Arial"/>
          <w:szCs w:val="24"/>
        </w:rPr>
        <w:tab/>
        <w:t>£</w:t>
      </w:r>
      <w:r w:rsidR="00D52174" w:rsidRPr="00D52174">
        <w:rPr>
          <w:rFonts w:cs="Arial"/>
          <w:szCs w:val="24"/>
        </w:rPr>
        <w:t>473</w:t>
      </w:r>
      <w:r w:rsidRPr="00D52174">
        <w:rPr>
          <w:rFonts w:cs="Arial"/>
          <w:szCs w:val="24"/>
        </w:rPr>
        <w:t>k</w:t>
      </w:r>
    </w:p>
    <w:p w14:paraId="12F8E0D0" w14:textId="77777777" w:rsidR="00E877CA" w:rsidRDefault="00E877CA">
      <w:pPr>
        <w:spacing w:before="0" w:after="200" w:line="276" w:lineRule="auto"/>
        <w:rPr>
          <w:rFonts w:eastAsia="Times" w:cs="Times New Roman"/>
          <w:b/>
          <w:bCs/>
          <w:color w:val="000000" w:themeColor="text1"/>
          <w:szCs w:val="24"/>
        </w:rPr>
      </w:pPr>
      <w:r>
        <w:br w:type="page"/>
      </w:r>
    </w:p>
    <w:p w14:paraId="6DF9A8D6" w14:textId="41206614" w:rsidR="007B0201" w:rsidRPr="00612517" w:rsidRDefault="007B0201" w:rsidP="00B61ECC">
      <w:pPr>
        <w:pStyle w:val="Heading3"/>
        <w:rPr>
          <w:i/>
        </w:rPr>
      </w:pPr>
      <w:bookmarkStart w:id="220" w:name="_Toc163136050"/>
      <w:bookmarkStart w:id="221" w:name="_Toc164470298"/>
      <w:bookmarkStart w:id="222" w:name="_Toc164814718"/>
      <w:bookmarkStart w:id="223" w:name="_Toc164814858"/>
      <w:bookmarkStart w:id="224" w:name="_Toc164814919"/>
      <w:r w:rsidRPr="00612517">
        <w:lastRenderedPageBreak/>
        <w:t>Off-payroll engagements</w:t>
      </w:r>
      <w:bookmarkEnd w:id="219"/>
      <w:bookmarkEnd w:id="220"/>
      <w:bookmarkEnd w:id="221"/>
      <w:bookmarkEnd w:id="222"/>
      <w:bookmarkEnd w:id="223"/>
      <w:bookmarkEnd w:id="224"/>
      <w:r w:rsidRPr="00612517">
        <w:t xml:space="preserve"> </w:t>
      </w:r>
    </w:p>
    <w:p w14:paraId="71E6D72F" w14:textId="2C496294" w:rsidR="002A4438" w:rsidRPr="002A4438" w:rsidRDefault="002A4438" w:rsidP="00F768FC">
      <w:pPr>
        <w:rPr>
          <w:b/>
          <w:bCs/>
          <w:lang w:eastAsia="en-GB"/>
        </w:rPr>
      </w:pPr>
      <w:r w:rsidRPr="002A4438">
        <w:rPr>
          <w:b/>
          <w:bCs/>
          <w:lang w:eastAsia="en-GB"/>
        </w:rPr>
        <w:t>Table 1: Off-payroll engagements longer than 6 months</w:t>
      </w:r>
    </w:p>
    <w:p w14:paraId="64672AD3" w14:textId="77777777" w:rsidR="00974D48" w:rsidRPr="00C05C9B" w:rsidRDefault="00974D48" w:rsidP="00974D48">
      <w:pPr>
        <w:spacing w:line="360" w:lineRule="auto"/>
        <w:rPr>
          <w:rFonts w:cs="Arial"/>
          <w:b/>
          <w:szCs w:val="24"/>
        </w:rPr>
      </w:pPr>
      <w:r>
        <w:rPr>
          <w:rFonts w:cs="Arial"/>
          <w:szCs w:val="24"/>
        </w:rPr>
        <w:t>For all o</w:t>
      </w:r>
      <w:r w:rsidRPr="00C05C9B">
        <w:rPr>
          <w:rFonts w:cs="Arial"/>
          <w:szCs w:val="24"/>
        </w:rPr>
        <w:t xml:space="preserve">ff-payroll engagements as at </w:t>
      </w:r>
      <w:r w:rsidRPr="00590C1E">
        <w:rPr>
          <w:rFonts w:eastAsia="Times New Roman" w:cs="Arial"/>
          <w:lang w:eastAsia="en-GB"/>
        </w:rPr>
        <w:t>31 March 2024</w:t>
      </w:r>
      <w:r>
        <w:rPr>
          <w:rFonts w:eastAsia="Times New Roman" w:cs="Arial"/>
          <w:lang w:eastAsia="en-GB"/>
        </w:rPr>
        <w:t xml:space="preserve">, </w:t>
      </w:r>
      <w:r>
        <w:rPr>
          <w:rFonts w:cs="Arial"/>
          <w:szCs w:val="24"/>
        </w:rPr>
        <w:t xml:space="preserve">for </w:t>
      </w:r>
      <w:r w:rsidRPr="003D2C54">
        <w:rPr>
          <w:rFonts w:cs="Arial"/>
          <w:szCs w:val="24"/>
        </w:rPr>
        <w:t>more than £245</w:t>
      </w:r>
      <w:r>
        <w:rPr>
          <w:rFonts w:cs="Arial"/>
          <w:szCs w:val="24"/>
        </w:rPr>
        <w:t>*</w:t>
      </w:r>
      <w:r w:rsidRPr="00C05C9B">
        <w:rPr>
          <w:rFonts w:cs="Arial"/>
          <w:szCs w:val="24"/>
        </w:rPr>
        <w:t xml:space="preserve"> per day:</w:t>
      </w:r>
      <w:r w:rsidRPr="00C05C9B">
        <w:rPr>
          <w:rFonts w:cs="Arial"/>
          <w:b/>
          <w:szCs w:val="24"/>
        </w:rPr>
        <w:t xml:space="preserve"> </w:t>
      </w:r>
    </w:p>
    <w:tbl>
      <w:tblPr>
        <w:tblW w:w="8931" w:type="dxa"/>
        <w:tblLook w:val="04A0" w:firstRow="1" w:lastRow="0" w:firstColumn="1" w:lastColumn="0" w:noHBand="0" w:noVBand="1"/>
      </w:tblPr>
      <w:tblGrid>
        <w:gridCol w:w="7516"/>
        <w:gridCol w:w="1415"/>
      </w:tblGrid>
      <w:tr w:rsidR="00974D48" w:rsidRPr="00ED41B9" w14:paraId="3DDCF662" w14:textId="77777777" w:rsidTr="009115F7">
        <w:trPr>
          <w:trHeight w:val="409"/>
        </w:trPr>
        <w:tc>
          <w:tcPr>
            <w:tcW w:w="7516" w:type="dxa"/>
            <w:tcBorders>
              <w:bottom w:val="single" w:sz="4" w:space="0" w:color="auto"/>
              <w:right w:val="single" w:sz="4" w:space="0" w:color="auto"/>
            </w:tcBorders>
            <w:shd w:val="clear" w:color="auto" w:fill="auto"/>
            <w:noWrap/>
            <w:vAlign w:val="center"/>
            <w:hideMark/>
          </w:tcPr>
          <w:p w14:paraId="64E2DC5B" w14:textId="77777777" w:rsidR="00974D48" w:rsidRPr="00ED41B9" w:rsidRDefault="00974D48" w:rsidP="009115F7">
            <w:pPr>
              <w:spacing w:after="0" w:line="360" w:lineRule="auto"/>
              <w:rPr>
                <w:rFonts w:eastAsia="Times New Roman" w:cs="Arial"/>
                <w:sz w:val="20"/>
                <w:szCs w:val="18"/>
                <w:lang w:eastAsia="en-GB"/>
              </w:rPr>
            </w:pPr>
            <w:r w:rsidRPr="00ED41B9">
              <w:rPr>
                <w:rFonts w:eastAsia="Times New Roman" w:cs="Arial"/>
                <w:sz w:val="20"/>
                <w:szCs w:val="18"/>
                <w:lang w:eastAsia="en-GB"/>
              </w:rPr>
              <w:t> </w:t>
            </w:r>
          </w:p>
        </w:tc>
        <w:tc>
          <w:tcPr>
            <w:tcW w:w="1415" w:type="dxa"/>
            <w:tcBorders>
              <w:top w:val="single" w:sz="4" w:space="0" w:color="auto"/>
              <w:left w:val="nil"/>
              <w:bottom w:val="single" w:sz="4" w:space="0" w:color="auto"/>
              <w:right w:val="single" w:sz="4" w:space="0" w:color="000000"/>
            </w:tcBorders>
            <w:shd w:val="clear" w:color="auto" w:fill="auto"/>
            <w:noWrap/>
            <w:vAlign w:val="center"/>
            <w:hideMark/>
          </w:tcPr>
          <w:p w14:paraId="6E2C8AFD" w14:textId="77777777" w:rsidR="00974D48" w:rsidRPr="00ED41B9" w:rsidRDefault="00974D48" w:rsidP="009115F7">
            <w:pPr>
              <w:spacing w:after="0" w:line="360" w:lineRule="auto"/>
              <w:jc w:val="center"/>
              <w:rPr>
                <w:rFonts w:eastAsia="Times New Roman" w:cs="Arial"/>
                <w:b/>
                <w:sz w:val="20"/>
                <w:szCs w:val="18"/>
                <w:lang w:eastAsia="en-GB"/>
              </w:rPr>
            </w:pPr>
            <w:r w:rsidRPr="00ED41B9">
              <w:rPr>
                <w:rFonts w:eastAsia="Times New Roman" w:cs="Arial"/>
                <w:b/>
                <w:sz w:val="20"/>
                <w:szCs w:val="18"/>
                <w:lang w:eastAsia="en-GB"/>
              </w:rPr>
              <w:t>Number</w:t>
            </w:r>
          </w:p>
        </w:tc>
      </w:tr>
      <w:tr w:rsidR="00974D48" w:rsidRPr="00ED41B9" w14:paraId="46AFAF41" w14:textId="77777777" w:rsidTr="009115F7">
        <w:trPr>
          <w:trHeight w:val="409"/>
        </w:trPr>
        <w:tc>
          <w:tcPr>
            <w:tcW w:w="7516" w:type="dxa"/>
            <w:tcBorders>
              <w:top w:val="nil"/>
              <w:left w:val="single" w:sz="4" w:space="0" w:color="auto"/>
              <w:bottom w:val="single" w:sz="4" w:space="0" w:color="auto"/>
              <w:right w:val="single" w:sz="4" w:space="0" w:color="auto"/>
            </w:tcBorders>
            <w:shd w:val="clear" w:color="auto" w:fill="auto"/>
            <w:noWrap/>
            <w:vAlign w:val="center"/>
            <w:hideMark/>
          </w:tcPr>
          <w:p w14:paraId="60E4EBC9" w14:textId="77777777" w:rsidR="00974D48" w:rsidRPr="00ED41B9" w:rsidRDefault="00974D48" w:rsidP="009115F7">
            <w:pPr>
              <w:spacing w:after="0" w:line="360" w:lineRule="auto"/>
              <w:rPr>
                <w:rFonts w:eastAsia="Times New Roman" w:cs="Arial"/>
                <w:sz w:val="20"/>
                <w:szCs w:val="18"/>
                <w:lang w:eastAsia="en-GB"/>
              </w:rPr>
            </w:pPr>
            <w:r w:rsidRPr="00ED41B9">
              <w:rPr>
                <w:rFonts w:eastAsia="Times New Roman" w:cs="Arial"/>
                <w:sz w:val="20"/>
                <w:szCs w:val="18"/>
                <w:lang w:eastAsia="en-GB"/>
              </w:rPr>
              <w:t>Number of existing engagements as of 31 March 2024</w:t>
            </w:r>
          </w:p>
        </w:tc>
        <w:tc>
          <w:tcPr>
            <w:tcW w:w="1415" w:type="dxa"/>
            <w:tcBorders>
              <w:top w:val="single" w:sz="4" w:space="0" w:color="auto"/>
              <w:left w:val="nil"/>
              <w:bottom w:val="single" w:sz="4" w:space="0" w:color="auto"/>
              <w:right w:val="single" w:sz="4" w:space="0" w:color="000000"/>
            </w:tcBorders>
            <w:shd w:val="clear" w:color="auto" w:fill="auto"/>
            <w:noWrap/>
            <w:vAlign w:val="center"/>
            <w:hideMark/>
          </w:tcPr>
          <w:p w14:paraId="49366439" w14:textId="32F7678D" w:rsidR="00974D48" w:rsidRPr="00ED41B9" w:rsidRDefault="00C44FF9" w:rsidP="009115F7">
            <w:pPr>
              <w:spacing w:after="0" w:line="360" w:lineRule="auto"/>
              <w:jc w:val="center"/>
              <w:rPr>
                <w:rFonts w:eastAsia="Times New Roman" w:cs="Arial"/>
                <w:sz w:val="20"/>
                <w:szCs w:val="18"/>
                <w:lang w:eastAsia="en-GB"/>
              </w:rPr>
            </w:pPr>
            <w:r w:rsidRPr="00ED41B9">
              <w:rPr>
                <w:rFonts w:eastAsia="Times New Roman" w:cs="Arial"/>
                <w:sz w:val="20"/>
                <w:szCs w:val="18"/>
                <w:lang w:eastAsia="en-GB"/>
              </w:rPr>
              <w:t>13</w:t>
            </w:r>
          </w:p>
        </w:tc>
      </w:tr>
      <w:tr w:rsidR="00974D48" w:rsidRPr="00ED41B9" w14:paraId="1364845B" w14:textId="77777777" w:rsidTr="009115F7">
        <w:trPr>
          <w:trHeight w:val="409"/>
        </w:trPr>
        <w:tc>
          <w:tcPr>
            <w:tcW w:w="8931"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CE33491" w14:textId="77777777" w:rsidR="00974D48" w:rsidRPr="00ED41B9" w:rsidRDefault="00974D48" w:rsidP="009115F7">
            <w:pPr>
              <w:spacing w:after="0" w:line="360" w:lineRule="auto"/>
              <w:rPr>
                <w:rFonts w:eastAsia="Times New Roman" w:cs="Arial"/>
                <w:i/>
                <w:iCs/>
                <w:sz w:val="20"/>
                <w:szCs w:val="18"/>
                <w:lang w:eastAsia="en-GB"/>
              </w:rPr>
            </w:pPr>
            <w:r w:rsidRPr="00ED41B9">
              <w:rPr>
                <w:rFonts w:eastAsia="Times New Roman" w:cs="Arial"/>
                <w:i/>
                <w:iCs/>
                <w:sz w:val="20"/>
                <w:szCs w:val="18"/>
                <w:lang w:eastAsia="en-GB"/>
              </w:rPr>
              <w:t>Of which, the number that have existed: </w:t>
            </w:r>
          </w:p>
        </w:tc>
      </w:tr>
      <w:tr w:rsidR="00974D48" w:rsidRPr="00ED41B9" w14:paraId="43303637" w14:textId="77777777" w:rsidTr="009115F7">
        <w:trPr>
          <w:trHeight w:val="409"/>
        </w:trPr>
        <w:tc>
          <w:tcPr>
            <w:tcW w:w="7516" w:type="dxa"/>
            <w:tcBorders>
              <w:top w:val="nil"/>
              <w:left w:val="single" w:sz="4" w:space="0" w:color="auto"/>
              <w:bottom w:val="single" w:sz="4" w:space="0" w:color="auto"/>
              <w:right w:val="single" w:sz="4" w:space="0" w:color="auto"/>
            </w:tcBorders>
            <w:shd w:val="clear" w:color="auto" w:fill="auto"/>
            <w:noWrap/>
            <w:vAlign w:val="center"/>
            <w:hideMark/>
          </w:tcPr>
          <w:p w14:paraId="12365D32" w14:textId="77777777" w:rsidR="00974D48" w:rsidRPr="00ED41B9" w:rsidRDefault="00974D48" w:rsidP="009115F7">
            <w:pPr>
              <w:spacing w:after="0" w:line="360" w:lineRule="auto"/>
              <w:ind w:firstLineChars="100" w:firstLine="200"/>
              <w:rPr>
                <w:rFonts w:eastAsia="Times New Roman" w:cs="Arial"/>
                <w:sz w:val="20"/>
                <w:szCs w:val="18"/>
                <w:lang w:eastAsia="en-GB"/>
              </w:rPr>
            </w:pPr>
            <w:r w:rsidRPr="00ED41B9">
              <w:rPr>
                <w:rFonts w:eastAsia="Times New Roman" w:cs="Arial"/>
                <w:sz w:val="20"/>
                <w:szCs w:val="18"/>
                <w:lang w:eastAsia="en-GB"/>
              </w:rPr>
              <w:t>for less than one year at the time of reporting</w:t>
            </w:r>
          </w:p>
        </w:tc>
        <w:tc>
          <w:tcPr>
            <w:tcW w:w="1415" w:type="dxa"/>
            <w:tcBorders>
              <w:top w:val="single" w:sz="4" w:space="0" w:color="auto"/>
              <w:left w:val="nil"/>
              <w:bottom w:val="single" w:sz="4" w:space="0" w:color="auto"/>
              <w:right w:val="single" w:sz="4" w:space="0" w:color="000000"/>
            </w:tcBorders>
            <w:shd w:val="clear" w:color="auto" w:fill="auto"/>
            <w:noWrap/>
            <w:vAlign w:val="center"/>
            <w:hideMark/>
          </w:tcPr>
          <w:p w14:paraId="4AA1FB3D" w14:textId="584C629D" w:rsidR="00974D48" w:rsidRPr="00ED41B9" w:rsidRDefault="00C44FF9" w:rsidP="009115F7">
            <w:pPr>
              <w:spacing w:after="0" w:line="360" w:lineRule="auto"/>
              <w:jc w:val="center"/>
              <w:rPr>
                <w:rFonts w:eastAsia="Times New Roman" w:cs="Arial"/>
                <w:sz w:val="20"/>
                <w:szCs w:val="18"/>
                <w:lang w:eastAsia="en-GB"/>
              </w:rPr>
            </w:pPr>
            <w:r w:rsidRPr="00ED41B9">
              <w:rPr>
                <w:rFonts w:eastAsia="Times New Roman" w:cs="Arial"/>
                <w:sz w:val="20"/>
                <w:szCs w:val="18"/>
                <w:lang w:eastAsia="en-GB"/>
              </w:rPr>
              <w:t>7</w:t>
            </w:r>
          </w:p>
        </w:tc>
      </w:tr>
      <w:tr w:rsidR="00974D48" w:rsidRPr="00ED41B9" w14:paraId="75F0A58A" w14:textId="77777777" w:rsidTr="009115F7">
        <w:trPr>
          <w:trHeight w:val="409"/>
        </w:trPr>
        <w:tc>
          <w:tcPr>
            <w:tcW w:w="7516" w:type="dxa"/>
            <w:tcBorders>
              <w:top w:val="nil"/>
              <w:left w:val="single" w:sz="4" w:space="0" w:color="auto"/>
              <w:bottom w:val="single" w:sz="4" w:space="0" w:color="auto"/>
              <w:right w:val="single" w:sz="4" w:space="0" w:color="auto"/>
            </w:tcBorders>
            <w:shd w:val="clear" w:color="auto" w:fill="auto"/>
            <w:noWrap/>
            <w:vAlign w:val="center"/>
            <w:hideMark/>
          </w:tcPr>
          <w:p w14:paraId="2B9CBAC4" w14:textId="77777777" w:rsidR="00974D48" w:rsidRPr="00ED41B9" w:rsidRDefault="00974D48" w:rsidP="009115F7">
            <w:pPr>
              <w:spacing w:after="0" w:line="360" w:lineRule="auto"/>
              <w:ind w:leftChars="110" w:left="268" w:hangingChars="2" w:hanging="4"/>
              <w:rPr>
                <w:rFonts w:eastAsia="Times New Roman" w:cs="Arial"/>
                <w:sz w:val="20"/>
                <w:szCs w:val="18"/>
                <w:lang w:eastAsia="en-GB"/>
              </w:rPr>
            </w:pPr>
            <w:r w:rsidRPr="00ED41B9">
              <w:rPr>
                <w:rFonts w:eastAsia="Times New Roman" w:cs="Arial"/>
                <w:sz w:val="20"/>
                <w:szCs w:val="18"/>
                <w:lang w:eastAsia="en-GB"/>
              </w:rPr>
              <w:t>for between one and two years at the time of reporting</w:t>
            </w:r>
          </w:p>
        </w:tc>
        <w:tc>
          <w:tcPr>
            <w:tcW w:w="1415" w:type="dxa"/>
            <w:tcBorders>
              <w:top w:val="single" w:sz="4" w:space="0" w:color="auto"/>
              <w:left w:val="nil"/>
              <w:bottom w:val="single" w:sz="4" w:space="0" w:color="auto"/>
              <w:right w:val="single" w:sz="4" w:space="0" w:color="000000"/>
            </w:tcBorders>
            <w:shd w:val="clear" w:color="auto" w:fill="auto"/>
            <w:noWrap/>
            <w:vAlign w:val="center"/>
          </w:tcPr>
          <w:p w14:paraId="36B5C26D" w14:textId="05700B70" w:rsidR="00974D48" w:rsidRPr="00ED41B9" w:rsidRDefault="00C44FF9" w:rsidP="009115F7">
            <w:pPr>
              <w:spacing w:after="0" w:line="360" w:lineRule="auto"/>
              <w:jc w:val="center"/>
              <w:rPr>
                <w:rFonts w:eastAsia="Times New Roman" w:cs="Arial"/>
                <w:sz w:val="20"/>
                <w:szCs w:val="18"/>
                <w:lang w:eastAsia="en-GB"/>
              </w:rPr>
            </w:pPr>
            <w:r w:rsidRPr="00ED41B9">
              <w:rPr>
                <w:rFonts w:eastAsia="Times New Roman" w:cs="Arial"/>
                <w:sz w:val="20"/>
                <w:szCs w:val="18"/>
                <w:lang w:eastAsia="en-GB"/>
              </w:rPr>
              <w:t>6</w:t>
            </w:r>
          </w:p>
        </w:tc>
      </w:tr>
      <w:tr w:rsidR="00974D48" w:rsidRPr="00ED41B9" w14:paraId="64157FFC" w14:textId="77777777" w:rsidTr="009115F7">
        <w:trPr>
          <w:trHeight w:val="409"/>
        </w:trPr>
        <w:tc>
          <w:tcPr>
            <w:tcW w:w="7516" w:type="dxa"/>
            <w:tcBorders>
              <w:top w:val="nil"/>
              <w:left w:val="single" w:sz="4" w:space="0" w:color="auto"/>
              <w:bottom w:val="single" w:sz="4" w:space="0" w:color="auto"/>
              <w:right w:val="single" w:sz="4" w:space="0" w:color="auto"/>
            </w:tcBorders>
            <w:shd w:val="clear" w:color="auto" w:fill="auto"/>
            <w:noWrap/>
            <w:vAlign w:val="center"/>
            <w:hideMark/>
          </w:tcPr>
          <w:p w14:paraId="2C0B8616" w14:textId="77777777" w:rsidR="00974D48" w:rsidRPr="00ED41B9" w:rsidRDefault="00974D48" w:rsidP="009115F7">
            <w:pPr>
              <w:spacing w:after="0" w:line="360" w:lineRule="auto"/>
              <w:ind w:firstLineChars="100" w:firstLine="200"/>
              <w:rPr>
                <w:rFonts w:eastAsia="Times New Roman" w:cs="Arial"/>
                <w:sz w:val="20"/>
                <w:szCs w:val="18"/>
                <w:lang w:eastAsia="en-GB"/>
              </w:rPr>
            </w:pPr>
            <w:r w:rsidRPr="00ED41B9">
              <w:rPr>
                <w:rFonts w:eastAsia="Times New Roman" w:cs="Arial"/>
                <w:sz w:val="20"/>
                <w:szCs w:val="18"/>
                <w:lang w:eastAsia="en-GB"/>
              </w:rPr>
              <w:t>for between 2 and 3 years at the time of reporting</w:t>
            </w:r>
          </w:p>
        </w:tc>
        <w:tc>
          <w:tcPr>
            <w:tcW w:w="1415" w:type="dxa"/>
            <w:tcBorders>
              <w:top w:val="single" w:sz="4" w:space="0" w:color="auto"/>
              <w:left w:val="nil"/>
              <w:bottom w:val="single" w:sz="4" w:space="0" w:color="auto"/>
              <w:right w:val="single" w:sz="4" w:space="0" w:color="000000"/>
            </w:tcBorders>
            <w:shd w:val="clear" w:color="auto" w:fill="auto"/>
            <w:noWrap/>
            <w:vAlign w:val="center"/>
          </w:tcPr>
          <w:p w14:paraId="5123C3A5" w14:textId="36737877" w:rsidR="00974D48" w:rsidRPr="00ED41B9" w:rsidRDefault="00C44FF9" w:rsidP="009115F7">
            <w:pPr>
              <w:spacing w:after="0" w:line="360" w:lineRule="auto"/>
              <w:jc w:val="center"/>
              <w:rPr>
                <w:rFonts w:eastAsia="Times New Roman" w:cs="Arial"/>
                <w:sz w:val="20"/>
                <w:szCs w:val="18"/>
                <w:lang w:eastAsia="en-GB"/>
              </w:rPr>
            </w:pPr>
            <w:r w:rsidRPr="00ED41B9">
              <w:rPr>
                <w:rFonts w:eastAsia="Times New Roman" w:cs="Arial"/>
                <w:sz w:val="20"/>
                <w:szCs w:val="18"/>
                <w:lang w:eastAsia="en-GB"/>
              </w:rPr>
              <w:t>0</w:t>
            </w:r>
          </w:p>
        </w:tc>
      </w:tr>
      <w:tr w:rsidR="00974D48" w:rsidRPr="00ED41B9" w14:paraId="0E393AE5" w14:textId="77777777" w:rsidTr="009115F7">
        <w:trPr>
          <w:trHeight w:val="409"/>
        </w:trPr>
        <w:tc>
          <w:tcPr>
            <w:tcW w:w="7516" w:type="dxa"/>
            <w:tcBorders>
              <w:top w:val="nil"/>
              <w:left w:val="single" w:sz="4" w:space="0" w:color="auto"/>
              <w:bottom w:val="single" w:sz="4" w:space="0" w:color="auto"/>
              <w:right w:val="single" w:sz="4" w:space="0" w:color="auto"/>
            </w:tcBorders>
            <w:shd w:val="clear" w:color="auto" w:fill="auto"/>
            <w:noWrap/>
            <w:vAlign w:val="center"/>
            <w:hideMark/>
          </w:tcPr>
          <w:p w14:paraId="27DBC7BB" w14:textId="77777777" w:rsidR="00974D48" w:rsidRPr="00ED41B9" w:rsidRDefault="00974D48" w:rsidP="009115F7">
            <w:pPr>
              <w:spacing w:after="0" w:line="360" w:lineRule="auto"/>
              <w:ind w:firstLineChars="100" w:firstLine="200"/>
              <w:rPr>
                <w:rFonts w:eastAsia="Times New Roman" w:cs="Arial"/>
                <w:sz w:val="20"/>
                <w:szCs w:val="18"/>
                <w:lang w:eastAsia="en-GB"/>
              </w:rPr>
            </w:pPr>
            <w:r w:rsidRPr="00ED41B9">
              <w:rPr>
                <w:rFonts w:eastAsia="Times New Roman" w:cs="Arial"/>
                <w:sz w:val="20"/>
                <w:szCs w:val="18"/>
                <w:lang w:eastAsia="en-GB"/>
              </w:rPr>
              <w:t>for between 3 and 4 years at the time of reporting</w:t>
            </w:r>
          </w:p>
        </w:tc>
        <w:tc>
          <w:tcPr>
            <w:tcW w:w="1415" w:type="dxa"/>
            <w:tcBorders>
              <w:top w:val="single" w:sz="4" w:space="0" w:color="auto"/>
              <w:left w:val="nil"/>
              <w:bottom w:val="single" w:sz="4" w:space="0" w:color="auto"/>
              <w:right w:val="single" w:sz="4" w:space="0" w:color="000000"/>
            </w:tcBorders>
            <w:shd w:val="clear" w:color="auto" w:fill="auto"/>
            <w:noWrap/>
            <w:vAlign w:val="center"/>
          </w:tcPr>
          <w:p w14:paraId="358A1AF7" w14:textId="06E15097" w:rsidR="00974D48" w:rsidRPr="00ED41B9" w:rsidRDefault="00C44FF9" w:rsidP="009115F7">
            <w:pPr>
              <w:spacing w:after="0" w:line="360" w:lineRule="auto"/>
              <w:jc w:val="center"/>
              <w:rPr>
                <w:rFonts w:eastAsia="Times New Roman" w:cs="Arial"/>
                <w:sz w:val="20"/>
                <w:szCs w:val="18"/>
                <w:lang w:eastAsia="en-GB"/>
              </w:rPr>
            </w:pPr>
            <w:r w:rsidRPr="00ED41B9">
              <w:rPr>
                <w:rFonts w:eastAsia="Times New Roman" w:cs="Arial"/>
                <w:sz w:val="20"/>
                <w:szCs w:val="18"/>
                <w:lang w:eastAsia="en-GB"/>
              </w:rPr>
              <w:t>0</w:t>
            </w:r>
          </w:p>
        </w:tc>
      </w:tr>
      <w:tr w:rsidR="00974D48" w:rsidRPr="00ED41B9" w14:paraId="4285617D" w14:textId="77777777" w:rsidTr="009115F7">
        <w:trPr>
          <w:trHeight w:val="409"/>
        </w:trPr>
        <w:tc>
          <w:tcPr>
            <w:tcW w:w="7516" w:type="dxa"/>
            <w:tcBorders>
              <w:top w:val="nil"/>
              <w:left w:val="single" w:sz="4" w:space="0" w:color="auto"/>
              <w:bottom w:val="single" w:sz="4" w:space="0" w:color="auto"/>
              <w:right w:val="single" w:sz="4" w:space="0" w:color="auto"/>
            </w:tcBorders>
            <w:shd w:val="clear" w:color="auto" w:fill="auto"/>
            <w:noWrap/>
            <w:vAlign w:val="center"/>
            <w:hideMark/>
          </w:tcPr>
          <w:p w14:paraId="44950968" w14:textId="77777777" w:rsidR="00974D48" w:rsidRPr="00ED41B9" w:rsidRDefault="00974D48" w:rsidP="009115F7">
            <w:pPr>
              <w:spacing w:after="0" w:line="360" w:lineRule="auto"/>
              <w:ind w:firstLineChars="100" w:firstLine="200"/>
              <w:rPr>
                <w:rFonts w:eastAsia="Times New Roman" w:cs="Arial"/>
                <w:sz w:val="20"/>
                <w:szCs w:val="18"/>
                <w:lang w:eastAsia="en-GB"/>
              </w:rPr>
            </w:pPr>
            <w:r w:rsidRPr="00ED41B9">
              <w:rPr>
                <w:rFonts w:eastAsia="Times New Roman" w:cs="Arial"/>
                <w:sz w:val="20"/>
                <w:szCs w:val="18"/>
                <w:lang w:eastAsia="en-GB"/>
              </w:rPr>
              <w:t>for 4 or more years at the time of reporting</w:t>
            </w:r>
          </w:p>
        </w:tc>
        <w:tc>
          <w:tcPr>
            <w:tcW w:w="1415" w:type="dxa"/>
            <w:tcBorders>
              <w:top w:val="single" w:sz="4" w:space="0" w:color="auto"/>
              <w:left w:val="nil"/>
              <w:bottom w:val="single" w:sz="4" w:space="0" w:color="auto"/>
              <w:right w:val="single" w:sz="4" w:space="0" w:color="000000"/>
            </w:tcBorders>
            <w:shd w:val="clear" w:color="auto" w:fill="auto"/>
            <w:noWrap/>
            <w:vAlign w:val="center"/>
          </w:tcPr>
          <w:p w14:paraId="2496A6B0" w14:textId="0CDD5ECA" w:rsidR="00974D48" w:rsidRPr="00ED41B9" w:rsidRDefault="00C44FF9" w:rsidP="009115F7">
            <w:pPr>
              <w:spacing w:after="0" w:line="360" w:lineRule="auto"/>
              <w:jc w:val="center"/>
              <w:rPr>
                <w:rFonts w:eastAsia="Times New Roman" w:cs="Arial"/>
                <w:sz w:val="20"/>
                <w:szCs w:val="18"/>
                <w:lang w:eastAsia="en-GB"/>
              </w:rPr>
            </w:pPr>
            <w:r w:rsidRPr="00ED41B9">
              <w:rPr>
                <w:rFonts w:eastAsia="Times New Roman" w:cs="Arial"/>
                <w:sz w:val="20"/>
                <w:szCs w:val="18"/>
                <w:lang w:eastAsia="en-GB"/>
              </w:rPr>
              <w:t>0</w:t>
            </w:r>
          </w:p>
        </w:tc>
      </w:tr>
    </w:tbl>
    <w:p w14:paraId="789417EF" w14:textId="51CC64A0" w:rsidR="00974D48" w:rsidRPr="006909F5" w:rsidRDefault="00974D48" w:rsidP="00033735">
      <w:pPr>
        <w:spacing w:after="0"/>
        <w:rPr>
          <w:rFonts w:cs="Arial"/>
          <w:szCs w:val="24"/>
          <w:highlight w:val="yellow"/>
        </w:rPr>
      </w:pPr>
      <w:r>
        <w:t xml:space="preserve">*The £245 threshold is set to approximate the minimum point of the pay scale for a Senior Civil Servant.      </w:t>
      </w:r>
    </w:p>
    <w:p w14:paraId="4E6949C2" w14:textId="68E0DB45" w:rsidR="00974D48" w:rsidRPr="00033735" w:rsidRDefault="006B0058" w:rsidP="00033735">
      <w:pPr>
        <w:spacing w:line="360" w:lineRule="auto"/>
        <w:rPr>
          <w:rFonts w:cs="Arial"/>
          <w:szCs w:val="24"/>
        </w:rPr>
      </w:pPr>
      <w:r w:rsidRPr="009005D8">
        <w:rPr>
          <w:rFonts w:cs="Arial"/>
          <w:szCs w:val="24"/>
        </w:rPr>
        <w:t xml:space="preserve">The </w:t>
      </w:r>
      <w:r w:rsidR="00033735" w:rsidRPr="009005D8">
        <w:rPr>
          <w:rFonts w:cs="Arial"/>
          <w:szCs w:val="24"/>
        </w:rPr>
        <w:t xml:space="preserve">ICB </w:t>
      </w:r>
      <w:r w:rsidRPr="009005D8">
        <w:rPr>
          <w:rFonts w:cs="Arial"/>
          <w:szCs w:val="24"/>
        </w:rPr>
        <w:t>has</w:t>
      </w:r>
      <w:r w:rsidR="00033735" w:rsidRPr="009005D8">
        <w:rPr>
          <w:rFonts w:cs="Arial"/>
          <w:szCs w:val="24"/>
        </w:rPr>
        <w:t xml:space="preserve"> confirm</w:t>
      </w:r>
      <w:r w:rsidRPr="009005D8">
        <w:rPr>
          <w:rFonts w:cs="Arial"/>
          <w:szCs w:val="24"/>
        </w:rPr>
        <w:t>ed</w:t>
      </w:r>
      <w:r w:rsidR="00033735" w:rsidRPr="009005D8">
        <w:rPr>
          <w:rFonts w:cs="Arial"/>
          <w:szCs w:val="24"/>
        </w:rPr>
        <w:t xml:space="preserve"> that all existing off-payroll engagements have been subject to a risk-based assessment as to whether assurance is required that the individual is paying the right amount of tax.</w:t>
      </w:r>
    </w:p>
    <w:p w14:paraId="1561515E" w14:textId="23501B5D" w:rsidR="00485B21" w:rsidRPr="000210FD" w:rsidRDefault="000210FD" w:rsidP="00F768FC">
      <w:pPr>
        <w:rPr>
          <w:b/>
          <w:bCs/>
          <w:lang w:eastAsia="en-GB"/>
        </w:rPr>
      </w:pPr>
      <w:r w:rsidRPr="000210FD">
        <w:rPr>
          <w:b/>
          <w:bCs/>
          <w:lang w:eastAsia="en-GB"/>
        </w:rPr>
        <w:t>Table 2: Off-payroll workers engaged at any point during the financial year</w:t>
      </w:r>
    </w:p>
    <w:p w14:paraId="1CE6B7E0" w14:textId="77777777" w:rsidR="002C7611" w:rsidRPr="00A35339" w:rsidRDefault="002C7611" w:rsidP="00033735">
      <w:pPr>
        <w:spacing w:after="120"/>
        <w:contextualSpacing/>
        <w:rPr>
          <w:rFonts w:cs="Arial"/>
          <w:szCs w:val="24"/>
        </w:rPr>
      </w:pPr>
      <w:r w:rsidRPr="00A35339">
        <w:rPr>
          <w:rFonts w:cs="Arial"/>
          <w:szCs w:val="24"/>
        </w:rPr>
        <w:t xml:space="preserve">For all off-payroll engagements between </w:t>
      </w:r>
      <w:r>
        <w:rPr>
          <w:rFonts w:cs="Arial"/>
        </w:rPr>
        <w:t xml:space="preserve">1 April 2023 to 31 March 2024, </w:t>
      </w:r>
      <w:r w:rsidRPr="00A35339">
        <w:rPr>
          <w:rFonts w:cs="Arial"/>
          <w:szCs w:val="24"/>
        </w:rPr>
        <w:t xml:space="preserve">for </w:t>
      </w:r>
    </w:p>
    <w:p w14:paraId="5A28C325" w14:textId="77777777" w:rsidR="002C7611" w:rsidRPr="00A35339" w:rsidRDefault="002C7611" w:rsidP="00033735">
      <w:pPr>
        <w:spacing w:after="120"/>
        <w:contextualSpacing/>
        <w:rPr>
          <w:rFonts w:cs="Arial"/>
          <w:szCs w:val="24"/>
        </w:rPr>
      </w:pPr>
      <w:r w:rsidRPr="00A35339">
        <w:rPr>
          <w:rFonts w:cs="Arial"/>
          <w:szCs w:val="24"/>
        </w:rPr>
        <w:t>more than £245</w:t>
      </w:r>
      <w:r w:rsidRPr="00A35339">
        <w:rPr>
          <w:rFonts w:cs="Arial"/>
          <w:szCs w:val="24"/>
          <w:vertAlign w:val="superscript"/>
        </w:rPr>
        <w:t>(1)</w:t>
      </w:r>
      <w:r w:rsidRPr="00A35339">
        <w:rPr>
          <w:rFonts w:cs="Arial"/>
          <w:szCs w:val="24"/>
        </w:rPr>
        <w:t xml:space="preserve"> per day</w:t>
      </w:r>
      <w:r>
        <w:rPr>
          <w:rFonts w:cs="Arial"/>
          <w:szCs w:val="24"/>
        </w:rPr>
        <w:t>:</w:t>
      </w:r>
    </w:p>
    <w:tbl>
      <w:tblPr>
        <w:tblW w:w="9356" w:type="dxa"/>
        <w:tblLook w:val="04A0" w:firstRow="1" w:lastRow="0" w:firstColumn="1" w:lastColumn="0" w:noHBand="0" w:noVBand="1"/>
      </w:tblPr>
      <w:tblGrid>
        <w:gridCol w:w="8080"/>
        <w:gridCol w:w="1276"/>
      </w:tblGrid>
      <w:tr w:rsidR="002C7611" w:rsidRPr="00ED41B9" w14:paraId="58A713C7" w14:textId="77777777" w:rsidTr="009115F7">
        <w:trPr>
          <w:trHeight w:val="424"/>
        </w:trPr>
        <w:tc>
          <w:tcPr>
            <w:tcW w:w="8080" w:type="dxa"/>
            <w:tcBorders>
              <w:bottom w:val="single" w:sz="4" w:space="0" w:color="auto"/>
              <w:right w:val="single" w:sz="4" w:space="0" w:color="000000"/>
            </w:tcBorders>
            <w:shd w:val="clear" w:color="auto" w:fill="auto"/>
            <w:noWrap/>
            <w:vAlign w:val="bottom"/>
            <w:hideMark/>
          </w:tcPr>
          <w:p w14:paraId="68D35A2D" w14:textId="77777777" w:rsidR="002C7611" w:rsidRPr="00ED41B9" w:rsidRDefault="002C7611" w:rsidP="009115F7">
            <w:pPr>
              <w:spacing w:after="0" w:line="360" w:lineRule="auto"/>
              <w:rPr>
                <w:rFonts w:eastAsia="Times New Roman" w:cs="Arial"/>
                <w:sz w:val="20"/>
                <w:szCs w:val="20"/>
                <w:lang w:eastAsia="en-GB"/>
              </w:rPr>
            </w:pPr>
            <w:r w:rsidRPr="00ED41B9">
              <w:rPr>
                <w:rFonts w:eastAsia="Times New Roman" w:cs="Arial"/>
                <w:sz w:val="20"/>
                <w:szCs w:val="20"/>
                <w:lang w:eastAsia="en-GB"/>
              </w:rPr>
              <w:t> </w:t>
            </w:r>
          </w:p>
        </w:tc>
        <w:tc>
          <w:tcPr>
            <w:tcW w:w="1276" w:type="dxa"/>
            <w:tcBorders>
              <w:top w:val="single" w:sz="4" w:space="0" w:color="auto"/>
              <w:left w:val="single" w:sz="4" w:space="0" w:color="000000"/>
              <w:bottom w:val="single" w:sz="4" w:space="0" w:color="auto"/>
              <w:right w:val="single" w:sz="4" w:space="0" w:color="000000"/>
            </w:tcBorders>
            <w:shd w:val="clear" w:color="auto" w:fill="auto"/>
            <w:noWrap/>
            <w:vAlign w:val="center"/>
            <w:hideMark/>
          </w:tcPr>
          <w:p w14:paraId="0F37543B" w14:textId="77777777" w:rsidR="002C7611" w:rsidRPr="00ED41B9" w:rsidRDefault="002C7611" w:rsidP="009115F7">
            <w:pPr>
              <w:spacing w:after="0" w:line="360" w:lineRule="auto"/>
              <w:jc w:val="center"/>
              <w:rPr>
                <w:rFonts w:eastAsia="Times New Roman" w:cs="Arial"/>
                <w:b/>
                <w:sz w:val="20"/>
                <w:szCs w:val="20"/>
                <w:lang w:eastAsia="en-GB"/>
              </w:rPr>
            </w:pPr>
            <w:r w:rsidRPr="00ED41B9">
              <w:rPr>
                <w:rFonts w:eastAsia="Times New Roman" w:cs="Arial"/>
                <w:b/>
                <w:sz w:val="20"/>
                <w:szCs w:val="20"/>
                <w:lang w:eastAsia="en-GB"/>
              </w:rPr>
              <w:t>Number</w:t>
            </w:r>
          </w:p>
        </w:tc>
      </w:tr>
      <w:tr w:rsidR="002C7611" w:rsidRPr="00ED41B9" w14:paraId="2181EB55" w14:textId="77777777" w:rsidTr="009115F7">
        <w:trPr>
          <w:trHeight w:val="480"/>
        </w:trPr>
        <w:tc>
          <w:tcPr>
            <w:tcW w:w="8080" w:type="dxa"/>
            <w:tcBorders>
              <w:top w:val="nil"/>
              <w:left w:val="single" w:sz="4" w:space="0" w:color="auto"/>
              <w:bottom w:val="single" w:sz="4" w:space="0" w:color="auto"/>
              <w:right w:val="single" w:sz="4" w:space="0" w:color="auto"/>
            </w:tcBorders>
            <w:shd w:val="clear" w:color="auto" w:fill="auto"/>
            <w:vAlign w:val="center"/>
            <w:hideMark/>
          </w:tcPr>
          <w:p w14:paraId="1CAEA9EA" w14:textId="77777777" w:rsidR="002C7611" w:rsidRPr="00ED41B9" w:rsidRDefault="002C7611" w:rsidP="009115F7">
            <w:pPr>
              <w:spacing w:after="0" w:line="360" w:lineRule="auto"/>
              <w:ind w:left="29"/>
              <w:rPr>
                <w:rFonts w:eastAsia="Times New Roman" w:cs="Arial"/>
                <w:sz w:val="20"/>
                <w:szCs w:val="20"/>
                <w:lang w:eastAsia="en-GB"/>
              </w:rPr>
            </w:pPr>
            <w:r w:rsidRPr="00ED41B9">
              <w:rPr>
                <w:rFonts w:eastAsia="Times New Roman" w:cs="Arial"/>
                <w:sz w:val="20"/>
                <w:szCs w:val="20"/>
                <w:lang w:eastAsia="en-GB"/>
              </w:rPr>
              <w:t xml:space="preserve">No. of temporary off-payroll workers engaged between </w:t>
            </w:r>
            <w:r w:rsidRPr="00ED41B9">
              <w:rPr>
                <w:rFonts w:cs="Arial"/>
                <w:sz w:val="20"/>
                <w:szCs w:val="20"/>
              </w:rPr>
              <w:t>1 April 2023 to 31 March 2024</w:t>
            </w:r>
          </w:p>
        </w:tc>
        <w:tc>
          <w:tcPr>
            <w:tcW w:w="1276" w:type="dxa"/>
            <w:tcBorders>
              <w:top w:val="single" w:sz="4" w:space="0" w:color="auto"/>
              <w:left w:val="nil"/>
              <w:bottom w:val="single" w:sz="4" w:space="0" w:color="auto"/>
              <w:right w:val="single" w:sz="4" w:space="0" w:color="000000"/>
            </w:tcBorders>
            <w:shd w:val="clear" w:color="auto" w:fill="auto"/>
            <w:noWrap/>
            <w:vAlign w:val="center"/>
          </w:tcPr>
          <w:p w14:paraId="73B929B5" w14:textId="7689891F" w:rsidR="002C7611" w:rsidRPr="00ED41B9" w:rsidRDefault="007B1EFA" w:rsidP="009115F7">
            <w:pPr>
              <w:spacing w:after="0" w:line="360" w:lineRule="auto"/>
              <w:jc w:val="center"/>
              <w:rPr>
                <w:rFonts w:eastAsia="Times New Roman" w:cs="Arial"/>
                <w:sz w:val="20"/>
                <w:szCs w:val="20"/>
                <w:lang w:eastAsia="en-GB"/>
              </w:rPr>
            </w:pPr>
            <w:r w:rsidRPr="00ED41B9">
              <w:rPr>
                <w:rFonts w:eastAsia="Times New Roman" w:cs="Arial"/>
                <w:sz w:val="20"/>
                <w:szCs w:val="20"/>
                <w:lang w:eastAsia="en-GB"/>
              </w:rPr>
              <w:t>33</w:t>
            </w:r>
          </w:p>
        </w:tc>
      </w:tr>
      <w:tr w:rsidR="002C7611" w:rsidRPr="00ED41B9" w14:paraId="4C4FBB80" w14:textId="77777777" w:rsidTr="009115F7">
        <w:trPr>
          <w:trHeight w:val="424"/>
        </w:trPr>
        <w:tc>
          <w:tcPr>
            <w:tcW w:w="9356"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102DE8FC" w14:textId="77777777" w:rsidR="002C7611" w:rsidRPr="00ED41B9" w:rsidRDefault="002C7611" w:rsidP="009115F7">
            <w:pPr>
              <w:spacing w:after="0" w:line="360" w:lineRule="auto"/>
              <w:rPr>
                <w:rFonts w:eastAsia="Times New Roman" w:cs="Arial"/>
                <w:i/>
                <w:sz w:val="20"/>
                <w:szCs w:val="20"/>
                <w:lang w:eastAsia="en-GB"/>
              </w:rPr>
            </w:pPr>
            <w:r w:rsidRPr="00ED41B9">
              <w:rPr>
                <w:rFonts w:eastAsia="Times New Roman" w:cs="Arial"/>
                <w:i/>
                <w:sz w:val="20"/>
                <w:szCs w:val="20"/>
                <w:lang w:eastAsia="en-GB"/>
              </w:rPr>
              <w:t xml:space="preserve">Of which: </w:t>
            </w:r>
          </w:p>
        </w:tc>
      </w:tr>
      <w:tr w:rsidR="002C7611" w:rsidRPr="00ED41B9" w14:paraId="3FE7ED30" w14:textId="77777777" w:rsidTr="009115F7">
        <w:trPr>
          <w:trHeight w:val="424"/>
        </w:trPr>
        <w:tc>
          <w:tcPr>
            <w:tcW w:w="8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D900EE" w14:textId="77777777" w:rsidR="002C7611" w:rsidRPr="00ED41B9" w:rsidRDefault="002C7611" w:rsidP="009115F7">
            <w:pPr>
              <w:spacing w:after="0" w:line="360" w:lineRule="auto"/>
              <w:ind w:left="29"/>
              <w:rPr>
                <w:rFonts w:eastAsia="Times New Roman" w:cs="Arial"/>
                <w:sz w:val="20"/>
                <w:szCs w:val="20"/>
                <w:lang w:eastAsia="en-GB"/>
              </w:rPr>
            </w:pPr>
            <w:r w:rsidRPr="00ED41B9">
              <w:rPr>
                <w:rFonts w:cs="Arial"/>
                <w:sz w:val="20"/>
                <w:szCs w:val="20"/>
              </w:rPr>
              <w:t>No. not subject to off-payroll legislation</w:t>
            </w:r>
            <w:r w:rsidRPr="00ED41B9">
              <w:rPr>
                <w:rFonts w:cs="Arial"/>
                <w:sz w:val="20"/>
                <w:szCs w:val="20"/>
                <w:vertAlign w:val="superscript"/>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0585BA" w14:textId="5E67142C" w:rsidR="002C7611" w:rsidRPr="00ED41B9" w:rsidRDefault="007B1EFA" w:rsidP="009115F7">
            <w:pPr>
              <w:spacing w:after="0" w:line="360" w:lineRule="auto"/>
              <w:jc w:val="center"/>
              <w:rPr>
                <w:rFonts w:eastAsia="Times New Roman" w:cs="Arial"/>
                <w:sz w:val="20"/>
                <w:szCs w:val="20"/>
                <w:lang w:eastAsia="en-GB"/>
              </w:rPr>
            </w:pPr>
            <w:r w:rsidRPr="00ED41B9">
              <w:rPr>
                <w:rFonts w:eastAsia="Times New Roman" w:cs="Arial"/>
                <w:sz w:val="20"/>
                <w:szCs w:val="20"/>
                <w:lang w:eastAsia="en-GB"/>
              </w:rPr>
              <w:t>30</w:t>
            </w:r>
          </w:p>
        </w:tc>
      </w:tr>
      <w:tr w:rsidR="002C7611" w:rsidRPr="00ED41B9" w14:paraId="58204892" w14:textId="77777777" w:rsidTr="009115F7">
        <w:trPr>
          <w:trHeight w:val="424"/>
        </w:trPr>
        <w:tc>
          <w:tcPr>
            <w:tcW w:w="8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832241" w14:textId="77777777" w:rsidR="002C7611" w:rsidRPr="00ED41B9" w:rsidRDefault="002C7611" w:rsidP="009115F7">
            <w:pPr>
              <w:spacing w:after="0" w:line="360" w:lineRule="auto"/>
              <w:ind w:left="29"/>
              <w:rPr>
                <w:rFonts w:eastAsia="Times New Roman" w:cs="Arial"/>
                <w:sz w:val="20"/>
                <w:szCs w:val="20"/>
                <w:lang w:eastAsia="en-GB"/>
              </w:rPr>
            </w:pPr>
            <w:r w:rsidRPr="00ED41B9">
              <w:rPr>
                <w:rFonts w:cs="Arial"/>
                <w:sz w:val="20"/>
                <w:szCs w:val="20"/>
              </w:rPr>
              <w:lastRenderedPageBreak/>
              <w:t>No. subject to off-payroll legislation and determined as in-scope of IR35</w:t>
            </w:r>
            <w:r w:rsidRPr="00ED41B9">
              <w:rPr>
                <w:rFonts w:cs="Arial"/>
                <w:sz w:val="20"/>
                <w:szCs w:val="20"/>
                <w:vertAlign w:val="superscript"/>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4C5ECF5" w14:textId="337DB7B3" w:rsidR="002C7611" w:rsidRPr="00ED41B9" w:rsidRDefault="007B1EFA" w:rsidP="009115F7">
            <w:pPr>
              <w:spacing w:after="0" w:line="360" w:lineRule="auto"/>
              <w:jc w:val="center"/>
              <w:rPr>
                <w:rFonts w:eastAsia="Times New Roman" w:cs="Arial"/>
                <w:sz w:val="20"/>
                <w:szCs w:val="20"/>
                <w:lang w:eastAsia="en-GB"/>
              </w:rPr>
            </w:pPr>
            <w:r w:rsidRPr="00ED41B9">
              <w:rPr>
                <w:rFonts w:eastAsia="Times New Roman" w:cs="Arial"/>
                <w:sz w:val="20"/>
                <w:szCs w:val="20"/>
                <w:lang w:eastAsia="en-GB"/>
              </w:rPr>
              <w:t>0</w:t>
            </w:r>
          </w:p>
        </w:tc>
      </w:tr>
      <w:tr w:rsidR="002C7611" w:rsidRPr="00ED41B9" w14:paraId="04E1A044" w14:textId="77777777" w:rsidTr="009115F7">
        <w:trPr>
          <w:trHeight w:val="424"/>
        </w:trPr>
        <w:tc>
          <w:tcPr>
            <w:tcW w:w="808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8CF383" w14:textId="77777777" w:rsidR="002C7611" w:rsidRPr="00ED41B9" w:rsidRDefault="002C7611" w:rsidP="009115F7">
            <w:pPr>
              <w:spacing w:after="0" w:line="360" w:lineRule="auto"/>
              <w:ind w:left="29"/>
              <w:rPr>
                <w:rFonts w:eastAsia="Times New Roman" w:cs="Arial"/>
                <w:sz w:val="20"/>
                <w:szCs w:val="20"/>
                <w:lang w:eastAsia="en-GB"/>
              </w:rPr>
            </w:pPr>
            <w:r w:rsidRPr="00ED41B9">
              <w:rPr>
                <w:rFonts w:cs="Arial"/>
                <w:sz w:val="20"/>
                <w:szCs w:val="20"/>
              </w:rPr>
              <w:t>No. subject to off-payroll legislation and determined as out of scope of IR35</w:t>
            </w:r>
            <w:r w:rsidRPr="00ED41B9">
              <w:rPr>
                <w:rFonts w:cs="Arial"/>
                <w:sz w:val="20"/>
                <w:szCs w:val="20"/>
                <w:vertAlign w:val="superscript"/>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66C6B3" w14:textId="78FD0E16" w:rsidR="002C7611" w:rsidRPr="00ED41B9" w:rsidRDefault="007B1EFA" w:rsidP="009115F7">
            <w:pPr>
              <w:spacing w:after="0" w:line="360" w:lineRule="auto"/>
              <w:jc w:val="center"/>
              <w:rPr>
                <w:rFonts w:eastAsia="Times New Roman" w:cs="Arial"/>
                <w:sz w:val="20"/>
                <w:szCs w:val="20"/>
                <w:lang w:eastAsia="en-GB"/>
              </w:rPr>
            </w:pPr>
            <w:r w:rsidRPr="00ED41B9">
              <w:rPr>
                <w:rFonts w:eastAsia="Times New Roman" w:cs="Arial"/>
                <w:sz w:val="20"/>
                <w:szCs w:val="20"/>
                <w:lang w:eastAsia="en-GB"/>
              </w:rPr>
              <w:t>3</w:t>
            </w:r>
          </w:p>
        </w:tc>
      </w:tr>
      <w:tr w:rsidR="002C7611" w:rsidRPr="00ED41B9" w14:paraId="2A034089" w14:textId="77777777" w:rsidTr="009115F7">
        <w:trPr>
          <w:trHeight w:val="424"/>
        </w:trPr>
        <w:tc>
          <w:tcPr>
            <w:tcW w:w="808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ECDFF02" w14:textId="77777777" w:rsidR="002C7611" w:rsidRPr="00ED41B9" w:rsidRDefault="002C7611" w:rsidP="009115F7">
            <w:pPr>
              <w:spacing w:after="0" w:line="360" w:lineRule="auto"/>
              <w:ind w:left="29"/>
              <w:rPr>
                <w:rFonts w:eastAsia="Times New Roman" w:cs="Arial"/>
                <w:sz w:val="20"/>
                <w:szCs w:val="20"/>
                <w:lang w:eastAsia="en-GB"/>
              </w:rPr>
            </w:pPr>
            <w:r w:rsidRPr="00ED41B9">
              <w:rPr>
                <w:rFonts w:cs="Arial"/>
                <w:sz w:val="20"/>
                <w:szCs w:val="20"/>
              </w:rPr>
              <w:t>the number of engagements reassessed for compliance or assurance purposes during the year</w:t>
            </w:r>
          </w:p>
        </w:tc>
        <w:tc>
          <w:tcPr>
            <w:tcW w:w="12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BCD34F" w14:textId="1F126DD0" w:rsidR="002C7611" w:rsidRPr="00ED41B9" w:rsidRDefault="007B1EFA" w:rsidP="009115F7">
            <w:pPr>
              <w:spacing w:after="0" w:line="360" w:lineRule="auto"/>
              <w:jc w:val="center"/>
              <w:rPr>
                <w:rFonts w:eastAsia="Times New Roman" w:cs="Arial"/>
                <w:sz w:val="20"/>
                <w:szCs w:val="20"/>
                <w:lang w:eastAsia="en-GB"/>
              </w:rPr>
            </w:pPr>
            <w:r w:rsidRPr="00ED41B9">
              <w:rPr>
                <w:rFonts w:eastAsia="Times New Roman" w:cs="Arial"/>
                <w:sz w:val="20"/>
                <w:szCs w:val="20"/>
                <w:lang w:eastAsia="en-GB"/>
              </w:rPr>
              <w:t>0</w:t>
            </w:r>
          </w:p>
        </w:tc>
      </w:tr>
      <w:tr w:rsidR="002C7611" w:rsidRPr="00ED41B9" w14:paraId="6EDB930B" w14:textId="77777777" w:rsidTr="009115F7">
        <w:trPr>
          <w:trHeight w:val="424"/>
        </w:trPr>
        <w:tc>
          <w:tcPr>
            <w:tcW w:w="808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9CFA282" w14:textId="77777777" w:rsidR="002C7611" w:rsidRPr="00ED41B9" w:rsidRDefault="002C7611" w:rsidP="009115F7">
            <w:pPr>
              <w:spacing w:after="0" w:line="360" w:lineRule="auto"/>
              <w:ind w:left="29"/>
              <w:rPr>
                <w:rFonts w:eastAsia="Times New Roman" w:cs="Arial"/>
                <w:sz w:val="20"/>
                <w:szCs w:val="20"/>
                <w:lang w:eastAsia="en-GB"/>
              </w:rPr>
            </w:pPr>
            <w:r w:rsidRPr="00ED41B9">
              <w:rPr>
                <w:rFonts w:cs="Arial"/>
                <w:sz w:val="20"/>
                <w:szCs w:val="20"/>
              </w:rPr>
              <w:t>Of which: no. of engagements that saw a change to IR35 status following review</w:t>
            </w:r>
          </w:p>
        </w:tc>
        <w:tc>
          <w:tcPr>
            <w:tcW w:w="12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9A2DCC" w14:textId="210B75F1" w:rsidR="002C7611" w:rsidRPr="00ED41B9" w:rsidRDefault="007B1EFA" w:rsidP="009115F7">
            <w:pPr>
              <w:spacing w:after="0" w:line="360" w:lineRule="auto"/>
              <w:jc w:val="center"/>
              <w:rPr>
                <w:rFonts w:eastAsia="Times New Roman" w:cs="Arial"/>
                <w:sz w:val="20"/>
                <w:szCs w:val="20"/>
                <w:lang w:eastAsia="en-GB"/>
              </w:rPr>
            </w:pPr>
            <w:r w:rsidRPr="00ED41B9">
              <w:rPr>
                <w:rFonts w:eastAsia="Times New Roman" w:cs="Arial"/>
                <w:sz w:val="20"/>
                <w:szCs w:val="20"/>
                <w:lang w:eastAsia="en-GB"/>
              </w:rPr>
              <w:t>0</w:t>
            </w:r>
          </w:p>
        </w:tc>
      </w:tr>
    </w:tbl>
    <w:p w14:paraId="78A50614" w14:textId="77777777" w:rsidR="002C7611" w:rsidRPr="00080B50" w:rsidRDefault="002C7611" w:rsidP="002C7611">
      <w:pPr>
        <w:spacing w:line="360" w:lineRule="auto"/>
        <w:rPr>
          <w:rFonts w:cs="Arial"/>
          <w:sz w:val="18"/>
          <w:szCs w:val="18"/>
        </w:rPr>
      </w:pPr>
      <w:r w:rsidRPr="00080B50">
        <w:rPr>
          <w:rFonts w:cs="Arial"/>
          <w:sz w:val="18"/>
          <w:szCs w:val="18"/>
          <w:vertAlign w:val="superscript"/>
        </w:rPr>
        <w:t>(1)</w:t>
      </w:r>
      <w:r w:rsidRPr="00080B50">
        <w:rPr>
          <w:rFonts w:cs="Arial"/>
          <w:sz w:val="18"/>
          <w:szCs w:val="18"/>
        </w:rPr>
        <w:t xml:space="preserve"> The £245 threshold is set to approximate the minimum point of the pay scale for a Senior Civil Servant. </w:t>
      </w:r>
    </w:p>
    <w:p w14:paraId="1B47647C" w14:textId="7D139E1D" w:rsidR="002C7611" w:rsidRPr="007B1EFA" w:rsidRDefault="002C7611" w:rsidP="007B1EFA">
      <w:pPr>
        <w:spacing w:line="360" w:lineRule="auto"/>
        <w:rPr>
          <w:rFonts w:cs="Arial"/>
          <w:sz w:val="18"/>
          <w:szCs w:val="18"/>
        </w:rPr>
      </w:pPr>
      <w:r w:rsidRPr="00080B50">
        <w:rPr>
          <w:rFonts w:cs="Arial"/>
          <w:sz w:val="18"/>
          <w:szCs w:val="18"/>
          <w:vertAlign w:val="superscript"/>
        </w:rPr>
        <w:t>(2)</w:t>
      </w:r>
      <w:r w:rsidRPr="00080B50">
        <w:rPr>
          <w:rFonts w:cs="Arial"/>
          <w:sz w:val="18"/>
          <w:szCs w:val="18"/>
        </w:rPr>
        <w:t xml:space="preserve"> A worker that provides their services through their own limited company or another type of intermediary to the client will be subject to off-payroll legislation and the Department must undertake an assessment to determine whether that worker is in-scope of Intermediaries legislation (IR35) or out-of-scope for tax purposes.</w:t>
      </w:r>
    </w:p>
    <w:p w14:paraId="1D6DC805" w14:textId="304C9BD4" w:rsidR="00D84C4B" w:rsidRPr="00CA38BF" w:rsidRDefault="00CA38BF" w:rsidP="00F768FC">
      <w:pPr>
        <w:rPr>
          <w:b/>
          <w:bCs/>
          <w:lang w:eastAsia="en-GB"/>
        </w:rPr>
      </w:pPr>
      <w:r w:rsidRPr="00CA38BF">
        <w:rPr>
          <w:b/>
          <w:bCs/>
          <w:lang w:eastAsia="en-GB"/>
        </w:rPr>
        <w:t>Table 3: Off-payroll engagements / senior official engagements</w:t>
      </w:r>
    </w:p>
    <w:p w14:paraId="0FD85C6F" w14:textId="77777777" w:rsidR="00AB48CC" w:rsidRPr="003D2C54" w:rsidRDefault="00AB48CC" w:rsidP="00AB48CC">
      <w:pPr>
        <w:tabs>
          <w:tab w:val="left" w:pos="4420"/>
        </w:tabs>
        <w:spacing w:line="360" w:lineRule="auto"/>
        <w:rPr>
          <w:rFonts w:cs="Arial"/>
          <w:szCs w:val="24"/>
        </w:rPr>
      </w:pPr>
      <w:r w:rsidRPr="003D2C54">
        <w:rPr>
          <w:rFonts w:cs="Arial"/>
          <w:szCs w:val="24"/>
        </w:rPr>
        <w:t xml:space="preserve">For any off-payroll engagements of Board members and / or senior officials with significant financial responsibility, between </w:t>
      </w:r>
      <w:r>
        <w:rPr>
          <w:rFonts w:cs="Arial"/>
        </w:rPr>
        <w:t>1 April 2023 to 31 March 2024:</w:t>
      </w:r>
    </w:p>
    <w:tbl>
      <w:tblPr>
        <w:tblW w:w="8381" w:type="dxa"/>
        <w:jc w:val="center"/>
        <w:tblLook w:val="04A0" w:firstRow="1" w:lastRow="0" w:firstColumn="1" w:lastColumn="0" w:noHBand="0" w:noVBand="1"/>
      </w:tblPr>
      <w:tblGrid>
        <w:gridCol w:w="6836"/>
        <w:gridCol w:w="1545"/>
      </w:tblGrid>
      <w:tr w:rsidR="00AB48CC" w:rsidRPr="00ED41B9" w14:paraId="761CF18D" w14:textId="77777777" w:rsidTr="009115F7">
        <w:trPr>
          <w:trHeight w:val="709"/>
          <w:jc w:val="center"/>
        </w:trPr>
        <w:tc>
          <w:tcPr>
            <w:tcW w:w="6836" w:type="dxa"/>
            <w:tcBorders>
              <w:top w:val="single" w:sz="4" w:space="0" w:color="auto"/>
              <w:left w:val="single" w:sz="4" w:space="0" w:color="auto"/>
              <w:bottom w:val="single" w:sz="4" w:space="0" w:color="auto"/>
              <w:right w:val="nil"/>
            </w:tcBorders>
            <w:shd w:val="clear" w:color="auto" w:fill="auto"/>
            <w:vAlign w:val="center"/>
            <w:hideMark/>
          </w:tcPr>
          <w:p w14:paraId="7A5EC8D7" w14:textId="20B97C6A" w:rsidR="00AB48CC" w:rsidRPr="00ED41B9" w:rsidRDefault="00AB48CC" w:rsidP="009115F7">
            <w:pPr>
              <w:spacing w:after="0" w:line="360" w:lineRule="auto"/>
              <w:rPr>
                <w:rFonts w:eastAsia="Times New Roman" w:cs="Arial"/>
                <w:sz w:val="20"/>
                <w:szCs w:val="18"/>
                <w:lang w:eastAsia="en-GB"/>
              </w:rPr>
            </w:pPr>
            <w:r w:rsidRPr="00ED41B9">
              <w:rPr>
                <w:rFonts w:eastAsia="Times New Roman" w:cs="Arial"/>
                <w:sz w:val="20"/>
                <w:szCs w:val="18"/>
                <w:lang w:eastAsia="en-GB"/>
              </w:rPr>
              <w:t xml:space="preserve">Number of off-payroll engagements of </w:t>
            </w:r>
            <w:r w:rsidR="00F46054" w:rsidRPr="00ED41B9">
              <w:rPr>
                <w:rFonts w:eastAsia="Times New Roman" w:cs="Arial"/>
                <w:sz w:val="20"/>
                <w:szCs w:val="18"/>
                <w:lang w:eastAsia="en-GB"/>
              </w:rPr>
              <w:t xml:space="preserve">Board </w:t>
            </w:r>
            <w:r w:rsidRPr="00ED41B9">
              <w:rPr>
                <w:rFonts w:eastAsia="Times New Roman" w:cs="Arial"/>
                <w:sz w:val="20"/>
                <w:szCs w:val="18"/>
                <w:lang w:eastAsia="en-GB"/>
              </w:rPr>
              <w:t>members, and/or senior officers with significant financial responsibility, during reporting period</w:t>
            </w:r>
            <w:r w:rsidRPr="00ED41B9">
              <w:rPr>
                <w:rFonts w:eastAsia="Times New Roman" w:cs="Arial"/>
                <w:sz w:val="20"/>
                <w:szCs w:val="18"/>
                <w:vertAlign w:val="superscript"/>
                <w:lang w:eastAsia="en-GB"/>
              </w:rPr>
              <w:t>(1)</w:t>
            </w:r>
          </w:p>
        </w:tc>
        <w:tc>
          <w:tcPr>
            <w:tcW w:w="1545"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214BDAFD" w14:textId="65E56253" w:rsidR="00AB48CC" w:rsidRPr="00ED41B9" w:rsidRDefault="00121BA6" w:rsidP="009115F7">
            <w:pPr>
              <w:spacing w:after="0" w:line="360" w:lineRule="auto"/>
              <w:jc w:val="center"/>
              <w:rPr>
                <w:rFonts w:eastAsia="Times New Roman" w:cs="Arial"/>
                <w:sz w:val="20"/>
                <w:szCs w:val="18"/>
                <w:lang w:eastAsia="en-GB"/>
              </w:rPr>
            </w:pPr>
            <w:r w:rsidRPr="00ED41B9">
              <w:rPr>
                <w:rFonts w:eastAsia="Times New Roman" w:cs="Arial"/>
                <w:sz w:val="20"/>
                <w:szCs w:val="18"/>
                <w:lang w:eastAsia="en-GB"/>
              </w:rPr>
              <w:t>0</w:t>
            </w:r>
          </w:p>
        </w:tc>
      </w:tr>
      <w:tr w:rsidR="00AB48CC" w:rsidRPr="00ED41B9" w14:paraId="19503CBD" w14:textId="77777777" w:rsidTr="009115F7">
        <w:trPr>
          <w:trHeight w:val="1144"/>
          <w:jc w:val="center"/>
        </w:trPr>
        <w:tc>
          <w:tcPr>
            <w:tcW w:w="6836" w:type="dxa"/>
            <w:tcBorders>
              <w:top w:val="nil"/>
              <w:left w:val="single" w:sz="4" w:space="0" w:color="auto"/>
              <w:bottom w:val="single" w:sz="4" w:space="0" w:color="auto"/>
              <w:right w:val="nil"/>
            </w:tcBorders>
            <w:shd w:val="clear" w:color="auto" w:fill="auto"/>
            <w:vAlign w:val="center"/>
            <w:hideMark/>
          </w:tcPr>
          <w:p w14:paraId="4F6B9FAA" w14:textId="5D72FD95" w:rsidR="00AB48CC" w:rsidRPr="00ED41B9" w:rsidRDefault="00AB48CC" w:rsidP="009115F7">
            <w:pPr>
              <w:spacing w:after="0" w:line="360" w:lineRule="auto"/>
              <w:rPr>
                <w:rFonts w:eastAsia="Times New Roman" w:cs="Arial"/>
                <w:sz w:val="20"/>
                <w:szCs w:val="18"/>
                <w:lang w:eastAsia="en-GB"/>
              </w:rPr>
            </w:pPr>
            <w:r w:rsidRPr="00ED41B9">
              <w:rPr>
                <w:rFonts w:eastAsia="Times New Roman" w:cs="Arial"/>
                <w:sz w:val="20"/>
                <w:szCs w:val="18"/>
                <w:lang w:eastAsia="en-GB"/>
              </w:rPr>
              <w:t>Total no. of individuals on payroll and off-payroll that have been deemed “</w:t>
            </w:r>
            <w:r w:rsidR="00F46054" w:rsidRPr="00ED41B9">
              <w:rPr>
                <w:rFonts w:eastAsia="Times New Roman" w:cs="Arial"/>
                <w:sz w:val="20"/>
                <w:szCs w:val="18"/>
                <w:lang w:eastAsia="en-GB"/>
              </w:rPr>
              <w:t>Board</w:t>
            </w:r>
            <w:r w:rsidRPr="00ED41B9">
              <w:rPr>
                <w:rFonts w:eastAsia="Times New Roman" w:cs="Arial"/>
                <w:sz w:val="20"/>
                <w:szCs w:val="18"/>
                <w:lang w:eastAsia="en-GB"/>
              </w:rPr>
              <w:t xml:space="preserve"> members, and/or, senior officials with significant financial responsibility”, during the reporting period. This figure should include both on payroll and off-payroll engagements. </w:t>
            </w:r>
            <w:r w:rsidRPr="00ED41B9">
              <w:rPr>
                <w:rFonts w:eastAsia="Times New Roman" w:cs="Arial"/>
                <w:sz w:val="20"/>
                <w:szCs w:val="18"/>
                <w:vertAlign w:val="superscript"/>
                <w:lang w:eastAsia="en-GB"/>
              </w:rPr>
              <w:t>(2)</w:t>
            </w:r>
          </w:p>
        </w:tc>
        <w:tc>
          <w:tcPr>
            <w:tcW w:w="1545"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ED916E5" w14:textId="2E4D2632" w:rsidR="00AB48CC" w:rsidRPr="00ED41B9" w:rsidRDefault="00121BA6" w:rsidP="009115F7">
            <w:pPr>
              <w:spacing w:after="0" w:line="360" w:lineRule="auto"/>
              <w:jc w:val="center"/>
              <w:rPr>
                <w:rFonts w:eastAsia="Times New Roman" w:cs="Arial"/>
                <w:sz w:val="20"/>
                <w:szCs w:val="18"/>
                <w:lang w:eastAsia="en-GB"/>
              </w:rPr>
            </w:pPr>
            <w:r w:rsidRPr="00ED41B9">
              <w:rPr>
                <w:rFonts w:eastAsia="Times New Roman" w:cs="Arial"/>
                <w:sz w:val="20"/>
                <w:szCs w:val="18"/>
                <w:lang w:eastAsia="en-GB"/>
              </w:rPr>
              <w:t>21</w:t>
            </w:r>
          </w:p>
        </w:tc>
      </w:tr>
    </w:tbl>
    <w:p w14:paraId="307D6315" w14:textId="1E75ACF6" w:rsidR="001C0486" w:rsidRPr="004443B8" w:rsidRDefault="00D7487C" w:rsidP="001C0486">
      <w:pPr>
        <w:rPr>
          <w:b/>
        </w:rPr>
      </w:pPr>
      <w:r w:rsidRPr="00D7487C">
        <w:rPr>
          <w:b/>
        </w:rPr>
        <w:t>Losses and Special Payments</w:t>
      </w:r>
    </w:p>
    <w:p w14:paraId="21BF09E9" w14:textId="1FC615E4" w:rsidR="001C0486" w:rsidRPr="00011454" w:rsidRDefault="00011454" w:rsidP="001C0486">
      <w:r w:rsidRPr="00011454">
        <w:t>There were no losses or special payments made during the year.</w:t>
      </w:r>
    </w:p>
    <w:p w14:paraId="63041C2B" w14:textId="77777777" w:rsidR="00ED41B9" w:rsidRDefault="00ED41B9" w:rsidP="00BE314A">
      <w:pPr>
        <w:pStyle w:val="Heading3"/>
        <w:sectPr w:rsidR="00ED41B9" w:rsidSect="00ED41B9">
          <w:footerReference w:type="default" r:id="rId60"/>
          <w:pgSz w:w="12240" w:h="15840"/>
          <w:pgMar w:top="1440" w:right="1440" w:bottom="1440" w:left="1440" w:header="720" w:footer="720" w:gutter="0"/>
          <w:cols w:space="720"/>
          <w:docGrid w:linePitch="326"/>
        </w:sectPr>
      </w:pPr>
      <w:bookmarkStart w:id="225" w:name="_Toc133356688"/>
      <w:bookmarkStart w:id="226" w:name="_Toc163136051"/>
      <w:bookmarkStart w:id="227" w:name="_Toc164470299"/>
      <w:bookmarkStart w:id="228" w:name="_Toc164814719"/>
      <w:bookmarkStart w:id="229" w:name="_Toc164814859"/>
      <w:bookmarkStart w:id="230" w:name="_Toc164814920"/>
    </w:p>
    <w:p w14:paraId="142D0078" w14:textId="265F0712" w:rsidR="001C0486" w:rsidRPr="00612517" w:rsidRDefault="001C0486" w:rsidP="00BE314A">
      <w:pPr>
        <w:pStyle w:val="Heading3"/>
        <w:rPr>
          <w:i/>
        </w:rPr>
      </w:pPr>
      <w:r w:rsidRPr="00612517">
        <w:lastRenderedPageBreak/>
        <w:t>Exit packages</w:t>
      </w:r>
      <w:r>
        <w:t>, including special (non-contractual) payments</w:t>
      </w:r>
      <w:r w:rsidR="00920D6B">
        <w:t xml:space="preserve"> </w:t>
      </w:r>
      <w:r w:rsidR="00920D6B" w:rsidRPr="00714A80">
        <w:rPr>
          <w:b w:val="0"/>
          <w:bCs w:val="0"/>
          <w:color w:val="FF0000"/>
        </w:rPr>
        <w:t>[subject to audit]</w:t>
      </w:r>
      <w:bookmarkEnd w:id="225"/>
      <w:bookmarkEnd w:id="226"/>
      <w:bookmarkEnd w:id="227"/>
      <w:bookmarkEnd w:id="228"/>
      <w:bookmarkEnd w:id="229"/>
      <w:bookmarkEnd w:id="230"/>
    </w:p>
    <w:p w14:paraId="1D77C7CC" w14:textId="367912EE" w:rsidR="001C0486" w:rsidRPr="00A67BFC" w:rsidRDefault="001C0486" w:rsidP="001C0486">
      <w:pPr>
        <w:rPr>
          <w:rFonts w:cs="Arial"/>
          <w:b/>
        </w:rPr>
      </w:pPr>
      <w:r w:rsidRPr="00612517">
        <w:rPr>
          <w:rFonts w:cs="Arial"/>
          <w:b/>
        </w:rPr>
        <w:t>Table 1: Exit Packag</w:t>
      </w:r>
      <w:r>
        <w:rPr>
          <w:rFonts w:cs="Arial"/>
          <w:b/>
        </w:rPr>
        <w:t>es</w:t>
      </w:r>
      <w:r w:rsidR="00C11AB1">
        <w:rPr>
          <w:rFonts w:cs="Arial"/>
          <w:b/>
        </w:rPr>
        <w:t xml:space="preserve"> 2023/24</w:t>
      </w:r>
    </w:p>
    <w:tbl>
      <w:tblPr>
        <w:tblW w:w="13320" w:type="dxa"/>
        <w:tblLayout w:type="fixed"/>
        <w:tblLook w:val="04A0" w:firstRow="1" w:lastRow="0" w:firstColumn="1" w:lastColumn="0" w:noHBand="0" w:noVBand="1"/>
      </w:tblPr>
      <w:tblGrid>
        <w:gridCol w:w="2263"/>
        <w:gridCol w:w="1418"/>
        <w:gridCol w:w="1417"/>
        <w:gridCol w:w="1418"/>
        <w:gridCol w:w="1276"/>
        <w:gridCol w:w="1417"/>
        <w:gridCol w:w="1276"/>
        <w:gridCol w:w="1417"/>
        <w:gridCol w:w="1418"/>
      </w:tblGrid>
      <w:tr w:rsidR="00F95B08" w:rsidRPr="006B5E6B" w14:paraId="6A53B210" w14:textId="77777777" w:rsidTr="006B5E6B">
        <w:trPr>
          <w:tblHead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A0C76A" w14:textId="77777777" w:rsidR="00AE51B5" w:rsidRPr="00AE51B5" w:rsidRDefault="00AE51B5" w:rsidP="00DA1280">
            <w:pPr>
              <w:spacing w:before="0" w:after="0"/>
              <w:rPr>
                <w:rFonts w:eastAsia="Times New Roman" w:cs="Arial"/>
                <w:color w:val="000000"/>
                <w:sz w:val="20"/>
                <w:szCs w:val="20"/>
                <w:lang w:eastAsia="en-GB"/>
              </w:rPr>
            </w:pPr>
            <w:r w:rsidRPr="00AE51B5">
              <w:rPr>
                <w:rFonts w:eastAsia="Times New Roman" w:cs="Arial"/>
                <w:color w:val="000000"/>
                <w:sz w:val="20"/>
                <w:szCs w:val="20"/>
                <w:lang w:eastAsia="en-GB"/>
              </w:rPr>
              <w:t> </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14:paraId="430F1429" w14:textId="77777777" w:rsidR="00AE51B5" w:rsidRPr="00AE51B5" w:rsidRDefault="00AE51B5" w:rsidP="00DA1280">
            <w:pPr>
              <w:spacing w:before="0" w:after="0"/>
              <w:jc w:val="center"/>
              <w:rPr>
                <w:rFonts w:eastAsia="Times New Roman" w:cs="Arial"/>
                <w:color w:val="000000"/>
                <w:sz w:val="20"/>
                <w:szCs w:val="20"/>
                <w:lang w:eastAsia="en-GB"/>
              </w:rPr>
            </w:pPr>
            <w:r w:rsidRPr="00AE51B5">
              <w:rPr>
                <w:rFonts w:eastAsia="Times New Roman" w:cs="Arial"/>
                <w:color w:val="000000"/>
                <w:sz w:val="20"/>
                <w:szCs w:val="20"/>
                <w:lang w:eastAsia="en-GB"/>
              </w:rPr>
              <w:t>Number of compulsory redundancies</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34853CE4" w14:textId="77777777" w:rsidR="00AE51B5" w:rsidRPr="00AE51B5" w:rsidRDefault="00AE51B5" w:rsidP="00DA1280">
            <w:pPr>
              <w:spacing w:before="0" w:after="0"/>
              <w:jc w:val="center"/>
              <w:rPr>
                <w:rFonts w:eastAsia="Times New Roman" w:cs="Arial"/>
                <w:color w:val="000000"/>
                <w:sz w:val="20"/>
                <w:szCs w:val="20"/>
                <w:lang w:eastAsia="en-GB"/>
              </w:rPr>
            </w:pPr>
            <w:r w:rsidRPr="00AE51B5">
              <w:rPr>
                <w:rFonts w:eastAsia="Times New Roman" w:cs="Arial"/>
                <w:color w:val="000000"/>
                <w:sz w:val="20"/>
                <w:szCs w:val="20"/>
                <w:lang w:eastAsia="en-GB"/>
              </w:rPr>
              <w:t>Cost of compulsory redundancies</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14:paraId="767DC20E" w14:textId="77777777" w:rsidR="00AE51B5" w:rsidRPr="00AE51B5" w:rsidRDefault="00AE51B5" w:rsidP="00DA1280">
            <w:pPr>
              <w:spacing w:before="0" w:after="0"/>
              <w:jc w:val="center"/>
              <w:rPr>
                <w:rFonts w:eastAsia="Times New Roman" w:cs="Arial"/>
                <w:color w:val="000000"/>
                <w:sz w:val="20"/>
                <w:szCs w:val="20"/>
                <w:lang w:eastAsia="en-GB"/>
              </w:rPr>
            </w:pPr>
            <w:r w:rsidRPr="00AE51B5">
              <w:rPr>
                <w:rFonts w:eastAsia="Times New Roman" w:cs="Arial"/>
                <w:color w:val="000000"/>
                <w:sz w:val="20"/>
                <w:szCs w:val="20"/>
                <w:lang w:eastAsia="en-GB"/>
              </w:rPr>
              <w:t>Number of other departures agreed</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14:paraId="518A7B03" w14:textId="77777777" w:rsidR="00AE51B5" w:rsidRPr="00AE51B5" w:rsidRDefault="00AE51B5" w:rsidP="00DA1280">
            <w:pPr>
              <w:spacing w:before="0" w:after="0"/>
              <w:jc w:val="center"/>
              <w:rPr>
                <w:rFonts w:eastAsia="Times New Roman" w:cs="Arial"/>
                <w:color w:val="000000"/>
                <w:sz w:val="20"/>
                <w:szCs w:val="20"/>
                <w:lang w:eastAsia="en-GB"/>
              </w:rPr>
            </w:pPr>
            <w:r w:rsidRPr="00AE51B5">
              <w:rPr>
                <w:rFonts w:eastAsia="Times New Roman" w:cs="Arial"/>
                <w:color w:val="000000"/>
                <w:sz w:val="20"/>
                <w:szCs w:val="20"/>
                <w:lang w:eastAsia="en-GB"/>
              </w:rPr>
              <w:t>Cost of other departures agreed</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489DF988" w14:textId="77777777" w:rsidR="00AE51B5" w:rsidRPr="00AE51B5" w:rsidRDefault="00AE51B5" w:rsidP="00DA1280">
            <w:pPr>
              <w:spacing w:before="0" w:after="0"/>
              <w:jc w:val="center"/>
              <w:rPr>
                <w:rFonts w:eastAsia="Times New Roman" w:cs="Arial"/>
                <w:color w:val="000000"/>
                <w:sz w:val="20"/>
                <w:szCs w:val="20"/>
                <w:lang w:eastAsia="en-GB"/>
              </w:rPr>
            </w:pPr>
            <w:r w:rsidRPr="00AE51B5">
              <w:rPr>
                <w:rFonts w:eastAsia="Times New Roman" w:cs="Arial"/>
                <w:color w:val="000000"/>
                <w:sz w:val="20"/>
                <w:szCs w:val="20"/>
                <w:lang w:eastAsia="en-GB"/>
              </w:rPr>
              <w:t>Total number of exit packages</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14:paraId="6F7AAF45" w14:textId="77777777" w:rsidR="00AE51B5" w:rsidRPr="00AE51B5" w:rsidRDefault="00AE51B5" w:rsidP="00DA1280">
            <w:pPr>
              <w:spacing w:before="0" w:after="0"/>
              <w:jc w:val="center"/>
              <w:rPr>
                <w:rFonts w:eastAsia="Times New Roman" w:cs="Arial"/>
                <w:color w:val="000000"/>
                <w:sz w:val="20"/>
                <w:szCs w:val="20"/>
                <w:lang w:eastAsia="en-GB"/>
              </w:rPr>
            </w:pPr>
            <w:r w:rsidRPr="00AE51B5">
              <w:rPr>
                <w:rFonts w:eastAsia="Times New Roman" w:cs="Arial"/>
                <w:color w:val="000000"/>
                <w:sz w:val="20"/>
                <w:szCs w:val="20"/>
                <w:lang w:eastAsia="en-GB"/>
              </w:rPr>
              <w:t>Total cost of exit packages</w:t>
            </w:r>
          </w:p>
        </w:tc>
        <w:tc>
          <w:tcPr>
            <w:tcW w:w="1417" w:type="dxa"/>
            <w:tcBorders>
              <w:top w:val="single" w:sz="4" w:space="0" w:color="auto"/>
              <w:left w:val="nil"/>
              <w:bottom w:val="single" w:sz="4" w:space="0" w:color="auto"/>
              <w:right w:val="single" w:sz="4" w:space="0" w:color="auto"/>
            </w:tcBorders>
            <w:shd w:val="clear" w:color="auto" w:fill="auto"/>
            <w:vAlign w:val="bottom"/>
            <w:hideMark/>
          </w:tcPr>
          <w:p w14:paraId="50A2D43D" w14:textId="77777777" w:rsidR="00AE51B5" w:rsidRPr="00AE51B5" w:rsidRDefault="00AE51B5" w:rsidP="00DA1280">
            <w:pPr>
              <w:spacing w:before="0" w:after="0"/>
              <w:jc w:val="center"/>
              <w:rPr>
                <w:rFonts w:eastAsia="Times New Roman" w:cs="Arial"/>
                <w:color w:val="000000"/>
                <w:sz w:val="20"/>
                <w:szCs w:val="20"/>
                <w:lang w:eastAsia="en-GB"/>
              </w:rPr>
            </w:pPr>
            <w:r w:rsidRPr="00AE51B5">
              <w:rPr>
                <w:rFonts w:eastAsia="Times New Roman" w:cs="Arial"/>
                <w:color w:val="000000"/>
                <w:sz w:val="20"/>
                <w:szCs w:val="20"/>
                <w:lang w:eastAsia="en-GB"/>
              </w:rPr>
              <w:t>Number of departures where special payments have been made</w:t>
            </w:r>
          </w:p>
        </w:tc>
        <w:tc>
          <w:tcPr>
            <w:tcW w:w="1418" w:type="dxa"/>
            <w:tcBorders>
              <w:top w:val="single" w:sz="4" w:space="0" w:color="auto"/>
              <w:left w:val="nil"/>
              <w:bottom w:val="single" w:sz="4" w:space="0" w:color="auto"/>
              <w:right w:val="single" w:sz="4" w:space="0" w:color="auto"/>
            </w:tcBorders>
            <w:shd w:val="clear" w:color="auto" w:fill="auto"/>
            <w:vAlign w:val="bottom"/>
            <w:hideMark/>
          </w:tcPr>
          <w:p w14:paraId="11B510D7" w14:textId="77777777" w:rsidR="00AE51B5" w:rsidRPr="00AE51B5" w:rsidRDefault="00AE51B5" w:rsidP="00DA1280">
            <w:pPr>
              <w:spacing w:before="0" w:after="0"/>
              <w:jc w:val="center"/>
              <w:rPr>
                <w:rFonts w:eastAsia="Times New Roman" w:cs="Arial"/>
                <w:color w:val="000000"/>
                <w:sz w:val="20"/>
                <w:szCs w:val="20"/>
                <w:lang w:eastAsia="en-GB"/>
              </w:rPr>
            </w:pPr>
            <w:r w:rsidRPr="00AE51B5">
              <w:rPr>
                <w:rFonts w:eastAsia="Times New Roman" w:cs="Arial"/>
                <w:color w:val="000000"/>
                <w:sz w:val="20"/>
                <w:szCs w:val="20"/>
                <w:lang w:eastAsia="en-GB"/>
              </w:rPr>
              <w:t>Cost of special payment element included in exit packages</w:t>
            </w:r>
          </w:p>
        </w:tc>
      </w:tr>
      <w:tr w:rsidR="00F60E33" w:rsidRPr="006B5E6B" w14:paraId="6508822B" w14:textId="77777777" w:rsidTr="006B5E6B">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7E3053A" w14:textId="77777777" w:rsidR="00AE51B5" w:rsidRPr="00AE51B5" w:rsidRDefault="00AE51B5" w:rsidP="00DA1280">
            <w:pPr>
              <w:spacing w:before="0" w:after="0"/>
              <w:rPr>
                <w:rFonts w:eastAsia="Times New Roman" w:cs="Arial"/>
                <w:color w:val="000000"/>
                <w:sz w:val="20"/>
                <w:szCs w:val="20"/>
                <w:lang w:eastAsia="en-GB"/>
              </w:rPr>
            </w:pPr>
            <w:r w:rsidRPr="00AE51B5">
              <w:rPr>
                <w:rFonts w:eastAsia="Times New Roman" w:cs="Arial"/>
                <w:color w:val="000000"/>
                <w:sz w:val="20"/>
                <w:szCs w:val="20"/>
                <w:lang w:eastAsia="en-GB"/>
              </w:rPr>
              <w:t> </w:t>
            </w:r>
          </w:p>
        </w:tc>
        <w:tc>
          <w:tcPr>
            <w:tcW w:w="1418" w:type="dxa"/>
            <w:tcBorders>
              <w:top w:val="nil"/>
              <w:left w:val="nil"/>
              <w:bottom w:val="single" w:sz="4" w:space="0" w:color="auto"/>
              <w:right w:val="single" w:sz="4" w:space="0" w:color="auto"/>
            </w:tcBorders>
            <w:shd w:val="clear" w:color="auto" w:fill="auto"/>
            <w:vAlign w:val="bottom"/>
            <w:hideMark/>
          </w:tcPr>
          <w:p w14:paraId="4B4C4DBF" w14:textId="77777777" w:rsidR="00AE51B5" w:rsidRPr="00AE51B5" w:rsidRDefault="00AE51B5" w:rsidP="00DA1280">
            <w:pPr>
              <w:spacing w:before="0" w:after="0"/>
              <w:jc w:val="center"/>
              <w:rPr>
                <w:rFonts w:eastAsia="Times New Roman" w:cs="Arial"/>
                <w:color w:val="000000"/>
                <w:sz w:val="20"/>
                <w:szCs w:val="20"/>
                <w:lang w:eastAsia="en-GB"/>
              </w:rPr>
            </w:pPr>
            <w:r w:rsidRPr="00AE51B5">
              <w:rPr>
                <w:rFonts w:eastAsia="Times New Roman" w:cs="Arial"/>
                <w:color w:val="000000"/>
                <w:sz w:val="20"/>
                <w:szCs w:val="20"/>
                <w:lang w:eastAsia="en-GB"/>
              </w:rPr>
              <w:t>Whole numbers only</w:t>
            </w:r>
          </w:p>
        </w:tc>
        <w:tc>
          <w:tcPr>
            <w:tcW w:w="1417" w:type="dxa"/>
            <w:tcBorders>
              <w:top w:val="nil"/>
              <w:left w:val="nil"/>
              <w:bottom w:val="single" w:sz="4" w:space="0" w:color="auto"/>
              <w:right w:val="single" w:sz="4" w:space="0" w:color="auto"/>
            </w:tcBorders>
            <w:shd w:val="clear" w:color="auto" w:fill="auto"/>
            <w:noWrap/>
            <w:vAlign w:val="bottom"/>
            <w:hideMark/>
          </w:tcPr>
          <w:p w14:paraId="494F83C2" w14:textId="77777777" w:rsidR="00AE51B5" w:rsidRPr="00AE51B5" w:rsidRDefault="00AE51B5" w:rsidP="00DA1280">
            <w:pPr>
              <w:spacing w:before="0" w:after="0"/>
              <w:jc w:val="center"/>
              <w:rPr>
                <w:rFonts w:eastAsia="Times New Roman" w:cs="Arial"/>
                <w:color w:val="000000"/>
                <w:sz w:val="20"/>
                <w:szCs w:val="20"/>
                <w:lang w:eastAsia="en-GB"/>
              </w:rPr>
            </w:pPr>
            <w:r w:rsidRPr="00AE51B5">
              <w:rPr>
                <w:rFonts w:eastAsia="Times New Roman" w:cs="Arial"/>
                <w:color w:val="000000"/>
                <w:sz w:val="20"/>
                <w:szCs w:val="20"/>
                <w:lang w:eastAsia="en-GB"/>
              </w:rPr>
              <w:t>£</w:t>
            </w:r>
          </w:p>
        </w:tc>
        <w:tc>
          <w:tcPr>
            <w:tcW w:w="1418" w:type="dxa"/>
            <w:tcBorders>
              <w:top w:val="nil"/>
              <w:left w:val="nil"/>
              <w:bottom w:val="single" w:sz="4" w:space="0" w:color="auto"/>
              <w:right w:val="single" w:sz="4" w:space="0" w:color="auto"/>
            </w:tcBorders>
            <w:shd w:val="clear" w:color="auto" w:fill="auto"/>
            <w:vAlign w:val="bottom"/>
            <w:hideMark/>
          </w:tcPr>
          <w:p w14:paraId="0A7E8E7C" w14:textId="77777777" w:rsidR="00AE51B5" w:rsidRPr="00AE51B5" w:rsidRDefault="00AE51B5" w:rsidP="00DA1280">
            <w:pPr>
              <w:spacing w:before="0" w:after="0"/>
              <w:jc w:val="center"/>
              <w:rPr>
                <w:rFonts w:eastAsia="Times New Roman" w:cs="Arial"/>
                <w:color w:val="000000"/>
                <w:sz w:val="20"/>
                <w:szCs w:val="20"/>
                <w:lang w:eastAsia="en-GB"/>
              </w:rPr>
            </w:pPr>
            <w:r w:rsidRPr="00AE51B5">
              <w:rPr>
                <w:rFonts w:eastAsia="Times New Roman" w:cs="Arial"/>
                <w:color w:val="000000"/>
                <w:sz w:val="20"/>
                <w:szCs w:val="20"/>
                <w:lang w:eastAsia="en-GB"/>
              </w:rPr>
              <w:t>Whole numbers only</w:t>
            </w:r>
          </w:p>
        </w:tc>
        <w:tc>
          <w:tcPr>
            <w:tcW w:w="1276" w:type="dxa"/>
            <w:tcBorders>
              <w:top w:val="nil"/>
              <w:left w:val="nil"/>
              <w:bottom w:val="single" w:sz="4" w:space="0" w:color="auto"/>
              <w:right w:val="single" w:sz="4" w:space="0" w:color="auto"/>
            </w:tcBorders>
            <w:shd w:val="clear" w:color="auto" w:fill="auto"/>
            <w:noWrap/>
            <w:vAlign w:val="bottom"/>
            <w:hideMark/>
          </w:tcPr>
          <w:p w14:paraId="342CD8D4" w14:textId="77777777" w:rsidR="00AE51B5" w:rsidRPr="00AE51B5" w:rsidRDefault="00AE51B5" w:rsidP="00DA1280">
            <w:pPr>
              <w:spacing w:before="0" w:after="0"/>
              <w:jc w:val="center"/>
              <w:rPr>
                <w:rFonts w:eastAsia="Times New Roman" w:cs="Arial"/>
                <w:color w:val="000000"/>
                <w:sz w:val="20"/>
                <w:szCs w:val="20"/>
                <w:lang w:eastAsia="en-GB"/>
              </w:rPr>
            </w:pPr>
            <w:r w:rsidRPr="00AE51B5">
              <w:rPr>
                <w:rFonts w:eastAsia="Times New Roman" w:cs="Arial"/>
                <w:color w:val="000000"/>
                <w:sz w:val="20"/>
                <w:szCs w:val="20"/>
                <w:lang w:eastAsia="en-GB"/>
              </w:rPr>
              <w:t>£</w:t>
            </w:r>
          </w:p>
        </w:tc>
        <w:tc>
          <w:tcPr>
            <w:tcW w:w="1417" w:type="dxa"/>
            <w:tcBorders>
              <w:top w:val="nil"/>
              <w:left w:val="nil"/>
              <w:bottom w:val="single" w:sz="4" w:space="0" w:color="auto"/>
              <w:right w:val="single" w:sz="4" w:space="0" w:color="auto"/>
            </w:tcBorders>
            <w:shd w:val="clear" w:color="auto" w:fill="auto"/>
            <w:vAlign w:val="bottom"/>
            <w:hideMark/>
          </w:tcPr>
          <w:p w14:paraId="3787162E" w14:textId="77777777" w:rsidR="00AE51B5" w:rsidRPr="00AE51B5" w:rsidRDefault="00AE51B5" w:rsidP="00DA1280">
            <w:pPr>
              <w:spacing w:before="0" w:after="0"/>
              <w:jc w:val="center"/>
              <w:rPr>
                <w:rFonts w:eastAsia="Times New Roman" w:cs="Arial"/>
                <w:color w:val="000000"/>
                <w:sz w:val="20"/>
                <w:szCs w:val="20"/>
                <w:lang w:eastAsia="en-GB"/>
              </w:rPr>
            </w:pPr>
            <w:r w:rsidRPr="00AE51B5">
              <w:rPr>
                <w:rFonts w:eastAsia="Times New Roman" w:cs="Arial"/>
                <w:color w:val="000000"/>
                <w:sz w:val="20"/>
                <w:szCs w:val="20"/>
                <w:lang w:eastAsia="en-GB"/>
              </w:rPr>
              <w:t>Whole numbers only</w:t>
            </w:r>
          </w:p>
        </w:tc>
        <w:tc>
          <w:tcPr>
            <w:tcW w:w="1276" w:type="dxa"/>
            <w:tcBorders>
              <w:top w:val="nil"/>
              <w:left w:val="nil"/>
              <w:bottom w:val="single" w:sz="4" w:space="0" w:color="auto"/>
              <w:right w:val="single" w:sz="4" w:space="0" w:color="auto"/>
            </w:tcBorders>
            <w:shd w:val="clear" w:color="auto" w:fill="auto"/>
            <w:noWrap/>
            <w:vAlign w:val="bottom"/>
            <w:hideMark/>
          </w:tcPr>
          <w:p w14:paraId="546AC265" w14:textId="77777777" w:rsidR="00AE51B5" w:rsidRPr="00AE51B5" w:rsidRDefault="00AE51B5" w:rsidP="00DA1280">
            <w:pPr>
              <w:spacing w:before="0" w:after="0"/>
              <w:jc w:val="center"/>
              <w:rPr>
                <w:rFonts w:eastAsia="Times New Roman" w:cs="Arial"/>
                <w:color w:val="000000"/>
                <w:sz w:val="20"/>
                <w:szCs w:val="20"/>
                <w:lang w:eastAsia="en-GB"/>
              </w:rPr>
            </w:pPr>
            <w:r w:rsidRPr="00AE51B5">
              <w:rPr>
                <w:rFonts w:eastAsia="Times New Roman" w:cs="Arial"/>
                <w:color w:val="000000"/>
                <w:sz w:val="20"/>
                <w:szCs w:val="20"/>
                <w:lang w:eastAsia="en-GB"/>
              </w:rPr>
              <w:t>£</w:t>
            </w:r>
          </w:p>
        </w:tc>
        <w:tc>
          <w:tcPr>
            <w:tcW w:w="1417" w:type="dxa"/>
            <w:tcBorders>
              <w:top w:val="nil"/>
              <w:left w:val="nil"/>
              <w:bottom w:val="single" w:sz="4" w:space="0" w:color="auto"/>
              <w:right w:val="single" w:sz="4" w:space="0" w:color="auto"/>
            </w:tcBorders>
            <w:shd w:val="clear" w:color="auto" w:fill="auto"/>
            <w:vAlign w:val="bottom"/>
            <w:hideMark/>
          </w:tcPr>
          <w:p w14:paraId="1EB074CF" w14:textId="77777777" w:rsidR="00AE51B5" w:rsidRPr="00AE51B5" w:rsidRDefault="00AE51B5" w:rsidP="00DA1280">
            <w:pPr>
              <w:spacing w:before="0" w:after="0"/>
              <w:jc w:val="center"/>
              <w:rPr>
                <w:rFonts w:eastAsia="Times New Roman" w:cs="Arial"/>
                <w:color w:val="000000"/>
                <w:sz w:val="20"/>
                <w:szCs w:val="20"/>
                <w:lang w:eastAsia="en-GB"/>
              </w:rPr>
            </w:pPr>
            <w:r w:rsidRPr="00AE51B5">
              <w:rPr>
                <w:rFonts w:eastAsia="Times New Roman" w:cs="Arial"/>
                <w:color w:val="000000"/>
                <w:sz w:val="20"/>
                <w:szCs w:val="20"/>
                <w:lang w:eastAsia="en-GB"/>
              </w:rPr>
              <w:t>Whole numbers only</w:t>
            </w:r>
          </w:p>
        </w:tc>
        <w:tc>
          <w:tcPr>
            <w:tcW w:w="1418" w:type="dxa"/>
            <w:tcBorders>
              <w:top w:val="nil"/>
              <w:left w:val="nil"/>
              <w:bottom w:val="single" w:sz="4" w:space="0" w:color="auto"/>
              <w:right w:val="single" w:sz="4" w:space="0" w:color="auto"/>
            </w:tcBorders>
            <w:shd w:val="clear" w:color="auto" w:fill="auto"/>
            <w:noWrap/>
            <w:vAlign w:val="bottom"/>
            <w:hideMark/>
          </w:tcPr>
          <w:p w14:paraId="727DF40D" w14:textId="77777777" w:rsidR="00AE51B5" w:rsidRPr="00AE51B5" w:rsidRDefault="00AE51B5" w:rsidP="00DA1280">
            <w:pPr>
              <w:spacing w:before="0" w:after="0"/>
              <w:jc w:val="center"/>
              <w:rPr>
                <w:rFonts w:eastAsia="Times New Roman" w:cs="Arial"/>
                <w:color w:val="000000"/>
                <w:sz w:val="20"/>
                <w:szCs w:val="20"/>
                <w:lang w:eastAsia="en-GB"/>
              </w:rPr>
            </w:pPr>
            <w:r w:rsidRPr="00AE51B5">
              <w:rPr>
                <w:rFonts w:eastAsia="Times New Roman" w:cs="Arial"/>
                <w:color w:val="000000"/>
                <w:sz w:val="20"/>
                <w:szCs w:val="20"/>
                <w:lang w:eastAsia="en-GB"/>
              </w:rPr>
              <w:t>£</w:t>
            </w:r>
          </w:p>
        </w:tc>
      </w:tr>
      <w:tr w:rsidR="00F95B08" w:rsidRPr="006B5E6B" w14:paraId="5FF02A88" w14:textId="77777777" w:rsidTr="006B5E6B">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27697BF" w14:textId="77777777" w:rsidR="00AE51B5" w:rsidRPr="00AE51B5" w:rsidRDefault="00AE51B5" w:rsidP="00DA1280">
            <w:pPr>
              <w:spacing w:before="0" w:after="0"/>
              <w:rPr>
                <w:rFonts w:eastAsia="Times New Roman" w:cs="Arial"/>
                <w:color w:val="000000"/>
                <w:sz w:val="20"/>
                <w:szCs w:val="20"/>
                <w:lang w:eastAsia="en-GB"/>
              </w:rPr>
            </w:pPr>
            <w:r w:rsidRPr="00AE51B5">
              <w:rPr>
                <w:rFonts w:eastAsia="Times New Roman" w:cs="Arial"/>
                <w:color w:val="000000"/>
                <w:sz w:val="20"/>
                <w:szCs w:val="20"/>
                <w:lang w:eastAsia="en-GB"/>
              </w:rPr>
              <w:t>Less than £10,000</w:t>
            </w:r>
          </w:p>
        </w:tc>
        <w:tc>
          <w:tcPr>
            <w:tcW w:w="1418" w:type="dxa"/>
            <w:tcBorders>
              <w:top w:val="nil"/>
              <w:left w:val="nil"/>
              <w:bottom w:val="single" w:sz="4" w:space="0" w:color="auto"/>
              <w:right w:val="single" w:sz="4" w:space="0" w:color="auto"/>
            </w:tcBorders>
            <w:shd w:val="clear" w:color="auto" w:fill="auto"/>
            <w:noWrap/>
            <w:vAlign w:val="bottom"/>
            <w:hideMark/>
          </w:tcPr>
          <w:p w14:paraId="6AA831FB"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c>
          <w:tcPr>
            <w:tcW w:w="1417" w:type="dxa"/>
            <w:tcBorders>
              <w:top w:val="nil"/>
              <w:left w:val="nil"/>
              <w:bottom w:val="single" w:sz="4" w:space="0" w:color="auto"/>
              <w:right w:val="single" w:sz="4" w:space="0" w:color="auto"/>
            </w:tcBorders>
            <w:shd w:val="clear" w:color="auto" w:fill="auto"/>
            <w:noWrap/>
            <w:vAlign w:val="bottom"/>
            <w:hideMark/>
          </w:tcPr>
          <w:p w14:paraId="519261D8"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c>
          <w:tcPr>
            <w:tcW w:w="1418" w:type="dxa"/>
            <w:tcBorders>
              <w:top w:val="nil"/>
              <w:left w:val="nil"/>
              <w:bottom w:val="single" w:sz="4" w:space="0" w:color="auto"/>
              <w:right w:val="single" w:sz="4" w:space="0" w:color="auto"/>
            </w:tcBorders>
            <w:shd w:val="clear" w:color="auto" w:fill="auto"/>
            <w:noWrap/>
            <w:vAlign w:val="bottom"/>
            <w:hideMark/>
          </w:tcPr>
          <w:p w14:paraId="77C07860"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4 </w:t>
            </w:r>
          </w:p>
        </w:tc>
        <w:tc>
          <w:tcPr>
            <w:tcW w:w="1276" w:type="dxa"/>
            <w:tcBorders>
              <w:top w:val="nil"/>
              <w:left w:val="nil"/>
              <w:bottom w:val="single" w:sz="4" w:space="0" w:color="auto"/>
              <w:right w:val="single" w:sz="4" w:space="0" w:color="auto"/>
            </w:tcBorders>
            <w:shd w:val="clear" w:color="auto" w:fill="auto"/>
            <w:noWrap/>
            <w:vAlign w:val="bottom"/>
            <w:hideMark/>
          </w:tcPr>
          <w:p w14:paraId="2DD70412"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29,991 </w:t>
            </w:r>
          </w:p>
        </w:tc>
        <w:tc>
          <w:tcPr>
            <w:tcW w:w="1417" w:type="dxa"/>
            <w:tcBorders>
              <w:top w:val="nil"/>
              <w:left w:val="nil"/>
              <w:bottom w:val="single" w:sz="4" w:space="0" w:color="auto"/>
              <w:right w:val="single" w:sz="4" w:space="0" w:color="auto"/>
            </w:tcBorders>
            <w:shd w:val="clear" w:color="auto" w:fill="auto"/>
            <w:noWrap/>
            <w:vAlign w:val="bottom"/>
            <w:hideMark/>
          </w:tcPr>
          <w:p w14:paraId="2CC3F07F"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4 </w:t>
            </w:r>
          </w:p>
        </w:tc>
        <w:tc>
          <w:tcPr>
            <w:tcW w:w="1276" w:type="dxa"/>
            <w:tcBorders>
              <w:top w:val="nil"/>
              <w:left w:val="nil"/>
              <w:bottom w:val="single" w:sz="4" w:space="0" w:color="auto"/>
              <w:right w:val="single" w:sz="4" w:space="0" w:color="auto"/>
            </w:tcBorders>
            <w:shd w:val="clear" w:color="auto" w:fill="auto"/>
            <w:noWrap/>
            <w:vAlign w:val="bottom"/>
            <w:hideMark/>
          </w:tcPr>
          <w:p w14:paraId="73EDF653"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29,991 </w:t>
            </w:r>
          </w:p>
        </w:tc>
        <w:tc>
          <w:tcPr>
            <w:tcW w:w="1417" w:type="dxa"/>
            <w:tcBorders>
              <w:top w:val="nil"/>
              <w:left w:val="nil"/>
              <w:bottom w:val="single" w:sz="4" w:space="0" w:color="auto"/>
              <w:right w:val="single" w:sz="4" w:space="0" w:color="auto"/>
            </w:tcBorders>
            <w:shd w:val="clear" w:color="auto" w:fill="auto"/>
            <w:noWrap/>
            <w:vAlign w:val="bottom"/>
            <w:hideMark/>
          </w:tcPr>
          <w:p w14:paraId="0B0FC538"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c>
          <w:tcPr>
            <w:tcW w:w="1418" w:type="dxa"/>
            <w:tcBorders>
              <w:top w:val="nil"/>
              <w:left w:val="nil"/>
              <w:bottom w:val="single" w:sz="4" w:space="0" w:color="auto"/>
              <w:right w:val="single" w:sz="4" w:space="0" w:color="auto"/>
            </w:tcBorders>
            <w:shd w:val="clear" w:color="auto" w:fill="auto"/>
            <w:noWrap/>
            <w:vAlign w:val="bottom"/>
            <w:hideMark/>
          </w:tcPr>
          <w:p w14:paraId="770D9A95"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r>
      <w:tr w:rsidR="00F95B08" w:rsidRPr="006B5E6B" w14:paraId="05A1ACCB" w14:textId="77777777" w:rsidTr="006B5E6B">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B9C8C88" w14:textId="77777777" w:rsidR="00AE51B5" w:rsidRPr="00AE51B5" w:rsidRDefault="00AE51B5" w:rsidP="00DA1280">
            <w:pPr>
              <w:spacing w:before="0" w:after="0"/>
              <w:rPr>
                <w:rFonts w:eastAsia="Times New Roman" w:cs="Arial"/>
                <w:color w:val="000000"/>
                <w:sz w:val="20"/>
                <w:szCs w:val="20"/>
                <w:lang w:eastAsia="en-GB"/>
              </w:rPr>
            </w:pPr>
            <w:r w:rsidRPr="00AE51B5">
              <w:rPr>
                <w:rFonts w:eastAsia="Times New Roman" w:cs="Arial"/>
                <w:color w:val="000000"/>
                <w:sz w:val="20"/>
                <w:szCs w:val="20"/>
                <w:lang w:eastAsia="en-GB"/>
              </w:rPr>
              <w:t>£10,001 to £25,000</w:t>
            </w:r>
          </w:p>
        </w:tc>
        <w:tc>
          <w:tcPr>
            <w:tcW w:w="1418" w:type="dxa"/>
            <w:tcBorders>
              <w:top w:val="nil"/>
              <w:left w:val="nil"/>
              <w:bottom w:val="single" w:sz="4" w:space="0" w:color="auto"/>
              <w:right w:val="single" w:sz="4" w:space="0" w:color="auto"/>
            </w:tcBorders>
            <w:shd w:val="clear" w:color="auto" w:fill="auto"/>
            <w:noWrap/>
            <w:vAlign w:val="bottom"/>
            <w:hideMark/>
          </w:tcPr>
          <w:p w14:paraId="5FC8112D"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c>
          <w:tcPr>
            <w:tcW w:w="1417" w:type="dxa"/>
            <w:tcBorders>
              <w:top w:val="nil"/>
              <w:left w:val="nil"/>
              <w:bottom w:val="single" w:sz="4" w:space="0" w:color="auto"/>
              <w:right w:val="single" w:sz="4" w:space="0" w:color="auto"/>
            </w:tcBorders>
            <w:shd w:val="clear" w:color="auto" w:fill="auto"/>
            <w:noWrap/>
            <w:vAlign w:val="bottom"/>
            <w:hideMark/>
          </w:tcPr>
          <w:p w14:paraId="1947C809"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c>
          <w:tcPr>
            <w:tcW w:w="1418" w:type="dxa"/>
            <w:tcBorders>
              <w:top w:val="nil"/>
              <w:left w:val="nil"/>
              <w:bottom w:val="single" w:sz="4" w:space="0" w:color="auto"/>
              <w:right w:val="single" w:sz="4" w:space="0" w:color="auto"/>
            </w:tcBorders>
            <w:shd w:val="clear" w:color="auto" w:fill="auto"/>
            <w:noWrap/>
            <w:vAlign w:val="bottom"/>
            <w:hideMark/>
          </w:tcPr>
          <w:p w14:paraId="71D1CF31"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15 </w:t>
            </w:r>
          </w:p>
        </w:tc>
        <w:tc>
          <w:tcPr>
            <w:tcW w:w="1276" w:type="dxa"/>
            <w:tcBorders>
              <w:top w:val="nil"/>
              <w:left w:val="nil"/>
              <w:bottom w:val="single" w:sz="4" w:space="0" w:color="auto"/>
              <w:right w:val="single" w:sz="4" w:space="0" w:color="auto"/>
            </w:tcBorders>
            <w:shd w:val="clear" w:color="auto" w:fill="auto"/>
            <w:noWrap/>
            <w:vAlign w:val="bottom"/>
            <w:hideMark/>
          </w:tcPr>
          <w:p w14:paraId="19068769"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267,733 </w:t>
            </w:r>
          </w:p>
        </w:tc>
        <w:tc>
          <w:tcPr>
            <w:tcW w:w="1417" w:type="dxa"/>
            <w:tcBorders>
              <w:top w:val="nil"/>
              <w:left w:val="nil"/>
              <w:bottom w:val="single" w:sz="4" w:space="0" w:color="auto"/>
              <w:right w:val="single" w:sz="4" w:space="0" w:color="auto"/>
            </w:tcBorders>
            <w:shd w:val="clear" w:color="auto" w:fill="auto"/>
            <w:noWrap/>
            <w:vAlign w:val="bottom"/>
            <w:hideMark/>
          </w:tcPr>
          <w:p w14:paraId="2A857D52"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15 </w:t>
            </w:r>
          </w:p>
        </w:tc>
        <w:tc>
          <w:tcPr>
            <w:tcW w:w="1276" w:type="dxa"/>
            <w:tcBorders>
              <w:top w:val="nil"/>
              <w:left w:val="nil"/>
              <w:bottom w:val="single" w:sz="4" w:space="0" w:color="auto"/>
              <w:right w:val="single" w:sz="4" w:space="0" w:color="auto"/>
            </w:tcBorders>
            <w:shd w:val="clear" w:color="auto" w:fill="auto"/>
            <w:noWrap/>
            <w:vAlign w:val="bottom"/>
            <w:hideMark/>
          </w:tcPr>
          <w:p w14:paraId="5E2572C7"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267,733 </w:t>
            </w:r>
          </w:p>
        </w:tc>
        <w:tc>
          <w:tcPr>
            <w:tcW w:w="1417" w:type="dxa"/>
            <w:tcBorders>
              <w:top w:val="nil"/>
              <w:left w:val="nil"/>
              <w:bottom w:val="single" w:sz="4" w:space="0" w:color="auto"/>
              <w:right w:val="single" w:sz="4" w:space="0" w:color="auto"/>
            </w:tcBorders>
            <w:shd w:val="clear" w:color="auto" w:fill="auto"/>
            <w:noWrap/>
            <w:vAlign w:val="bottom"/>
            <w:hideMark/>
          </w:tcPr>
          <w:p w14:paraId="5DB11AC7"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c>
          <w:tcPr>
            <w:tcW w:w="1418" w:type="dxa"/>
            <w:tcBorders>
              <w:top w:val="nil"/>
              <w:left w:val="nil"/>
              <w:bottom w:val="single" w:sz="4" w:space="0" w:color="auto"/>
              <w:right w:val="single" w:sz="4" w:space="0" w:color="auto"/>
            </w:tcBorders>
            <w:shd w:val="clear" w:color="auto" w:fill="auto"/>
            <w:noWrap/>
            <w:vAlign w:val="bottom"/>
            <w:hideMark/>
          </w:tcPr>
          <w:p w14:paraId="6E5D2001"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r>
      <w:tr w:rsidR="00F95B08" w:rsidRPr="006B5E6B" w14:paraId="3A8251D4" w14:textId="77777777" w:rsidTr="006B5E6B">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66EA6EA" w14:textId="77777777" w:rsidR="00AE51B5" w:rsidRPr="00AE51B5" w:rsidRDefault="00AE51B5" w:rsidP="00DA1280">
            <w:pPr>
              <w:spacing w:before="0" w:after="0"/>
              <w:rPr>
                <w:rFonts w:eastAsia="Times New Roman" w:cs="Arial"/>
                <w:color w:val="000000"/>
                <w:sz w:val="20"/>
                <w:szCs w:val="20"/>
                <w:lang w:eastAsia="en-GB"/>
              </w:rPr>
            </w:pPr>
            <w:r w:rsidRPr="00AE51B5">
              <w:rPr>
                <w:rFonts w:eastAsia="Times New Roman" w:cs="Arial"/>
                <w:color w:val="000000"/>
                <w:sz w:val="20"/>
                <w:szCs w:val="20"/>
                <w:lang w:eastAsia="en-GB"/>
              </w:rPr>
              <w:t>£25,001 to £50,000</w:t>
            </w:r>
          </w:p>
        </w:tc>
        <w:tc>
          <w:tcPr>
            <w:tcW w:w="1418" w:type="dxa"/>
            <w:tcBorders>
              <w:top w:val="nil"/>
              <w:left w:val="nil"/>
              <w:bottom w:val="single" w:sz="4" w:space="0" w:color="auto"/>
              <w:right w:val="single" w:sz="4" w:space="0" w:color="auto"/>
            </w:tcBorders>
            <w:shd w:val="clear" w:color="auto" w:fill="auto"/>
            <w:noWrap/>
            <w:vAlign w:val="bottom"/>
            <w:hideMark/>
          </w:tcPr>
          <w:p w14:paraId="7E061733"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1 </w:t>
            </w:r>
          </w:p>
        </w:tc>
        <w:tc>
          <w:tcPr>
            <w:tcW w:w="1417" w:type="dxa"/>
            <w:tcBorders>
              <w:top w:val="nil"/>
              <w:left w:val="nil"/>
              <w:bottom w:val="single" w:sz="4" w:space="0" w:color="auto"/>
              <w:right w:val="single" w:sz="4" w:space="0" w:color="auto"/>
            </w:tcBorders>
            <w:shd w:val="clear" w:color="auto" w:fill="auto"/>
            <w:noWrap/>
            <w:vAlign w:val="bottom"/>
            <w:hideMark/>
          </w:tcPr>
          <w:p w14:paraId="4AB50892"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44,018 </w:t>
            </w:r>
          </w:p>
        </w:tc>
        <w:tc>
          <w:tcPr>
            <w:tcW w:w="1418" w:type="dxa"/>
            <w:tcBorders>
              <w:top w:val="nil"/>
              <w:left w:val="nil"/>
              <w:bottom w:val="single" w:sz="4" w:space="0" w:color="auto"/>
              <w:right w:val="single" w:sz="4" w:space="0" w:color="auto"/>
            </w:tcBorders>
            <w:shd w:val="clear" w:color="auto" w:fill="auto"/>
            <w:noWrap/>
            <w:vAlign w:val="bottom"/>
            <w:hideMark/>
          </w:tcPr>
          <w:p w14:paraId="1E16AB6C"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22 </w:t>
            </w:r>
          </w:p>
        </w:tc>
        <w:tc>
          <w:tcPr>
            <w:tcW w:w="1276" w:type="dxa"/>
            <w:tcBorders>
              <w:top w:val="nil"/>
              <w:left w:val="nil"/>
              <w:bottom w:val="single" w:sz="4" w:space="0" w:color="auto"/>
              <w:right w:val="single" w:sz="4" w:space="0" w:color="auto"/>
            </w:tcBorders>
            <w:shd w:val="clear" w:color="auto" w:fill="auto"/>
            <w:noWrap/>
            <w:vAlign w:val="bottom"/>
            <w:hideMark/>
          </w:tcPr>
          <w:p w14:paraId="66BB14AA"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771,172 </w:t>
            </w:r>
          </w:p>
        </w:tc>
        <w:tc>
          <w:tcPr>
            <w:tcW w:w="1417" w:type="dxa"/>
            <w:tcBorders>
              <w:top w:val="nil"/>
              <w:left w:val="nil"/>
              <w:bottom w:val="single" w:sz="4" w:space="0" w:color="auto"/>
              <w:right w:val="single" w:sz="4" w:space="0" w:color="auto"/>
            </w:tcBorders>
            <w:shd w:val="clear" w:color="auto" w:fill="auto"/>
            <w:noWrap/>
            <w:vAlign w:val="bottom"/>
            <w:hideMark/>
          </w:tcPr>
          <w:p w14:paraId="3214B412"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23 </w:t>
            </w:r>
          </w:p>
        </w:tc>
        <w:tc>
          <w:tcPr>
            <w:tcW w:w="1276" w:type="dxa"/>
            <w:tcBorders>
              <w:top w:val="nil"/>
              <w:left w:val="nil"/>
              <w:bottom w:val="single" w:sz="4" w:space="0" w:color="auto"/>
              <w:right w:val="single" w:sz="4" w:space="0" w:color="auto"/>
            </w:tcBorders>
            <w:shd w:val="clear" w:color="auto" w:fill="auto"/>
            <w:noWrap/>
            <w:vAlign w:val="bottom"/>
            <w:hideMark/>
          </w:tcPr>
          <w:p w14:paraId="5F4CE91C"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815,190 </w:t>
            </w:r>
          </w:p>
        </w:tc>
        <w:tc>
          <w:tcPr>
            <w:tcW w:w="1417" w:type="dxa"/>
            <w:tcBorders>
              <w:top w:val="nil"/>
              <w:left w:val="nil"/>
              <w:bottom w:val="single" w:sz="4" w:space="0" w:color="auto"/>
              <w:right w:val="single" w:sz="4" w:space="0" w:color="auto"/>
            </w:tcBorders>
            <w:shd w:val="clear" w:color="auto" w:fill="auto"/>
            <w:noWrap/>
            <w:vAlign w:val="bottom"/>
            <w:hideMark/>
          </w:tcPr>
          <w:p w14:paraId="2497B775"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c>
          <w:tcPr>
            <w:tcW w:w="1418" w:type="dxa"/>
            <w:tcBorders>
              <w:top w:val="nil"/>
              <w:left w:val="nil"/>
              <w:bottom w:val="single" w:sz="4" w:space="0" w:color="auto"/>
              <w:right w:val="single" w:sz="4" w:space="0" w:color="auto"/>
            </w:tcBorders>
            <w:shd w:val="clear" w:color="auto" w:fill="auto"/>
            <w:noWrap/>
            <w:vAlign w:val="bottom"/>
            <w:hideMark/>
          </w:tcPr>
          <w:p w14:paraId="6B65C6A3"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r>
      <w:tr w:rsidR="00F95B08" w:rsidRPr="006B5E6B" w14:paraId="6798A669" w14:textId="77777777" w:rsidTr="006B5E6B">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489FA2C" w14:textId="77777777" w:rsidR="00AE51B5" w:rsidRPr="00AE51B5" w:rsidRDefault="00AE51B5" w:rsidP="00DA1280">
            <w:pPr>
              <w:spacing w:before="0" w:after="0"/>
              <w:rPr>
                <w:rFonts w:eastAsia="Times New Roman" w:cs="Arial"/>
                <w:color w:val="000000"/>
                <w:sz w:val="20"/>
                <w:szCs w:val="20"/>
                <w:lang w:eastAsia="en-GB"/>
              </w:rPr>
            </w:pPr>
            <w:r w:rsidRPr="00AE51B5">
              <w:rPr>
                <w:rFonts w:eastAsia="Times New Roman" w:cs="Arial"/>
                <w:color w:val="000000"/>
                <w:sz w:val="20"/>
                <w:szCs w:val="20"/>
                <w:lang w:eastAsia="en-GB"/>
              </w:rPr>
              <w:t>£50,001 to £100,000</w:t>
            </w:r>
          </w:p>
        </w:tc>
        <w:tc>
          <w:tcPr>
            <w:tcW w:w="1418" w:type="dxa"/>
            <w:tcBorders>
              <w:top w:val="nil"/>
              <w:left w:val="nil"/>
              <w:bottom w:val="single" w:sz="4" w:space="0" w:color="auto"/>
              <w:right w:val="single" w:sz="4" w:space="0" w:color="auto"/>
            </w:tcBorders>
            <w:shd w:val="clear" w:color="auto" w:fill="auto"/>
            <w:noWrap/>
            <w:vAlign w:val="bottom"/>
            <w:hideMark/>
          </w:tcPr>
          <w:p w14:paraId="2C4F40C1"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c>
          <w:tcPr>
            <w:tcW w:w="1417" w:type="dxa"/>
            <w:tcBorders>
              <w:top w:val="nil"/>
              <w:left w:val="nil"/>
              <w:bottom w:val="single" w:sz="4" w:space="0" w:color="auto"/>
              <w:right w:val="single" w:sz="4" w:space="0" w:color="auto"/>
            </w:tcBorders>
            <w:shd w:val="clear" w:color="auto" w:fill="auto"/>
            <w:noWrap/>
            <w:vAlign w:val="bottom"/>
            <w:hideMark/>
          </w:tcPr>
          <w:p w14:paraId="7773ECA0"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c>
          <w:tcPr>
            <w:tcW w:w="1418" w:type="dxa"/>
            <w:tcBorders>
              <w:top w:val="nil"/>
              <w:left w:val="nil"/>
              <w:bottom w:val="single" w:sz="4" w:space="0" w:color="auto"/>
              <w:right w:val="single" w:sz="4" w:space="0" w:color="auto"/>
            </w:tcBorders>
            <w:shd w:val="clear" w:color="auto" w:fill="auto"/>
            <w:noWrap/>
            <w:vAlign w:val="bottom"/>
            <w:hideMark/>
          </w:tcPr>
          <w:p w14:paraId="35499F07"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19 </w:t>
            </w:r>
          </w:p>
        </w:tc>
        <w:tc>
          <w:tcPr>
            <w:tcW w:w="1276" w:type="dxa"/>
            <w:tcBorders>
              <w:top w:val="nil"/>
              <w:left w:val="nil"/>
              <w:bottom w:val="single" w:sz="4" w:space="0" w:color="auto"/>
              <w:right w:val="single" w:sz="4" w:space="0" w:color="auto"/>
            </w:tcBorders>
            <w:shd w:val="clear" w:color="auto" w:fill="auto"/>
            <w:noWrap/>
            <w:vAlign w:val="bottom"/>
            <w:hideMark/>
          </w:tcPr>
          <w:p w14:paraId="64668E68"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1,437,221 </w:t>
            </w:r>
          </w:p>
        </w:tc>
        <w:tc>
          <w:tcPr>
            <w:tcW w:w="1417" w:type="dxa"/>
            <w:tcBorders>
              <w:top w:val="nil"/>
              <w:left w:val="nil"/>
              <w:bottom w:val="single" w:sz="4" w:space="0" w:color="auto"/>
              <w:right w:val="single" w:sz="4" w:space="0" w:color="auto"/>
            </w:tcBorders>
            <w:shd w:val="clear" w:color="auto" w:fill="auto"/>
            <w:noWrap/>
            <w:vAlign w:val="bottom"/>
            <w:hideMark/>
          </w:tcPr>
          <w:p w14:paraId="4D7214D5"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19 </w:t>
            </w:r>
          </w:p>
        </w:tc>
        <w:tc>
          <w:tcPr>
            <w:tcW w:w="1276" w:type="dxa"/>
            <w:tcBorders>
              <w:top w:val="nil"/>
              <w:left w:val="nil"/>
              <w:bottom w:val="single" w:sz="4" w:space="0" w:color="auto"/>
              <w:right w:val="single" w:sz="4" w:space="0" w:color="auto"/>
            </w:tcBorders>
            <w:shd w:val="clear" w:color="auto" w:fill="auto"/>
            <w:noWrap/>
            <w:vAlign w:val="bottom"/>
            <w:hideMark/>
          </w:tcPr>
          <w:p w14:paraId="2C95FC2F"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1,437,221 </w:t>
            </w:r>
          </w:p>
        </w:tc>
        <w:tc>
          <w:tcPr>
            <w:tcW w:w="1417" w:type="dxa"/>
            <w:tcBorders>
              <w:top w:val="nil"/>
              <w:left w:val="nil"/>
              <w:bottom w:val="single" w:sz="4" w:space="0" w:color="auto"/>
              <w:right w:val="single" w:sz="4" w:space="0" w:color="auto"/>
            </w:tcBorders>
            <w:shd w:val="clear" w:color="auto" w:fill="auto"/>
            <w:noWrap/>
            <w:vAlign w:val="bottom"/>
            <w:hideMark/>
          </w:tcPr>
          <w:p w14:paraId="10F85186"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c>
          <w:tcPr>
            <w:tcW w:w="1418" w:type="dxa"/>
            <w:tcBorders>
              <w:top w:val="nil"/>
              <w:left w:val="nil"/>
              <w:bottom w:val="single" w:sz="4" w:space="0" w:color="auto"/>
              <w:right w:val="single" w:sz="4" w:space="0" w:color="auto"/>
            </w:tcBorders>
            <w:shd w:val="clear" w:color="auto" w:fill="auto"/>
            <w:noWrap/>
            <w:vAlign w:val="bottom"/>
            <w:hideMark/>
          </w:tcPr>
          <w:p w14:paraId="215C28DF"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r>
      <w:tr w:rsidR="00F95B08" w:rsidRPr="006B5E6B" w14:paraId="3C962BDD" w14:textId="77777777" w:rsidTr="006B5E6B">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634FB36" w14:textId="77777777" w:rsidR="00AE51B5" w:rsidRPr="00AE51B5" w:rsidRDefault="00AE51B5" w:rsidP="00DA1280">
            <w:pPr>
              <w:spacing w:before="0" w:after="0"/>
              <w:rPr>
                <w:rFonts w:eastAsia="Times New Roman" w:cs="Arial"/>
                <w:color w:val="000000"/>
                <w:sz w:val="20"/>
                <w:szCs w:val="20"/>
                <w:lang w:eastAsia="en-GB"/>
              </w:rPr>
            </w:pPr>
            <w:r w:rsidRPr="00AE51B5">
              <w:rPr>
                <w:rFonts w:eastAsia="Times New Roman" w:cs="Arial"/>
                <w:color w:val="000000"/>
                <w:sz w:val="20"/>
                <w:szCs w:val="20"/>
                <w:lang w:eastAsia="en-GB"/>
              </w:rPr>
              <w:t>£100,001 to £150,000</w:t>
            </w:r>
          </w:p>
        </w:tc>
        <w:tc>
          <w:tcPr>
            <w:tcW w:w="1418" w:type="dxa"/>
            <w:tcBorders>
              <w:top w:val="nil"/>
              <w:left w:val="nil"/>
              <w:bottom w:val="single" w:sz="4" w:space="0" w:color="auto"/>
              <w:right w:val="single" w:sz="4" w:space="0" w:color="auto"/>
            </w:tcBorders>
            <w:shd w:val="clear" w:color="auto" w:fill="auto"/>
            <w:noWrap/>
            <w:vAlign w:val="bottom"/>
            <w:hideMark/>
          </w:tcPr>
          <w:p w14:paraId="19962421"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3 </w:t>
            </w:r>
          </w:p>
        </w:tc>
        <w:tc>
          <w:tcPr>
            <w:tcW w:w="1417" w:type="dxa"/>
            <w:tcBorders>
              <w:top w:val="nil"/>
              <w:left w:val="nil"/>
              <w:bottom w:val="single" w:sz="4" w:space="0" w:color="auto"/>
              <w:right w:val="single" w:sz="4" w:space="0" w:color="auto"/>
            </w:tcBorders>
            <w:shd w:val="clear" w:color="auto" w:fill="auto"/>
            <w:noWrap/>
            <w:vAlign w:val="bottom"/>
            <w:hideMark/>
          </w:tcPr>
          <w:p w14:paraId="2FF4D3D7"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394,405 </w:t>
            </w:r>
          </w:p>
        </w:tc>
        <w:tc>
          <w:tcPr>
            <w:tcW w:w="1418" w:type="dxa"/>
            <w:tcBorders>
              <w:top w:val="nil"/>
              <w:left w:val="nil"/>
              <w:bottom w:val="single" w:sz="4" w:space="0" w:color="auto"/>
              <w:right w:val="single" w:sz="4" w:space="0" w:color="auto"/>
            </w:tcBorders>
            <w:shd w:val="clear" w:color="auto" w:fill="auto"/>
            <w:noWrap/>
            <w:vAlign w:val="bottom"/>
            <w:hideMark/>
          </w:tcPr>
          <w:p w14:paraId="5E6FAE61"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8 </w:t>
            </w:r>
          </w:p>
        </w:tc>
        <w:tc>
          <w:tcPr>
            <w:tcW w:w="1276" w:type="dxa"/>
            <w:tcBorders>
              <w:top w:val="nil"/>
              <w:left w:val="nil"/>
              <w:bottom w:val="single" w:sz="4" w:space="0" w:color="auto"/>
              <w:right w:val="single" w:sz="4" w:space="0" w:color="auto"/>
            </w:tcBorders>
            <w:shd w:val="clear" w:color="auto" w:fill="auto"/>
            <w:noWrap/>
            <w:vAlign w:val="bottom"/>
            <w:hideMark/>
          </w:tcPr>
          <w:p w14:paraId="7D819FD1"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943,819 </w:t>
            </w:r>
          </w:p>
        </w:tc>
        <w:tc>
          <w:tcPr>
            <w:tcW w:w="1417" w:type="dxa"/>
            <w:tcBorders>
              <w:top w:val="nil"/>
              <w:left w:val="nil"/>
              <w:bottom w:val="single" w:sz="4" w:space="0" w:color="auto"/>
              <w:right w:val="single" w:sz="4" w:space="0" w:color="auto"/>
            </w:tcBorders>
            <w:shd w:val="clear" w:color="auto" w:fill="auto"/>
            <w:noWrap/>
            <w:vAlign w:val="bottom"/>
            <w:hideMark/>
          </w:tcPr>
          <w:p w14:paraId="70DD1A4C"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11 </w:t>
            </w:r>
          </w:p>
        </w:tc>
        <w:tc>
          <w:tcPr>
            <w:tcW w:w="1276" w:type="dxa"/>
            <w:tcBorders>
              <w:top w:val="nil"/>
              <w:left w:val="nil"/>
              <w:bottom w:val="single" w:sz="4" w:space="0" w:color="auto"/>
              <w:right w:val="single" w:sz="4" w:space="0" w:color="auto"/>
            </w:tcBorders>
            <w:shd w:val="clear" w:color="auto" w:fill="auto"/>
            <w:noWrap/>
            <w:vAlign w:val="bottom"/>
            <w:hideMark/>
          </w:tcPr>
          <w:p w14:paraId="6D46BBBC"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1,338,224 </w:t>
            </w:r>
          </w:p>
        </w:tc>
        <w:tc>
          <w:tcPr>
            <w:tcW w:w="1417" w:type="dxa"/>
            <w:tcBorders>
              <w:top w:val="nil"/>
              <w:left w:val="nil"/>
              <w:bottom w:val="single" w:sz="4" w:space="0" w:color="auto"/>
              <w:right w:val="single" w:sz="4" w:space="0" w:color="auto"/>
            </w:tcBorders>
            <w:shd w:val="clear" w:color="auto" w:fill="auto"/>
            <w:noWrap/>
            <w:vAlign w:val="bottom"/>
            <w:hideMark/>
          </w:tcPr>
          <w:p w14:paraId="4D9D0B50"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c>
          <w:tcPr>
            <w:tcW w:w="1418" w:type="dxa"/>
            <w:tcBorders>
              <w:top w:val="nil"/>
              <w:left w:val="nil"/>
              <w:bottom w:val="single" w:sz="4" w:space="0" w:color="auto"/>
              <w:right w:val="single" w:sz="4" w:space="0" w:color="auto"/>
            </w:tcBorders>
            <w:shd w:val="clear" w:color="auto" w:fill="auto"/>
            <w:noWrap/>
            <w:vAlign w:val="bottom"/>
            <w:hideMark/>
          </w:tcPr>
          <w:p w14:paraId="1CC7EB2F"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r>
      <w:tr w:rsidR="00F95B08" w:rsidRPr="006B5E6B" w14:paraId="4A49B44E" w14:textId="77777777" w:rsidTr="006B5E6B">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81D8331" w14:textId="77777777" w:rsidR="00AE51B5" w:rsidRPr="00AE51B5" w:rsidRDefault="00AE51B5" w:rsidP="00DA1280">
            <w:pPr>
              <w:spacing w:before="0" w:after="0"/>
              <w:rPr>
                <w:rFonts w:eastAsia="Times New Roman" w:cs="Arial"/>
                <w:color w:val="000000"/>
                <w:sz w:val="20"/>
                <w:szCs w:val="20"/>
                <w:lang w:eastAsia="en-GB"/>
              </w:rPr>
            </w:pPr>
            <w:r w:rsidRPr="00AE51B5">
              <w:rPr>
                <w:rFonts w:eastAsia="Times New Roman" w:cs="Arial"/>
                <w:color w:val="000000"/>
                <w:sz w:val="20"/>
                <w:szCs w:val="20"/>
                <w:lang w:eastAsia="en-GB"/>
              </w:rPr>
              <w:t>£150,001 to £200,000</w:t>
            </w:r>
          </w:p>
        </w:tc>
        <w:tc>
          <w:tcPr>
            <w:tcW w:w="1418" w:type="dxa"/>
            <w:tcBorders>
              <w:top w:val="nil"/>
              <w:left w:val="nil"/>
              <w:bottom w:val="single" w:sz="4" w:space="0" w:color="auto"/>
              <w:right w:val="single" w:sz="4" w:space="0" w:color="auto"/>
            </w:tcBorders>
            <w:shd w:val="clear" w:color="auto" w:fill="auto"/>
            <w:noWrap/>
            <w:vAlign w:val="bottom"/>
            <w:hideMark/>
          </w:tcPr>
          <w:p w14:paraId="4F3EDAB2"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1 </w:t>
            </w:r>
          </w:p>
        </w:tc>
        <w:tc>
          <w:tcPr>
            <w:tcW w:w="1417" w:type="dxa"/>
            <w:tcBorders>
              <w:top w:val="nil"/>
              <w:left w:val="nil"/>
              <w:bottom w:val="single" w:sz="4" w:space="0" w:color="auto"/>
              <w:right w:val="single" w:sz="4" w:space="0" w:color="auto"/>
            </w:tcBorders>
            <w:shd w:val="clear" w:color="auto" w:fill="auto"/>
            <w:noWrap/>
            <w:vAlign w:val="bottom"/>
            <w:hideMark/>
          </w:tcPr>
          <w:p w14:paraId="3958CE15"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160,000 </w:t>
            </w:r>
          </w:p>
        </w:tc>
        <w:tc>
          <w:tcPr>
            <w:tcW w:w="1418" w:type="dxa"/>
            <w:tcBorders>
              <w:top w:val="nil"/>
              <w:left w:val="nil"/>
              <w:bottom w:val="single" w:sz="4" w:space="0" w:color="auto"/>
              <w:right w:val="single" w:sz="4" w:space="0" w:color="auto"/>
            </w:tcBorders>
            <w:shd w:val="clear" w:color="auto" w:fill="auto"/>
            <w:noWrap/>
            <w:vAlign w:val="bottom"/>
            <w:hideMark/>
          </w:tcPr>
          <w:p w14:paraId="1EE6D94B"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3 </w:t>
            </w:r>
          </w:p>
        </w:tc>
        <w:tc>
          <w:tcPr>
            <w:tcW w:w="1276" w:type="dxa"/>
            <w:tcBorders>
              <w:top w:val="nil"/>
              <w:left w:val="nil"/>
              <w:bottom w:val="single" w:sz="4" w:space="0" w:color="auto"/>
              <w:right w:val="single" w:sz="4" w:space="0" w:color="auto"/>
            </w:tcBorders>
            <w:shd w:val="clear" w:color="auto" w:fill="auto"/>
            <w:noWrap/>
            <w:vAlign w:val="bottom"/>
            <w:hideMark/>
          </w:tcPr>
          <w:p w14:paraId="192AC7AC"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480,000 </w:t>
            </w:r>
          </w:p>
        </w:tc>
        <w:tc>
          <w:tcPr>
            <w:tcW w:w="1417" w:type="dxa"/>
            <w:tcBorders>
              <w:top w:val="nil"/>
              <w:left w:val="nil"/>
              <w:bottom w:val="single" w:sz="4" w:space="0" w:color="auto"/>
              <w:right w:val="single" w:sz="4" w:space="0" w:color="auto"/>
            </w:tcBorders>
            <w:shd w:val="clear" w:color="auto" w:fill="auto"/>
            <w:noWrap/>
            <w:vAlign w:val="bottom"/>
            <w:hideMark/>
          </w:tcPr>
          <w:p w14:paraId="193AD885"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4 </w:t>
            </w:r>
          </w:p>
        </w:tc>
        <w:tc>
          <w:tcPr>
            <w:tcW w:w="1276" w:type="dxa"/>
            <w:tcBorders>
              <w:top w:val="nil"/>
              <w:left w:val="nil"/>
              <w:bottom w:val="single" w:sz="4" w:space="0" w:color="auto"/>
              <w:right w:val="single" w:sz="4" w:space="0" w:color="auto"/>
            </w:tcBorders>
            <w:shd w:val="clear" w:color="auto" w:fill="auto"/>
            <w:noWrap/>
            <w:vAlign w:val="bottom"/>
            <w:hideMark/>
          </w:tcPr>
          <w:p w14:paraId="0191214A"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640,000 </w:t>
            </w:r>
          </w:p>
        </w:tc>
        <w:tc>
          <w:tcPr>
            <w:tcW w:w="1417" w:type="dxa"/>
            <w:tcBorders>
              <w:top w:val="nil"/>
              <w:left w:val="nil"/>
              <w:bottom w:val="single" w:sz="4" w:space="0" w:color="auto"/>
              <w:right w:val="single" w:sz="4" w:space="0" w:color="auto"/>
            </w:tcBorders>
            <w:shd w:val="clear" w:color="auto" w:fill="auto"/>
            <w:noWrap/>
            <w:vAlign w:val="bottom"/>
            <w:hideMark/>
          </w:tcPr>
          <w:p w14:paraId="37B6C57C"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c>
          <w:tcPr>
            <w:tcW w:w="1418" w:type="dxa"/>
            <w:tcBorders>
              <w:top w:val="nil"/>
              <w:left w:val="nil"/>
              <w:bottom w:val="single" w:sz="4" w:space="0" w:color="auto"/>
              <w:right w:val="single" w:sz="4" w:space="0" w:color="auto"/>
            </w:tcBorders>
            <w:shd w:val="clear" w:color="auto" w:fill="auto"/>
            <w:noWrap/>
            <w:vAlign w:val="bottom"/>
            <w:hideMark/>
          </w:tcPr>
          <w:p w14:paraId="79C30953"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r>
      <w:tr w:rsidR="00F95B08" w:rsidRPr="006B5E6B" w14:paraId="0CB9D3EC" w14:textId="77777777" w:rsidTr="006B5E6B">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896F79F" w14:textId="77777777" w:rsidR="00AE51B5" w:rsidRPr="00AE51B5" w:rsidRDefault="00AE51B5" w:rsidP="00DA1280">
            <w:pPr>
              <w:spacing w:before="0" w:after="0"/>
              <w:rPr>
                <w:rFonts w:eastAsia="Times New Roman" w:cs="Arial"/>
                <w:color w:val="000000"/>
                <w:sz w:val="20"/>
                <w:szCs w:val="20"/>
                <w:lang w:eastAsia="en-GB"/>
              </w:rPr>
            </w:pPr>
            <w:r w:rsidRPr="00AE51B5">
              <w:rPr>
                <w:rFonts w:eastAsia="Times New Roman" w:cs="Arial"/>
                <w:color w:val="000000"/>
                <w:sz w:val="20"/>
                <w:szCs w:val="20"/>
                <w:lang w:eastAsia="en-GB"/>
              </w:rPr>
              <w:t>Over £200,001</w:t>
            </w:r>
          </w:p>
        </w:tc>
        <w:tc>
          <w:tcPr>
            <w:tcW w:w="1418" w:type="dxa"/>
            <w:tcBorders>
              <w:top w:val="nil"/>
              <w:left w:val="nil"/>
              <w:bottom w:val="single" w:sz="4" w:space="0" w:color="auto"/>
              <w:right w:val="single" w:sz="4" w:space="0" w:color="auto"/>
            </w:tcBorders>
            <w:shd w:val="clear" w:color="auto" w:fill="auto"/>
            <w:noWrap/>
            <w:vAlign w:val="bottom"/>
            <w:hideMark/>
          </w:tcPr>
          <w:p w14:paraId="22A635BA"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c>
          <w:tcPr>
            <w:tcW w:w="1417" w:type="dxa"/>
            <w:tcBorders>
              <w:top w:val="nil"/>
              <w:left w:val="nil"/>
              <w:bottom w:val="single" w:sz="4" w:space="0" w:color="auto"/>
              <w:right w:val="single" w:sz="4" w:space="0" w:color="auto"/>
            </w:tcBorders>
            <w:shd w:val="clear" w:color="auto" w:fill="auto"/>
            <w:noWrap/>
            <w:vAlign w:val="bottom"/>
            <w:hideMark/>
          </w:tcPr>
          <w:p w14:paraId="5D67E56E"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c>
          <w:tcPr>
            <w:tcW w:w="1418" w:type="dxa"/>
            <w:tcBorders>
              <w:top w:val="nil"/>
              <w:left w:val="nil"/>
              <w:bottom w:val="single" w:sz="4" w:space="0" w:color="auto"/>
              <w:right w:val="single" w:sz="4" w:space="0" w:color="auto"/>
            </w:tcBorders>
            <w:shd w:val="clear" w:color="auto" w:fill="auto"/>
            <w:noWrap/>
            <w:vAlign w:val="bottom"/>
            <w:hideMark/>
          </w:tcPr>
          <w:p w14:paraId="75D98406"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c>
          <w:tcPr>
            <w:tcW w:w="1276" w:type="dxa"/>
            <w:tcBorders>
              <w:top w:val="nil"/>
              <w:left w:val="nil"/>
              <w:bottom w:val="single" w:sz="4" w:space="0" w:color="auto"/>
              <w:right w:val="single" w:sz="4" w:space="0" w:color="auto"/>
            </w:tcBorders>
            <w:shd w:val="clear" w:color="auto" w:fill="auto"/>
            <w:noWrap/>
            <w:vAlign w:val="bottom"/>
            <w:hideMark/>
          </w:tcPr>
          <w:p w14:paraId="34AADCEE"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c>
          <w:tcPr>
            <w:tcW w:w="1417" w:type="dxa"/>
            <w:tcBorders>
              <w:top w:val="nil"/>
              <w:left w:val="nil"/>
              <w:bottom w:val="single" w:sz="4" w:space="0" w:color="auto"/>
              <w:right w:val="single" w:sz="4" w:space="0" w:color="auto"/>
            </w:tcBorders>
            <w:shd w:val="clear" w:color="auto" w:fill="auto"/>
            <w:noWrap/>
            <w:vAlign w:val="bottom"/>
            <w:hideMark/>
          </w:tcPr>
          <w:p w14:paraId="19EA6EF4"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c>
          <w:tcPr>
            <w:tcW w:w="1276" w:type="dxa"/>
            <w:tcBorders>
              <w:top w:val="nil"/>
              <w:left w:val="nil"/>
              <w:bottom w:val="single" w:sz="4" w:space="0" w:color="auto"/>
              <w:right w:val="single" w:sz="4" w:space="0" w:color="auto"/>
            </w:tcBorders>
            <w:shd w:val="clear" w:color="auto" w:fill="auto"/>
            <w:noWrap/>
            <w:vAlign w:val="bottom"/>
            <w:hideMark/>
          </w:tcPr>
          <w:p w14:paraId="51AF4DF9"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c>
          <w:tcPr>
            <w:tcW w:w="1417" w:type="dxa"/>
            <w:tcBorders>
              <w:top w:val="nil"/>
              <w:left w:val="nil"/>
              <w:bottom w:val="single" w:sz="4" w:space="0" w:color="auto"/>
              <w:right w:val="single" w:sz="4" w:space="0" w:color="auto"/>
            </w:tcBorders>
            <w:shd w:val="clear" w:color="auto" w:fill="auto"/>
            <w:noWrap/>
            <w:vAlign w:val="bottom"/>
            <w:hideMark/>
          </w:tcPr>
          <w:p w14:paraId="4D4F204C"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c>
          <w:tcPr>
            <w:tcW w:w="1418" w:type="dxa"/>
            <w:tcBorders>
              <w:top w:val="nil"/>
              <w:left w:val="nil"/>
              <w:bottom w:val="single" w:sz="4" w:space="0" w:color="auto"/>
              <w:right w:val="single" w:sz="4" w:space="0" w:color="auto"/>
            </w:tcBorders>
            <w:shd w:val="clear" w:color="auto" w:fill="auto"/>
            <w:noWrap/>
            <w:vAlign w:val="bottom"/>
            <w:hideMark/>
          </w:tcPr>
          <w:p w14:paraId="6F96F174"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r>
      <w:tr w:rsidR="00F95B08" w:rsidRPr="006B5E6B" w14:paraId="40960FF9" w14:textId="77777777" w:rsidTr="006B5E6B">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003C40C" w14:textId="77777777" w:rsidR="00AE51B5" w:rsidRPr="00AE51B5" w:rsidRDefault="00AE51B5" w:rsidP="00DA1280">
            <w:pPr>
              <w:spacing w:before="0" w:after="0"/>
              <w:rPr>
                <w:rFonts w:eastAsia="Times New Roman" w:cs="Arial"/>
                <w:color w:val="000000"/>
                <w:sz w:val="20"/>
                <w:szCs w:val="20"/>
                <w:lang w:eastAsia="en-GB"/>
              </w:rPr>
            </w:pPr>
            <w:r w:rsidRPr="00AE51B5">
              <w:rPr>
                <w:rFonts w:eastAsia="Times New Roman" w:cs="Arial"/>
                <w:color w:val="000000"/>
                <w:sz w:val="20"/>
                <w:szCs w:val="20"/>
                <w:lang w:eastAsia="en-GB"/>
              </w:rPr>
              <w:t>Total</w:t>
            </w:r>
          </w:p>
        </w:tc>
        <w:tc>
          <w:tcPr>
            <w:tcW w:w="1418" w:type="dxa"/>
            <w:tcBorders>
              <w:top w:val="nil"/>
              <w:left w:val="nil"/>
              <w:bottom w:val="single" w:sz="4" w:space="0" w:color="auto"/>
              <w:right w:val="single" w:sz="4" w:space="0" w:color="auto"/>
            </w:tcBorders>
            <w:shd w:val="clear" w:color="auto" w:fill="auto"/>
            <w:noWrap/>
            <w:vAlign w:val="bottom"/>
            <w:hideMark/>
          </w:tcPr>
          <w:p w14:paraId="3B84ECDB"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5 </w:t>
            </w:r>
          </w:p>
        </w:tc>
        <w:tc>
          <w:tcPr>
            <w:tcW w:w="1417" w:type="dxa"/>
            <w:tcBorders>
              <w:top w:val="nil"/>
              <w:left w:val="nil"/>
              <w:bottom w:val="single" w:sz="4" w:space="0" w:color="auto"/>
              <w:right w:val="single" w:sz="4" w:space="0" w:color="auto"/>
            </w:tcBorders>
            <w:shd w:val="clear" w:color="auto" w:fill="auto"/>
            <w:noWrap/>
            <w:vAlign w:val="bottom"/>
            <w:hideMark/>
          </w:tcPr>
          <w:p w14:paraId="757F67FE"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598,423 </w:t>
            </w:r>
          </w:p>
        </w:tc>
        <w:tc>
          <w:tcPr>
            <w:tcW w:w="1418" w:type="dxa"/>
            <w:tcBorders>
              <w:top w:val="nil"/>
              <w:left w:val="nil"/>
              <w:bottom w:val="single" w:sz="4" w:space="0" w:color="auto"/>
              <w:right w:val="single" w:sz="4" w:space="0" w:color="auto"/>
            </w:tcBorders>
            <w:shd w:val="clear" w:color="auto" w:fill="auto"/>
            <w:noWrap/>
            <w:vAlign w:val="bottom"/>
            <w:hideMark/>
          </w:tcPr>
          <w:p w14:paraId="33C584B1"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71 </w:t>
            </w:r>
          </w:p>
        </w:tc>
        <w:tc>
          <w:tcPr>
            <w:tcW w:w="1276" w:type="dxa"/>
            <w:tcBorders>
              <w:top w:val="nil"/>
              <w:left w:val="nil"/>
              <w:bottom w:val="single" w:sz="4" w:space="0" w:color="auto"/>
              <w:right w:val="single" w:sz="4" w:space="0" w:color="auto"/>
            </w:tcBorders>
            <w:shd w:val="clear" w:color="auto" w:fill="auto"/>
            <w:noWrap/>
            <w:vAlign w:val="bottom"/>
            <w:hideMark/>
          </w:tcPr>
          <w:p w14:paraId="3B80593C"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3,929,936 </w:t>
            </w:r>
          </w:p>
        </w:tc>
        <w:tc>
          <w:tcPr>
            <w:tcW w:w="1417" w:type="dxa"/>
            <w:tcBorders>
              <w:top w:val="nil"/>
              <w:left w:val="nil"/>
              <w:bottom w:val="single" w:sz="4" w:space="0" w:color="auto"/>
              <w:right w:val="single" w:sz="4" w:space="0" w:color="auto"/>
            </w:tcBorders>
            <w:shd w:val="clear" w:color="auto" w:fill="auto"/>
            <w:noWrap/>
            <w:vAlign w:val="bottom"/>
            <w:hideMark/>
          </w:tcPr>
          <w:p w14:paraId="45EC31F5"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76 </w:t>
            </w:r>
          </w:p>
        </w:tc>
        <w:tc>
          <w:tcPr>
            <w:tcW w:w="1276" w:type="dxa"/>
            <w:tcBorders>
              <w:top w:val="nil"/>
              <w:left w:val="nil"/>
              <w:bottom w:val="single" w:sz="4" w:space="0" w:color="auto"/>
              <w:right w:val="single" w:sz="4" w:space="0" w:color="auto"/>
            </w:tcBorders>
            <w:shd w:val="clear" w:color="auto" w:fill="auto"/>
            <w:noWrap/>
            <w:vAlign w:val="bottom"/>
            <w:hideMark/>
          </w:tcPr>
          <w:p w14:paraId="114551B5"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4,528,359 </w:t>
            </w:r>
          </w:p>
        </w:tc>
        <w:tc>
          <w:tcPr>
            <w:tcW w:w="1417" w:type="dxa"/>
            <w:tcBorders>
              <w:top w:val="nil"/>
              <w:left w:val="nil"/>
              <w:bottom w:val="single" w:sz="4" w:space="0" w:color="auto"/>
              <w:right w:val="single" w:sz="4" w:space="0" w:color="auto"/>
            </w:tcBorders>
            <w:shd w:val="clear" w:color="auto" w:fill="auto"/>
            <w:noWrap/>
            <w:vAlign w:val="bottom"/>
            <w:hideMark/>
          </w:tcPr>
          <w:p w14:paraId="2B5C4E18"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c>
          <w:tcPr>
            <w:tcW w:w="1418" w:type="dxa"/>
            <w:tcBorders>
              <w:top w:val="nil"/>
              <w:left w:val="nil"/>
              <w:bottom w:val="single" w:sz="4" w:space="0" w:color="auto"/>
              <w:right w:val="single" w:sz="4" w:space="0" w:color="auto"/>
            </w:tcBorders>
            <w:shd w:val="clear" w:color="auto" w:fill="auto"/>
            <w:noWrap/>
            <w:vAlign w:val="bottom"/>
            <w:hideMark/>
          </w:tcPr>
          <w:p w14:paraId="0F2CB12F" w14:textId="77777777" w:rsidR="00AE51B5" w:rsidRPr="00AE51B5" w:rsidRDefault="00AE51B5" w:rsidP="00DA1280">
            <w:pPr>
              <w:spacing w:before="0" w:after="0"/>
              <w:jc w:val="right"/>
              <w:rPr>
                <w:rFonts w:eastAsia="Times New Roman" w:cs="Arial"/>
                <w:color w:val="000000"/>
                <w:sz w:val="20"/>
                <w:szCs w:val="20"/>
                <w:lang w:eastAsia="en-GB"/>
              </w:rPr>
            </w:pPr>
            <w:r w:rsidRPr="00AE51B5">
              <w:rPr>
                <w:rFonts w:eastAsia="Times New Roman" w:cs="Arial"/>
                <w:color w:val="000000"/>
                <w:sz w:val="20"/>
                <w:szCs w:val="20"/>
                <w:lang w:eastAsia="en-GB"/>
              </w:rPr>
              <w:t xml:space="preserve">                        -   </w:t>
            </w:r>
          </w:p>
        </w:tc>
      </w:tr>
    </w:tbl>
    <w:p w14:paraId="7952383F" w14:textId="315937BD" w:rsidR="00C11AB1" w:rsidRDefault="0060193F" w:rsidP="001C0486">
      <w:pPr>
        <w:rPr>
          <w:rFonts w:eastAsiaTheme="majorEastAsia" w:cs="Arial"/>
          <w:bCs/>
          <w:sz w:val="20"/>
          <w:szCs w:val="20"/>
        </w:rPr>
      </w:pPr>
      <w:r w:rsidRPr="0060193F">
        <w:rPr>
          <w:rFonts w:eastAsiaTheme="majorEastAsia" w:cs="Arial"/>
          <w:bCs/>
          <w:sz w:val="20"/>
          <w:szCs w:val="20"/>
        </w:rPr>
        <w:t>Redundancy and other departure cost have been paid in accordance with the provisions of Agenda for Change Section 16. Exit costs in this note are accounted for in full in the year of departure.  Other departures related to Voluntary Redundancies as shown below.</w:t>
      </w:r>
    </w:p>
    <w:p w14:paraId="46BC161E" w14:textId="77777777" w:rsidR="00C11AB1" w:rsidRDefault="00C11AB1">
      <w:pPr>
        <w:spacing w:before="0" w:after="200" w:line="276" w:lineRule="auto"/>
        <w:rPr>
          <w:rFonts w:eastAsiaTheme="majorEastAsia" w:cs="Arial"/>
          <w:bCs/>
          <w:sz w:val="20"/>
          <w:szCs w:val="20"/>
        </w:rPr>
      </w:pPr>
      <w:r>
        <w:rPr>
          <w:rFonts w:eastAsiaTheme="majorEastAsia" w:cs="Arial"/>
          <w:bCs/>
          <w:sz w:val="20"/>
          <w:szCs w:val="20"/>
        </w:rPr>
        <w:br w:type="page"/>
      </w:r>
    </w:p>
    <w:p w14:paraId="7824A84B" w14:textId="0B00F1EE" w:rsidR="00917AEF" w:rsidRPr="00C11AB1" w:rsidRDefault="00C11AB1" w:rsidP="001C0486">
      <w:pPr>
        <w:rPr>
          <w:rFonts w:cs="Arial"/>
          <w:b/>
        </w:rPr>
      </w:pPr>
      <w:r w:rsidRPr="00612517">
        <w:rPr>
          <w:rFonts w:cs="Arial"/>
          <w:b/>
        </w:rPr>
        <w:lastRenderedPageBreak/>
        <w:t>Table 1: Exit Packag</w:t>
      </w:r>
      <w:r>
        <w:rPr>
          <w:rFonts w:cs="Arial"/>
          <w:b/>
        </w:rPr>
        <w:t>es 2022/23 (July 2022 to March 2023)</w:t>
      </w:r>
    </w:p>
    <w:tbl>
      <w:tblPr>
        <w:tblStyle w:val="TableGrid"/>
        <w:tblW w:w="13320" w:type="dxa"/>
        <w:tblLayout w:type="fixed"/>
        <w:tblLook w:val="04A0" w:firstRow="1" w:lastRow="0" w:firstColumn="1" w:lastColumn="0" w:noHBand="0" w:noVBand="1"/>
      </w:tblPr>
      <w:tblGrid>
        <w:gridCol w:w="2263"/>
        <w:gridCol w:w="1418"/>
        <w:gridCol w:w="1417"/>
        <w:gridCol w:w="1418"/>
        <w:gridCol w:w="1276"/>
        <w:gridCol w:w="1418"/>
        <w:gridCol w:w="1275"/>
        <w:gridCol w:w="1417"/>
        <w:gridCol w:w="1418"/>
      </w:tblGrid>
      <w:tr w:rsidR="00C11AB1" w:rsidRPr="00C11AB1" w14:paraId="44D50B92" w14:textId="77777777" w:rsidTr="00C11AB1">
        <w:tc>
          <w:tcPr>
            <w:tcW w:w="2263" w:type="dxa"/>
            <w:tcMar>
              <w:top w:w="108" w:type="dxa"/>
              <w:bottom w:w="108" w:type="dxa"/>
            </w:tcMar>
          </w:tcPr>
          <w:p w14:paraId="11B3022B"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Exit package cost band (inc. any special payment element</w:t>
            </w:r>
          </w:p>
        </w:tc>
        <w:tc>
          <w:tcPr>
            <w:tcW w:w="1418" w:type="dxa"/>
            <w:tcMar>
              <w:top w:w="108" w:type="dxa"/>
              <w:bottom w:w="108" w:type="dxa"/>
            </w:tcMar>
            <w:vAlign w:val="bottom"/>
          </w:tcPr>
          <w:p w14:paraId="1B66F2F5"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Number of compulsory redundancies</w:t>
            </w:r>
          </w:p>
        </w:tc>
        <w:tc>
          <w:tcPr>
            <w:tcW w:w="1417" w:type="dxa"/>
            <w:tcMar>
              <w:top w:w="108" w:type="dxa"/>
              <w:bottom w:w="108" w:type="dxa"/>
            </w:tcMar>
            <w:vAlign w:val="bottom"/>
          </w:tcPr>
          <w:p w14:paraId="5783517B"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Cost of compulsory redundancies</w:t>
            </w:r>
          </w:p>
        </w:tc>
        <w:tc>
          <w:tcPr>
            <w:tcW w:w="1418" w:type="dxa"/>
            <w:tcMar>
              <w:top w:w="108" w:type="dxa"/>
              <w:bottom w:w="108" w:type="dxa"/>
            </w:tcMar>
            <w:vAlign w:val="bottom"/>
          </w:tcPr>
          <w:p w14:paraId="63D9C987"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Number of other departures agreed</w:t>
            </w:r>
          </w:p>
        </w:tc>
        <w:tc>
          <w:tcPr>
            <w:tcW w:w="1276" w:type="dxa"/>
            <w:tcMar>
              <w:top w:w="108" w:type="dxa"/>
              <w:bottom w:w="108" w:type="dxa"/>
            </w:tcMar>
            <w:vAlign w:val="bottom"/>
          </w:tcPr>
          <w:p w14:paraId="351524D3"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Cost of other departures agreed</w:t>
            </w:r>
          </w:p>
        </w:tc>
        <w:tc>
          <w:tcPr>
            <w:tcW w:w="1418" w:type="dxa"/>
            <w:tcMar>
              <w:top w:w="108" w:type="dxa"/>
              <w:bottom w:w="108" w:type="dxa"/>
            </w:tcMar>
            <w:vAlign w:val="bottom"/>
          </w:tcPr>
          <w:p w14:paraId="073271E5"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Total number of exit packages</w:t>
            </w:r>
          </w:p>
        </w:tc>
        <w:tc>
          <w:tcPr>
            <w:tcW w:w="1275" w:type="dxa"/>
            <w:tcMar>
              <w:top w:w="108" w:type="dxa"/>
              <w:bottom w:w="108" w:type="dxa"/>
            </w:tcMar>
            <w:vAlign w:val="bottom"/>
          </w:tcPr>
          <w:p w14:paraId="35481D5B"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Total cost of exit packages</w:t>
            </w:r>
          </w:p>
        </w:tc>
        <w:tc>
          <w:tcPr>
            <w:tcW w:w="1417" w:type="dxa"/>
            <w:tcMar>
              <w:top w:w="108" w:type="dxa"/>
              <w:bottom w:w="108" w:type="dxa"/>
            </w:tcMar>
            <w:vAlign w:val="bottom"/>
          </w:tcPr>
          <w:p w14:paraId="2A9B0A9F"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Number of departures where special payments have been made</w:t>
            </w:r>
          </w:p>
        </w:tc>
        <w:tc>
          <w:tcPr>
            <w:tcW w:w="1418" w:type="dxa"/>
            <w:tcMar>
              <w:top w:w="108" w:type="dxa"/>
              <w:bottom w:w="108" w:type="dxa"/>
            </w:tcMar>
            <w:vAlign w:val="bottom"/>
          </w:tcPr>
          <w:p w14:paraId="18F33215"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Cost of special payment element included in exit packages</w:t>
            </w:r>
          </w:p>
        </w:tc>
      </w:tr>
      <w:tr w:rsidR="00C11AB1" w:rsidRPr="00C11AB1" w14:paraId="34DA0D38" w14:textId="77777777" w:rsidTr="00C11AB1">
        <w:tc>
          <w:tcPr>
            <w:tcW w:w="2263" w:type="dxa"/>
            <w:tcMar>
              <w:top w:w="108" w:type="dxa"/>
              <w:bottom w:w="108" w:type="dxa"/>
            </w:tcMar>
          </w:tcPr>
          <w:p w14:paraId="3C29C5DE" w14:textId="77777777" w:rsidR="00C11AB1" w:rsidRPr="00C11AB1" w:rsidRDefault="00C11AB1" w:rsidP="00963E11">
            <w:pPr>
              <w:contextualSpacing/>
              <w:rPr>
                <w:rFonts w:eastAsiaTheme="majorEastAsia" w:cs="Arial"/>
                <w:sz w:val="20"/>
                <w:szCs w:val="20"/>
              </w:rPr>
            </w:pPr>
          </w:p>
        </w:tc>
        <w:tc>
          <w:tcPr>
            <w:tcW w:w="1418" w:type="dxa"/>
            <w:tcMar>
              <w:top w:w="108" w:type="dxa"/>
              <w:bottom w:w="108" w:type="dxa"/>
            </w:tcMar>
            <w:vAlign w:val="bottom"/>
          </w:tcPr>
          <w:p w14:paraId="2998A9B8"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WHOLE NUMBERS ONLY</w:t>
            </w:r>
          </w:p>
        </w:tc>
        <w:tc>
          <w:tcPr>
            <w:tcW w:w="1417" w:type="dxa"/>
            <w:tcMar>
              <w:top w:w="108" w:type="dxa"/>
              <w:bottom w:w="108" w:type="dxa"/>
            </w:tcMar>
            <w:vAlign w:val="bottom"/>
          </w:tcPr>
          <w:p w14:paraId="60B3CA0A"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£s</w:t>
            </w:r>
          </w:p>
        </w:tc>
        <w:tc>
          <w:tcPr>
            <w:tcW w:w="1418" w:type="dxa"/>
            <w:tcMar>
              <w:top w:w="108" w:type="dxa"/>
              <w:bottom w:w="108" w:type="dxa"/>
            </w:tcMar>
            <w:vAlign w:val="bottom"/>
          </w:tcPr>
          <w:p w14:paraId="6C5AC56F"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WHOLE NUMBERS ONLY</w:t>
            </w:r>
          </w:p>
        </w:tc>
        <w:tc>
          <w:tcPr>
            <w:tcW w:w="1276" w:type="dxa"/>
            <w:tcMar>
              <w:top w:w="108" w:type="dxa"/>
              <w:bottom w:w="108" w:type="dxa"/>
            </w:tcMar>
            <w:vAlign w:val="bottom"/>
          </w:tcPr>
          <w:p w14:paraId="7155316D"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£s</w:t>
            </w:r>
          </w:p>
        </w:tc>
        <w:tc>
          <w:tcPr>
            <w:tcW w:w="1418" w:type="dxa"/>
            <w:tcMar>
              <w:top w:w="108" w:type="dxa"/>
              <w:bottom w:w="108" w:type="dxa"/>
            </w:tcMar>
            <w:vAlign w:val="bottom"/>
          </w:tcPr>
          <w:p w14:paraId="6C561769"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WHOLE NUMBERS ONLY</w:t>
            </w:r>
          </w:p>
        </w:tc>
        <w:tc>
          <w:tcPr>
            <w:tcW w:w="1275" w:type="dxa"/>
            <w:tcMar>
              <w:top w:w="108" w:type="dxa"/>
              <w:bottom w:w="108" w:type="dxa"/>
            </w:tcMar>
            <w:vAlign w:val="bottom"/>
          </w:tcPr>
          <w:p w14:paraId="3DCCF7E1"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£s</w:t>
            </w:r>
          </w:p>
        </w:tc>
        <w:tc>
          <w:tcPr>
            <w:tcW w:w="1417" w:type="dxa"/>
            <w:tcMar>
              <w:top w:w="108" w:type="dxa"/>
              <w:bottom w:w="108" w:type="dxa"/>
            </w:tcMar>
            <w:vAlign w:val="bottom"/>
          </w:tcPr>
          <w:p w14:paraId="7B4E3964"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WHOLE NUMBERS ONLY</w:t>
            </w:r>
          </w:p>
        </w:tc>
        <w:tc>
          <w:tcPr>
            <w:tcW w:w="1418" w:type="dxa"/>
            <w:tcMar>
              <w:top w:w="108" w:type="dxa"/>
              <w:bottom w:w="108" w:type="dxa"/>
            </w:tcMar>
            <w:vAlign w:val="bottom"/>
          </w:tcPr>
          <w:p w14:paraId="02FCBC8D"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£s</w:t>
            </w:r>
          </w:p>
        </w:tc>
      </w:tr>
      <w:tr w:rsidR="00C11AB1" w:rsidRPr="00C11AB1" w14:paraId="5DADCB97" w14:textId="77777777" w:rsidTr="00C11AB1">
        <w:tc>
          <w:tcPr>
            <w:tcW w:w="2263" w:type="dxa"/>
            <w:tcMar>
              <w:top w:w="108" w:type="dxa"/>
              <w:bottom w:w="108" w:type="dxa"/>
            </w:tcMar>
          </w:tcPr>
          <w:p w14:paraId="2C39E654" w14:textId="77777777" w:rsidR="00C11AB1" w:rsidRPr="00C11AB1" w:rsidRDefault="00C11AB1" w:rsidP="00963E11">
            <w:pPr>
              <w:contextualSpacing/>
              <w:rPr>
                <w:rFonts w:eastAsiaTheme="majorEastAsia" w:cs="Arial"/>
                <w:sz w:val="20"/>
                <w:szCs w:val="20"/>
              </w:rPr>
            </w:pPr>
            <w:r w:rsidRPr="00C11AB1">
              <w:rPr>
                <w:rFonts w:eastAsiaTheme="majorEastAsia" w:cs="Arial"/>
                <w:sz w:val="20"/>
                <w:szCs w:val="20"/>
              </w:rPr>
              <w:t>Less than £10,000</w:t>
            </w:r>
          </w:p>
        </w:tc>
        <w:tc>
          <w:tcPr>
            <w:tcW w:w="1418" w:type="dxa"/>
            <w:tcMar>
              <w:top w:w="108" w:type="dxa"/>
              <w:bottom w:w="108" w:type="dxa"/>
            </w:tcMar>
          </w:tcPr>
          <w:p w14:paraId="4445EBD9"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7" w:type="dxa"/>
            <w:tcMar>
              <w:top w:w="108" w:type="dxa"/>
              <w:bottom w:w="108" w:type="dxa"/>
            </w:tcMar>
          </w:tcPr>
          <w:p w14:paraId="4975BAAC"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8" w:type="dxa"/>
            <w:tcMar>
              <w:top w:w="108" w:type="dxa"/>
              <w:bottom w:w="108" w:type="dxa"/>
            </w:tcMar>
          </w:tcPr>
          <w:p w14:paraId="44874654"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276" w:type="dxa"/>
            <w:tcMar>
              <w:top w:w="108" w:type="dxa"/>
              <w:bottom w:w="108" w:type="dxa"/>
            </w:tcMar>
          </w:tcPr>
          <w:p w14:paraId="14A1E94C"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8" w:type="dxa"/>
            <w:tcMar>
              <w:top w:w="108" w:type="dxa"/>
              <w:bottom w:w="108" w:type="dxa"/>
            </w:tcMar>
          </w:tcPr>
          <w:p w14:paraId="227FC7DA"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275" w:type="dxa"/>
            <w:tcMar>
              <w:top w:w="108" w:type="dxa"/>
              <w:bottom w:w="108" w:type="dxa"/>
            </w:tcMar>
          </w:tcPr>
          <w:p w14:paraId="1B22B55D"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7" w:type="dxa"/>
            <w:tcMar>
              <w:top w:w="108" w:type="dxa"/>
              <w:bottom w:w="108" w:type="dxa"/>
            </w:tcMar>
          </w:tcPr>
          <w:p w14:paraId="1D9468FC"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8" w:type="dxa"/>
            <w:tcMar>
              <w:top w:w="108" w:type="dxa"/>
              <w:bottom w:w="108" w:type="dxa"/>
            </w:tcMar>
          </w:tcPr>
          <w:p w14:paraId="618C47DD"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r>
      <w:tr w:rsidR="00C11AB1" w:rsidRPr="00C11AB1" w14:paraId="57E95693" w14:textId="77777777" w:rsidTr="00C11AB1">
        <w:tc>
          <w:tcPr>
            <w:tcW w:w="2263" w:type="dxa"/>
            <w:tcMar>
              <w:top w:w="108" w:type="dxa"/>
              <w:bottom w:w="108" w:type="dxa"/>
            </w:tcMar>
          </w:tcPr>
          <w:p w14:paraId="6F6845AE" w14:textId="77777777" w:rsidR="00C11AB1" w:rsidRPr="00C11AB1" w:rsidRDefault="00C11AB1" w:rsidP="00963E11">
            <w:pPr>
              <w:contextualSpacing/>
              <w:rPr>
                <w:rFonts w:eastAsiaTheme="majorEastAsia" w:cs="Arial"/>
                <w:sz w:val="20"/>
                <w:szCs w:val="20"/>
              </w:rPr>
            </w:pPr>
            <w:r w:rsidRPr="00C11AB1">
              <w:rPr>
                <w:rFonts w:eastAsiaTheme="majorEastAsia" w:cs="Arial"/>
                <w:sz w:val="20"/>
                <w:szCs w:val="20"/>
              </w:rPr>
              <w:t>£10,000 - £25,000</w:t>
            </w:r>
          </w:p>
        </w:tc>
        <w:tc>
          <w:tcPr>
            <w:tcW w:w="1418" w:type="dxa"/>
            <w:tcMar>
              <w:top w:w="108" w:type="dxa"/>
              <w:bottom w:w="108" w:type="dxa"/>
            </w:tcMar>
          </w:tcPr>
          <w:p w14:paraId="0E461EA6"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3</w:t>
            </w:r>
          </w:p>
        </w:tc>
        <w:tc>
          <w:tcPr>
            <w:tcW w:w="1417" w:type="dxa"/>
            <w:tcMar>
              <w:top w:w="108" w:type="dxa"/>
              <w:bottom w:w="108" w:type="dxa"/>
            </w:tcMar>
          </w:tcPr>
          <w:p w14:paraId="3312724A"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45,440</w:t>
            </w:r>
          </w:p>
        </w:tc>
        <w:tc>
          <w:tcPr>
            <w:tcW w:w="1418" w:type="dxa"/>
            <w:tcMar>
              <w:top w:w="108" w:type="dxa"/>
              <w:bottom w:w="108" w:type="dxa"/>
            </w:tcMar>
          </w:tcPr>
          <w:p w14:paraId="65B74C42"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276" w:type="dxa"/>
            <w:tcMar>
              <w:top w:w="108" w:type="dxa"/>
              <w:bottom w:w="108" w:type="dxa"/>
            </w:tcMar>
          </w:tcPr>
          <w:p w14:paraId="43F575D7"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8" w:type="dxa"/>
            <w:tcMar>
              <w:top w:w="108" w:type="dxa"/>
              <w:bottom w:w="108" w:type="dxa"/>
            </w:tcMar>
          </w:tcPr>
          <w:p w14:paraId="3AB6883B"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3</w:t>
            </w:r>
          </w:p>
        </w:tc>
        <w:tc>
          <w:tcPr>
            <w:tcW w:w="1275" w:type="dxa"/>
            <w:tcMar>
              <w:top w:w="108" w:type="dxa"/>
              <w:bottom w:w="108" w:type="dxa"/>
            </w:tcMar>
          </w:tcPr>
          <w:p w14:paraId="07951215"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45,440</w:t>
            </w:r>
          </w:p>
        </w:tc>
        <w:tc>
          <w:tcPr>
            <w:tcW w:w="1417" w:type="dxa"/>
            <w:tcMar>
              <w:top w:w="108" w:type="dxa"/>
              <w:bottom w:w="108" w:type="dxa"/>
            </w:tcMar>
          </w:tcPr>
          <w:p w14:paraId="7CE37083"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8" w:type="dxa"/>
            <w:tcMar>
              <w:top w:w="108" w:type="dxa"/>
              <w:bottom w:w="108" w:type="dxa"/>
            </w:tcMar>
          </w:tcPr>
          <w:p w14:paraId="3C605D55"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r>
      <w:tr w:rsidR="00C11AB1" w:rsidRPr="00C11AB1" w14:paraId="1FFECA8F" w14:textId="77777777" w:rsidTr="00C11AB1">
        <w:tc>
          <w:tcPr>
            <w:tcW w:w="2263" w:type="dxa"/>
            <w:tcMar>
              <w:top w:w="108" w:type="dxa"/>
              <w:bottom w:w="108" w:type="dxa"/>
            </w:tcMar>
          </w:tcPr>
          <w:p w14:paraId="2DAB374B" w14:textId="77777777" w:rsidR="00C11AB1" w:rsidRPr="00C11AB1" w:rsidRDefault="00C11AB1" w:rsidP="00963E11">
            <w:pPr>
              <w:contextualSpacing/>
              <w:rPr>
                <w:rFonts w:eastAsiaTheme="majorEastAsia" w:cs="Arial"/>
                <w:sz w:val="20"/>
                <w:szCs w:val="20"/>
              </w:rPr>
            </w:pPr>
            <w:r w:rsidRPr="00C11AB1">
              <w:rPr>
                <w:rFonts w:eastAsiaTheme="majorEastAsia" w:cs="Arial"/>
                <w:sz w:val="20"/>
                <w:szCs w:val="20"/>
              </w:rPr>
              <w:t>£25,001 - £50,000</w:t>
            </w:r>
          </w:p>
        </w:tc>
        <w:tc>
          <w:tcPr>
            <w:tcW w:w="1418" w:type="dxa"/>
            <w:tcMar>
              <w:top w:w="108" w:type="dxa"/>
              <w:bottom w:w="108" w:type="dxa"/>
            </w:tcMar>
          </w:tcPr>
          <w:p w14:paraId="1C7515AF"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1</w:t>
            </w:r>
          </w:p>
        </w:tc>
        <w:tc>
          <w:tcPr>
            <w:tcW w:w="1417" w:type="dxa"/>
            <w:tcMar>
              <w:top w:w="108" w:type="dxa"/>
              <w:bottom w:w="108" w:type="dxa"/>
            </w:tcMar>
          </w:tcPr>
          <w:p w14:paraId="52CDA175"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43,804</w:t>
            </w:r>
          </w:p>
        </w:tc>
        <w:tc>
          <w:tcPr>
            <w:tcW w:w="1418" w:type="dxa"/>
            <w:tcMar>
              <w:top w:w="108" w:type="dxa"/>
              <w:bottom w:w="108" w:type="dxa"/>
            </w:tcMar>
          </w:tcPr>
          <w:p w14:paraId="35B7D8E6"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276" w:type="dxa"/>
            <w:tcMar>
              <w:top w:w="108" w:type="dxa"/>
              <w:bottom w:w="108" w:type="dxa"/>
            </w:tcMar>
          </w:tcPr>
          <w:p w14:paraId="6908CFC3"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8" w:type="dxa"/>
            <w:tcMar>
              <w:top w:w="108" w:type="dxa"/>
              <w:bottom w:w="108" w:type="dxa"/>
            </w:tcMar>
          </w:tcPr>
          <w:p w14:paraId="12174E60"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1</w:t>
            </w:r>
          </w:p>
        </w:tc>
        <w:tc>
          <w:tcPr>
            <w:tcW w:w="1275" w:type="dxa"/>
            <w:tcMar>
              <w:top w:w="108" w:type="dxa"/>
              <w:bottom w:w="108" w:type="dxa"/>
            </w:tcMar>
          </w:tcPr>
          <w:p w14:paraId="232666E2"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43,804</w:t>
            </w:r>
          </w:p>
        </w:tc>
        <w:tc>
          <w:tcPr>
            <w:tcW w:w="1417" w:type="dxa"/>
            <w:tcMar>
              <w:top w:w="108" w:type="dxa"/>
              <w:bottom w:w="108" w:type="dxa"/>
            </w:tcMar>
          </w:tcPr>
          <w:p w14:paraId="1345B3D0"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8" w:type="dxa"/>
            <w:tcMar>
              <w:top w:w="108" w:type="dxa"/>
              <w:bottom w:w="108" w:type="dxa"/>
            </w:tcMar>
          </w:tcPr>
          <w:p w14:paraId="740FDF84"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r>
      <w:tr w:rsidR="00C11AB1" w:rsidRPr="00C11AB1" w14:paraId="74115AD2" w14:textId="77777777" w:rsidTr="00C11AB1">
        <w:tc>
          <w:tcPr>
            <w:tcW w:w="2263" w:type="dxa"/>
            <w:tcMar>
              <w:top w:w="108" w:type="dxa"/>
              <w:bottom w:w="108" w:type="dxa"/>
            </w:tcMar>
          </w:tcPr>
          <w:p w14:paraId="0CAD9051" w14:textId="77777777" w:rsidR="00C11AB1" w:rsidRPr="00C11AB1" w:rsidRDefault="00C11AB1" w:rsidP="00963E11">
            <w:pPr>
              <w:contextualSpacing/>
              <w:rPr>
                <w:rFonts w:eastAsiaTheme="majorEastAsia" w:cs="Arial"/>
                <w:sz w:val="20"/>
                <w:szCs w:val="20"/>
              </w:rPr>
            </w:pPr>
            <w:r w:rsidRPr="00C11AB1">
              <w:rPr>
                <w:rFonts w:eastAsiaTheme="majorEastAsia" w:cs="Arial"/>
                <w:sz w:val="20"/>
                <w:szCs w:val="20"/>
              </w:rPr>
              <w:t>£50,001 - £100,000</w:t>
            </w:r>
          </w:p>
        </w:tc>
        <w:tc>
          <w:tcPr>
            <w:tcW w:w="1418" w:type="dxa"/>
            <w:tcMar>
              <w:top w:w="108" w:type="dxa"/>
              <w:bottom w:w="108" w:type="dxa"/>
            </w:tcMar>
          </w:tcPr>
          <w:p w14:paraId="79862806"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3</w:t>
            </w:r>
          </w:p>
        </w:tc>
        <w:tc>
          <w:tcPr>
            <w:tcW w:w="1417" w:type="dxa"/>
            <w:tcMar>
              <w:top w:w="108" w:type="dxa"/>
              <w:bottom w:w="108" w:type="dxa"/>
            </w:tcMar>
          </w:tcPr>
          <w:p w14:paraId="2ABA5BA7"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199,040</w:t>
            </w:r>
          </w:p>
        </w:tc>
        <w:tc>
          <w:tcPr>
            <w:tcW w:w="1418" w:type="dxa"/>
            <w:tcMar>
              <w:top w:w="108" w:type="dxa"/>
              <w:bottom w:w="108" w:type="dxa"/>
            </w:tcMar>
          </w:tcPr>
          <w:p w14:paraId="4A5AD7AE"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276" w:type="dxa"/>
            <w:tcMar>
              <w:top w:w="108" w:type="dxa"/>
              <w:bottom w:w="108" w:type="dxa"/>
            </w:tcMar>
          </w:tcPr>
          <w:p w14:paraId="1A110907"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8" w:type="dxa"/>
            <w:tcMar>
              <w:top w:w="108" w:type="dxa"/>
              <w:bottom w:w="108" w:type="dxa"/>
            </w:tcMar>
          </w:tcPr>
          <w:p w14:paraId="1A940AB7"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3</w:t>
            </w:r>
          </w:p>
        </w:tc>
        <w:tc>
          <w:tcPr>
            <w:tcW w:w="1275" w:type="dxa"/>
            <w:tcMar>
              <w:top w:w="108" w:type="dxa"/>
              <w:bottom w:w="108" w:type="dxa"/>
            </w:tcMar>
          </w:tcPr>
          <w:p w14:paraId="3C6BD8A9"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199,040</w:t>
            </w:r>
          </w:p>
        </w:tc>
        <w:tc>
          <w:tcPr>
            <w:tcW w:w="1417" w:type="dxa"/>
            <w:tcMar>
              <w:top w:w="108" w:type="dxa"/>
              <w:bottom w:w="108" w:type="dxa"/>
            </w:tcMar>
          </w:tcPr>
          <w:p w14:paraId="10639E7E"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8" w:type="dxa"/>
            <w:tcMar>
              <w:top w:w="108" w:type="dxa"/>
              <w:bottom w:w="108" w:type="dxa"/>
            </w:tcMar>
          </w:tcPr>
          <w:p w14:paraId="58C40C1B"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r>
      <w:tr w:rsidR="00C11AB1" w:rsidRPr="00C11AB1" w14:paraId="2528DFE1" w14:textId="77777777" w:rsidTr="00C11AB1">
        <w:tc>
          <w:tcPr>
            <w:tcW w:w="2263" w:type="dxa"/>
            <w:tcMar>
              <w:top w:w="108" w:type="dxa"/>
              <w:bottom w:w="108" w:type="dxa"/>
            </w:tcMar>
          </w:tcPr>
          <w:p w14:paraId="58D62386" w14:textId="77777777" w:rsidR="00C11AB1" w:rsidRPr="00C11AB1" w:rsidRDefault="00C11AB1" w:rsidP="00963E11">
            <w:pPr>
              <w:contextualSpacing/>
              <w:rPr>
                <w:rFonts w:eastAsiaTheme="majorEastAsia" w:cs="Arial"/>
                <w:sz w:val="20"/>
                <w:szCs w:val="20"/>
              </w:rPr>
            </w:pPr>
            <w:r w:rsidRPr="00C11AB1">
              <w:rPr>
                <w:rFonts w:eastAsiaTheme="majorEastAsia" w:cs="Arial"/>
                <w:sz w:val="20"/>
                <w:szCs w:val="20"/>
              </w:rPr>
              <w:t>£100,001 - £150,000</w:t>
            </w:r>
          </w:p>
        </w:tc>
        <w:tc>
          <w:tcPr>
            <w:tcW w:w="1418" w:type="dxa"/>
            <w:tcMar>
              <w:top w:w="108" w:type="dxa"/>
              <w:bottom w:w="108" w:type="dxa"/>
            </w:tcMar>
          </w:tcPr>
          <w:p w14:paraId="2A1DA1A0"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2</w:t>
            </w:r>
          </w:p>
        </w:tc>
        <w:tc>
          <w:tcPr>
            <w:tcW w:w="1417" w:type="dxa"/>
            <w:tcMar>
              <w:top w:w="108" w:type="dxa"/>
              <w:bottom w:w="108" w:type="dxa"/>
            </w:tcMar>
          </w:tcPr>
          <w:p w14:paraId="4DCE37B6"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250,703</w:t>
            </w:r>
          </w:p>
        </w:tc>
        <w:tc>
          <w:tcPr>
            <w:tcW w:w="1418" w:type="dxa"/>
            <w:tcMar>
              <w:top w:w="108" w:type="dxa"/>
              <w:bottom w:w="108" w:type="dxa"/>
            </w:tcMar>
          </w:tcPr>
          <w:p w14:paraId="7B3C30FB"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276" w:type="dxa"/>
            <w:tcMar>
              <w:top w:w="108" w:type="dxa"/>
              <w:bottom w:w="108" w:type="dxa"/>
            </w:tcMar>
          </w:tcPr>
          <w:p w14:paraId="4F3014A7"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8" w:type="dxa"/>
            <w:tcMar>
              <w:top w:w="108" w:type="dxa"/>
              <w:bottom w:w="108" w:type="dxa"/>
            </w:tcMar>
          </w:tcPr>
          <w:p w14:paraId="02953419"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2</w:t>
            </w:r>
          </w:p>
        </w:tc>
        <w:tc>
          <w:tcPr>
            <w:tcW w:w="1275" w:type="dxa"/>
            <w:tcMar>
              <w:top w:w="108" w:type="dxa"/>
              <w:bottom w:w="108" w:type="dxa"/>
            </w:tcMar>
          </w:tcPr>
          <w:p w14:paraId="30FC4600"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250,703</w:t>
            </w:r>
          </w:p>
        </w:tc>
        <w:tc>
          <w:tcPr>
            <w:tcW w:w="1417" w:type="dxa"/>
            <w:tcMar>
              <w:top w:w="108" w:type="dxa"/>
              <w:bottom w:w="108" w:type="dxa"/>
            </w:tcMar>
          </w:tcPr>
          <w:p w14:paraId="59163A34"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8" w:type="dxa"/>
            <w:tcMar>
              <w:top w:w="108" w:type="dxa"/>
              <w:bottom w:w="108" w:type="dxa"/>
            </w:tcMar>
          </w:tcPr>
          <w:p w14:paraId="44C3C351"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r>
      <w:tr w:rsidR="00C11AB1" w:rsidRPr="00C11AB1" w14:paraId="42F981FE" w14:textId="77777777" w:rsidTr="00C11AB1">
        <w:tc>
          <w:tcPr>
            <w:tcW w:w="2263" w:type="dxa"/>
            <w:tcMar>
              <w:top w:w="108" w:type="dxa"/>
              <w:bottom w:w="108" w:type="dxa"/>
            </w:tcMar>
          </w:tcPr>
          <w:p w14:paraId="2C219255" w14:textId="77777777" w:rsidR="00C11AB1" w:rsidRPr="00C11AB1" w:rsidRDefault="00C11AB1" w:rsidP="00963E11">
            <w:pPr>
              <w:contextualSpacing/>
              <w:rPr>
                <w:rFonts w:eastAsiaTheme="majorEastAsia" w:cs="Arial"/>
                <w:sz w:val="20"/>
                <w:szCs w:val="20"/>
              </w:rPr>
            </w:pPr>
            <w:r w:rsidRPr="00C11AB1">
              <w:rPr>
                <w:rFonts w:eastAsiaTheme="majorEastAsia" w:cs="Arial"/>
                <w:sz w:val="20"/>
                <w:szCs w:val="20"/>
              </w:rPr>
              <w:t>£150,001 –£200,000</w:t>
            </w:r>
          </w:p>
        </w:tc>
        <w:tc>
          <w:tcPr>
            <w:tcW w:w="1418" w:type="dxa"/>
            <w:tcMar>
              <w:top w:w="108" w:type="dxa"/>
              <w:bottom w:w="108" w:type="dxa"/>
            </w:tcMar>
          </w:tcPr>
          <w:p w14:paraId="1EF78752"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4</w:t>
            </w:r>
          </w:p>
        </w:tc>
        <w:tc>
          <w:tcPr>
            <w:tcW w:w="1417" w:type="dxa"/>
            <w:tcMar>
              <w:top w:w="108" w:type="dxa"/>
              <w:bottom w:w="108" w:type="dxa"/>
            </w:tcMar>
          </w:tcPr>
          <w:p w14:paraId="190F105C"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640,000</w:t>
            </w:r>
          </w:p>
        </w:tc>
        <w:tc>
          <w:tcPr>
            <w:tcW w:w="1418" w:type="dxa"/>
            <w:tcMar>
              <w:top w:w="108" w:type="dxa"/>
              <w:bottom w:w="108" w:type="dxa"/>
            </w:tcMar>
          </w:tcPr>
          <w:p w14:paraId="71F35C68"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276" w:type="dxa"/>
            <w:tcMar>
              <w:top w:w="108" w:type="dxa"/>
              <w:bottom w:w="108" w:type="dxa"/>
            </w:tcMar>
          </w:tcPr>
          <w:p w14:paraId="202CEA75"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8" w:type="dxa"/>
            <w:tcMar>
              <w:top w:w="108" w:type="dxa"/>
              <w:bottom w:w="108" w:type="dxa"/>
            </w:tcMar>
          </w:tcPr>
          <w:p w14:paraId="762B5AE6"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4</w:t>
            </w:r>
          </w:p>
        </w:tc>
        <w:tc>
          <w:tcPr>
            <w:tcW w:w="1275" w:type="dxa"/>
            <w:tcMar>
              <w:top w:w="108" w:type="dxa"/>
              <w:bottom w:w="108" w:type="dxa"/>
            </w:tcMar>
          </w:tcPr>
          <w:p w14:paraId="784B25EF"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640,000</w:t>
            </w:r>
          </w:p>
        </w:tc>
        <w:tc>
          <w:tcPr>
            <w:tcW w:w="1417" w:type="dxa"/>
            <w:tcMar>
              <w:top w:w="108" w:type="dxa"/>
              <w:bottom w:w="108" w:type="dxa"/>
            </w:tcMar>
          </w:tcPr>
          <w:p w14:paraId="75FB2FBE"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8" w:type="dxa"/>
            <w:tcMar>
              <w:top w:w="108" w:type="dxa"/>
              <w:bottom w:w="108" w:type="dxa"/>
            </w:tcMar>
          </w:tcPr>
          <w:p w14:paraId="406377D8"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r>
      <w:tr w:rsidR="00C11AB1" w:rsidRPr="00C11AB1" w14:paraId="49F5CF42" w14:textId="77777777" w:rsidTr="00C11AB1">
        <w:tc>
          <w:tcPr>
            <w:tcW w:w="2263" w:type="dxa"/>
            <w:tcMar>
              <w:top w:w="108" w:type="dxa"/>
              <w:bottom w:w="108" w:type="dxa"/>
            </w:tcMar>
          </w:tcPr>
          <w:p w14:paraId="78FCD605" w14:textId="77777777" w:rsidR="00C11AB1" w:rsidRPr="00C11AB1" w:rsidRDefault="00C11AB1" w:rsidP="00963E11">
            <w:pPr>
              <w:contextualSpacing/>
              <w:rPr>
                <w:rFonts w:eastAsiaTheme="majorEastAsia" w:cs="Arial"/>
                <w:sz w:val="20"/>
                <w:szCs w:val="20"/>
              </w:rPr>
            </w:pPr>
            <w:r w:rsidRPr="00C11AB1">
              <w:rPr>
                <w:rFonts w:eastAsiaTheme="majorEastAsia" w:cs="Arial"/>
                <w:sz w:val="20"/>
                <w:szCs w:val="20"/>
              </w:rPr>
              <w:t>&gt;£200,000</w:t>
            </w:r>
          </w:p>
        </w:tc>
        <w:tc>
          <w:tcPr>
            <w:tcW w:w="1418" w:type="dxa"/>
            <w:tcMar>
              <w:top w:w="108" w:type="dxa"/>
              <w:bottom w:w="108" w:type="dxa"/>
            </w:tcMar>
          </w:tcPr>
          <w:p w14:paraId="16AB7B79"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7" w:type="dxa"/>
            <w:tcMar>
              <w:top w:w="108" w:type="dxa"/>
              <w:bottom w:w="108" w:type="dxa"/>
            </w:tcMar>
          </w:tcPr>
          <w:p w14:paraId="4BAC9BF6"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8" w:type="dxa"/>
            <w:tcMar>
              <w:top w:w="108" w:type="dxa"/>
              <w:bottom w:w="108" w:type="dxa"/>
            </w:tcMar>
          </w:tcPr>
          <w:p w14:paraId="37E7FF63"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276" w:type="dxa"/>
            <w:tcMar>
              <w:top w:w="108" w:type="dxa"/>
              <w:bottom w:w="108" w:type="dxa"/>
            </w:tcMar>
          </w:tcPr>
          <w:p w14:paraId="5A3D5CB1"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8" w:type="dxa"/>
            <w:tcMar>
              <w:top w:w="108" w:type="dxa"/>
              <w:bottom w:w="108" w:type="dxa"/>
            </w:tcMar>
          </w:tcPr>
          <w:p w14:paraId="7F19E96F"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275" w:type="dxa"/>
            <w:tcMar>
              <w:top w:w="108" w:type="dxa"/>
              <w:bottom w:w="108" w:type="dxa"/>
            </w:tcMar>
          </w:tcPr>
          <w:p w14:paraId="201D4030"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7" w:type="dxa"/>
            <w:tcMar>
              <w:top w:w="108" w:type="dxa"/>
              <w:bottom w:w="108" w:type="dxa"/>
            </w:tcMar>
          </w:tcPr>
          <w:p w14:paraId="1D342477"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8" w:type="dxa"/>
            <w:tcMar>
              <w:top w:w="108" w:type="dxa"/>
              <w:bottom w:w="108" w:type="dxa"/>
            </w:tcMar>
          </w:tcPr>
          <w:p w14:paraId="7467B774"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r>
      <w:tr w:rsidR="00C11AB1" w:rsidRPr="00C11AB1" w14:paraId="68E7EAFC" w14:textId="77777777" w:rsidTr="00C11AB1">
        <w:tc>
          <w:tcPr>
            <w:tcW w:w="2263" w:type="dxa"/>
            <w:tcMar>
              <w:top w:w="108" w:type="dxa"/>
              <w:bottom w:w="108" w:type="dxa"/>
            </w:tcMar>
          </w:tcPr>
          <w:p w14:paraId="761CE307" w14:textId="77777777" w:rsidR="00C11AB1" w:rsidRPr="00C11AB1" w:rsidRDefault="00C11AB1" w:rsidP="00963E11">
            <w:pPr>
              <w:contextualSpacing/>
              <w:rPr>
                <w:rFonts w:eastAsiaTheme="majorEastAsia" w:cs="Arial"/>
                <w:sz w:val="20"/>
                <w:szCs w:val="20"/>
              </w:rPr>
            </w:pPr>
            <w:r w:rsidRPr="00C11AB1">
              <w:rPr>
                <w:rFonts w:eastAsiaTheme="majorEastAsia" w:cs="Arial"/>
                <w:sz w:val="20"/>
                <w:szCs w:val="20"/>
              </w:rPr>
              <w:t>TOTALS</w:t>
            </w:r>
          </w:p>
        </w:tc>
        <w:tc>
          <w:tcPr>
            <w:tcW w:w="1418" w:type="dxa"/>
            <w:tcMar>
              <w:top w:w="108" w:type="dxa"/>
              <w:bottom w:w="108" w:type="dxa"/>
            </w:tcMar>
          </w:tcPr>
          <w:p w14:paraId="4D3E6B65"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13</w:t>
            </w:r>
          </w:p>
        </w:tc>
        <w:tc>
          <w:tcPr>
            <w:tcW w:w="1417" w:type="dxa"/>
            <w:tcMar>
              <w:top w:w="108" w:type="dxa"/>
              <w:bottom w:w="108" w:type="dxa"/>
            </w:tcMar>
          </w:tcPr>
          <w:p w14:paraId="6EAAD23D"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1,178,987</w:t>
            </w:r>
          </w:p>
        </w:tc>
        <w:tc>
          <w:tcPr>
            <w:tcW w:w="1418" w:type="dxa"/>
            <w:tcMar>
              <w:top w:w="108" w:type="dxa"/>
              <w:bottom w:w="108" w:type="dxa"/>
            </w:tcMar>
          </w:tcPr>
          <w:p w14:paraId="2A50521E"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276" w:type="dxa"/>
            <w:tcMar>
              <w:top w:w="108" w:type="dxa"/>
              <w:bottom w:w="108" w:type="dxa"/>
            </w:tcMar>
          </w:tcPr>
          <w:p w14:paraId="666B085C"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8" w:type="dxa"/>
            <w:tcMar>
              <w:top w:w="108" w:type="dxa"/>
              <w:bottom w:w="108" w:type="dxa"/>
            </w:tcMar>
          </w:tcPr>
          <w:p w14:paraId="332CABDB"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13</w:t>
            </w:r>
          </w:p>
        </w:tc>
        <w:tc>
          <w:tcPr>
            <w:tcW w:w="1275" w:type="dxa"/>
            <w:tcMar>
              <w:top w:w="108" w:type="dxa"/>
              <w:bottom w:w="108" w:type="dxa"/>
            </w:tcMar>
          </w:tcPr>
          <w:p w14:paraId="53C9C2C1"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1,178,987</w:t>
            </w:r>
          </w:p>
        </w:tc>
        <w:tc>
          <w:tcPr>
            <w:tcW w:w="1417" w:type="dxa"/>
            <w:tcMar>
              <w:top w:w="108" w:type="dxa"/>
              <w:bottom w:w="108" w:type="dxa"/>
            </w:tcMar>
          </w:tcPr>
          <w:p w14:paraId="7E4149EA"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c>
          <w:tcPr>
            <w:tcW w:w="1418" w:type="dxa"/>
            <w:tcMar>
              <w:top w:w="108" w:type="dxa"/>
              <w:bottom w:w="108" w:type="dxa"/>
            </w:tcMar>
          </w:tcPr>
          <w:p w14:paraId="29BD941D" w14:textId="77777777" w:rsidR="00C11AB1" w:rsidRPr="00C11AB1" w:rsidRDefault="00C11AB1" w:rsidP="00963E11">
            <w:pPr>
              <w:contextualSpacing/>
              <w:jc w:val="center"/>
              <w:rPr>
                <w:rFonts w:eastAsiaTheme="majorEastAsia" w:cs="Arial"/>
                <w:sz w:val="20"/>
                <w:szCs w:val="20"/>
              </w:rPr>
            </w:pPr>
            <w:r w:rsidRPr="00C11AB1">
              <w:rPr>
                <w:rFonts w:eastAsiaTheme="majorEastAsia" w:cs="Arial"/>
                <w:sz w:val="20"/>
                <w:szCs w:val="20"/>
              </w:rPr>
              <w:t>0</w:t>
            </w:r>
          </w:p>
        </w:tc>
      </w:tr>
    </w:tbl>
    <w:p w14:paraId="6DC4E0F0" w14:textId="3D048A08" w:rsidR="001C0486" w:rsidRPr="0060193F" w:rsidRDefault="00C11AB1" w:rsidP="001C0486">
      <w:pPr>
        <w:rPr>
          <w:sz w:val="20"/>
          <w:szCs w:val="20"/>
        </w:rPr>
      </w:pPr>
      <w:r w:rsidRPr="00C60101">
        <w:rPr>
          <w:sz w:val="20"/>
          <w:szCs w:val="20"/>
        </w:rPr>
        <w:t xml:space="preserve">Redundancy and other departure cost have been paid in accordance with the provisions of </w:t>
      </w:r>
      <w:r>
        <w:rPr>
          <w:sz w:val="20"/>
          <w:szCs w:val="20"/>
        </w:rPr>
        <w:t>Agenda for Change Section 16</w:t>
      </w:r>
      <w:r w:rsidRPr="00C60101">
        <w:rPr>
          <w:sz w:val="20"/>
          <w:szCs w:val="20"/>
        </w:rPr>
        <w:t>. Exit costs in this note are accounted for in full in the year of departure</w:t>
      </w:r>
      <w:r>
        <w:rPr>
          <w:sz w:val="20"/>
          <w:szCs w:val="20"/>
        </w:rPr>
        <w:t>.</w:t>
      </w:r>
    </w:p>
    <w:p w14:paraId="1D256E3A" w14:textId="77777777" w:rsidR="00D809C8" w:rsidRDefault="00D809C8" w:rsidP="001C0486">
      <w:pPr>
        <w:rPr>
          <w:rFonts w:eastAsiaTheme="majorEastAsia" w:cs="Arial"/>
          <w:bCs/>
          <w:sz w:val="20"/>
          <w:szCs w:val="20"/>
        </w:rPr>
        <w:sectPr w:rsidR="00D809C8" w:rsidSect="00ED41B9">
          <w:pgSz w:w="15840" w:h="12240" w:orient="landscape"/>
          <w:pgMar w:top="1440" w:right="1440" w:bottom="1440" w:left="1440" w:header="720" w:footer="720" w:gutter="0"/>
          <w:cols w:space="720"/>
          <w:docGrid w:linePitch="326"/>
        </w:sectPr>
      </w:pPr>
    </w:p>
    <w:p w14:paraId="396C04D8" w14:textId="63F7186F" w:rsidR="00751E7C" w:rsidRPr="003B2EBC" w:rsidRDefault="00751E7C" w:rsidP="00751E7C">
      <w:pPr>
        <w:spacing w:line="360" w:lineRule="auto"/>
        <w:rPr>
          <w:rFonts w:eastAsia="Times New Roman" w:cs="Arial"/>
          <w:b/>
          <w:szCs w:val="24"/>
        </w:rPr>
      </w:pPr>
      <w:bookmarkStart w:id="231" w:name="_Toc450193723"/>
      <w:bookmarkStart w:id="232" w:name="_Toc453089781"/>
      <w:bookmarkStart w:id="233" w:name="_Toc453595536"/>
      <w:bookmarkStart w:id="234" w:name="_Toc454180199"/>
      <w:r w:rsidRPr="00612517">
        <w:rPr>
          <w:rFonts w:eastAsia="Times New Roman" w:cs="Arial"/>
          <w:b/>
          <w:szCs w:val="24"/>
        </w:rPr>
        <w:lastRenderedPageBreak/>
        <w:t>Table 2: Analysis of Other Departures</w:t>
      </w:r>
    </w:p>
    <w:tbl>
      <w:tblPr>
        <w:tblStyle w:val="TableGrid"/>
        <w:tblW w:w="9214" w:type="dxa"/>
        <w:tblLook w:val="04A0" w:firstRow="1" w:lastRow="0" w:firstColumn="1" w:lastColumn="0" w:noHBand="0" w:noVBand="1"/>
      </w:tblPr>
      <w:tblGrid>
        <w:gridCol w:w="3034"/>
        <w:gridCol w:w="3004"/>
        <w:gridCol w:w="3176"/>
      </w:tblGrid>
      <w:tr w:rsidR="00751E7C" w:rsidRPr="002F79C1" w14:paraId="0F0A6654" w14:textId="77777777" w:rsidTr="009115F7">
        <w:tc>
          <w:tcPr>
            <w:tcW w:w="3034" w:type="dxa"/>
            <w:tcBorders>
              <w:top w:val="nil"/>
              <w:left w:val="nil"/>
              <w:bottom w:val="nil"/>
            </w:tcBorders>
          </w:tcPr>
          <w:p w14:paraId="00029D40" w14:textId="77777777" w:rsidR="00751E7C" w:rsidRPr="003E41E3" w:rsidRDefault="00751E7C" w:rsidP="009115F7">
            <w:pPr>
              <w:rPr>
                <w:rFonts w:eastAsia="Times New Roman" w:cs="Arial"/>
                <w:b/>
                <w:bCs/>
                <w:sz w:val="20"/>
                <w:szCs w:val="20"/>
              </w:rPr>
            </w:pPr>
          </w:p>
        </w:tc>
        <w:tc>
          <w:tcPr>
            <w:tcW w:w="3004" w:type="dxa"/>
          </w:tcPr>
          <w:p w14:paraId="7F575E5D" w14:textId="77777777" w:rsidR="00751E7C" w:rsidRPr="003E41E3" w:rsidRDefault="00751E7C" w:rsidP="009115F7">
            <w:pPr>
              <w:jc w:val="center"/>
              <w:rPr>
                <w:rFonts w:eastAsia="Times New Roman" w:cs="Arial"/>
                <w:b/>
                <w:bCs/>
                <w:sz w:val="20"/>
                <w:szCs w:val="20"/>
              </w:rPr>
            </w:pPr>
            <w:r w:rsidRPr="003E41E3">
              <w:rPr>
                <w:rFonts w:eastAsia="Times New Roman" w:cs="Arial"/>
                <w:b/>
                <w:bCs/>
                <w:sz w:val="20"/>
                <w:szCs w:val="20"/>
              </w:rPr>
              <w:t>Agreements</w:t>
            </w:r>
          </w:p>
        </w:tc>
        <w:tc>
          <w:tcPr>
            <w:tcW w:w="3176" w:type="dxa"/>
          </w:tcPr>
          <w:p w14:paraId="55CC05E1" w14:textId="77777777" w:rsidR="00751E7C" w:rsidRPr="003E41E3" w:rsidRDefault="00751E7C" w:rsidP="009115F7">
            <w:pPr>
              <w:jc w:val="center"/>
              <w:rPr>
                <w:rFonts w:eastAsia="Times New Roman" w:cs="Arial"/>
                <w:b/>
                <w:bCs/>
                <w:sz w:val="20"/>
                <w:szCs w:val="20"/>
              </w:rPr>
            </w:pPr>
            <w:r w:rsidRPr="003E41E3">
              <w:rPr>
                <w:rFonts w:eastAsia="Times New Roman" w:cs="Arial"/>
                <w:b/>
                <w:bCs/>
                <w:sz w:val="20"/>
                <w:szCs w:val="20"/>
              </w:rPr>
              <w:t>Total Value of agreements</w:t>
            </w:r>
          </w:p>
        </w:tc>
      </w:tr>
      <w:tr w:rsidR="00751E7C" w:rsidRPr="002F79C1" w14:paraId="5D6265F9" w14:textId="77777777" w:rsidTr="009115F7">
        <w:tc>
          <w:tcPr>
            <w:tcW w:w="3034" w:type="dxa"/>
            <w:tcBorders>
              <w:top w:val="nil"/>
              <w:left w:val="nil"/>
            </w:tcBorders>
          </w:tcPr>
          <w:p w14:paraId="1D0452F9" w14:textId="77777777" w:rsidR="00751E7C" w:rsidRPr="003E41E3" w:rsidRDefault="00751E7C" w:rsidP="009115F7">
            <w:pPr>
              <w:rPr>
                <w:rFonts w:eastAsia="Times New Roman" w:cs="Arial"/>
                <w:b/>
                <w:bCs/>
                <w:sz w:val="20"/>
                <w:szCs w:val="20"/>
              </w:rPr>
            </w:pPr>
          </w:p>
        </w:tc>
        <w:tc>
          <w:tcPr>
            <w:tcW w:w="3004" w:type="dxa"/>
          </w:tcPr>
          <w:p w14:paraId="49EFE59C" w14:textId="77777777" w:rsidR="00751E7C" w:rsidRPr="003E41E3" w:rsidRDefault="00751E7C" w:rsidP="009115F7">
            <w:pPr>
              <w:jc w:val="center"/>
              <w:rPr>
                <w:rFonts w:eastAsia="Times New Roman" w:cs="Arial"/>
                <w:b/>
                <w:bCs/>
                <w:sz w:val="20"/>
                <w:szCs w:val="20"/>
              </w:rPr>
            </w:pPr>
            <w:r w:rsidRPr="003E41E3">
              <w:rPr>
                <w:rFonts w:eastAsia="Times New Roman" w:cs="Arial"/>
                <w:b/>
                <w:bCs/>
                <w:sz w:val="20"/>
                <w:szCs w:val="20"/>
              </w:rPr>
              <w:t>Number</w:t>
            </w:r>
          </w:p>
        </w:tc>
        <w:tc>
          <w:tcPr>
            <w:tcW w:w="3176" w:type="dxa"/>
          </w:tcPr>
          <w:p w14:paraId="134872A2" w14:textId="77777777" w:rsidR="00751E7C" w:rsidRPr="003E41E3" w:rsidRDefault="00751E7C" w:rsidP="009115F7">
            <w:pPr>
              <w:jc w:val="center"/>
              <w:rPr>
                <w:rFonts w:eastAsia="Times New Roman" w:cs="Arial"/>
                <w:b/>
                <w:bCs/>
                <w:sz w:val="20"/>
                <w:szCs w:val="20"/>
              </w:rPr>
            </w:pPr>
            <w:r w:rsidRPr="003E41E3">
              <w:rPr>
                <w:rFonts w:eastAsia="Times New Roman" w:cs="Arial"/>
                <w:b/>
                <w:bCs/>
                <w:sz w:val="20"/>
                <w:szCs w:val="20"/>
              </w:rPr>
              <w:t>£000s</w:t>
            </w:r>
          </w:p>
        </w:tc>
      </w:tr>
      <w:tr w:rsidR="00751E7C" w:rsidRPr="002F79C1" w14:paraId="1A588565" w14:textId="77777777" w:rsidTr="009115F7">
        <w:tc>
          <w:tcPr>
            <w:tcW w:w="3034" w:type="dxa"/>
          </w:tcPr>
          <w:p w14:paraId="22EEF958" w14:textId="77777777" w:rsidR="00751E7C" w:rsidRPr="003E41E3" w:rsidRDefault="00751E7C" w:rsidP="009115F7">
            <w:pPr>
              <w:rPr>
                <w:rFonts w:eastAsia="Times New Roman" w:cs="Arial"/>
                <w:bCs/>
                <w:sz w:val="20"/>
                <w:szCs w:val="20"/>
              </w:rPr>
            </w:pPr>
            <w:r w:rsidRPr="003E41E3">
              <w:rPr>
                <w:rFonts w:eastAsia="Times New Roman" w:cs="Arial"/>
                <w:bCs/>
                <w:sz w:val="20"/>
                <w:szCs w:val="20"/>
              </w:rPr>
              <w:t>Voluntary redundancies including early retirement contractual costs</w:t>
            </w:r>
          </w:p>
        </w:tc>
        <w:tc>
          <w:tcPr>
            <w:tcW w:w="3004" w:type="dxa"/>
          </w:tcPr>
          <w:p w14:paraId="44E0706C" w14:textId="473AE51E" w:rsidR="00751E7C" w:rsidRPr="003E41E3" w:rsidRDefault="003E41E3" w:rsidP="004A43AE">
            <w:pPr>
              <w:jc w:val="right"/>
              <w:rPr>
                <w:rFonts w:eastAsia="Times New Roman" w:cs="Arial"/>
                <w:b/>
                <w:bCs/>
                <w:sz w:val="20"/>
                <w:szCs w:val="20"/>
              </w:rPr>
            </w:pPr>
            <w:r>
              <w:rPr>
                <w:rFonts w:eastAsia="Times New Roman" w:cs="Arial"/>
                <w:b/>
                <w:bCs/>
                <w:sz w:val="20"/>
                <w:szCs w:val="20"/>
              </w:rPr>
              <w:t>71</w:t>
            </w:r>
          </w:p>
        </w:tc>
        <w:tc>
          <w:tcPr>
            <w:tcW w:w="3176" w:type="dxa"/>
          </w:tcPr>
          <w:p w14:paraId="7145B5B3" w14:textId="4C01A5D6" w:rsidR="00751E7C" w:rsidRPr="003E41E3" w:rsidRDefault="003E41E3" w:rsidP="004A43AE">
            <w:pPr>
              <w:jc w:val="right"/>
              <w:rPr>
                <w:rFonts w:eastAsia="Times New Roman" w:cs="Arial"/>
                <w:b/>
                <w:bCs/>
                <w:sz w:val="20"/>
                <w:szCs w:val="20"/>
              </w:rPr>
            </w:pPr>
            <w:r>
              <w:rPr>
                <w:rFonts w:eastAsia="Times New Roman" w:cs="Arial"/>
                <w:b/>
                <w:bCs/>
                <w:sz w:val="20"/>
                <w:szCs w:val="20"/>
              </w:rPr>
              <w:t>3,390</w:t>
            </w:r>
          </w:p>
        </w:tc>
      </w:tr>
      <w:tr w:rsidR="00751E7C" w:rsidRPr="002F79C1" w14:paraId="7B7D6C70" w14:textId="77777777" w:rsidTr="009115F7">
        <w:trPr>
          <w:trHeight w:val="331"/>
        </w:trPr>
        <w:tc>
          <w:tcPr>
            <w:tcW w:w="3034" w:type="dxa"/>
          </w:tcPr>
          <w:p w14:paraId="402DDFBB" w14:textId="77777777" w:rsidR="00751E7C" w:rsidRPr="003E41E3" w:rsidRDefault="00751E7C" w:rsidP="009115F7">
            <w:pPr>
              <w:rPr>
                <w:rFonts w:eastAsia="Times New Roman" w:cs="Arial"/>
                <w:b/>
                <w:bCs/>
                <w:sz w:val="20"/>
                <w:szCs w:val="20"/>
              </w:rPr>
            </w:pPr>
            <w:r w:rsidRPr="003E41E3">
              <w:rPr>
                <w:rFonts w:eastAsia="Times New Roman" w:cs="Arial"/>
                <w:b/>
                <w:bCs/>
                <w:sz w:val="20"/>
                <w:szCs w:val="20"/>
              </w:rPr>
              <w:t>TOTAL</w:t>
            </w:r>
          </w:p>
        </w:tc>
        <w:tc>
          <w:tcPr>
            <w:tcW w:w="3004" w:type="dxa"/>
          </w:tcPr>
          <w:p w14:paraId="3AECD91C" w14:textId="39004F4B" w:rsidR="00751E7C" w:rsidRPr="003E41E3" w:rsidRDefault="003E41E3" w:rsidP="004A43AE">
            <w:pPr>
              <w:jc w:val="right"/>
              <w:rPr>
                <w:rFonts w:eastAsia="Times New Roman" w:cs="Arial"/>
                <w:b/>
                <w:bCs/>
                <w:sz w:val="20"/>
                <w:szCs w:val="20"/>
              </w:rPr>
            </w:pPr>
            <w:r>
              <w:rPr>
                <w:rFonts w:eastAsia="Times New Roman" w:cs="Arial"/>
                <w:b/>
                <w:bCs/>
                <w:sz w:val="20"/>
                <w:szCs w:val="20"/>
              </w:rPr>
              <w:t>71</w:t>
            </w:r>
          </w:p>
        </w:tc>
        <w:tc>
          <w:tcPr>
            <w:tcW w:w="3176" w:type="dxa"/>
          </w:tcPr>
          <w:p w14:paraId="2B51C849" w14:textId="3497077D" w:rsidR="00751E7C" w:rsidRPr="003E41E3" w:rsidRDefault="002234DF" w:rsidP="004A43AE">
            <w:pPr>
              <w:jc w:val="right"/>
              <w:rPr>
                <w:rFonts w:eastAsia="Times New Roman" w:cs="Arial"/>
                <w:b/>
                <w:bCs/>
                <w:sz w:val="20"/>
                <w:szCs w:val="20"/>
              </w:rPr>
            </w:pPr>
            <w:r>
              <w:rPr>
                <w:rFonts w:eastAsia="Times New Roman" w:cs="Arial"/>
                <w:b/>
                <w:bCs/>
                <w:sz w:val="20"/>
                <w:szCs w:val="20"/>
              </w:rPr>
              <w:t>3,390</w:t>
            </w:r>
          </w:p>
        </w:tc>
      </w:tr>
    </w:tbl>
    <w:p w14:paraId="197ED006" w14:textId="77777777" w:rsidR="00EE0A84" w:rsidRDefault="00EE0A84" w:rsidP="007F6924">
      <w:pPr>
        <w:pStyle w:val="Heading1"/>
        <w:rPr>
          <w:b/>
          <w:bCs/>
        </w:rPr>
      </w:pPr>
    </w:p>
    <w:p w14:paraId="4A74A69B" w14:textId="77777777" w:rsidR="00EA4664" w:rsidRDefault="00EA4664" w:rsidP="00EA4664"/>
    <w:p w14:paraId="3F3EC981" w14:textId="77777777" w:rsidR="00EA4664" w:rsidRDefault="00EA4664" w:rsidP="00EA4664"/>
    <w:p w14:paraId="3640935B" w14:textId="77777777" w:rsidR="00EA4664" w:rsidRDefault="00EA4664" w:rsidP="00EA4664"/>
    <w:p w14:paraId="78541CF9" w14:textId="77777777" w:rsidR="00EA4664" w:rsidRPr="00EA4664" w:rsidRDefault="00EA4664" w:rsidP="00EA4664">
      <w:pPr>
        <w:sectPr w:rsidR="00EA4664" w:rsidRPr="00EA4664" w:rsidSect="007E328B">
          <w:headerReference w:type="default" r:id="rId61"/>
          <w:footerReference w:type="default" r:id="rId62"/>
          <w:pgSz w:w="12240" w:h="15840"/>
          <w:pgMar w:top="1440" w:right="1440" w:bottom="1440" w:left="1440" w:header="720" w:footer="720" w:gutter="0"/>
          <w:cols w:space="720"/>
          <w:docGrid w:linePitch="326"/>
        </w:sectPr>
      </w:pPr>
    </w:p>
    <w:p w14:paraId="691BEDBA" w14:textId="77777777" w:rsidR="001C0486" w:rsidRPr="007F6924" w:rsidRDefault="001C0486" w:rsidP="007F6924">
      <w:pPr>
        <w:pStyle w:val="Heading1"/>
        <w:rPr>
          <w:b/>
          <w:bCs/>
        </w:rPr>
      </w:pPr>
      <w:bookmarkStart w:id="235" w:name="_Toc164470300"/>
      <w:bookmarkStart w:id="236" w:name="_Toc164814921"/>
      <w:r w:rsidRPr="007F6924">
        <w:rPr>
          <w:b/>
          <w:bCs/>
        </w:rPr>
        <w:lastRenderedPageBreak/>
        <w:t>Parliamentary Accountability and Audit Report</w:t>
      </w:r>
      <w:bookmarkEnd w:id="235"/>
      <w:bookmarkEnd w:id="236"/>
    </w:p>
    <w:p w14:paraId="47855BCF" w14:textId="1C314006" w:rsidR="003E6192" w:rsidRDefault="00471C4B" w:rsidP="00225980">
      <w:pPr>
        <w:pStyle w:val="BodyText"/>
        <w:kinsoku w:val="0"/>
        <w:overflowPunct w:val="0"/>
        <w:spacing w:before="241"/>
        <w:ind w:right="95"/>
      </w:pPr>
      <w:r>
        <w:t>MSE</w:t>
      </w:r>
      <w:r w:rsidR="003E6192">
        <w:t xml:space="preserve"> ICB is not required to produce a Parliamentary Accountability and Audit Report. </w:t>
      </w:r>
      <w:r w:rsidR="003E6192" w:rsidRPr="00B24841">
        <w:t xml:space="preserve">Disclosures on remote contingent liabilities, losses and special payments, gifts, and fees and charges are included as notes in the </w:t>
      </w:r>
      <w:r w:rsidR="6A3B91D0" w:rsidRPr="00B24841">
        <w:t>f</w:t>
      </w:r>
      <w:r w:rsidR="003E6192" w:rsidRPr="00B24841">
        <w:t xml:space="preserve">inancial </w:t>
      </w:r>
      <w:r w:rsidR="23E6AEE7" w:rsidRPr="00B24841">
        <w:t>s</w:t>
      </w:r>
      <w:r w:rsidR="003E6192" w:rsidRPr="00B24841">
        <w:t xml:space="preserve">tatements of this report at page </w:t>
      </w:r>
      <w:r w:rsidR="00B24841" w:rsidRPr="00B24841">
        <w:t>31 of the Annual Accounts</w:t>
      </w:r>
      <w:r w:rsidR="003E6192" w:rsidRPr="00B24841">
        <w:t>. An audit</w:t>
      </w:r>
      <w:r w:rsidR="003E6192">
        <w:t xml:space="preserve"> certificate and report is also included in this Annual Report.</w:t>
      </w:r>
    </w:p>
    <w:p w14:paraId="2BD4109E" w14:textId="77777777" w:rsidR="003E6192" w:rsidRDefault="003E6192" w:rsidP="001C0486">
      <w:pPr>
        <w:pStyle w:val="Heading1"/>
        <w:rPr>
          <w:rFonts w:eastAsia="Times New Roman"/>
        </w:rPr>
      </w:pPr>
    </w:p>
    <w:p w14:paraId="7D988F3F" w14:textId="372F476E" w:rsidR="001C0486" w:rsidRDefault="001C0486" w:rsidP="001C0486">
      <w:pPr>
        <w:pStyle w:val="Heading1"/>
        <w:rPr>
          <w:rFonts w:eastAsia="Times New Roman"/>
        </w:rPr>
      </w:pPr>
      <w:r>
        <w:rPr>
          <w:rFonts w:eastAsia="Times New Roman"/>
        </w:rPr>
        <w:br w:type="page"/>
      </w:r>
      <w:bookmarkEnd w:id="231"/>
      <w:bookmarkEnd w:id="232"/>
      <w:bookmarkEnd w:id="233"/>
      <w:bookmarkEnd w:id="234"/>
    </w:p>
    <w:p w14:paraId="378F0A23" w14:textId="2ACC8A94" w:rsidR="001C0486" w:rsidRPr="000B0490" w:rsidRDefault="001C0486" w:rsidP="00BE314A">
      <w:pPr>
        <w:pStyle w:val="Title"/>
      </w:pPr>
      <w:bookmarkStart w:id="237" w:name="_Toc126572837"/>
      <w:r w:rsidRPr="000B0490">
        <w:lastRenderedPageBreak/>
        <w:t>ANNUAL ACCOUNTS</w:t>
      </w:r>
      <w:bookmarkEnd w:id="237"/>
    </w:p>
    <w:p w14:paraId="4D7A67D7" w14:textId="77777777" w:rsidR="001C0486" w:rsidRDefault="001C0486" w:rsidP="001C0486"/>
    <w:p w14:paraId="6BEE7287" w14:textId="77777777" w:rsidR="001C0486" w:rsidRPr="00EC0BD0" w:rsidRDefault="001C0486" w:rsidP="001C0486"/>
    <w:p w14:paraId="38A5D228" w14:textId="1E39324B" w:rsidR="001C0486" w:rsidRDefault="001C0486" w:rsidP="001C0486">
      <w:pPr>
        <w:rPr>
          <w:lang w:eastAsia="en-GB"/>
        </w:rPr>
      </w:pPr>
    </w:p>
    <w:p w14:paraId="134B2CEF" w14:textId="46077D74" w:rsidR="006F410C" w:rsidRDefault="006F410C" w:rsidP="001C0486">
      <w:pPr>
        <w:rPr>
          <w:lang w:eastAsia="en-GB"/>
        </w:rPr>
      </w:pPr>
    </w:p>
    <w:p w14:paraId="2864A090" w14:textId="37706A7D" w:rsidR="006F410C" w:rsidRDefault="006F410C" w:rsidP="001C0486">
      <w:pPr>
        <w:rPr>
          <w:lang w:eastAsia="en-GB"/>
        </w:rPr>
      </w:pPr>
    </w:p>
    <w:p w14:paraId="6EB1FD65" w14:textId="3D53108A" w:rsidR="006F410C" w:rsidRDefault="006F410C" w:rsidP="001C0486">
      <w:pPr>
        <w:rPr>
          <w:lang w:eastAsia="en-GB"/>
        </w:rPr>
      </w:pPr>
    </w:p>
    <w:p w14:paraId="36AE59EC" w14:textId="1B692E97" w:rsidR="006F410C" w:rsidRPr="00C05C9B" w:rsidRDefault="006F410C" w:rsidP="001C0486">
      <w:pPr>
        <w:rPr>
          <w:sz w:val="40"/>
          <w:szCs w:val="40"/>
        </w:rPr>
      </w:pPr>
    </w:p>
    <w:p w14:paraId="2D2D241C" w14:textId="37CF0410" w:rsidR="00913B3A" w:rsidRDefault="00913B3A" w:rsidP="001C0486">
      <w:pPr>
        <w:rPr>
          <w:sz w:val="40"/>
          <w:szCs w:val="40"/>
        </w:rPr>
      </w:pPr>
    </w:p>
    <w:p w14:paraId="1BDBB501" w14:textId="56BB9D03" w:rsidR="00913B3A" w:rsidRDefault="00913B3A" w:rsidP="001C0486">
      <w:pPr>
        <w:rPr>
          <w:sz w:val="40"/>
          <w:szCs w:val="40"/>
        </w:rPr>
      </w:pPr>
    </w:p>
    <w:p w14:paraId="41D39E59" w14:textId="77777777" w:rsidR="0058640B" w:rsidRDefault="0058640B" w:rsidP="001C0486">
      <w:pPr>
        <w:rPr>
          <w:sz w:val="40"/>
          <w:szCs w:val="40"/>
        </w:rPr>
      </w:pPr>
    </w:p>
    <w:p w14:paraId="76835806" w14:textId="27D4D983" w:rsidR="00913B3A" w:rsidRDefault="00913B3A" w:rsidP="001C0486">
      <w:pPr>
        <w:rPr>
          <w:sz w:val="40"/>
          <w:szCs w:val="40"/>
        </w:rPr>
      </w:pPr>
    </w:p>
    <w:p w14:paraId="2BA94FD5" w14:textId="19685EAC" w:rsidR="00913B3A" w:rsidRDefault="00913B3A" w:rsidP="001C0486">
      <w:pPr>
        <w:rPr>
          <w:sz w:val="40"/>
          <w:szCs w:val="40"/>
        </w:rPr>
      </w:pPr>
    </w:p>
    <w:p w14:paraId="193541C1" w14:textId="2B28511F" w:rsidR="00913B3A" w:rsidRDefault="00913B3A" w:rsidP="001C0486">
      <w:pPr>
        <w:rPr>
          <w:sz w:val="40"/>
          <w:szCs w:val="40"/>
        </w:rPr>
      </w:pPr>
    </w:p>
    <w:p w14:paraId="44BCDB18" w14:textId="77777777" w:rsidR="00913B3A" w:rsidRPr="00C05C9B" w:rsidRDefault="00913B3A" w:rsidP="001C0486">
      <w:pPr>
        <w:rPr>
          <w:sz w:val="40"/>
          <w:szCs w:val="40"/>
        </w:rPr>
      </w:pPr>
    </w:p>
    <w:p w14:paraId="4C7C1003" w14:textId="77777777" w:rsidR="001C0486" w:rsidRPr="00C05C9B" w:rsidRDefault="001C0486" w:rsidP="001C0486">
      <w:pPr>
        <w:rPr>
          <w:sz w:val="40"/>
          <w:szCs w:val="40"/>
        </w:rPr>
      </w:pPr>
    </w:p>
    <w:p w14:paraId="596AB528" w14:textId="6C2A59A6" w:rsidR="00253C9D" w:rsidRDefault="00543DD8" w:rsidP="00253C9D">
      <w:pPr>
        <w:spacing w:before="0" w:after="0"/>
        <w:rPr>
          <w:b/>
          <w:bCs/>
        </w:rPr>
      </w:pPr>
      <w:r>
        <w:rPr>
          <w:b/>
          <w:bCs/>
        </w:rPr>
        <w:t>Tracy Dowling</w:t>
      </w:r>
    </w:p>
    <w:p w14:paraId="6DB49EC3" w14:textId="48758E14" w:rsidR="00253C9D" w:rsidRDefault="00543DD8" w:rsidP="00253C9D">
      <w:pPr>
        <w:spacing w:before="0" w:after="0"/>
      </w:pPr>
      <w:r>
        <w:t xml:space="preserve">Interim </w:t>
      </w:r>
      <w:r w:rsidR="00253C9D" w:rsidRPr="00717BD0">
        <w:t>Chief Executive of Mid and South Essex Integrated Care Board</w:t>
      </w:r>
    </w:p>
    <w:p w14:paraId="453B99DF" w14:textId="77777777" w:rsidR="00253C9D" w:rsidRDefault="00253C9D" w:rsidP="00253C9D">
      <w:pPr>
        <w:spacing w:before="0" w:after="0"/>
      </w:pPr>
    </w:p>
    <w:p w14:paraId="3B61BFD7" w14:textId="77777777" w:rsidR="008C2E92" w:rsidRPr="00FD7877" w:rsidRDefault="008C2E92" w:rsidP="008C2E92">
      <w:pPr>
        <w:pStyle w:val="BodyText"/>
        <w:rPr>
          <w:b/>
        </w:rPr>
      </w:pPr>
      <w:r>
        <w:t xml:space="preserve">24 June </w:t>
      </w:r>
      <w:r w:rsidRPr="00FD7877">
        <w:t>202</w:t>
      </w:r>
      <w:r>
        <w:t>4</w:t>
      </w:r>
    </w:p>
    <w:p w14:paraId="3871A517" w14:textId="77777777" w:rsidR="00C70A7F" w:rsidRDefault="00C70A7F" w:rsidP="00C70A7F">
      <w:pPr>
        <w:spacing w:before="0" w:after="200" w:line="276" w:lineRule="auto"/>
        <w:sectPr w:rsidR="00C70A7F">
          <w:pgSz w:w="12240" w:h="15840"/>
          <w:pgMar w:top="1440" w:right="1440" w:bottom="1440" w:left="1440" w:header="720" w:footer="720" w:gutter="0"/>
          <w:cols w:space="720"/>
        </w:sectPr>
      </w:pPr>
    </w:p>
    <w:p w14:paraId="63BEDF01" w14:textId="0263599E" w:rsidR="001C0486" w:rsidRDefault="001C0486" w:rsidP="00C70A7F">
      <w:pPr>
        <w:spacing w:before="0" w:after="200" w:line="276" w:lineRule="auto"/>
      </w:pPr>
    </w:p>
    <w:tbl>
      <w:tblPr>
        <w:tblW w:w="7371" w:type="dxa"/>
        <w:tblLook w:val="04A0" w:firstRow="1" w:lastRow="0" w:firstColumn="1" w:lastColumn="0" w:noHBand="0" w:noVBand="1"/>
      </w:tblPr>
      <w:tblGrid>
        <w:gridCol w:w="2327"/>
        <w:gridCol w:w="267"/>
        <w:gridCol w:w="4777"/>
      </w:tblGrid>
      <w:tr w:rsidR="0026563D" w:rsidRPr="0026563D" w14:paraId="3DBDD5AA" w14:textId="77777777" w:rsidTr="00D40FB7">
        <w:trPr>
          <w:trHeight w:val="260"/>
        </w:trPr>
        <w:tc>
          <w:tcPr>
            <w:tcW w:w="2327" w:type="dxa"/>
            <w:tcBorders>
              <w:top w:val="nil"/>
              <w:left w:val="nil"/>
              <w:bottom w:val="nil"/>
              <w:right w:val="nil"/>
            </w:tcBorders>
            <w:shd w:val="clear" w:color="auto" w:fill="auto"/>
            <w:noWrap/>
            <w:vAlign w:val="bottom"/>
            <w:hideMark/>
          </w:tcPr>
          <w:p w14:paraId="3F29EE55" w14:textId="77777777" w:rsidR="0026563D" w:rsidRPr="0026563D" w:rsidRDefault="0026563D" w:rsidP="0026563D">
            <w:pPr>
              <w:spacing w:before="0" w:after="0"/>
              <w:jc w:val="right"/>
              <w:rPr>
                <w:rFonts w:eastAsia="Times New Roman" w:cs="Arial"/>
                <w:sz w:val="18"/>
                <w:szCs w:val="18"/>
                <w:lang w:eastAsia="en-GB"/>
              </w:rPr>
            </w:pPr>
            <w:r w:rsidRPr="0026563D">
              <w:rPr>
                <w:rFonts w:eastAsia="Times New Roman" w:cs="Arial"/>
                <w:sz w:val="18"/>
                <w:szCs w:val="18"/>
                <w:lang w:eastAsia="en-GB"/>
              </w:rPr>
              <w:t>Entity name:</w:t>
            </w:r>
          </w:p>
        </w:tc>
        <w:tc>
          <w:tcPr>
            <w:tcW w:w="267" w:type="dxa"/>
            <w:tcBorders>
              <w:top w:val="nil"/>
              <w:left w:val="nil"/>
              <w:bottom w:val="nil"/>
              <w:right w:val="nil"/>
            </w:tcBorders>
            <w:shd w:val="clear" w:color="auto" w:fill="auto"/>
            <w:noWrap/>
            <w:vAlign w:val="bottom"/>
            <w:hideMark/>
          </w:tcPr>
          <w:p w14:paraId="46A91A34" w14:textId="77777777" w:rsidR="0026563D" w:rsidRPr="0026563D" w:rsidRDefault="0026563D" w:rsidP="0026563D">
            <w:pPr>
              <w:spacing w:before="0" w:after="0"/>
              <w:jc w:val="right"/>
              <w:rPr>
                <w:rFonts w:eastAsia="Times New Roman" w:cs="Arial"/>
                <w:sz w:val="18"/>
                <w:szCs w:val="18"/>
                <w:lang w:eastAsia="en-GB"/>
              </w:rPr>
            </w:pPr>
          </w:p>
        </w:tc>
        <w:tc>
          <w:tcPr>
            <w:tcW w:w="4777" w:type="dxa"/>
            <w:tcBorders>
              <w:top w:val="nil"/>
              <w:left w:val="nil"/>
              <w:bottom w:val="nil"/>
              <w:right w:val="nil"/>
            </w:tcBorders>
            <w:shd w:val="clear" w:color="000000" w:fill="F2F2F2"/>
            <w:noWrap/>
            <w:vAlign w:val="bottom"/>
            <w:hideMark/>
          </w:tcPr>
          <w:p w14:paraId="605F293C" w14:textId="77777777" w:rsidR="0026563D" w:rsidRPr="0026563D" w:rsidRDefault="0026563D" w:rsidP="0026563D">
            <w:pPr>
              <w:spacing w:before="0" w:after="0"/>
              <w:rPr>
                <w:rFonts w:eastAsia="Times New Roman" w:cs="Arial"/>
                <w:sz w:val="20"/>
                <w:szCs w:val="20"/>
                <w:lang w:eastAsia="en-GB"/>
              </w:rPr>
            </w:pPr>
            <w:bookmarkStart w:id="238" w:name="RANGE!D4"/>
            <w:r w:rsidRPr="0026563D">
              <w:rPr>
                <w:rFonts w:eastAsia="Times New Roman" w:cs="Arial"/>
                <w:sz w:val="20"/>
                <w:szCs w:val="20"/>
                <w:lang w:eastAsia="en-GB"/>
              </w:rPr>
              <w:t>NHS Mid and South Essex Integrated Care Board</w:t>
            </w:r>
            <w:bookmarkEnd w:id="238"/>
          </w:p>
        </w:tc>
      </w:tr>
      <w:tr w:rsidR="0026563D" w:rsidRPr="0026563D" w14:paraId="32D9E205" w14:textId="77777777" w:rsidTr="00D40FB7">
        <w:trPr>
          <w:trHeight w:val="350"/>
        </w:trPr>
        <w:tc>
          <w:tcPr>
            <w:tcW w:w="2327" w:type="dxa"/>
            <w:tcBorders>
              <w:top w:val="nil"/>
              <w:left w:val="nil"/>
              <w:bottom w:val="nil"/>
              <w:right w:val="nil"/>
            </w:tcBorders>
            <w:shd w:val="clear" w:color="auto" w:fill="auto"/>
            <w:noWrap/>
            <w:vAlign w:val="bottom"/>
            <w:hideMark/>
          </w:tcPr>
          <w:p w14:paraId="36BA9FB1" w14:textId="77777777" w:rsidR="0026563D" w:rsidRPr="0026563D" w:rsidRDefault="0026563D" w:rsidP="0026563D">
            <w:pPr>
              <w:spacing w:before="0" w:after="0"/>
              <w:rPr>
                <w:rFonts w:eastAsia="Times New Roman" w:cs="Arial"/>
                <w:sz w:val="20"/>
                <w:szCs w:val="20"/>
                <w:lang w:eastAsia="en-GB"/>
              </w:rPr>
            </w:pPr>
          </w:p>
        </w:tc>
        <w:tc>
          <w:tcPr>
            <w:tcW w:w="267" w:type="dxa"/>
            <w:tcBorders>
              <w:top w:val="nil"/>
              <w:left w:val="nil"/>
              <w:bottom w:val="nil"/>
              <w:right w:val="nil"/>
            </w:tcBorders>
            <w:shd w:val="clear" w:color="auto" w:fill="auto"/>
            <w:noWrap/>
            <w:vAlign w:val="bottom"/>
            <w:hideMark/>
          </w:tcPr>
          <w:p w14:paraId="308D2756" w14:textId="77777777" w:rsidR="0026563D" w:rsidRPr="0026563D" w:rsidRDefault="0026563D" w:rsidP="0026563D">
            <w:pPr>
              <w:spacing w:before="0" w:after="0"/>
              <w:jc w:val="right"/>
              <w:rPr>
                <w:rFonts w:ascii="Times New Roman" w:eastAsia="Times New Roman" w:hAnsi="Times New Roman" w:cs="Times New Roman"/>
                <w:sz w:val="20"/>
                <w:szCs w:val="20"/>
                <w:lang w:eastAsia="en-GB"/>
              </w:rPr>
            </w:pPr>
          </w:p>
        </w:tc>
        <w:tc>
          <w:tcPr>
            <w:tcW w:w="4777" w:type="dxa"/>
            <w:tcBorders>
              <w:top w:val="nil"/>
              <w:left w:val="nil"/>
              <w:bottom w:val="nil"/>
              <w:right w:val="nil"/>
            </w:tcBorders>
            <w:shd w:val="clear" w:color="000000" w:fill="F7F7F7"/>
            <w:noWrap/>
            <w:vAlign w:val="center"/>
            <w:hideMark/>
          </w:tcPr>
          <w:p w14:paraId="322AE682" w14:textId="77777777" w:rsidR="0026563D" w:rsidRPr="0026563D" w:rsidRDefault="0026563D" w:rsidP="0026563D">
            <w:pPr>
              <w:spacing w:before="0" w:after="0"/>
              <w:rPr>
                <w:rFonts w:eastAsia="Times New Roman" w:cs="Arial"/>
                <w:sz w:val="28"/>
                <w:szCs w:val="28"/>
                <w:lang w:eastAsia="en-GB"/>
              </w:rPr>
            </w:pPr>
            <w:r w:rsidRPr="0026563D">
              <w:rPr>
                <w:rFonts w:eastAsia="Times New Roman" w:cs="Arial"/>
                <w:sz w:val="28"/>
                <w:szCs w:val="28"/>
                <w:lang w:eastAsia="en-GB"/>
              </w:rPr>
              <w:t>Statutory Accounts</w:t>
            </w:r>
          </w:p>
        </w:tc>
      </w:tr>
      <w:tr w:rsidR="0026563D" w:rsidRPr="0026563D" w14:paraId="74699F47" w14:textId="77777777" w:rsidTr="00D40FB7">
        <w:trPr>
          <w:trHeight w:val="260"/>
        </w:trPr>
        <w:tc>
          <w:tcPr>
            <w:tcW w:w="2327" w:type="dxa"/>
            <w:tcBorders>
              <w:top w:val="nil"/>
              <w:left w:val="nil"/>
              <w:bottom w:val="nil"/>
              <w:right w:val="nil"/>
            </w:tcBorders>
            <w:shd w:val="clear" w:color="auto" w:fill="auto"/>
            <w:noWrap/>
            <w:vAlign w:val="bottom"/>
            <w:hideMark/>
          </w:tcPr>
          <w:p w14:paraId="6BC096A8" w14:textId="77777777" w:rsidR="0026563D" w:rsidRPr="0026563D" w:rsidRDefault="0026563D" w:rsidP="0026563D">
            <w:pPr>
              <w:spacing w:before="0" w:after="0"/>
              <w:rPr>
                <w:rFonts w:eastAsia="Times New Roman" w:cs="Arial"/>
                <w:sz w:val="28"/>
                <w:szCs w:val="28"/>
                <w:lang w:eastAsia="en-GB"/>
              </w:rPr>
            </w:pPr>
          </w:p>
        </w:tc>
        <w:tc>
          <w:tcPr>
            <w:tcW w:w="267" w:type="dxa"/>
            <w:tcBorders>
              <w:top w:val="nil"/>
              <w:left w:val="nil"/>
              <w:bottom w:val="nil"/>
              <w:right w:val="nil"/>
            </w:tcBorders>
            <w:shd w:val="clear" w:color="auto" w:fill="auto"/>
            <w:noWrap/>
            <w:vAlign w:val="bottom"/>
            <w:hideMark/>
          </w:tcPr>
          <w:p w14:paraId="566097C0" w14:textId="77777777" w:rsidR="0026563D" w:rsidRPr="0026563D" w:rsidRDefault="0026563D" w:rsidP="0026563D">
            <w:pPr>
              <w:spacing w:before="0" w:after="0"/>
              <w:jc w:val="right"/>
              <w:rPr>
                <w:rFonts w:ascii="Times New Roman" w:eastAsia="Times New Roman" w:hAnsi="Times New Roman" w:cs="Times New Roman"/>
                <w:sz w:val="20"/>
                <w:szCs w:val="20"/>
                <w:lang w:eastAsia="en-GB"/>
              </w:rPr>
            </w:pPr>
          </w:p>
        </w:tc>
        <w:tc>
          <w:tcPr>
            <w:tcW w:w="4777" w:type="dxa"/>
            <w:tcBorders>
              <w:top w:val="nil"/>
              <w:left w:val="nil"/>
              <w:bottom w:val="nil"/>
              <w:right w:val="nil"/>
            </w:tcBorders>
            <w:shd w:val="clear" w:color="000000" w:fill="FFFFFF"/>
            <w:noWrap/>
            <w:vAlign w:val="bottom"/>
            <w:hideMark/>
          </w:tcPr>
          <w:p w14:paraId="52AA902B" w14:textId="77777777" w:rsidR="0026563D" w:rsidRPr="0026563D" w:rsidRDefault="0026563D" w:rsidP="0026563D">
            <w:pPr>
              <w:spacing w:before="0" w:after="0"/>
              <w:rPr>
                <w:rFonts w:eastAsia="Times New Roman" w:cs="Arial"/>
                <w:sz w:val="20"/>
                <w:szCs w:val="20"/>
                <w:lang w:eastAsia="en-GB"/>
              </w:rPr>
            </w:pPr>
            <w:r w:rsidRPr="0026563D">
              <w:rPr>
                <w:rFonts w:eastAsia="Times New Roman" w:cs="Arial"/>
                <w:sz w:val="20"/>
                <w:szCs w:val="20"/>
                <w:lang w:eastAsia="en-GB"/>
              </w:rPr>
              <w:t> </w:t>
            </w:r>
          </w:p>
        </w:tc>
      </w:tr>
      <w:tr w:rsidR="0026563D" w:rsidRPr="0026563D" w14:paraId="222A05BF" w14:textId="77777777" w:rsidTr="00D40FB7">
        <w:trPr>
          <w:trHeight w:val="260"/>
        </w:trPr>
        <w:tc>
          <w:tcPr>
            <w:tcW w:w="2327" w:type="dxa"/>
            <w:tcBorders>
              <w:top w:val="nil"/>
              <w:left w:val="nil"/>
              <w:bottom w:val="nil"/>
              <w:right w:val="nil"/>
            </w:tcBorders>
            <w:shd w:val="clear" w:color="auto" w:fill="auto"/>
            <w:noWrap/>
            <w:vAlign w:val="bottom"/>
            <w:hideMark/>
          </w:tcPr>
          <w:p w14:paraId="131068F2" w14:textId="77777777" w:rsidR="0026563D" w:rsidRPr="0026563D" w:rsidRDefault="0026563D" w:rsidP="0026563D">
            <w:pPr>
              <w:spacing w:before="0" w:after="0"/>
              <w:jc w:val="right"/>
              <w:rPr>
                <w:rFonts w:eastAsia="Times New Roman" w:cs="Arial"/>
                <w:sz w:val="18"/>
                <w:szCs w:val="18"/>
                <w:lang w:eastAsia="en-GB"/>
              </w:rPr>
            </w:pPr>
            <w:r w:rsidRPr="0026563D">
              <w:rPr>
                <w:rFonts w:eastAsia="Times New Roman" w:cs="Arial"/>
                <w:sz w:val="18"/>
                <w:szCs w:val="18"/>
                <w:lang w:eastAsia="en-GB"/>
              </w:rPr>
              <w:t>This year</w:t>
            </w:r>
          </w:p>
        </w:tc>
        <w:tc>
          <w:tcPr>
            <w:tcW w:w="267" w:type="dxa"/>
            <w:tcBorders>
              <w:top w:val="nil"/>
              <w:left w:val="nil"/>
              <w:bottom w:val="nil"/>
              <w:right w:val="nil"/>
            </w:tcBorders>
            <w:shd w:val="clear" w:color="auto" w:fill="auto"/>
            <w:noWrap/>
            <w:vAlign w:val="bottom"/>
            <w:hideMark/>
          </w:tcPr>
          <w:p w14:paraId="7796D305" w14:textId="77777777" w:rsidR="0026563D" w:rsidRPr="0026563D" w:rsidRDefault="0026563D" w:rsidP="0026563D">
            <w:pPr>
              <w:spacing w:before="0" w:after="0"/>
              <w:jc w:val="right"/>
              <w:rPr>
                <w:rFonts w:eastAsia="Times New Roman" w:cs="Arial"/>
                <w:sz w:val="18"/>
                <w:szCs w:val="18"/>
                <w:lang w:eastAsia="en-GB"/>
              </w:rPr>
            </w:pPr>
          </w:p>
        </w:tc>
        <w:tc>
          <w:tcPr>
            <w:tcW w:w="4777" w:type="dxa"/>
            <w:tcBorders>
              <w:top w:val="nil"/>
              <w:left w:val="nil"/>
              <w:bottom w:val="nil"/>
              <w:right w:val="nil"/>
            </w:tcBorders>
            <w:shd w:val="clear" w:color="000000" w:fill="F2F2F2"/>
            <w:noWrap/>
            <w:vAlign w:val="bottom"/>
            <w:hideMark/>
          </w:tcPr>
          <w:p w14:paraId="702A4F1D" w14:textId="77777777" w:rsidR="0026563D" w:rsidRPr="0026563D" w:rsidRDefault="0026563D" w:rsidP="0026563D">
            <w:pPr>
              <w:spacing w:before="0" w:after="0"/>
              <w:rPr>
                <w:rFonts w:eastAsia="Times New Roman" w:cs="Arial"/>
                <w:b/>
                <w:bCs/>
                <w:sz w:val="20"/>
                <w:szCs w:val="20"/>
                <w:lang w:eastAsia="en-GB"/>
              </w:rPr>
            </w:pPr>
            <w:bookmarkStart w:id="239" w:name="RANGE!D7"/>
            <w:r w:rsidRPr="0026563D">
              <w:rPr>
                <w:rFonts w:eastAsia="Times New Roman" w:cs="Arial"/>
                <w:b/>
                <w:bCs/>
                <w:sz w:val="20"/>
                <w:szCs w:val="20"/>
                <w:lang w:eastAsia="en-GB"/>
              </w:rPr>
              <w:t>1-Apr-23 to 31-Mar-24</w:t>
            </w:r>
            <w:bookmarkEnd w:id="239"/>
          </w:p>
        </w:tc>
      </w:tr>
      <w:tr w:rsidR="0026563D" w:rsidRPr="0026563D" w14:paraId="6E89F1AE" w14:textId="77777777" w:rsidTr="00D40FB7">
        <w:trPr>
          <w:trHeight w:val="260"/>
        </w:trPr>
        <w:tc>
          <w:tcPr>
            <w:tcW w:w="2327" w:type="dxa"/>
            <w:tcBorders>
              <w:top w:val="nil"/>
              <w:left w:val="nil"/>
              <w:bottom w:val="nil"/>
              <w:right w:val="nil"/>
            </w:tcBorders>
            <w:shd w:val="clear" w:color="auto" w:fill="auto"/>
            <w:noWrap/>
            <w:vAlign w:val="bottom"/>
            <w:hideMark/>
          </w:tcPr>
          <w:p w14:paraId="412B2DC1" w14:textId="77777777" w:rsidR="0026563D" w:rsidRPr="0026563D" w:rsidRDefault="0026563D" w:rsidP="0026563D">
            <w:pPr>
              <w:spacing w:before="0" w:after="0"/>
              <w:jc w:val="right"/>
              <w:rPr>
                <w:rFonts w:eastAsia="Times New Roman" w:cs="Arial"/>
                <w:sz w:val="18"/>
                <w:szCs w:val="18"/>
                <w:lang w:eastAsia="en-GB"/>
              </w:rPr>
            </w:pPr>
            <w:r w:rsidRPr="0026563D">
              <w:rPr>
                <w:rFonts w:eastAsia="Times New Roman" w:cs="Arial"/>
                <w:sz w:val="18"/>
                <w:szCs w:val="18"/>
                <w:lang w:eastAsia="en-GB"/>
              </w:rPr>
              <w:t>Last year</w:t>
            </w:r>
          </w:p>
        </w:tc>
        <w:tc>
          <w:tcPr>
            <w:tcW w:w="267" w:type="dxa"/>
            <w:tcBorders>
              <w:top w:val="nil"/>
              <w:left w:val="nil"/>
              <w:bottom w:val="nil"/>
              <w:right w:val="nil"/>
            </w:tcBorders>
            <w:shd w:val="clear" w:color="auto" w:fill="auto"/>
            <w:noWrap/>
            <w:vAlign w:val="bottom"/>
            <w:hideMark/>
          </w:tcPr>
          <w:p w14:paraId="308715E3" w14:textId="77777777" w:rsidR="0026563D" w:rsidRPr="0026563D" w:rsidRDefault="0026563D" w:rsidP="0026563D">
            <w:pPr>
              <w:spacing w:before="0" w:after="0"/>
              <w:jc w:val="right"/>
              <w:rPr>
                <w:rFonts w:eastAsia="Times New Roman" w:cs="Arial"/>
                <w:sz w:val="18"/>
                <w:szCs w:val="18"/>
                <w:lang w:eastAsia="en-GB"/>
              </w:rPr>
            </w:pPr>
          </w:p>
        </w:tc>
        <w:tc>
          <w:tcPr>
            <w:tcW w:w="4777" w:type="dxa"/>
            <w:tcBorders>
              <w:top w:val="nil"/>
              <w:left w:val="nil"/>
              <w:bottom w:val="nil"/>
              <w:right w:val="nil"/>
            </w:tcBorders>
            <w:shd w:val="clear" w:color="000000" w:fill="F7F7F7"/>
            <w:noWrap/>
            <w:vAlign w:val="bottom"/>
            <w:hideMark/>
          </w:tcPr>
          <w:p w14:paraId="495F77F6" w14:textId="77777777" w:rsidR="0026563D" w:rsidRPr="0026563D" w:rsidRDefault="0026563D" w:rsidP="0026563D">
            <w:pPr>
              <w:spacing w:before="0" w:after="0"/>
              <w:rPr>
                <w:rFonts w:eastAsia="Times New Roman" w:cs="Arial"/>
                <w:sz w:val="20"/>
                <w:szCs w:val="20"/>
                <w:lang w:eastAsia="en-GB"/>
              </w:rPr>
            </w:pPr>
            <w:bookmarkStart w:id="240" w:name="RANGE!D8"/>
            <w:r w:rsidRPr="0026563D">
              <w:rPr>
                <w:rFonts w:eastAsia="Times New Roman" w:cs="Arial"/>
                <w:sz w:val="20"/>
                <w:szCs w:val="20"/>
                <w:lang w:eastAsia="en-GB"/>
              </w:rPr>
              <w:t>1-Jul-22 to 31-Mar-23</w:t>
            </w:r>
            <w:bookmarkEnd w:id="240"/>
          </w:p>
        </w:tc>
      </w:tr>
      <w:tr w:rsidR="0026563D" w:rsidRPr="0026563D" w14:paraId="7866E546" w14:textId="77777777" w:rsidTr="00D40FB7">
        <w:trPr>
          <w:trHeight w:val="260"/>
        </w:trPr>
        <w:tc>
          <w:tcPr>
            <w:tcW w:w="2327" w:type="dxa"/>
            <w:tcBorders>
              <w:top w:val="nil"/>
              <w:left w:val="nil"/>
              <w:bottom w:val="nil"/>
              <w:right w:val="nil"/>
            </w:tcBorders>
            <w:shd w:val="clear" w:color="auto" w:fill="auto"/>
            <w:noWrap/>
            <w:vAlign w:val="bottom"/>
            <w:hideMark/>
          </w:tcPr>
          <w:p w14:paraId="3D098DD5" w14:textId="77777777" w:rsidR="0026563D" w:rsidRPr="0026563D" w:rsidRDefault="0026563D" w:rsidP="0026563D">
            <w:pPr>
              <w:spacing w:before="0" w:after="0"/>
              <w:rPr>
                <w:rFonts w:eastAsia="Times New Roman" w:cs="Arial"/>
                <w:sz w:val="20"/>
                <w:szCs w:val="20"/>
                <w:lang w:eastAsia="en-GB"/>
              </w:rPr>
            </w:pPr>
          </w:p>
        </w:tc>
        <w:tc>
          <w:tcPr>
            <w:tcW w:w="267" w:type="dxa"/>
            <w:tcBorders>
              <w:top w:val="nil"/>
              <w:left w:val="nil"/>
              <w:bottom w:val="nil"/>
              <w:right w:val="nil"/>
            </w:tcBorders>
            <w:shd w:val="clear" w:color="auto" w:fill="auto"/>
            <w:noWrap/>
            <w:vAlign w:val="bottom"/>
            <w:hideMark/>
          </w:tcPr>
          <w:p w14:paraId="3292F454" w14:textId="77777777" w:rsidR="0026563D" w:rsidRPr="0026563D" w:rsidRDefault="0026563D" w:rsidP="0026563D">
            <w:pPr>
              <w:spacing w:before="0" w:after="0"/>
              <w:jc w:val="right"/>
              <w:rPr>
                <w:rFonts w:ascii="Times New Roman" w:eastAsia="Times New Roman" w:hAnsi="Times New Roman" w:cs="Times New Roman"/>
                <w:sz w:val="20"/>
                <w:szCs w:val="20"/>
                <w:lang w:eastAsia="en-GB"/>
              </w:rPr>
            </w:pPr>
          </w:p>
        </w:tc>
        <w:tc>
          <w:tcPr>
            <w:tcW w:w="4777" w:type="dxa"/>
            <w:tcBorders>
              <w:top w:val="nil"/>
              <w:left w:val="nil"/>
              <w:bottom w:val="nil"/>
              <w:right w:val="nil"/>
            </w:tcBorders>
            <w:shd w:val="clear" w:color="000000" w:fill="FFFFFF"/>
            <w:noWrap/>
            <w:vAlign w:val="bottom"/>
            <w:hideMark/>
          </w:tcPr>
          <w:p w14:paraId="4AB40D16" w14:textId="77777777" w:rsidR="0026563D" w:rsidRPr="0026563D" w:rsidRDefault="0026563D" w:rsidP="0026563D">
            <w:pPr>
              <w:spacing w:before="0" w:after="0"/>
              <w:rPr>
                <w:rFonts w:eastAsia="Times New Roman" w:cs="Arial"/>
                <w:sz w:val="20"/>
                <w:szCs w:val="20"/>
                <w:lang w:eastAsia="en-GB"/>
              </w:rPr>
            </w:pPr>
            <w:r w:rsidRPr="0026563D">
              <w:rPr>
                <w:rFonts w:eastAsia="Times New Roman" w:cs="Arial"/>
                <w:sz w:val="20"/>
                <w:szCs w:val="20"/>
                <w:lang w:eastAsia="en-GB"/>
              </w:rPr>
              <w:t> </w:t>
            </w:r>
          </w:p>
        </w:tc>
      </w:tr>
      <w:tr w:rsidR="0026563D" w:rsidRPr="0026563D" w14:paraId="47204753" w14:textId="77777777" w:rsidTr="00D40FB7">
        <w:trPr>
          <w:trHeight w:val="260"/>
        </w:trPr>
        <w:tc>
          <w:tcPr>
            <w:tcW w:w="2327" w:type="dxa"/>
            <w:tcBorders>
              <w:top w:val="nil"/>
              <w:left w:val="nil"/>
              <w:bottom w:val="nil"/>
              <w:right w:val="nil"/>
            </w:tcBorders>
            <w:shd w:val="clear" w:color="000000" w:fill="FFFFFF"/>
            <w:noWrap/>
            <w:vAlign w:val="bottom"/>
            <w:hideMark/>
          </w:tcPr>
          <w:p w14:paraId="1E7697EE" w14:textId="77777777" w:rsidR="0026563D" w:rsidRPr="0026563D" w:rsidRDefault="0026563D" w:rsidP="0026563D">
            <w:pPr>
              <w:spacing w:before="0" w:after="0"/>
              <w:jc w:val="right"/>
              <w:rPr>
                <w:rFonts w:eastAsia="Times New Roman" w:cs="Arial"/>
                <w:sz w:val="18"/>
                <w:szCs w:val="18"/>
                <w:lang w:eastAsia="en-GB"/>
              </w:rPr>
            </w:pPr>
            <w:r w:rsidRPr="0026563D">
              <w:rPr>
                <w:rFonts w:eastAsia="Times New Roman" w:cs="Arial"/>
                <w:sz w:val="18"/>
                <w:szCs w:val="18"/>
                <w:lang w:eastAsia="en-GB"/>
              </w:rPr>
              <w:t>This year ended</w:t>
            </w:r>
          </w:p>
        </w:tc>
        <w:tc>
          <w:tcPr>
            <w:tcW w:w="267" w:type="dxa"/>
            <w:tcBorders>
              <w:top w:val="nil"/>
              <w:left w:val="nil"/>
              <w:bottom w:val="nil"/>
              <w:right w:val="nil"/>
            </w:tcBorders>
            <w:shd w:val="clear" w:color="000000" w:fill="FFFFFF"/>
            <w:noWrap/>
            <w:vAlign w:val="bottom"/>
            <w:hideMark/>
          </w:tcPr>
          <w:p w14:paraId="46AF55B6" w14:textId="77777777" w:rsidR="0026563D" w:rsidRPr="0026563D" w:rsidRDefault="0026563D" w:rsidP="0026563D">
            <w:pPr>
              <w:spacing w:before="0" w:after="0"/>
              <w:jc w:val="right"/>
              <w:rPr>
                <w:rFonts w:eastAsia="Times New Roman" w:cs="Arial"/>
                <w:sz w:val="18"/>
                <w:szCs w:val="18"/>
                <w:lang w:eastAsia="en-GB"/>
              </w:rPr>
            </w:pPr>
            <w:r w:rsidRPr="0026563D">
              <w:rPr>
                <w:rFonts w:eastAsia="Times New Roman" w:cs="Arial"/>
                <w:sz w:val="18"/>
                <w:szCs w:val="18"/>
                <w:lang w:eastAsia="en-GB"/>
              </w:rPr>
              <w:t> </w:t>
            </w:r>
          </w:p>
        </w:tc>
        <w:tc>
          <w:tcPr>
            <w:tcW w:w="4777" w:type="dxa"/>
            <w:tcBorders>
              <w:top w:val="nil"/>
              <w:left w:val="nil"/>
              <w:bottom w:val="nil"/>
              <w:right w:val="nil"/>
            </w:tcBorders>
            <w:shd w:val="clear" w:color="000000" w:fill="F2F2F2"/>
            <w:noWrap/>
            <w:vAlign w:val="bottom"/>
            <w:hideMark/>
          </w:tcPr>
          <w:p w14:paraId="4F77EF33" w14:textId="77777777" w:rsidR="0026563D" w:rsidRPr="0026563D" w:rsidRDefault="0026563D" w:rsidP="0026563D">
            <w:pPr>
              <w:spacing w:before="0" w:after="0"/>
              <w:rPr>
                <w:rFonts w:eastAsia="Times New Roman" w:cs="Arial"/>
                <w:b/>
                <w:bCs/>
                <w:sz w:val="20"/>
                <w:szCs w:val="20"/>
                <w:lang w:eastAsia="en-GB"/>
              </w:rPr>
            </w:pPr>
            <w:bookmarkStart w:id="241" w:name="RANGE!D10"/>
            <w:r w:rsidRPr="0026563D">
              <w:rPr>
                <w:rFonts w:eastAsia="Times New Roman" w:cs="Arial"/>
                <w:b/>
                <w:bCs/>
                <w:sz w:val="20"/>
                <w:szCs w:val="20"/>
                <w:lang w:eastAsia="en-GB"/>
              </w:rPr>
              <w:t>31-Mar-24</w:t>
            </w:r>
            <w:bookmarkEnd w:id="241"/>
          </w:p>
        </w:tc>
      </w:tr>
      <w:tr w:rsidR="0026563D" w:rsidRPr="0026563D" w14:paraId="6502D2FE" w14:textId="77777777" w:rsidTr="00D40FB7">
        <w:trPr>
          <w:trHeight w:val="260"/>
        </w:trPr>
        <w:tc>
          <w:tcPr>
            <w:tcW w:w="2327" w:type="dxa"/>
            <w:tcBorders>
              <w:top w:val="nil"/>
              <w:left w:val="nil"/>
              <w:bottom w:val="nil"/>
              <w:right w:val="nil"/>
            </w:tcBorders>
            <w:shd w:val="clear" w:color="auto" w:fill="auto"/>
            <w:noWrap/>
            <w:vAlign w:val="bottom"/>
            <w:hideMark/>
          </w:tcPr>
          <w:p w14:paraId="3C5D2627" w14:textId="77777777" w:rsidR="0026563D" w:rsidRPr="0026563D" w:rsidRDefault="0026563D" w:rsidP="0026563D">
            <w:pPr>
              <w:spacing w:before="0" w:after="0"/>
              <w:jc w:val="right"/>
              <w:rPr>
                <w:rFonts w:eastAsia="Times New Roman" w:cs="Arial"/>
                <w:sz w:val="18"/>
                <w:szCs w:val="18"/>
                <w:lang w:eastAsia="en-GB"/>
              </w:rPr>
            </w:pPr>
            <w:r w:rsidRPr="0026563D">
              <w:rPr>
                <w:rFonts w:eastAsia="Times New Roman" w:cs="Arial"/>
                <w:sz w:val="18"/>
                <w:szCs w:val="18"/>
                <w:lang w:eastAsia="en-GB"/>
              </w:rPr>
              <w:t>Last year ended</w:t>
            </w:r>
          </w:p>
        </w:tc>
        <w:tc>
          <w:tcPr>
            <w:tcW w:w="267" w:type="dxa"/>
            <w:tcBorders>
              <w:top w:val="nil"/>
              <w:left w:val="nil"/>
              <w:bottom w:val="nil"/>
              <w:right w:val="nil"/>
            </w:tcBorders>
            <w:shd w:val="clear" w:color="auto" w:fill="auto"/>
            <w:noWrap/>
            <w:vAlign w:val="bottom"/>
            <w:hideMark/>
          </w:tcPr>
          <w:p w14:paraId="5C8D6854" w14:textId="77777777" w:rsidR="0026563D" w:rsidRPr="0026563D" w:rsidRDefault="0026563D" w:rsidP="0026563D">
            <w:pPr>
              <w:spacing w:before="0" w:after="0"/>
              <w:jc w:val="right"/>
              <w:rPr>
                <w:rFonts w:eastAsia="Times New Roman" w:cs="Arial"/>
                <w:sz w:val="18"/>
                <w:szCs w:val="18"/>
                <w:lang w:eastAsia="en-GB"/>
              </w:rPr>
            </w:pPr>
          </w:p>
        </w:tc>
        <w:tc>
          <w:tcPr>
            <w:tcW w:w="4777" w:type="dxa"/>
            <w:tcBorders>
              <w:top w:val="nil"/>
              <w:left w:val="nil"/>
              <w:bottom w:val="nil"/>
              <w:right w:val="nil"/>
            </w:tcBorders>
            <w:shd w:val="clear" w:color="000000" w:fill="F7F7F7"/>
            <w:noWrap/>
            <w:vAlign w:val="bottom"/>
            <w:hideMark/>
          </w:tcPr>
          <w:p w14:paraId="37E84744" w14:textId="77777777" w:rsidR="0026563D" w:rsidRPr="0026563D" w:rsidRDefault="0026563D" w:rsidP="0026563D">
            <w:pPr>
              <w:spacing w:before="0" w:after="0"/>
              <w:rPr>
                <w:rFonts w:eastAsia="Times New Roman" w:cs="Arial"/>
                <w:sz w:val="20"/>
                <w:szCs w:val="20"/>
                <w:lang w:eastAsia="en-GB"/>
              </w:rPr>
            </w:pPr>
            <w:bookmarkStart w:id="242" w:name="RANGE!D11"/>
            <w:r w:rsidRPr="0026563D">
              <w:rPr>
                <w:rFonts w:eastAsia="Times New Roman" w:cs="Arial"/>
                <w:sz w:val="20"/>
                <w:szCs w:val="20"/>
                <w:lang w:eastAsia="en-GB"/>
              </w:rPr>
              <w:t>31-Mar-23</w:t>
            </w:r>
            <w:bookmarkEnd w:id="242"/>
          </w:p>
        </w:tc>
      </w:tr>
      <w:tr w:rsidR="0026563D" w:rsidRPr="0026563D" w14:paraId="5912F7A2" w14:textId="77777777" w:rsidTr="00D40FB7">
        <w:trPr>
          <w:trHeight w:val="260"/>
        </w:trPr>
        <w:tc>
          <w:tcPr>
            <w:tcW w:w="2327" w:type="dxa"/>
            <w:tcBorders>
              <w:top w:val="nil"/>
              <w:left w:val="nil"/>
              <w:bottom w:val="nil"/>
              <w:right w:val="nil"/>
            </w:tcBorders>
            <w:shd w:val="clear" w:color="auto" w:fill="auto"/>
            <w:noWrap/>
            <w:vAlign w:val="bottom"/>
            <w:hideMark/>
          </w:tcPr>
          <w:p w14:paraId="38654B91" w14:textId="77777777" w:rsidR="0026563D" w:rsidRPr="0026563D" w:rsidRDefault="0026563D" w:rsidP="0026563D">
            <w:pPr>
              <w:spacing w:before="0" w:after="0"/>
              <w:rPr>
                <w:rFonts w:eastAsia="Times New Roman" w:cs="Arial"/>
                <w:sz w:val="20"/>
                <w:szCs w:val="20"/>
                <w:lang w:eastAsia="en-GB"/>
              </w:rPr>
            </w:pPr>
          </w:p>
        </w:tc>
        <w:tc>
          <w:tcPr>
            <w:tcW w:w="267" w:type="dxa"/>
            <w:tcBorders>
              <w:top w:val="nil"/>
              <w:left w:val="nil"/>
              <w:bottom w:val="nil"/>
              <w:right w:val="nil"/>
            </w:tcBorders>
            <w:shd w:val="clear" w:color="auto" w:fill="auto"/>
            <w:noWrap/>
            <w:vAlign w:val="bottom"/>
            <w:hideMark/>
          </w:tcPr>
          <w:p w14:paraId="2110C5BB" w14:textId="77777777" w:rsidR="0026563D" w:rsidRPr="0026563D" w:rsidRDefault="0026563D" w:rsidP="0026563D">
            <w:pPr>
              <w:spacing w:before="0" w:after="0"/>
              <w:jc w:val="right"/>
              <w:rPr>
                <w:rFonts w:ascii="Times New Roman" w:eastAsia="Times New Roman" w:hAnsi="Times New Roman" w:cs="Times New Roman"/>
                <w:sz w:val="20"/>
                <w:szCs w:val="20"/>
                <w:lang w:eastAsia="en-GB"/>
              </w:rPr>
            </w:pPr>
          </w:p>
        </w:tc>
        <w:tc>
          <w:tcPr>
            <w:tcW w:w="4777" w:type="dxa"/>
            <w:tcBorders>
              <w:top w:val="nil"/>
              <w:left w:val="nil"/>
              <w:bottom w:val="nil"/>
              <w:right w:val="nil"/>
            </w:tcBorders>
            <w:shd w:val="clear" w:color="000000" w:fill="FFFFFF"/>
            <w:noWrap/>
            <w:vAlign w:val="bottom"/>
            <w:hideMark/>
          </w:tcPr>
          <w:p w14:paraId="1B7E586C" w14:textId="77777777" w:rsidR="0026563D" w:rsidRPr="0026563D" w:rsidRDefault="0026563D" w:rsidP="0026563D">
            <w:pPr>
              <w:spacing w:before="0" w:after="0"/>
              <w:rPr>
                <w:rFonts w:eastAsia="Times New Roman" w:cs="Arial"/>
                <w:sz w:val="20"/>
                <w:szCs w:val="20"/>
                <w:lang w:eastAsia="en-GB"/>
              </w:rPr>
            </w:pPr>
            <w:r w:rsidRPr="0026563D">
              <w:rPr>
                <w:rFonts w:eastAsia="Times New Roman" w:cs="Arial"/>
                <w:sz w:val="20"/>
                <w:szCs w:val="20"/>
                <w:lang w:eastAsia="en-GB"/>
              </w:rPr>
              <w:t> </w:t>
            </w:r>
          </w:p>
        </w:tc>
      </w:tr>
      <w:tr w:rsidR="0026563D" w:rsidRPr="0026563D" w14:paraId="2EFCD3B8" w14:textId="77777777" w:rsidTr="00D40FB7">
        <w:trPr>
          <w:trHeight w:val="260"/>
        </w:trPr>
        <w:tc>
          <w:tcPr>
            <w:tcW w:w="2327" w:type="dxa"/>
            <w:tcBorders>
              <w:top w:val="nil"/>
              <w:left w:val="nil"/>
              <w:bottom w:val="nil"/>
              <w:right w:val="nil"/>
            </w:tcBorders>
            <w:shd w:val="clear" w:color="auto" w:fill="auto"/>
            <w:noWrap/>
            <w:vAlign w:val="bottom"/>
            <w:hideMark/>
          </w:tcPr>
          <w:p w14:paraId="47B2D7DE" w14:textId="77777777" w:rsidR="0026563D" w:rsidRPr="0026563D" w:rsidRDefault="0026563D" w:rsidP="0026563D">
            <w:pPr>
              <w:spacing w:before="0" w:after="0"/>
              <w:jc w:val="right"/>
              <w:rPr>
                <w:rFonts w:eastAsia="Times New Roman" w:cs="Arial"/>
                <w:sz w:val="18"/>
                <w:szCs w:val="18"/>
                <w:lang w:eastAsia="en-GB"/>
              </w:rPr>
            </w:pPr>
            <w:r w:rsidRPr="0026563D">
              <w:rPr>
                <w:rFonts w:eastAsia="Times New Roman" w:cs="Arial"/>
                <w:sz w:val="18"/>
                <w:szCs w:val="18"/>
                <w:lang w:eastAsia="en-GB"/>
              </w:rPr>
              <w:t>This year commencing:</w:t>
            </w:r>
          </w:p>
        </w:tc>
        <w:tc>
          <w:tcPr>
            <w:tcW w:w="267" w:type="dxa"/>
            <w:tcBorders>
              <w:top w:val="nil"/>
              <w:left w:val="nil"/>
              <w:bottom w:val="nil"/>
              <w:right w:val="nil"/>
            </w:tcBorders>
            <w:shd w:val="clear" w:color="auto" w:fill="auto"/>
            <w:noWrap/>
            <w:vAlign w:val="bottom"/>
            <w:hideMark/>
          </w:tcPr>
          <w:p w14:paraId="33104D92" w14:textId="77777777" w:rsidR="0026563D" w:rsidRPr="0026563D" w:rsidRDefault="0026563D" w:rsidP="0026563D">
            <w:pPr>
              <w:spacing w:before="0" w:after="0"/>
              <w:jc w:val="right"/>
              <w:rPr>
                <w:rFonts w:eastAsia="Times New Roman" w:cs="Arial"/>
                <w:sz w:val="18"/>
                <w:szCs w:val="18"/>
                <w:lang w:eastAsia="en-GB"/>
              </w:rPr>
            </w:pPr>
          </w:p>
        </w:tc>
        <w:tc>
          <w:tcPr>
            <w:tcW w:w="4777" w:type="dxa"/>
            <w:tcBorders>
              <w:top w:val="nil"/>
              <w:left w:val="nil"/>
              <w:bottom w:val="nil"/>
              <w:right w:val="nil"/>
            </w:tcBorders>
            <w:shd w:val="clear" w:color="000000" w:fill="F2F2F2"/>
            <w:noWrap/>
            <w:vAlign w:val="bottom"/>
            <w:hideMark/>
          </w:tcPr>
          <w:p w14:paraId="137C9F6D" w14:textId="77777777" w:rsidR="0026563D" w:rsidRPr="0026563D" w:rsidRDefault="0026563D" w:rsidP="0026563D">
            <w:pPr>
              <w:spacing w:before="0" w:after="0"/>
              <w:rPr>
                <w:rFonts w:eastAsia="Times New Roman" w:cs="Arial"/>
                <w:b/>
                <w:bCs/>
                <w:sz w:val="20"/>
                <w:szCs w:val="20"/>
                <w:lang w:eastAsia="en-GB"/>
              </w:rPr>
            </w:pPr>
            <w:bookmarkStart w:id="243" w:name="RANGE!D13"/>
            <w:r w:rsidRPr="0026563D">
              <w:rPr>
                <w:rFonts w:eastAsia="Times New Roman" w:cs="Arial"/>
                <w:b/>
                <w:bCs/>
                <w:sz w:val="20"/>
                <w:szCs w:val="20"/>
                <w:lang w:eastAsia="en-GB"/>
              </w:rPr>
              <w:t>01-Apr-23</w:t>
            </w:r>
            <w:bookmarkEnd w:id="243"/>
          </w:p>
        </w:tc>
      </w:tr>
      <w:tr w:rsidR="0026563D" w:rsidRPr="0026563D" w14:paraId="2AC85F00" w14:textId="77777777" w:rsidTr="00D40FB7">
        <w:trPr>
          <w:trHeight w:val="260"/>
        </w:trPr>
        <w:tc>
          <w:tcPr>
            <w:tcW w:w="2327" w:type="dxa"/>
            <w:tcBorders>
              <w:top w:val="nil"/>
              <w:left w:val="nil"/>
              <w:bottom w:val="nil"/>
              <w:right w:val="nil"/>
            </w:tcBorders>
            <w:shd w:val="clear" w:color="auto" w:fill="auto"/>
            <w:noWrap/>
            <w:vAlign w:val="bottom"/>
            <w:hideMark/>
          </w:tcPr>
          <w:p w14:paraId="3452F962" w14:textId="77777777" w:rsidR="0026563D" w:rsidRPr="0026563D" w:rsidRDefault="0026563D" w:rsidP="0026563D">
            <w:pPr>
              <w:spacing w:before="0" w:after="0"/>
              <w:jc w:val="right"/>
              <w:rPr>
                <w:rFonts w:eastAsia="Times New Roman" w:cs="Arial"/>
                <w:sz w:val="18"/>
                <w:szCs w:val="18"/>
                <w:lang w:eastAsia="en-GB"/>
              </w:rPr>
            </w:pPr>
            <w:r w:rsidRPr="0026563D">
              <w:rPr>
                <w:rFonts w:eastAsia="Times New Roman" w:cs="Arial"/>
                <w:sz w:val="18"/>
                <w:szCs w:val="18"/>
                <w:lang w:eastAsia="en-GB"/>
              </w:rPr>
              <w:t>Last year commencing:</w:t>
            </w:r>
          </w:p>
        </w:tc>
        <w:tc>
          <w:tcPr>
            <w:tcW w:w="267" w:type="dxa"/>
            <w:tcBorders>
              <w:top w:val="nil"/>
              <w:left w:val="nil"/>
              <w:bottom w:val="nil"/>
              <w:right w:val="nil"/>
            </w:tcBorders>
            <w:shd w:val="clear" w:color="auto" w:fill="auto"/>
            <w:noWrap/>
            <w:vAlign w:val="bottom"/>
            <w:hideMark/>
          </w:tcPr>
          <w:p w14:paraId="6E35FFA3" w14:textId="77777777" w:rsidR="0026563D" w:rsidRPr="0026563D" w:rsidRDefault="0026563D" w:rsidP="0026563D">
            <w:pPr>
              <w:spacing w:before="0" w:after="0"/>
              <w:jc w:val="right"/>
              <w:rPr>
                <w:rFonts w:eastAsia="Times New Roman" w:cs="Arial"/>
                <w:sz w:val="18"/>
                <w:szCs w:val="18"/>
                <w:lang w:eastAsia="en-GB"/>
              </w:rPr>
            </w:pPr>
          </w:p>
        </w:tc>
        <w:tc>
          <w:tcPr>
            <w:tcW w:w="4777" w:type="dxa"/>
            <w:tcBorders>
              <w:top w:val="nil"/>
              <w:left w:val="nil"/>
              <w:bottom w:val="nil"/>
              <w:right w:val="nil"/>
            </w:tcBorders>
            <w:shd w:val="clear" w:color="000000" w:fill="F7F7F7"/>
            <w:noWrap/>
            <w:vAlign w:val="bottom"/>
            <w:hideMark/>
          </w:tcPr>
          <w:p w14:paraId="289D04A8" w14:textId="77777777" w:rsidR="0026563D" w:rsidRPr="0026563D" w:rsidRDefault="0026563D" w:rsidP="0026563D">
            <w:pPr>
              <w:spacing w:before="0" w:after="0"/>
              <w:rPr>
                <w:rFonts w:eastAsia="Times New Roman" w:cs="Arial"/>
                <w:sz w:val="20"/>
                <w:szCs w:val="20"/>
                <w:lang w:eastAsia="en-GB"/>
              </w:rPr>
            </w:pPr>
            <w:bookmarkStart w:id="244" w:name="RANGE!D14"/>
            <w:r w:rsidRPr="0026563D">
              <w:rPr>
                <w:rFonts w:eastAsia="Times New Roman" w:cs="Arial"/>
                <w:sz w:val="20"/>
                <w:szCs w:val="20"/>
                <w:lang w:eastAsia="en-GB"/>
              </w:rPr>
              <w:t>01-Jul-22</w:t>
            </w:r>
            <w:bookmarkEnd w:id="244"/>
          </w:p>
        </w:tc>
      </w:tr>
    </w:tbl>
    <w:p w14:paraId="2EE6293F" w14:textId="77777777" w:rsidR="00C70A7F" w:rsidRDefault="00C70A7F" w:rsidP="00C70A7F">
      <w:pPr>
        <w:spacing w:before="0" w:after="200" w:line="276" w:lineRule="auto"/>
      </w:pPr>
    </w:p>
    <w:p w14:paraId="130B745B" w14:textId="6B6F337C" w:rsidR="005C72AF" w:rsidRDefault="005C72AF">
      <w:pPr>
        <w:spacing w:before="0" w:after="200" w:line="276" w:lineRule="auto"/>
      </w:pPr>
      <w:r>
        <w:br w:type="page"/>
      </w:r>
    </w:p>
    <w:tbl>
      <w:tblPr>
        <w:tblW w:w="9040" w:type="dxa"/>
        <w:tblLook w:val="04A0" w:firstRow="1" w:lastRow="0" w:firstColumn="1" w:lastColumn="0" w:noHBand="0" w:noVBand="1"/>
      </w:tblPr>
      <w:tblGrid>
        <w:gridCol w:w="7540"/>
        <w:gridCol w:w="1500"/>
      </w:tblGrid>
      <w:tr w:rsidR="005C72AF" w:rsidRPr="005C72AF" w14:paraId="26EC94A6" w14:textId="77777777" w:rsidTr="005C72AF">
        <w:trPr>
          <w:trHeight w:val="260"/>
        </w:trPr>
        <w:tc>
          <w:tcPr>
            <w:tcW w:w="7540" w:type="dxa"/>
            <w:tcBorders>
              <w:top w:val="nil"/>
              <w:left w:val="nil"/>
              <w:bottom w:val="nil"/>
              <w:right w:val="nil"/>
            </w:tcBorders>
            <w:shd w:val="clear" w:color="auto" w:fill="auto"/>
            <w:noWrap/>
            <w:vAlign w:val="bottom"/>
            <w:hideMark/>
          </w:tcPr>
          <w:p w14:paraId="2993F7E5" w14:textId="77777777" w:rsidR="005C72AF" w:rsidRPr="005C72AF" w:rsidRDefault="005C72AF" w:rsidP="005C72AF">
            <w:pPr>
              <w:spacing w:before="0" w:after="0"/>
              <w:rPr>
                <w:rFonts w:eastAsia="Times New Roman" w:cs="Arial"/>
                <w:i/>
                <w:iCs/>
                <w:sz w:val="20"/>
                <w:szCs w:val="20"/>
                <w:lang w:eastAsia="en-GB"/>
              </w:rPr>
            </w:pPr>
            <w:r w:rsidRPr="005C72AF">
              <w:rPr>
                <w:rFonts w:eastAsia="Times New Roman" w:cs="Arial"/>
                <w:i/>
                <w:iCs/>
                <w:sz w:val="20"/>
                <w:szCs w:val="20"/>
                <w:lang w:eastAsia="en-GB"/>
              </w:rPr>
              <w:lastRenderedPageBreak/>
              <w:t>NHS Mid and South Essex Integrated Care Board - Statutory Accounts 2023-24</w:t>
            </w:r>
          </w:p>
        </w:tc>
        <w:tc>
          <w:tcPr>
            <w:tcW w:w="1500" w:type="dxa"/>
            <w:tcBorders>
              <w:top w:val="nil"/>
              <w:left w:val="nil"/>
              <w:bottom w:val="nil"/>
              <w:right w:val="nil"/>
            </w:tcBorders>
            <w:shd w:val="clear" w:color="auto" w:fill="auto"/>
            <w:noWrap/>
            <w:vAlign w:val="bottom"/>
            <w:hideMark/>
          </w:tcPr>
          <w:p w14:paraId="2C99E4D5" w14:textId="77777777" w:rsidR="005C72AF" w:rsidRPr="005C72AF" w:rsidRDefault="005C72AF" w:rsidP="005C72AF">
            <w:pPr>
              <w:spacing w:before="0" w:after="0"/>
              <w:rPr>
                <w:rFonts w:eastAsia="Times New Roman" w:cs="Arial"/>
                <w:i/>
                <w:iCs/>
                <w:sz w:val="20"/>
                <w:szCs w:val="20"/>
                <w:lang w:eastAsia="en-GB"/>
              </w:rPr>
            </w:pPr>
          </w:p>
        </w:tc>
      </w:tr>
      <w:tr w:rsidR="005C72AF" w:rsidRPr="005C72AF" w14:paraId="1078DD54" w14:textId="77777777" w:rsidTr="005C72AF">
        <w:trPr>
          <w:trHeight w:val="250"/>
        </w:trPr>
        <w:tc>
          <w:tcPr>
            <w:tcW w:w="7540" w:type="dxa"/>
            <w:tcBorders>
              <w:top w:val="nil"/>
              <w:left w:val="nil"/>
              <w:bottom w:val="nil"/>
              <w:right w:val="nil"/>
            </w:tcBorders>
            <w:shd w:val="clear" w:color="auto" w:fill="auto"/>
            <w:noWrap/>
            <w:vAlign w:val="bottom"/>
            <w:hideMark/>
          </w:tcPr>
          <w:p w14:paraId="5D0F72E7" w14:textId="77777777" w:rsidR="005C72AF" w:rsidRPr="005C72AF" w:rsidRDefault="005C72AF" w:rsidP="005C72AF">
            <w:pPr>
              <w:spacing w:before="0" w:after="0"/>
              <w:jc w:val="center"/>
              <w:rPr>
                <w:rFonts w:ascii="Times New Roman" w:eastAsia="Times New Roman" w:hAnsi="Times New Roman" w:cs="Times New Roman"/>
                <w:sz w:val="20"/>
                <w:szCs w:val="20"/>
                <w:lang w:eastAsia="en-GB"/>
              </w:rPr>
            </w:pPr>
          </w:p>
        </w:tc>
        <w:tc>
          <w:tcPr>
            <w:tcW w:w="1500" w:type="dxa"/>
            <w:tcBorders>
              <w:top w:val="nil"/>
              <w:left w:val="nil"/>
              <w:bottom w:val="nil"/>
              <w:right w:val="nil"/>
            </w:tcBorders>
            <w:shd w:val="clear" w:color="auto" w:fill="auto"/>
            <w:noWrap/>
            <w:vAlign w:val="bottom"/>
            <w:hideMark/>
          </w:tcPr>
          <w:p w14:paraId="34B7F683" w14:textId="77777777" w:rsidR="005C72AF" w:rsidRPr="005C72AF" w:rsidRDefault="005C72AF" w:rsidP="005C72AF">
            <w:pPr>
              <w:spacing w:before="0" w:after="0"/>
              <w:rPr>
                <w:rFonts w:ascii="Times New Roman" w:eastAsia="Times New Roman" w:hAnsi="Times New Roman" w:cs="Times New Roman"/>
                <w:sz w:val="20"/>
                <w:szCs w:val="20"/>
                <w:lang w:eastAsia="en-GB"/>
              </w:rPr>
            </w:pPr>
          </w:p>
        </w:tc>
      </w:tr>
      <w:tr w:rsidR="005C72AF" w:rsidRPr="005C72AF" w14:paraId="1B91B54C" w14:textId="77777777" w:rsidTr="005C72AF">
        <w:trPr>
          <w:trHeight w:val="280"/>
        </w:trPr>
        <w:tc>
          <w:tcPr>
            <w:tcW w:w="7540" w:type="dxa"/>
            <w:tcBorders>
              <w:top w:val="nil"/>
              <w:left w:val="nil"/>
              <w:bottom w:val="nil"/>
              <w:right w:val="nil"/>
            </w:tcBorders>
            <w:shd w:val="clear" w:color="auto" w:fill="auto"/>
            <w:noWrap/>
            <w:vAlign w:val="center"/>
            <w:hideMark/>
          </w:tcPr>
          <w:p w14:paraId="07CF9BE9" w14:textId="77777777" w:rsidR="005C72AF" w:rsidRPr="005C72AF" w:rsidRDefault="005C72AF" w:rsidP="005C72AF">
            <w:pPr>
              <w:spacing w:before="0" w:after="0"/>
              <w:rPr>
                <w:rFonts w:eastAsia="Times New Roman" w:cs="Arial"/>
                <w:b/>
                <w:bCs/>
                <w:sz w:val="22"/>
                <w:lang w:eastAsia="en-GB"/>
              </w:rPr>
            </w:pPr>
            <w:r w:rsidRPr="005C72AF">
              <w:rPr>
                <w:rFonts w:eastAsia="Times New Roman" w:cs="Arial"/>
                <w:b/>
                <w:bCs/>
                <w:sz w:val="22"/>
                <w:lang w:eastAsia="en-GB"/>
              </w:rPr>
              <w:t>Contents</w:t>
            </w:r>
          </w:p>
        </w:tc>
        <w:tc>
          <w:tcPr>
            <w:tcW w:w="1500" w:type="dxa"/>
            <w:tcBorders>
              <w:top w:val="nil"/>
              <w:left w:val="nil"/>
              <w:bottom w:val="nil"/>
              <w:right w:val="nil"/>
            </w:tcBorders>
            <w:shd w:val="clear" w:color="auto" w:fill="auto"/>
            <w:vAlign w:val="bottom"/>
            <w:hideMark/>
          </w:tcPr>
          <w:p w14:paraId="429CFC8E" w14:textId="77777777" w:rsidR="005C72AF" w:rsidRPr="005C72AF" w:rsidRDefault="005C72AF" w:rsidP="005C72AF">
            <w:pPr>
              <w:spacing w:before="0" w:after="0"/>
              <w:jc w:val="center"/>
              <w:rPr>
                <w:rFonts w:eastAsia="Times New Roman" w:cs="Arial"/>
                <w:b/>
                <w:bCs/>
                <w:sz w:val="20"/>
                <w:szCs w:val="20"/>
                <w:lang w:eastAsia="en-GB"/>
              </w:rPr>
            </w:pPr>
            <w:r w:rsidRPr="005C72AF">
              <w:rPr>
                <w:rFonts w:eastAsia="Times New Roman" w:cs="Arial"/>
                <w:b/>
                <w:bCs/>
                <w:sz w:val="20"/>
                <w:szCs w:val="20"/>
                <w:lang w:eastAsia="en-GB"/>
              </w:rPr>
              <w:t>Page Number</w:t>
            </w:r>
          </w:p>
        </w:tc>
      </w:tr>
      <w:tr w:rsidR="005C72AF" w:rsidRPr="005C72AF" w14:paraId="16A6AC06" w14:textId="77777777" w:rsidTr="005C72AF">
        <w:trPr>
          <w:trHeight w:val="250"/>
        </w:trPr>
        <w:tc>
          <w:tcPr>
            <w:tcW w:w="7540" w:type="dxa"/>
            <w:tcBorders>
              <w:top w:val="nil"/>
              <w:left w:val="nil"/>
              <w:bottom w:val="nil"/>
              <w:right w:val="nil"/>
            </w:tcBorders>
            <w:shd w:val="clear" w:color="auto" w:fill="auto"/>
            <w:noWrap/>
            <w:vAlign w:val="bottom"/>
            <w:hideMark/>
          </w:tcPr>
          <w:p w14:paraId="3FE4D2B1" w14:textId="77777777" w:rsidR="005C72AF" w:rsidRPr="005C72AF" w:rsidRDefault="005C72AF" w:rsidP="005C72AF">
            <w:pPr>
              <w:spacing w:before="0" w:after="0"/>
              <w:jc w:val="center"/>
              <w:rPr>
                <w:rFonts w:eastAsia="Times New Roman" w:cs="Arial"/>
                <w:b/>
                <w:bCs/>
                <w:sz w:val="20"/>
                <w:szCs w:val="20"/>
                <w:lang w:eastAsia="en-GB"/>
              </w:rPr>
            </w:pPr>
          </w:p>
        </w:tc>
        <w:tc>
          <w:tcPr>
            <w:tcW w:w="1500" w:type="dxa"/>
            <w:tcBorders>
              <w:top w:val="nil"/>
              <w:left w:val="nil"/>
              <w:bottom w:val="nil"/>
              <w:right w:val="nil"/>
            </w:tcBorders>
            <w:shd w:val="clear" w:color="auto" w:fill="auto"/>
            <w:noWrap/>
            <w:vAlign w:val="bottom"/>
            <w:hideMark/>
          </w:tcPr>
          <w:p w14:paraId="48739EFA" w14:textId="77777777" w:rsidR="005C72AF" w:rsidRPr="005C72AF" w:rsidRDefault="005C72AF" w:rsidP="005C72AF">
            <w:pPr>
              <w:spacing w:before="0" w:after="0"/>
              <w:rPr>
                <w:rFonts w:ascii="Times New Roman" w:eastAsia="Times New Roman" w:hAnsi="Times New Roman" w:cs="Times New Roman"/>
                <w:sz w:val="20"/>
                <w:szCs w:val="20"/>
                <w:lang w:eastAsia="en-GB"/>
              </w:rPr>
            </w:pPr>
          </w:p>
        </w:tc>
      </w:tr>
      <w:tr w:rsidR="005C72AF" w:rsidRPr="005C72AF" w14:paraId="2B19581C" w14:textId="77777777" w:rsidTr="005C72AF">
        <w:trPr>
          <w:trHeight w:val="260"/>
        </w:trPr>
        <w:tc>
          <w:tcPr>
            <w:tcW w:w="7540" w:type="dxa"/>
            <w:tcBorders>
              <w:top w:val="nil"/>
              <w:left w:val="nil"/>
              <w:bottom w:val="nil"/>
              <w:right w:val="nil"/>
            </w:tcBorders>
            <w:shd w:val="clear" w:color="auto" w:fill="auto"/>
            <w:noWrap/>
            <w:vAlign w:val="bottom"/>
            <w:hideMark/>
          </w:tcPr>
          <w:p w14:paraId="1322156F" w14:textId="77777777" w:rsidR="005C72AF" w:rsidRPr="005C72AF" w:rsidRDefault="005C72AF" w:rsidP="005C72AF">
            <w:pPr>
              <w:spacing w:before="0" w:after="0"/>
              <w:rPr>
                <w:rFonts w:eastAsia="Times New Roman" w:cs="Arial"/>
                <w:b/>
                <w:bCs/>
                <w:sz w:val="20"/>
                <w:szCs w:val="20"/>
                <w:lang w:eastAsia="en-GB"/>
              </w:rPr>
            </w:pPr>
            <w:r w:rsidRPr="005C72AF">
              <w:rPr>
                <w:rFonts w:eastAsia="Times New Roman" w:cs="Arial"/>
                <w:b/>
                <w:bCs/>
                <w:sz w:val="20"/>
                <w:szCs w:val="20"/>
                <w:lang w:eastAsia="en-GB"/>
              </w:rPr>
              <w:t>The Primary Statements:</w:t>
            </w:r>
          </w:p>
        </w:tc>
        <w:tc>
          <w:tcPr>
            <w:tcW w:w="1500" w:type="dxa"/>
            <w:tcBorders>
              <w:top w:val="nil"/>
              <w:left w:val="nil"/>
              <w:bottom w:val="nil"/>
              <w:right w:val="nil"/>
            </w:tcBorders>
            <w:shd w:val="clear" w:color="auto" w:fill="auto"/>
            <w:noWrap/>
            <w:vAlign w:val="bottom"/>
            <w:hideMark/>
          </w:tcPr>
          <w:p w14:paraId="1D9D0018" w14:textId="77777777" w:rsidR="005C72AF" w:rsidRPr="005C72AF" w:rsidRDefault="005C72AF" w:rsidP="005C72AF">
            <w:pPr>
              <w:spacing w:before="0" w:after="0"/>
              <w:rPr>
                <w:rFonts w:eastAsia="Times New Roman" w:cs="Arial"/>
                <w:b/>
                <w:bCs/>
                <w:sz w:val="20"/>
                <w:szCs w:val="20"/>
                <w:lang w:eastAsia="en-GB"/>
              </w:rPr>
            </w:pPr>
          </w:p>
        </w:tc>
      </w:tr>
      <w:tr w:rsidR="005C72AF" w:rsidRPr="005C72AF" w14:paraId="22CE98D2" w14:textId="77777777" w:rsidTr="005C72AF">
        <w:trPr>
          <w:trHeight w:val="100"/>
        </w:trPr>
        <w:tc>
          <w:tcPr>
            <w:tcW w:w="7540" w:type="dxa"/>
            <w:tcBorders>
              <w:top w:val="nil"/>
              <w:left w:val="nil"/>
              <w:bottom w:val="nil"/>
              <w:right w:val="nil"/>
            </w:tcBorders>
            <w:shd w:val="clear" w:color="auto" w:fill="auto"/>
            <w:noWrap/>
            <w:vAlign w:val="bottom"/>
            <w:hideMark/>
          </w:tcPr>
          <w:p w14:paraId="0655F747" w14:textId="77777777" w:rsidR="005C72AF" w:rsidRPr="005C72AF" w:rsidRDefault="005C72AF" w:rsidP="005C72AF">
            <w:pPr>
              <w:spacing w:before="0" w:after="0"/>
              <w:jc w:val="center"/>
              <w:rPr>
                <w:rFonts w:ascii="Times New Roman" w:eastAsia="Times New Roman" w:hAnsi="Times New Roman" w:cs="Times New Roman"/>
                <w:sz w:val="20"/>
                <w:szCs w:val="20"/>
                <w:lang w:eastAsia="en-GB"/>
              </w:rPr>
            </w:pPr>
          </w:p>
        </w:tc>
        <w:tc>
          <w:tcPr>
            <w:tcW w:w="1500" w:type="dxa"/>
            <w:tcBorders>
              <w:top w:val="nil"/>
              <w:left w:val="nil"/>
              <w:bottom w:val="nil"/>
              <w:right w:val="nil"/>
            </w:tcBorders>
            <w:shd w:val="clear" w:color="auto" w:fill="auto"/>
            <w:noWrap/>
            <w:vAlign w:val="bottom"/>
            <w:hideMark/>
          </w:tcPr>
          <w:p w14:paraId="2AFC0EC0" w14:textId="77777777" w:rsidR="005C72AF" w:rsidRPr="005C72AF" w:rsidRDefault="005C72AF" w:rsidP="005C72AF">
            <w:pPr>
              <w:spacing w:before="0" w:after="0"/>
              <w:rPr>
                <w:rFonts w:ascii="Times New Roman" w:eastAsia="Times New Roman" w:hAnsi="Times New Roman" w:cs="Times New Roman"/>
                <w:sz w:val="20"/>
                <w:szCs w:val="20"/>
                <w:lang w:eastAsia="en-GB"/>
              </w:rPr>
            </w:pPr>
          </w:p>
        </w:tc>
      </w:tr>
      <w:tr w:rsidR="005C72AF" w:rsidRPr="005C72AF" w14:paraId="4F1171C3" w14:textId="77777777" w:rsidTr="005C72AF">
        <w:trPr>
          <w:trHeight w:val="250"/>
        </w:trPr>
        <w:tc>
          <w:tcPr>
            <w:tcW w:w="7540" w:type="dxa"/>
            <w:tcBorders>
              <w:top w:val="nil"/>
              <w:left w:val="nil"/>
              <w:bottom w:val="nil"/>
              <w:right w:val="nil"/>
            </w:tcBorders>
            <w:shd w:val="clear" w:color="auto" w:fill="auto"/>
            <w:noWrap/>
            <w:vAlign w:val="bottom"/>
            <w:hideMark/>
          </w:tcPr>
          <w:p w14:paraId="6AC96530"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Statement of Comprehensive Net Expenditure for the year ended 31 March 2024</w:t>
            </w:r>
          </w:p>
        </w:tc>
        <w:tc>
          <w:tcPr>
            <w:tcW w:w="1500" w:type="dxa"/>
            <w:tcBorders>
              <w:top w:val="nil"/>
              <w:left w:val="nil"/>
              <w:bottom w:val="nil"/>
              <w:right w:val="nil"/>
            </w:tcBorders>
            <w:shd w:val="clear" w:color="auto" w:fill="auto"/>
            <w:noWrap/>
            <w:vAlign w:val="bottom"/>
            <w:hideMark/>
          </w:tcPr>
          <w:p w14:paraId="4B3BC56B" w14:textId="77777777"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3</w:t>
            </w:r>
          </w:p>
        </w:tc>
      </w:tr>
      <w:tr w:rsidR="005C72AF" w:rsidRPr="005C72AF" w14:paraId="152C88F6" w14:textId="77777777" w:rsidTr="005C72AF">
        <w:trPr>
          <w:trHeight w:val="250"/>
        </w:trPr>
        <w:tc>
          <w:tcPr>
            <w:tcW w:w="7540" w:type="dxa"/>
            <w:tcBorders>
              <w:top w:val="nil"/>
              <w:left w:val="nil"/>
              <w:bottom w:val="nil"/>
              <w:right w:val="nil"/>
            </w:tcBorders>
            <w:shd w:val="clear" w:color="auto" w:fill="auto"/>
            <w:noWrap/>
            <w:vAlign w:val="bottom"/>
            <w:hideMark/>
          </w:tcPr>
          <w:p w14:paraId="6B462226"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Statement of Financial Position as at 31 March 2024</w:t>
            </w:r>
          </w:p>
        </w:tc>
        <w:tc>
          <w:tcPr>
            <w:tcW w:w="1500" w:type="dxa"/>
            <w:tcBorders>
              <w:top w:val="nil"/>
              <w:left w:val="nil"/>
              <w:bottom w:val="nil"/>
              <w:right w:val="nil"/>
            </w:tcBorders>
            <w:shd w:val="clear" w:color="auto" w:fill="auto"/>
            <w:noWrap/>
            <w:vAlign w:val="bottom"/>
            <w:hideMark/>
          </w:tcPr>
          <w:p w14:paraId="7C99039D" w14:textId="77777777"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4</w:t>
            </w:r>
          </w:p>
        </w:tc>
      </w:tr>
      <w:tr w:rsidR="005C72AF" w:rsidRPr="005C72AF" w14:paraId="29906B19" w14:textId="77777777" w:rsidTr="005C72AF">
        <w:trPr>
          <w:trHeight w:val="250"/>
        </w:trPr>
        <w:tc>
          <w:tcPr>
            <w:tcW w:w="7540" w:type="dxa"/>
            <w:tcBorders>
              <w:top w:val="nil"/>
              <w:left w:val="nil"/>
              <w:bottom w:val="nil"/>
              <w:right w:val="nil"/>
            </w:tcBorders>
            <w:shd w:val="clear" w:color="auto" w:fill="auto"/>
            <w:noWrap/>
            <w:vAlign w:val="bottom"/>
            <w:hideMark/>
          </w:tcPr>
          <w:p w14:paraId="688F00A2"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Statement of Changes in Taxpayers' Equity for the year ended 31 March 2024</w:t>
            </w:r>
          </w:p>
        </w:tc>
        <w:tc>
          <w:tcPr>
            <w:tcW w:w="1500" w:type="dxa"/>
            <w:tcBorders>
              <w:top w:val="nil"/>
              <w:left w:val="nil"/>
              <w:bottom w:val="nil"/>
              <w:right w:val="nil"/>
            </w:tcBorders>
            <w:shd w:val="clear" w:color="auto" w:fill="auto"/>
            <w:noWrap/>
            <w:vAlign w:val="bottom"/>
            <w:hideMark/>
          </w:tcPr>
          <w:p w14:paraId="51183AB1" w14:textId="77777777"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5</w:t>
            </w:r>
          </w:p>
        </w:tc>
      </w:tr>
      <w:tr w:rsidR="005C72AF" w:rsidRPr="005C72AF" w14:paraId="0CD2233F" w14:textId="77777777" w:rsidTr="005C72AF">
        <w:trPr>
          <w:trHeight w:val="250"/>
        </w:trPr>
        <w:tc>
          <w:tcPr>
            <w:tcW w:w="7540" w:type="dxa"/>
            <w:tcBorders>
              <w:top w:val="nil"/>
              <w:left w:val="nil"/>
              <w:bottom w:val="nil"/>
              <w:right w:val="nil"/>
            </w:tcBorders>
            <w:shd w:val="clear" w:color="auto" w:fill="auto"/>
            <w:noWrap/>
            <w:vAlign w:val="bottom"/>
            <w:hideMark/>
          </w:tcPr>
          <w:p w14:paraId="24696CE9"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Statement of Cash Flows for the year ended 31 March 2024</w:t>
            </w:r>
          </w:p>
        </w:tc>
        <w:tc>
          <w:tcPr>
            <w:tcW w:w="1500" w:type="dxa"/>
            <w:tcBorders>
              <w:top w:val="nil"/>
              <w:left w:val="nil"/>
              <w:bottom w:val="nil"/>
              <w:right w:val="nil"/>
            </w:tcBorders>
            <w:shd w:val="clear" w:color="auto" w:fill="auto"/>
            <w:noWrap/>
            <w:vAlign w:val="bottom"/>
            <w:hideMark/>
          </w:tcPr>
          <w:p w14:paraId="7B83DD6A" w14:textId="77777777"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6</w:t>
            </w:r>
          </w:p>
        </w:tc>
      </w:tr>
      <w:tr w:rsidR="005C72AF" w:rsidRPr="005C72AF" w14:paraId="3F4DB32C" w14:textId="77777777" w:rsidTr="005C72AF">
        <w:trPr>
          <w:trHeight w:val="250"/>
        </w:trPr>
        <w:tc>
          <w:tcPr>
            <w:tcW w:w="7540" w:type="dxa"/>
            <w:tcBorders>
              <w:top w:val="nil"/>
              <w:left w:val="nil"/>
              <w:bottom w:val="nil"/>
              <w:right w:val="nil"/>
            </w:tcBorders>
            <w:shd w:val="clear" w:color="auto" w:fill="auto"/>
            <w:noWrap/>
            <w:vAlign w:val="bottom"/>
            <w:hideMark/>
          </w:tcPr>
          <w:p w14:paraId="749EE58D" w14:textId="77777777" w:rsidR="005C72AF" w:rsidRPr="005C72AF" w:rsidRDefault="005C72AF" w:rsidP="005C72AF">
            <w:pPr>
              <w:spacing w:before="0" w:after="0"/>
              <w:jc w:val="center"/>
              <w:rPr>
                <w:rFonts w:eastAsia="Times New Roman" w:cs="Arial"/>
                <w:sz w:val="20"/>
                <w:szCs w:val="20"/>
                <w:lang w:eastAsia="en-GB"/>
              </w:rPr>
            </w:pPr>
          </w:p>
        </w:tc>
        <w:tc>
          <w:tcPr>
            <w:tcW w:w="1500" w:type="dxa"/>
            <w:tcBorders>
              <w:top w:val="nil"/>
              <w:left w:val="nil"/>
              <w:bottom w:val="nil"/>
              <w:right w:val="nil"/>
            </w:tcBorders>
            <w:shd w:val="clear" w:color="auto" w:fill="auto"/>
            <w:noWrap/>
            <w:vAlign w:val="bottom"/>
            <w:hideMark/>
          </w:tcPr>
          <w:p w14:paraId="0ED93EDF" w14:textId="77777777" w:rsidR="005C72AF" w:rsidRPr="005C72AF" w:rsidRDefault="005C72AF" w:rsidP="005C72AF">
            <w:pPr>
              <w:spacing w:before="0" w:after="0"/>
              <w:rPr>
                <w:rFonts w:ascii="Times New Roman" w:eastAsia="Times New Roman" w:hAnsi="Times New Roman" w:cs="Times New Roman"/>
                <w:sz w:val="20"/>
                <w:szCs w:val="20"/>
                <w:lang w:eastAsia="en-GB"/>
              </w:rPr>
            </w:pPr>
          </w:p>
        </w:tc>
      </w:tr>
      <w:tr w:rsidR="005C72AF" w:rsidRPr="005C72AF" w14:paraId="30A781C9" w14:textId="77777777" w:rsidTr="005C72AF">
        <w:trPr>
          <w:trHeight w:val="260"/>
        </w:trPr>
        <w:tc>
          <w:tcPr>
            <w:tcW w:w="7540" w:type="dxa"/>
            <w:tcBorders>
              <w:top w:val="nil"/>
              <w:left w:val="nil"/>
              <w:bottom w:val="nil"/>
              <w:right w:val="nil"/>
            </w:tcBorders>
            <w:shd w:val="clear" w:color="auto" w:fill="auto"/>
            <w:noWrap/>
            <w:vAlign w:val="bottom"/>
            <w:hideMark/>
          </w:tcPr>
          <w:p w14:paraId="22DF87BC" w14:textId="77777777" w:rsidR="005C72AF" w:rsidRPr="005C72AF" w:rsidRDefault="005C72AF" w:rsidP="005C72AF">
            <w:pPr>
              <w:spacing w:before="0" w:after="0"/>
              <w:rPr>
                <w:rFonts w:eastAsia="Times New Roman" w:cs="Arial"/>
                <w:b/>
                <w:bCs/>
                <w:sz w:val="20"/>
                <w:szCs w:val="20"/>
                <w:lang w:eastAsia="en-GB"/>
              </w:rPr>
            </w:pPr>
            <w:r w:rsidRPr="005C72AF">
              <w:rPr>
                <w:rFonts w:eastAsia="Times New Roman" w:cs="Arial"/>
                <w:b/>
                <w:bCs/>
                <w:sz w:val="20"/>
                <w:szCs w:val="20"/>
                <w:lang w:eastAsia="en-GB"/>
              </w:rPr>
              <w:t>Notes to the Accounts</w:t>
            </w:r>
          </w:p>
        </w:tc>
        <w:tc>
          <w:tcPr>
            <w:tcW w:w="1500" w:type="dxa"/>
            <w:tcBorders>
              <w:top w:val="nil"/>
              <w:left w:val="nil"/>
              <w:bottom w:val="nil"/>
              <w:right w:val="nil"/>
            </w:tcBorders>
            <w:shd w:val="clear" w:color="000000" w:fill="FFFFFF"/>
            <w:noWrap/>
            <w:vAlign w:val="bottom"/>
            <w:hideMark/>
          </w:tcPr>
          <w:p w14:paraId="74670E96" w14:textId="77777777"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 </w:t>
            </w:r>
          </w:p>
        </w:tc>
      </w:tr>
      <w:tr w:rsidR="005C72AF" w:rsidRPr="005C72AF" w14:paraId="3CE1C6BA" w14:textId="77777777" w:rsidTr="005C72AF">
        <w:trPr>
          <w:trHeight w:val="100"/>
        </w:trPr>
        <w:tc>
          <w:tcPr>
            <w:tcW w:w="7540" w:type="dxa"/>
            <w:tcBorders>
              <w:top w:val="nil"/>
              <w:left w:val="nil"/>
              <w:bottom w:val="nil"/>
              <w:right w:val="nil"/>
            </w:tcBorders>
            <w:shd w:val="clear" w:color="auto" w:fill="auto"/>
            <w:noWrap/>
            <w:vAlign w:val="bottom"/>
            <w:hideMark/>
          </w:tcPr>
          <w:p w14:paraId="252AC813" w14:textId="77777777" w:rsidR="005C72AF" w:rsidRPr="005C72AF" w:rsidRDefault="005C72AF" w:rsidP="005C72AF">
            <w:pPr>
              <w:spacing w:before="0" w:after="0"/>
              <w:jc w:val="center"/>
              <w:rPr>
                <w:rFonts w:eastAsia="Times New Roman" w:cs="Arial"/>
                <w:sz w:val="20"/>
                <w:szCs w:val="20"/>
                <w:lang w:eastAsia="en-GB"/>
              </w:rPr>
            </w:pPr>
          </w:p>
        </w:tc>
        <w:tc>
          <w:tcPr>
            <w:tcW w:w="1500" w:type="dxa"/>
            <w:tcBorders>
              <w:top w:val="nil"/>
              <w:left w:val="nil"/>
              <w:bottom w:val="nil"/>
              <w:right w:val="nil"/>
            </w:tcBorders>
            <w:shd w:val="clear" w:color="000000" w:fill="FFFFFF"/>
            <w:noWrap/>
            <w:vAlign w:val="bottom"/>
            <w:hideMark/>
          </w:tcPr>
          <w:p w14:paraId="754A4263" w14:textId="77777777"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 </w:t>
            </w:r>
          </w:p>
        </w:tc>
      </w:tr>
      <w:tr w:rsidR="005C72AF" w:rsidRPr="005C72AF" w14:paraId="575FD4C8" w14:textId="77777777" w:rsidTr="005C72AF">
        <w:trPr>
          <w:trHeight w:val="250"/>
        </w:trPr>
        <w:tc>
          <w:tcPr>
            <w:tcW w:w="7540" w:type="dxa"/>
            <w:tcBorders>
              <w:top w:val="nil"/>
              <w:left w:val="nil"/>
              <w:bottom w:val="nil"/>
              <w:right w:val="nil"/>
            </w:tcBorders>
            <w:shd w:val="clear" w:color="auto" w:fill="auto"/>
            <w:noWrap/>
            <w:vAlign w:val="bottom"/>
            <w:hideMark/>
          </w:tcPr>
          <w:p w14:paraId="3C91A3AA"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Accounting Policies</w:t>
            </w:r>
          </w:p>
        </w:tc>
        <w:tc>
          <w:tcPr>
            <w:tcW w:w="1500" w:type="dxa"/>
            <w:tcBorders>
              <w:top w:val="nil"/>
              <w:left w:val="nil"/>
              <w:bottom w:val="nil"/>
              <w:right w:val="nil"/>
            </w:tcBorders>
            <w:shd w:val="clear" w:color="000000" w:fill="FFFFFF"/>
            <w:noWrap/>
            <w:vAlign w:val="bottom"/>
            <w:hideMark/>
          </w:tcPr>
          <w:p w14:paraId="3A407F49" w14:textId="67E77A82"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7-</w:t>
            </w:r>
            <w:r w:rsidR="00153CEC">
              <w:rPr>
                <w:rFonts w:eastAsia="Times New Roman" w:cs="Arial"/>
                <w:sz w:val="20"/>
                <w:szCs w:val="20"/>
                <w:lang w:eastAsia="en-GB"/>
              </w:rPr>
              <w:t>12</w:t>
            </w:r>
          </w:p>
        </w:tc>
      </w:tr>
      <w:tr w:rsidR="005C72AF" w:rsidRPr="005C72AF" w14:paraId="3589FBE4" w14:textId="77777777" w:rsidTr="005C72AF">
        <w:trPr>
          <w:trHeight w:val="250"/>
        </w:trPr>
        <w:tc>
          <w:tcPr>
            <w:tcW w:w="7540" w:type="dxa"/>
            <w:tcBorders>
              <w:top w:val="nil"/>
              <w:left w:val="nil"/>
              <w:bottom w:val="nil"/>
              <w:right w:val="nil"/>
            </w:tcBorders>
            <w:shd w:val="clear" w:color="auto" w:fill="auto"/>
            <w:noWrap/>
            <w:vAlign w:val="bottom"/>
            <w:hideMark/>
          </w:tcPr>
          <w:p w14:paraId="1272DE84"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Operating Revenue</w:t>
            </w:r>
          </w:p>
        </w:tc>
        <w:tc>
          <w:tcPr>
            <w:tcW w:w="1500" w:type="dxa"/>
            <w:tcBorders>
              <w:top w:val="nil"/>
              <w:left w:val="nil"/>
              <w:bottom w:val="nil"/>
              <w:right w:val="nil"/>
            </w:tcBorders>
            <w:shd w:val="clear" w:color="000000" w:fill="FFFFFF"/>
            <w:noWrap/>
            <w:vAlign w:val="bottom"/>
            <w:hideMark/>
          </w:tcPr>
          <w:p w14:paraId="5BCF29F8" w14:textId="4353DC4E"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1</w:t>
            </w:r>
            <w:r w:rsidR="00153CEC">
              <w:rPr>
                <w:rFonts w:eastAsia="Times New Roman" w:cs="Arial"/>
                <w:sz w:val="20"/>
                <w:szCs w:val="20"/>
                <w:lang w:eastAsia="en-GB"/>
              </w:rPr>
              <w:t>3</w:t>
            </w:r>
          </w:p>
        </w:tc>
      </w:tr>
      <w:tr w:rsidR="005C72AF" w:rsidRPr="005C72AF" w14:paraId="1341C392" w14:textId="77777777" w:rsidTr="005C72AF">
        <w:trPr>
          <w:trHeight w:val="250"/>
        </w:trPr>
        <w:tc>
          <w:tcPr>
            <w:tcW w:w="7540" w:type="dxa"/>
            <w:tcBorders>
              <w:top w:val="nil"/>
              <w:left w:val="nil"/>
              <w:bottom w:val="nil"/>
              <w:right w:val="nil"/>
            </w:tcBorders>
            <w:shd w:val="clear" w:color="auto" w:fill="auto"/>
            <w:noWrap/>
            <w:vAlign w:val="bottom"/>
            <w:hideMark/>
          </w:tcPr>
          <w:p w14:paraId="099129C8"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Employee Benefits, Staff Numbers and Pension Costs</w:t>
            </w:r>
          </w:p>
        </w:tc>
        <w:tc>
          <w:tcPr>
            <w:tcW w:w="1500" w:type="dxa"/>
            <w:tcBorders>
              <w:top w:val="nil"/>
              <w:left w:val="nil"/>
              <w:bottom w:val="nil"/>
              <w:right w:val="nil"/>
            </w:tcBorders>
            <w:shd w:val="clear" w:color="000000" w:fill="FFFFFF"/>
            <w:noWrap/>
            <w:vAlign w:val="bottom"/>
            <w:hideMark/>
          </w:tcPr>
          <w:p w14:paraId="20FC89DE" w14:textId="64CB8CBE"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1</w:t>
            </w:r>
            <w:r w:rsidR="00153CEC">
              <w:rPr>
                <w:rFonts w:eastAsia="Times New Roman" w:cs="Arial"/>
                <w:sz w:val="20"/>
                <w:szCs w:val="20"/>
                <w:lang w:eastAsia="en-GB"/>
              </w:rPr>
              <w:t>4</w:t>
            </w:r>
            <w:r w:rsidRPr="005C72AF">
              <w:rPr>
                <w:rFonts w:eastAsia="Times New Roman" w:cs="Arial"/>
                <w:sz w:val="20"/>
                <w:szCs w:val="20"/>
                <w:lang w:eastAsia="en-GB"/>
              </w:rPr>
              <w:t>-1</w:t>
            </w:r>
            <w:r w:rsidR="00153CEC">
              <w:rPr>
                <w:rFonts w:eastAsia="Times New Roman" w:cs="Arial"/>
                <w:sz w:val="20"/>
                <w:szCs w:val="20"/>
                <w:lang w:eastAsia="en-GB"/>
              </w:rPr>
              <w:t>6</w:t>
            </w:r>
          </w:p>
        </w:tc>
      </w:tr>
      <w:tr w:rsidR="005C72AF" w:rsidRPr="005C72AF" w14:paraId="0F39DEAB" w14:textId="77777777" w:rsidTr="005C72AF">
        <w:trPr>
          <w:trHeight w:val="250"/>
        </w:trPr>
        <w:tc>
          <w:tcPr>
            <w:tcW w:w="7540" w:type="dxa"/>
            <w:tcBorders>
              <w:top w:val="nil"/>
              <w:left w:val="nil"/>
              <w:bottom w:val="nil"/>
              <w:right w:val="nil"/>
            </w:tcBorders>
            <w:shd w:val="clear" w:color="auto" w:fill="auto"/>
            <w:noWrap/>
            <w:vAlign w:val="bottom"/>
            <w:hideMark/>
          </w:tcPr>
          <w:p w14:paraId="5CF87B2C"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Operating Expenses</w:t>
            </w:r>
          </w:p>
        </w:tc>
        <w:tc>
          <w:tcPr>
            <w:tcW w:w="1500" w:type="dxa"/>
            <w:tcBorders>
              <w:top w:val="nil"/>
              <w:left w:val="nil"/>
              <w:bottom w:val="nil"/>
              <w:right w:val="nil"/>
            </w:tcBorders>
            <w:shd w:val="clear" w:color="000000" w:fill="FFFFFF"/>
            <w:noWrap/>
            <w:vAlign w:val="bottom"/>
            <w:hideMark/>
          </w:tcPr>
          <w:p w14:paraId="439A3D99" w14:textId="7E830CAA"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1</w:t>
            </w:r>
            <w:r w:rsidR="00153CEC">
              <w:rPr>
                <w:rFonts w:eastAsia="Times New Roman" w:cs="Arial"/>
                <w:sz w:val="20"/>
                <w:szCs w:val="20"/>
                <w:lang w:eastAsia="en-GB"/>
              </w:rPr>
              <w:t>7</w:t>
            </w:r>
          </w:p>
        </w:tc>
      </w:tr>
      <w:tr w:rsidR="005C72AF" w:rsidRPr="005C72AF" w14:paraId="11810DA8" w14:textId="77777777" w:rsidTr="005C72AF">
        <w:trPr>
          <w:trHeight w:val="250"/>
        </w:trPr>
        <w:tc>
          <w:tcPr>
            <w:tcW w:w="7540" w:type="dxa"/>
            <w:tcBorders>
              <w:top w:val="nil"/>
              <w:left w:val="nil"/>
              <w:bottom w:val="nil"/>
              <w:right w:val="nil"/>
            </w:tcBorders>
            <w:shd w:val="clear" w:color="auto" w:fill="auto"/>
            <w:noWrap/>
            <w:vAlign w:val="bottom"/>
            <w:hideMark/>
          </w:tcPr>
          <w:p w14:paraId="3A1FEF8F"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Better Payment Practice Code</w:t>
            </w:r>
          </w:p>
        </w:tc>
        <w:tc>
          <w:tcPr>
            <w:tcW w:w="1500" w:type="dxa"/>
            <w:tcBorders>
              <w:top w:val="nil"/>
              <w:left w:val="nil"/>
              <w:bottom w:val="nil"/>
              <w:right w:val="nil"/>
            </w:tcBorders>
            <w:shd w:val="clear" w:color="000000" w:fill="FFFFFF"/>
            <w:noWrap/>
            <w:vAlign w:val="bottom"/>
            <w:hideMark/>
          </w:tcPr>
          <w:p w14:paraId="76360595" w14:textId="5DAE2777"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1</w:t>
            </w:r>
            <w:r w:rsidR="00826906">
              <w:rPr>
                <w:rFonts w:eastAsia="Times New Roman" w:cs="Arial"/>
                <w:sz w:val="20"/>
                <w:szCs w:val="20"/>
                <w:lang w:eastAsia="en-GB"/>
              </w:rPr>
              <w:t>8</w:t>
            </w:r>
          </w:p>
        </w:tc>
      </w:tr>
      <w:tr w:rsidR="005C72AF" w:rsidRPr="005C72AF" w14:paraId="2FFFC814" w14:textId="77777777" w:rsidTr="005C72AF">
        <w:trPr>
          <w:trHeight w:val="250"/>
        </w:trPr>
        <w:tc>
          <w:tcPr>
            <w:tcW w:w="7540" w:type="dxa"/>
            <w:tcBorders>
              <w:top w:val="nil"/>
              <w:left w:val="nil"/>
              <w:bottom w:val="nil"/>
              <w:right w:val="nil"/>
            </w:tcBorders>
            <w:shd w:val="clear" w:color="auto" w:fill="auto"/>
            <w:noWrap/>
            <w:vAlign w:val="bottom"/>
            <w:hideMark/>
          </w:tcPr>
          <w:p w14:paraId="1EF5A87F"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Other Gains and Losses</w:t>
            </w:r>
          </w:p>
        </w:tc>
        <w:tc>
          <w:tcPr>
            <w:tcW w:w="1500" w:type="dxa"/>
            <w:tcBorders>
              <w:top w:val="nil"/>
              <w:left w:val="nil"/>
              <w:bottom w:val="nil"/>
              <w:right w:val="nil"/>
            </w:tcBorders>
            <w:shd w:val="clear" w:color="000000" w:fill="FFFFFF"/>
            <w:noWrap/>
            <w:vAlign w:val="bottom"/>
            <w:hideMark/>
          </w:tcPr>
          <w:p w14:paraId="514DC808" w14:textId="411AA3A5"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1</w:t>
            </w:r>
            <w:r w:rsidR="00826906">
              <w:rPr>
                <w:rFonts w:eastAsia="Times New Roman" w:cs="Arial"/>
                <w:sz w:val="20"/>
                <w:szCs w:val="20"/>
                <w:lang w:eastAsia="en-GB"/>
              </w:rPr>
              <w:t>8</w:t>
            </w:r>
          </w:p>
        </w:tc>
      </w:tr>
      <w:tr w:rsidR="005C72AF" w:rsidRPr="005C72AF" w14:paraId="4BB6CFA5" w14:textId="77777777" w:rsidTr="005C72AF">
        <w:trPr>
          <w:trHeight w:val="250"/>
        </w:trPr>
        <w:tc>
          <w:tcPr>
            <w:tcW w:w="7540" w:type="dxa"/>
            <w:tcBorders>
              <w:top w:val="nil"/>
              <w:left w:val="nil"/>
              <w:bottom w:val="nil"/>
              <w:right w:val="nil"/>
            </w:tcBorders>
            <w:shd w:val="clear" w:color="auto" w:fill="auto"/>
            <w:noWrap/>
            <w:vAlign w:val="bottom"/>
            <w:hideMark/>
          </w:tcPr>
          <w:p w14:paraId="02AB73B2"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Finance Costs</w:t>
            </w:r>
          </w:p>
        </w:tc>
        <w:tc>
          <w:tcPr>
            <w:tcW w:w="1500" w:type="dxa"/>
            <w:tcBorders>
              <w:top w:val="nil"/>
              <w:left w:val="nil"/>
              <w:bottom w:val="nil"/>
              <w:right w:val="nil"/>
            </w:tcBorders>
            <w:shd w:val="clear" w:color="000000" w:fill="FFFFFF"/>
            <w:noWrap/>
            <w:vAlign w:val="bottom"/>
            <w:hideMark/>
          </w:tcPr>
          <w:p w14:paraId="068231A2" w14:textId="70D2ED1A"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1</w:t>
            </w:r>
            <w:r w:rsidR="00826906">
              <w:rPr>
                <w:rFonts w:eastAsia="Times New Roman" w:cs="Arial"/>
                <w:sz w:val="20"/>
                <w:szCs w:val="20"/>
                <w:lang w:eastAsia="en-GB"/>
              </w:rPr>
              <w:t>9</w:t>
            </w:r>
          </w:p>
        </w:tc>
      </w:tr>
      <w:tr w:rsidR="005C72AF" w:rsidRPr="005C72AF" w14:paraId="7572A1FE" w14:textId="77777777" w:rsidTr="005C72AF">
        <w:trPr>
          <w:trHeight w:val="250"/>
        </w:trPr>
        <w:tc>
          <w:tcPr>
            <w:tcW w:w="7540" w:type="dxa"/>
            <w:tcBorders>
              <w:top w:val="nil"/>
              <w:left w:val="nil"/>
              <w:bottom w:val="nil"/>
              <w:right w:val="nil"/>
            </w:tcBorders>
            <w:shd w:val="clear" w:color="auto" w:fill="auto"/>
            <w:noWrap/>
            <w:vAlign w:val="bottom"/>
            <w:hideMark/>
          </w:tcPr>
          <w:p w14:paraId="3F48DBD4"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Net (Loss) on Transfer by Absorption</w:t>
            </w:r>
          </w:p>
        </w:tc>
        <w:tc>
          <w:tcPr>
            <w:tcW w:w="1500" w:type="dxa"/>
            <w:tcBorders>
              <w:top w:val="nil"/>
              <w:left w:val="nil"/>
              <w:bottom w:val="nil"/>
              <w:right w:val="nil"/>
            </w:tcBorders>
            <w:shd w:val="clear" w:color="000000" w:fill="FFFFFF"/>
            <w:noWrap/>
            <w:vAlign w:val="bottom"/>
            <w:hideMark/>
          </w:tcPr>
          <w:p w14:paraId="692617F9" w14:textId="11BF905E"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1</w:t>
            </w:r>
            <w:r w:rsidR="00826906">
              <w:rPr>
                <w:rFonts w:eastAsia="Times New Roman" w:cs="Arial"/>
                <w:sz w:val="20"/>
                <w:szCs w:val="20"/>
                <w:lang w:eastAsia="en-GB"/>
              </w:rPr>
              <w:t>9</w:t>
            </w:r>
          </w:p>
        </w:tc>
      </w:tr>
      <w:tr w:rsidR="005C72AF" w:rsidRPr="005C72AF" w14:paraId="7660139D" w14:textId="77777777" w:rsidTr="005C72AF">
        <w:trPr>
          <w:trHeight w:val="250"/>
        </w:trPr>
        <w:tc>
          <w:tcPr>
            <w:tcW w:w="7540" w:type="dxa"/>
            <w:tcBorders>
              <w:top w:val="nil"/>
              <w:left w:val="nil"/>
              <w:bottom w:val="nil"/>
              <w:right w:val="nil"/>
            </w:tcBorders>
            <w:shd w:val="clear" w:color="000000" w:fill="FFFFFF"/>
            <w:noWrap/>
            <w:vAlign w:val="bottom"/>
            <w:hideMark/>
          </w:tcPr>
          <w:p w14:paraId="49BD74C0"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Leases</w:t>
            </w:r>
          </w:p>
        </w:tc>
        <w:tc>
          <w:tcPr>
            <w:tcW w:w="1500" w:type="dxa"/>
            <w:tcBorders>
              <w:top w:val="nil"/>
              <w:left w:val="nil"/>
              <w:bottom w:val="nil"/>
              <w:right w:val="nil"/>
            </w:tcBorders>
            <w:shd w:val="clear" w:color="000000" w:fill="FFFFFF"/>
            <w:noWrap/>
            <w:vAlign w:val="bottom"/>
            <w:hideMark/>
          </w:tcPr>
          <w:p w14:paraId="0434BDC0" w14:textId="2D74A4F3" w:rsidR="005C72AF" w:rsidRPr="005C72AF" w:rsidRDefault="00826906" w:rsidP="005C72AF">
            <w:pPr>
              <w:spacing w:before="0" w:after="0"/>
              <w:jc w:val="center"/>
              <w:rPr>
                <w:rFonts w:eastAsia="Times New Roman" w:cs="Arial"/>
                <w:sz w:val="20"/>
                <w:szCs w:val="20"/>
                <w:lang w:eastAsia="en-GB"/>
              </w:rPr>
            </w:pPr>
            <w:r>
              <w:rPr>
                <w:rFonts w:eastAsia="Times New Roman" w:cs="Arial"/>
                <w:sz w:val="20"/>
                <w:szCs w:val="20"/>
                <w:lang w:eastAsia="en-GB"/>
              </w:rPr>
              <w:t>20</w:t>
            </w:r>
            <w:r w:rsidR="005C72AF" w:rsidRPr="005C72AF">
              <w:rPr>
                <w:rFonts w:eastAsia="Times New Roman" w:cs="Arial"/>
                <w:sz w:val="20"/>
                <w:szCs w:val="20"/>
                <w:lang w:eastAsia="en-GB"/>
              </w:rPr>
              <w:t>-</w:t>
            </w:r>
            <w:r>
              <w:rPr>
                <w:rFonts w:eastAsia="Times New Roman" w:cs="Arial"/>
                <w:sz w:val="20"/>
                <w:szCs w:val="20"/>
                <w:lang w:eastAsia="en-GB"/>
              </w:rPr>
              <w:t>22</w:t>
            </w:r>
          </w:p>
        </w:tc>
      </w:tr>
      <w:tr w:rsidR="005C72AF" w:rsidRPr="005C72AF" w14:paraId="2B7AFF11" w14:textId="77777777" w:rsidTr="005C72AF">
        <w:trPr>
          <w:trHeight w:val="250"/>
        </w:trPr>
        <w:tc>
          <w:tcPr>
            <w:tcW w:w="7540" w:type="dxa"/>
            <w:tcBorders>
              <w:top w:val="nil"/>
              <w:left w:val="nil"/>
              <w:bottom w:val="nil"/>
              <w:right w:val="nil"/>
            </w:tcBorders>
            <w:shd w:val="clear" w:color="auto" w:fill="auto"/>
            <w:noWrap/>
            <w:vAlign w:val="bottom"/>
            <w:hideMark/>
          </w:tcPr>
          <w:p w14:paraId="5EDD55F6"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Trade and Other Receivables</w:t>
            </w:r>
          </w:p>
        </w:tc>
        <w:tc>
          <w:tcPr>
            <w:tcW w:w="1500" w:type="dxa"/>
            <w:tcBorders>
              <w:top w:val="nil"/>
              <w:left w:val="nil"/>
              <w:bottom w:val="nil"/>
              <w:right w:val="nil"/>
            </w:tcBorders>
            <w:shd w:val="clear" w:color="000000" w:fill="FFFFFF"/>
            <w:noWrap/>
            <w:vAlign w:val="bottom"/>
            <w:hideMark/>
          </w:tcPr>
          <w:p w14:paraId="6C3795CE" w14:textId="4F71FA61" w:rsidR="005C72AF" w:rsidRPr="005C72AF" w:rsidRDefault="00826906" w:rsidP="005C72AF">
            <w:pPr>
              <w:spacing w:before="0" w:after="0"/>
              <w:jc w:val="center"/>
              <w:rPr>
                <w:rFonts w:eastAsia="Times New Roman" w:cs="Arial"/>
                <w:sz w:val="20"/>
                <w:szCs w:val="20"/>
                <w:lang w:eastAsia="en-GB"/>
              </w:rPr>
            </w:pPr>
            <w:r>
              <w:rPr>
                <w:rFonts w:eastAsia="Times New Roman" w:cs="Arial"/>
                <w:sz w:val="20"/>
                <w:szCs w:val="20"/>
                <w:lang w:eastAsia="en-GB"/>
              </w:rPr>
              <w:t>23</w:t>
            </w:r>
          </w:p>
        </w:tc>
      </w:tr>
      <w:tr w:rsidR="005C72AF" w:rsidRPr="005C72AF" w14:paraId="7986CCF0" w14:textId="77777777" w:rsidTr="005C72AF">
        <w:trPr>
          <w:trHeight w:val="250"/>
        </w:trPr>
        <w:tc>
          <w:tcPr>
            <w:tcW w:w="7540" w:type="dxa"/>
            <w:tcBorders>
              <w:top w:val="nil"/>
              <w:left w:val="nil"/>
              <w:bottom w:val="nil"/>
              <w:right w:val="nil"/>
            </w:tcBorders>
            <w:shd w:val="clear" w:color="auto" w:fill="auto"/>
            <w:noWrap/>
            <w:vAlign w:val="bottom"/>
            <w:hideMark/>
          </w:tcPr>
          <w:p w14:paraId="2897F323"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Cash and Cash Equivalents</w:t>
            </w:r>
          </w:p>
        </w:tc>
        <w:tc>
          <w:tcPr>
            <w:tcW w:w="1500" w:type="dxa"/>
            <w:tcBorders>
              <w:top w:val="nil"/>
              <w:left w:val="nil"/>
              <w:bottom w:val="nil"/>
              <w:right w:val="nil"/>
            </w:tcBorders>
            <w:shd w:val="clear" w:color="000000" w:fill="FFFFFF"/>
            <w:noWrap/>
            <w:vAlign w:val="bottom"/>
            <w:hideMark/>
          </w:tcPr>
          <w:p w14:paraId="685755E3" w14:textId="12E079A1"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2</w:t>
            </w:r>
            <w:r w:rsidR="00826906">
              <w:rPr>
                <w:rFonts w:eastAsia="Times New Roman" w:cs="Arial"/>
                <w:sz w:val="20"/>
                <w:szCs w:val="20"/>
                <w:lang w:eastAsia="en-GB"/>
              </w:rPr>
              <w:t>4</w:t>
            </w:r>
          </w:p>
        </w:tc>
      </w:tr>
      <w:tr w:rsidR="005C72AF" w:rsidRPr="005C72AF" w14:paraId="28CEED07" w14:textId="77777777" w:rsidTr="005C72AF">
        <w:trPr>
          <w:trHeight w:val="250"/>
        </w:trPr>
        <w:tc>
          <w:tcPr>
            <w:tcW w:w="7540" w:type="dxa"/>
            <w:tcBorders>
              <w:top w:val="nil"/>
              <w:left w:val="nil"/>
              <w:bottom w:val="nil"/>
              <w:right w:val="nil"/>
            </w:tcBorders>
            <w:shd w:val="clear" w:color="auto" w:fill="auto"/>
            <w:noWrap/>
            <w:vAlign w:val="bottom"/>
            <w:hideMark/>
          </w:tcPr>
          <w:p w14:paraId="43710D78"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Trade and Other Payables</w:t>
            </w:r>
          </w:p>
        </w:tc>
        <w:tc>
          <w:tcPr>
            <w:tcW w:w="1500" w:type="dxa"/>
            <w:tcBorders>
              <w:top w:val="nil"/>
              <w:left w:val="nil"/>
              <w:bottom w:val="nil"/>
              <w:right w:val="nil"/>
            </w:tcBorders>
            <w:shd w:val="clear" w:color="000000" w:fill="FFFFFF"/>
            <w:noWrap/>
            <w:vAlign w:val="bottom"/>
            <w:hideMark/>
          </w:tcPr>
          <w:p w14:paraId="631E9F37" w14:textId="4047CB1C"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2</w:t>
            </w:r>
            <w:r w:rsidR="00826906">
              <w:rPr>
                <w:rFonts w:eastAsia="Times New Roman" w:cs="Arial"/>
                <w:sz w:val="20"/>
                <w:szCs w:val="20"/>
                <w:lang w:eastAsia="en-GB"/>
              </w:rPr>
              <w:t>4</w:t>
            </w:r>
          </w:p>
        </w:tc>
      </w:tr>
      <w:tr w:rsidR="005C72AF" w:rsidRPr="005C72AF" w14:paraId="11B1B2FA" w14:textId="77777777" w:rsidTr="005C72AF">
        <w:trPr>
          <w:trHeight w:val="250"/>
        </w:trPr>
        <w:tc>
          <w:tcPr>
            <w:tcW w:w="7540" w:type="dxa"/>
            <w:tcBorders>
              <w:top w:val="nil"/>
              <w:left w:val="nil"/>
              <w:bottom w:val="nil"/>
              <w:right w:val="nil"/>
            </w:tcBorders>
            <w:shd w:val="clear" w:color="auto" w:fill="auto"/>
            <w:noWrap/>
            <w:vAlign w:val="bottom"/>
            <w:hideMark/>
          </w:tcPr>
          <w:p w14:paraId="2567FC89"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Borrowings</w:t>
            </w:r>
          </w:p>
        </w:tc>
        <w:tc>
          <w:tcPr>
            <w:tcW w:w="1500" w:type="dxa"/>
            <w:tcBorders>
              <w:top w:val="nil"/>
              <w:left w:val="nil"/>
              <w:bottom w:val="nil"/>
              <w:right w:val="nil"/>
            </w:tcBorders>
            <w:shd w:val="clear" w:color="000000" w:fill="FFFFFF"/>
            <w:noWrap/>
            <w:vAlign w:val="bottom"/>
            <w:hideMark/>
          </w:tcPr>
          <w:p w14:paraId="214FE931" w14:textId="686BEAEE"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2</w:t>
            </w:r>
            <w:r w:rsidR="00826906">
              <w:rPr>
                <w:rFonts w:eastAsia="Times New Roman" w:cs="Arial"/>
                <w:sz w:val="20"/>
                <w:szCs w:val="20"/>
                <w:lang w:eastAsia="en-GB"/>
              </w:rPr>
              <w:t>4</w:t>
            </w:r>
          </w:p>
        </w:tc>
      </w:tr>
      <w:tr w:rsidR="005C72AF" w:rsidRPr="005C72AF" w14:paraId="159D6C4A" w14:textId="77777777" w:rsidTr="005C72AF">
        <w:trPr>
          <w:trHeight w:val="250"/>
        </w:trPr>
        <w:tc>
          <w:tcPr>
            <w:tcW w:w="7540" w:type="dxa"/>
            <w:tcBorders>
              <w:top w:val="nil"/>
              <w:left w:val="nil"/>
              <w:bottom w:val="nil"/>
              <w:right w:val="nil"/>
            </w:tcBorders>
            <w:shd w:val="clear" w:color="auto" w:fill="auto"/>
            <w:noWrap/>
            <w:vAlign w:val="bottom"/>
            <w:hideMark/>
          </w:tcPr>
          <w:p w14:paraId="692BE0CF"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Provisions</w:t>
            </w:r>
          </w:p>
        </w:tc>
        <w:tc>
          <w:tcPr>
            <w:tcW w:w="1500" w:type="dxa"/>
            <w:tcBorders>
              <w:top w:val="nil"/>
              <w:left w:val="nil"/>
              <w:bottom w:val="nil"/>
              <w:right w:val="nil"/>
            </w:tcBorders>
            <w:shd w:val="clear" w:color="000000" w:fill="FFFFFF"/>
            <w:noWrap/>
            <w:vAlign w:val="bottom"/>
            <w:hideMark/>
          </w:tcPr>
          <w:p w14:paraId="535C43AF" w14:textId="6FE3B196"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2</w:t>
            </w:r>
            <w:r w:rsidR="00826906">
              <w:rPr>
                <w:rFonts w:eastAsia="Times New Roman" w:cs="Arial"/>
                <w:sz w:val="20"/>
                <w:szCs w:val="20"/>
                <w:lang w:eastAsia="en-GB"/>
              </w:rPr>
              <w:t>5</w:t>
            </w:r>
          </w:p>
        </w:tc>
      </w:tr>
      <w:tr w:rsidR="005C72AF" w:rsidRPr="005C72AF" w14:paraId="3D34F4BD" w14:textId="77777777" w:rsidTr="005C72AF">
        <w:trPr>
          <w:trHeight w:val="250"/>
        </w:trPr>
        <w:tc>
          <w:tcPr>
            <w:tcW w:w="7540" w:type="dxa"/>
            <w:tcBorders>
              <w:top w:val="nil"/>
              <w:left w:val="nil"/>
              <w:bottom w:val="nil"/>
              <w:right w:val="nil"/>
            </w:tcBorders>
            <w:shd w:val="clear" w:color="auto" w:fill="auto"/>
            <w:noWrap/>
            <w:vAlign w:val="bottom"/>
            <w:hideMark/>
          </w:tcPr>
          <w:p w14:paraId="535012F2"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Financial Instruments</w:t>
            </w:r>
          </w:p>
        </w:tc>
        <w:tc>
          <w:tcPr>
            <w:tcW w:w="1500" w:type="dxa"/>
            <w:tcBorders>
              <w:top w:val="nil"/>
              <w:left w:val="nil"/>
              <w:bottom w:val="nil"/>
              <w:right w:val="nil"/>
            </w:tcBorders>
            <w:shd w:val="clear" w:color="000000" w:fill="FFFFFF"/>
            <w:noWrap/>
            <w:vAlign w:val="bottom"/>
            <w:hideMark/>
          </w:tcPr>
          <w:p w14:paraId="41F3B35E" w14:textId="2C916FCA"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2</w:t>
            </w:r>
            <w:r w:rsidR="00826906">
              <w:rPr>
                <w:rFonts w:eastAsia="Times New Roman" w:cs="Arial"/>
                <w:sz w:val="20"/>
                <w:szCs w:val="20"/>
                <w:lang w:eastAsia="en-GB"/>
              </w:rPr>
              <w:t>6</w:t>
            </w:r>
            <w:r w:rsidRPr="005C72AF">
              <w:rPr>
                <w:rFonts w:eastAsia="Times New Roman" w:cs="Arial"/>
                <w:sz w:val="20"/>
                <w:szCs w:val="20"/>
                <w:lang w:eastAsia="en-GB"/>
              </w:rPr>
              <w:t>-2</w:t>
            </w:r>
            <w:r w:rsidR="00826906">
              <w:rPr>
                <w:rFonts w:eastAsia="Times New Roman" w:cs="Arial"/>
                <w:sz w:val="20"/>
                <w:szCs w:val="20"/>
                <w:lang w:eastAsia="en-GB"/>
              </w:rPr>
              <w:t>7</w:t>
            </w:r>
          </w:p>
        </w:tc>
      </w:tr>
      <w:tr w:rsidR="005C72AF" w:rsidRPr="005C72AF" w14:paraId="74C15075" w14:textId="77777777" w:rsidTr="005C72AF">
        <w:trPr>
          <w:trHeight w:val="250"/>
        </w:trPr>
        <w:tc>
          <w:tcPr>
            <w:tcW w:w="7540" w:type="dxa"/>
            <w:tcBorders>
              <w:top w:val="nil"/>
              <w:left w:val="nil"/>
              <w:bottom w:val="nil"/>
              <w:right w:val="nil"/>
            </w:tcBorders>
            <w:shd w:val="clear" w:color="auto" w:fill="auto"/>
            <w:noWrap/>
            <w:vAlign w:val="bottom"/>
            <w:hideMark/>
          </w:tcPr>
          <w:p w14:paraId="339DDD76"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Operating Segments</w:t>
            </w:r>
          </w:p>
        </w:tc>
        <w:tc>
          <w:tcPr>
            <w:tcW w:w="1500" w:type="dxa"/>
            <w:tcBorders>
              <w:top w:val="nil"/>
              <w:left w:val="nil"/>
              <w:bottom w:val="nil"/>
              <w:right w:val="nil"/>
            </w:tcBorders>
            <w:shd w:val="clear" w:color="000000" w:fill="FFFFFF"/>
            <w:noWrap/>
            <w:vAlign w:val="bottom"/>
            <w:hideMark/>
          </w:tcPr>
          <w:p w14:paraId="4A45D9CC" w14:textId="0D93F0DC"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2</w:t>
            </w:r>
            <w:r w:rsidR="00826906">
              <w:rPr>
                <w:rFonts w:eastAsia="Times New Roman" w:cs="Arial"/>
                <w:sz w:val="20"/>
                <w:szCs w:val="20"/>
                <w:lang w:eastAsia="en-GB"/>
              </w:rPr>
              <w:t>7</w:t>
            </w:r>
          </w:p>
        </w:tc>
      </w:tr>
      <w:tr w:rsidR="005C72AF" w:rsidRPr="005C72AF" w14:paraId="2FB21231" w14:textId="77777777" w:rsidTr="005C72AF">
        <w:trPr>
          <w:trHeight w:val="250"/>
        </w:trPr>
        <w:tc>
          <w:tcPr>
            <w:tcW w:w="7540" w:type="dxa"/>
            <w:tcBorders>
              <w:top w:val="nil"/>
              <w:left w:val="nil"/>
              <w:bottom w:val="nil"/>
              <w:right w:val="nil"/>
            </w:tcBorders>
            <w:shd w:val="clear" w:color="auto" w:fill="auto"/>
            <w:noWrap/>
            <w:vAlign w:val="bottom"/>
            <w:hideMark/>
          </w:tcPr>
          <w:p w14:paraId="3738812E"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Joint Arrangements - Interests in Joint Operations</w:t>
            </w:r>
          </w:p>
        </w:tc>
        <w:tc>
          <w:tcPr>
            <w:tcW w:w="1500" w:type="dxa"/>
            <w:tcBorders>
              <w:top w:val="nil"/>
              <w:left w:val="nil"/>
              <w:bottom w:val="nil"/>
              <w:right w:val="nil"/>
            </w:tcBorders>
            <w:shd w:val="clear" w:color="000000" w:fill="FFFFFF"/>
            <w:noWrap/>
            <w:vAlign w:val="bottom"/>
            <w:hideMark/>
          </w:tcPr>
          <w:p w14:paraId="0DC0921D" w14:textId="1E5EA377"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2</w:t>
            </w:r>
            <w:r w:rsidR="00B00FFC">
              <w:rPr>
                <w:rFonts w:eastAsia="Times New Roman" w:cs="Arial"/>
                <w:sz w:val="20"/>
                <w:szCs w:val="20"/>
                <w:lang w:eastAsia="en-GB"/>
              </w:rPr>
              <w:t>8</w:t>
            </w:r>
          </w:p>
        </w:tc>
      </w:tr>
      <w:tr w:rsidR="005C72AF" w:rsidRPr="005C72AF" w14:paraId="061F0752" w14:textId="77777777" w:rsidTr="005C72AF">
        <w:trPr>
          <w:trHeight w:val="250"/>
        </w:trPr>
        <w:tc>
          <w:tcPr>
            <w:tcW w:w="7540" w:type="dxa"/>
            <w:tcBorders>
              <w:top w:val="nil"/>
              <w:left w:val="nil"/>
              <w:bottom w:val="nil"/>
              <w:right w:val="nil"/>
            </w:tcBorders>
            <w:shd w:val="clear" w:color="auto" w:fill="auto"/>
            <w:noWrap/>
            <w:vAlign w:val="bottom"/>
            <w:hideMark/>
          </w:tcPr>
          <w:p w14:paraId="5D70A95B"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Related Party Transactions</w:t>
            </w:r>
          </w:p>
        </w:tc>
        <w:tc>
          <w:tcPr>
            <w:tcW w:w="1500" w:type="dxa"/>
            <w:tcBorders>
              <w:top w:val="nil"/>
              <w:left w:val="nil"/>
              <w:bottom w:val="nil"/>
              <w:right w:val="nil"/>
            </w:tcBorders>
            <w:shd w:val="clear" w:color="000000" w:fill="FFFFFF"/>
            <w:noWrap/>
            <w:vAlign w:val="bottom"/>
            <w:hideMark/>
          </w:tcPr>
          <w:p w14:paraId="461DF3CE" w14:textId="256E787E" w:rsidR="005C72AF" w:rsidRPr="005C72AF" w:rsidRDefault="005C72AF" w:rsidP="005C72AF">
            <w:pPr>
              <w:spacing w:before="0" w:after="0"/>
              <w:jc w:val="center"/>
              <w:rPr>
                <w:rFonts w:eastAsia="Times New Roman" w:cs="Arial"/>
                <w:sz w:val="20"/>
                <w:szCs w:val="20"/>
                <w:lang w:eastAsia="en-GB"/>
              </w:rPr>
            </w:pPr>
            <w:r w:rsidRPr="005C72AF">
              <w:rPr>
                <w:rFonts w:eastAsia="Times New Roman" w:cs="Arial"/>
                <w:sz w:val="20"/>
                <w:szCs w:val="20"/>
                <w:lang w:eastAsia="en-GB"/>
              </w:rPr>
              <w:t>2</w:t>
            </w:r>
            <w:r w:rsidR="00B00FFC">
              <w:rPr>
                <w:rFonts w:eastAsia="Times New Roman" w:cs="Arial"/>
                <w:sz w:val="20"/>
                <w:szCs w:val="20"/>
                <w:lang w:eastAsia="en-GB"/>
              </w:rPr>
              <w:t>9-30</w:t>
            </w:r>
          </w:p>
        </w:tc>
      </w:tr>
      <w:tr w:rsidR="005C72AF" w:rsidRPr="005C72AF" w14:paraId="548656BC" w14:textId="77777777" w:rsidTr="005C72AF">
        <w:trPr>
          <w:trHeight w:val="250"/>
        </w:trPr>
        <w:tc>
          <w:tcPr>
            <w:tcW w:w="7540" w:type="dxa"/>
            <w:tcBorders>
              <w:top w:val="nil"/>
              <w:left w:val="nil"/>
              <w:bottom w:val="nil"/>
              <w:right w:val="nil"/>
            </w:tcBorders>
            <w:shd w:val="clear" w:color="auto" w:fill="auto"/>
            <w:noWrap/>
            <w:vAlign w:val="bottom"/>
            <w:hideMark/>
          </w:tcPr>
          <w:p w14:paraId="6F689453"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Events After the End of the Reporting Period</w:t>
            </w:r>
          </w:p>
        </w:tc>
        <w:tc>
          <w:tcPr>
            <w:tcW w:w="1500" w:type="dxa"/>
            <w:tcBorders>
              <w:top w:val="nil"/>
              <w:left w:val="nil"/>
              <w:bottom w:val="nil"/>
              <w:right w:val="nil"/>
            </w:tcBorders>
            <w:shd w:val="clear" w:color="000000" w:fill="FFFFFF"/>
            <w:noWrap/>
            <w:vAlign w:val="bottom"/>
            <w:hideMark/>
          </w:tcPr>
          <w:p w14:paraId="1A0F358E" w14:textId="282FC6EA" w:rsidR="005C72AF" w:rsidRPr="005C72AF" w:rsidRDefault="00B00FFC" w:rsidP="005C72AF">
            <w:pPr>
              <w:spacing w:before="0" w:after="0"/>
              <w:jc w:val="center"/>
              <w:rPr>
                <w:rFonts w:eastAsia="Times New Roman" w:cs="Arial"/>
                <w:sz w:val="20"/>
                <w:szCs w:val="20"/>
                <w:lang w:eastAsia="en-GB"/>
              </w:rPr>
            </w:pPr>
            <w:r>
              <w:rPr>
                <w:rFonts w:eastAsia="Times New Roman" w:cs="Arial"/>
                <w:sz w:val="20"/>
                <w:szCs w:val="20"/>
                <w:lang w:eastAsia="en-GB"/>
              </w:rPr>
              <w:t>31</w:t>
            </w:r>
          </w:p>
        </w:tc>
      </w:tr>
      <w:tr w:rsidR="005C72AF" w:rsidRPr="005C72AF" w14:paraId="33087019" w14:textId="77777777" w:rsidTr="005C72AF">
        <w:trPr>
          <w:trHeight w:val="250"/>
        </w:trPr>
        <w:tc>
          <w:tcPr>
            <w:tcW w:w="7540" w:type="dxa"/>
            <w:tcBorders>
              <w:top w:val="nil"/>
              <w:left w:val="nil"/>
              <w:bottom w:val="nil"/>
              <w:right w:val="nil"/>
            </w:tcBorders>
            <w:shd w:val="clear" w:color="auto" w:fill="auto"/>
            <w:noWrap/>
            <w:vAlign w:val="bottom"/>
            <w:hideMark/>
          </w:tcPr>
          <w:p w14:paraId="40BA5572"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Remove Contingent Liabilities</w:t>
            </w:r>
          </w:p>
        </w:tc>
        <w:tc>
          <w:tcPr>
            <w:tcW w:w="1500" w:type="dxa"/>
            <w:tcBorders>
              <w:top w:val="nil"/>
              <w:left w:val="nil"/>
              <w:bottom w:val="nil"/>
              <w:right w:val="nil"/>
            </w:tcBorders>
            <w:shd w:val="clear" w:color="000000" w:fill="FFFFFF"/>
            <w:noWrap/>
            <w:vAlign w:val="bottom"/>
            <w:hideMark/>
          </w:tcPr>
          <w:p w14:paraId="476CC683" w14:textId="6F810B14" w:rsidR="005C72AF" w:rsidRPr="005C72AF" w:rsidRDefault="00B00FFC" w:rsidP="005C72AF">
            <w:pPr>
              <w:spacing w:before="0" w:after="0"/>
              <w:jc w:val="center"/>
              <w:rPr>
                <w:rFonts w:eastAsia="Times New Roman" w:cs="Arial"/>
                <w:sz w:val="20"/>
                <w:szCs w:val="20"/>
                <w:lang w:eastAsia="en-GB"/>
              </w:rPr>
            </w:pPr>
            <w:r>
              <w:rPr>
                <w:rFonts w:eastAsia="Times New Roman" w:cs="Arial"/>
                <w:sz w:val="20"/>
                <w:szCs w:val="20"/>
                <w:lang w:eastAsia="en-GB"/>
              </w:rPr>
              <w:t>31</w:t>
            </w:r>
          </w:p>
        </w:tc>
      </w:tr>
      <w:tr w:rsidR="005C72AF" w:rsidRPr="005C72AF" w14:paraId="1AE71CCC" w14:textId="77777777" w:rsidTr="005C72AF">
        <w:trPr>
          <w:trHeight w:val="250"/>
        </w:trPr>
        <w:tc>
          <w:tcPr>
            <w:tcW w:w="7540" w:type="dxa"/>
            <w:tcBorders>
              <w:top w:val="nil"/>
              <w:left w:val="nil"/>
              <w:bottom w:val="nil"/>
              <w:right w:val="nil"/>
            </w:tcBorders>
            <w:shd w:val="clear" w:color="auto" w:fill="auto"/>
            <w:noWrap/>
            <w:vAlign w:val="bottom"/>
            <w:hideMark/>
          </w:tcPr>
          <w:p w14:paraId="65C1471F"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Losses and Special Payments</w:t>
            </w:r>
          </w:p>
        </w:tc>
        <w:tc>
          <w:tcPr>
            <w:tcW w:w="1500" w:type="dxa"/>
            <w:tcBorders>
              <w:top w:val="nil"/>
              <w:left w:val="nil"/>
              <w:bottom w:val="nil"/>
              <w:right w:val="nil"/>
            </w:tcBorders>
            <w:shd w:val="clear" w:color="000000" w:fill="FFFFFF"/>
            <w:noWrap/>
            <w:vAlign w:val="bottom"/>
            <w:hideMark/>
          </w:tcPr>
          <w:p w14:paraId="42D25A83" w14:textId="55A0FE3D" w:rsidR="005C72AF" w:rsidRPr="005C72AF" w:rsidRDefault="00B00FFC" w:rsidP="005C72AF">
            <w:pPr>
              <w:spacing w:before="0" w:after="0"/>
              <w:jc w:val="center"/>
              <w:rPr>
                <w:rFonts w:eastAsia="Times New Roman" w:cs="Arial"/>
                <w:sz w:val="20"/>
                <w:szCs w:val="20"/>
                <w:lang w:eastAsia="en-GB"/>
              </w:rPr>
            </w:pPr>
            <w:r>
              <w:rPr>
                <w:rFonts w:eastAsia="Times New Roman" w:cs="Arial"/>
                <w:sz w:val="20"/>
                <w:szCs w:val="20"/>
                <w:lang w:eastAsia="en-GB"/>
              </w:rPr>
              <w:t>31</w:t>
            </w:r>
          </w:p>
        </w:tc>
      </w:tr>
      <w:tr w:rsidR="005C72AF" w:rsidRPr="005C72AF" w14:paraId="35AB81BC" w14:textId="77777777" w:rsidTr="005C72AF">
        <w:trPr>
          <w:trHeight w:val="250"/>
        </w:trPr>
        <w:tc>
          <w:tcPr>
            <w:tcW w:w="7540" w:type="dxa"/>
            <w:tcBorders>
              <w:top w:val="nil"/>
              <w:left w:val="nil"/>
              <w:bottom w:val="nil"/>
              <w:right w:val="nil"/>
            </w:tcBorders>
            <w:shd w:val="clear" w:color="auto" w:fill="auto"/>
            <w:noWrap/>
            <w:vAlign w:val="bottom"/>
            <w:hideMark/>
          </w:tcPr>
          <w:p w14:paraId="2F488358"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Gifts</w:t>
            </w:r>
          </w:p>
        </w:tc>
        <w:tc>
          <w:tcPr>
            <w:tcW w:w="1500" w:type="dxa"/>
            <w:tcBorders>
              <w:top w:val="nil"/>
              <w:left w:val="nil"/>
              <w:bottom w:val="nil"/>
              <w:right w:val="nil"/>
            </w:tcBorders>
            <w:shd w:val="clear" w:color="000000" w:fill="FFFFFF"/>
            <w:noWrap/>
            <w:vAlign w:val="bottom"/>
            <w:hideMark/>
          </w:tcPr>
          <w:p w14:paraId="0BE39A84" w14:textId="5BBA2F40" w:rsidR="005C72AF" w:rsidRPr="005C72AF" w:rsidRDefault="00B00FFC" w:rsidP="005C72AF">
            <w:pPr>
              <w:spacing w:before="0" w:after="0"/>
              <w:jc w:val="center"/>
              <w:rPr>
                <w:rFonts w:eastAsia="Times New Roman" w:cs="Arial"/>
                <w:sz w:val="20"/>
                <w:szCs w:val="20"/>
                <w:lang w:eastAsia="en-GB"/>
              </w:rPr>
            </w:pPr>
            <w:r>
              <w:rPr>
                <w:rFonts w:eastAsia="Times New Roman" w:cs="Arial"/>
                <w:sz w:val="20"/>
                <w:szCs w:val="20"/>
                <w:lang w:eastAsia="en-GB"/>
              </w:rPr>
              <w:t>31</w:t>
            </w:r>
          </w:p>
        </w:tc>
      </w:tr>
      <w:tr w:rsidR="005C72AF" w:rsidRPr="005C72AF" w14:paraId="277735B3" w14:textId="77777777" w:rsidTr="005C72AF">
        <w:trPr>
          <w:trHeight w:val="250"/>
        </w:trPr>
        <w:tc>
          <w:tcPr>
            <w:tcW w:w="7540" w:type="dxa"/>
            <w:tcBorders>
              <w:top w:val="nil"/>
              <w:left w:val="nil"/>
              <w:bottom w:val="nil"/>
              <w:right w:val="nil"/>
            </w:tcBorders>
            <w:shd w:val="clear" w:color="auto" w:fill="auto"/>
            <w:noWrap/>
            <w:vAlign w:val="bottom"/>
            <w:hideMark/>
          </w:tcPr>
          <w:p w14:paraId="0F9CE397"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Fees and Charges</w:t>
            </w:r>
          </w:p>
        </w:tc>
        <w:tc>
          <w:tcPr>
            <w:tcW w:w="1500" w:type="dxa"/>
            <w:tcBorders>
              <w:top w:val="nil"/>
              <w:left w:val="nil"/>
              <w:bottom w:val="nil"/>
              <w:right w:val="nil"/>
            </w:tcBorders>
            <w:shd w:val="clear" w:color="000000" w:fill="FFFFFF"/>
            <w:noWrap/>
            <w:vAlign w:val="bottom"/>
            <w:hideMark/>
          </w:tcPr>
          <w:p w14:paraId="10D3C69D" w14:textId="42137E56" w:rsidR="005C72AF" w:rsidRPr="005C72AF" w:rsidRDefault="00B00FFC" w:rsidP="005C72AF">
            <w:pPr>
              <w:spacing w:before="0" w:after="0"/>
              <w:jc w:val="center"/>
              <w:rPr>
                <w:rFonts w:eastAsia="Times New Roman" w:cs="Arial"/>
                <w:sz w:val="20"/>
                <w:szCs w:val="20"/>
                <w:lang w:eastAsia="en-GB"/>
              </w:rPr>
            </w:pPr>
            <w:r>
              <w:rPr>
                <w:rFonts w:eastAsia="Times New Roman" w:cs="Arial"/>
                <w:sz w:val="20"/>
                <w:szCs w:val="20"/>
                <w:lang w:eastAsia="en-GB"/>
              </w:rPr>
              <w:t>31</w:t>
            </w:r>
          </w:p>
        </w:tc>
      </w:tr>
      <w:tr w:rsidR="005C72AF" w:rsidRPr="005C72AF" w14:paraId="7F9781D8" w14:textId="77777777" w:rsidTr="005C72AF">
        <w:trPr>
          <w:trHeight w:val="250"/>
        </w:trPr>
        <w:tc>
          <w:tcPr>
            <w:tcW w:w="7540" w:type="dxa"/>
            <w:tcBorders>
              <w:top w:val="nil"/>
              <w:left w:val="nil"/>
              <w:bottom w:val="nil"/>
              <w:right w:val="nil"/>
            </w:tcBorders>
            <w:shd w:val="clear" w:color="auto" w:fill="auto"/>
            <w:noWrap/>
            <w:vAlign w:val="bottom"/>
            <w:hideMark/>
          </w:tcPr>
          <w:p w14:paraId="2353E481" w14:textId="77777777" w:rsidR="005C72AF" w:rsidRPr="005C72AF" w:rsidRDefault="005C72AF" w:rsidP="005C72AF">
            <w:pPr>
              <w:spacing w:before="0" w:after="0"/>
              <w:rPr>
                <w:rFonts w:eastAsia="Times New Roman" w:cs="Arial"/>
                <w:sz w:val="20"/>
                <w:szCs w:val="20"/>
                <w:lang w:eastAsia="en-GB"/>
              </w:rPr>
            </w:pPr>
            <w:r w:rsidRPr="005C72AF">
              <w:rPr>
                <w:rFonts w:eastAsia="Times New Roman" w:cs="Arial"/>
                <w:sz w:val="20"/>
                <w:szCs w:val="20"/>
                <w:lang w:eastAsia="en-GB"/>
              </w:rPr>
              <w:t>Financial Performance Targets</w:t>
            </w:r>
          </w:p>
        </w:tc>
        <w:tc>
          <w:tcPr>
            <w:tcW w:w="1500" w:type="dxa"/>
            <w:tcBorders>
              <w:top w:val="nil"/>
              <w:left w:val="nil"/>
              <w:bottom w:val="nil"/>
              <w:right w:val="nil"/>
            </w:tcBorders>
            <w:shd w:val="clear" w:color="000000" w:fill="FFFFFF"/>
            <w:noWrap/>
            <w:vAlign w:val="bottom"/>
            <w:hideMark/>
          </w:tcPr>
          <w:p w14:paraId="6471DF7C" w14:textId="6FD31868" w:rsidR="005C72AF" w:rsidRPr="005C72AF" w:rsidRDefault="00B00FFC" w:rsidP="005C72AF">
            <w:pPr>
              <w:spacing w:before="0" w:after="0"/>
              <w:jc w:val="center"/>
              <w:rPr>
                <w:rFonts w:eastAsia="Times New Roman" w:cs="Arial"/>
                <w:sz w:val="20"/>
                <w:szCs w:val="20"/>
                <w:lang w:eastAsia="en-GB"/>
              </w:rPr>
            </w:pPr>
            <w:r>
              <w:rPr>
                <w:rFonts w:eastAsia="Times New Roman" w:cs="Arial"/>
                <w:sz w:val="20"/>
                <w:szCs w:val="20"/>
                <w:lang w:eastAsia="en-GB"/>
              </w:rPr>
              <w:t>31</w:t>
            </w:r>
          </w:p>
        </w:tc>
      </w:tr>
    </w:tbl>
    <w:p w14:paraId="2416FFC7" w14:textId="77777777" w:rsidR="00C70A7F" w:rsidRDefault="00C70A7F" w:rsidP="00C70A7F">
      <w:pPr>
        <w:spacing w:before="0" w:after="200" w:line="276" w:lineRule="auto"/>
      </w:pPr>
    </w:p>
    <w:p w14:paraId="7079A689" w14:textId="05F6C56B" w:rsidR="00877CF6" w:rsidRDefault="00877CF6">
      <w:pPr>
        <w:spacing w:before="0" w:after="200" w:line="276" w:lineRule="auto"/>
      </w:pPr>
      <w:r>
        <w:br w:type="page"/>
      </w:r>
    </w:p>
    <w:tbl>
      <w:tblPr>
        <w:tblW w:w="9785" w:type="dxa"/>
        <w:tblLook w:val="04A0" w:firstRow="1" w:lastRow="0" w:firstColumn="1" w:lastColumn="0" w:noHBand="0" w:noVBand="1"/>
      </w:tblPr>
      <w:tblGrid>
        <w:gridCol w:w="6021"/>
        <w:gridCol w:w="661"/>
        <w:gridCol w:w="1398"/>
        <w:gridCol w:w="272"/>
        <w:gridCol w:w="1433"/>
      </w:tblGrid>
      <w:tr w:rsidR="00153D31" w:rsidRPr="00F320C3" w14:paraId="71A7A46D" w14:textId="77777777" w:rsidTr="000D5B27">
        <w:trPr>
          <w:trHeight w:val="260"/>
        </w:trPr>
        <w:tc>
          <w:tcPr>
            <w:tcW w:w="9785" w:type="dxa"/>
            <w:gridSpan w:val="5"/>
            <w:tcBorders>
              <w:top w:val="nil"/>
              <w:left w:val="nil"/>
              <w:bottom w:val="nil"/>
              <w:right w:val="nil"/>
            </w:tcBorders>
            <w:shd w:val="clear" w:color="auto" w:fill="auto"/>
            <w:noWrap/>
            <w:vAlign w:val="bottom"/>
            <w:hideMark/>
          </w:tcPr>
          <w:p w14:paraId="6320729D" w14:textId="5560BB36" w:rsidR="00153D31" w:rsidRPr="00153D31" w:rsidRDefault="00153D31" w:rsidP="00153D31">
            <w:pPr>
              <w:spacing w:before="0" w:after="0"/>
              <w:rPr>
                <w:rFonts w:eastAsia="Times New Roman" w:cs="Arial"/>
                <w:i/>
                <w:iCs/>
                <w:sz w:val="20"/>
                <w:szCs w:val="20"/>
                <w:lang w:eastAsia="en-GB"/>
              </w:rPr>
            </w:pPr>
            <w:r w:rsidRPr="00F320C3">
              <w:rPr>
                <w:rFonts w:eastAsia="Times New Roman" w:cs="Arial"/>
                <w:i/>
                <w:iCs/>
                <w:sz w:val="20"/>
                <w:szCs w:val="20"/>
                <w:lang w:eastAsia="en-GB"/>
              </w:rPr>
              <w:lastRenderedPageBreak/>
              <w:t>NHS Mid and South Essex Integrated Care Board - Statutory Accounts 2023-24</w:t>
            </w:r>
          </w:p>
          <w:p w14:paraId="5F3E3C99" w14:textId="07B26D86" w:rsidR="00153D31" w:rsidRPr="00F320C3" w:rsidRDefault="00153D31"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r>
      <w:tr w:rsidR="0027260F" w:rsidRPr="00F320C3" w14:paraId="3E1E4818" w14:textId="77777777" w:rsidTr="0027260F">
        <w:trPr>
          <w:trHeight w:val="250"/>
        </w:trPr>
        <w:tc>
          <w:tcPr>
            <w:tcW w:w="6021" w:type="dxa"/>
            <w:tcBorders>
              <w:top w:val="nil"/>
              <w:left w:val="nil"/>
              <w:bottom w:val="nil"/>
              <w:right w:val="nil"/>
            </w:tcBorders>
            <w:shd w:val="clear" w:color="000000" w:fill="FFFFFF"/>
            <w:noWrap/>
            <w:vAlign w:val="bottom"/>
            <w:hideMark/>
          </w:tcPr>
          <w:p w14:paraId="475BEA8D"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661" w:type="dxa"/>
            <w:tcBorders>
              <w:top w:val="nil"/>
              <w:left w:val="nil"/>
              <w:bottom w:val="nil"/>
              <w:right w:val="nil"/>
            </w:tcBorders>
            <w:shd w:val="clear" w:color="000000" w:fill="FFFFFF"/>
            <w:noWrap/>
            <w:vAlign w:val="bottom"/>
            <w:hideMark/>
          </w:tcPr>
          <w:p w14:paraId="2C41EDED"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 </w:t>
            </w:r>
          </w:p>
        </w:tc>
        <w:tc>
          <w:tcPr>
            <w:tcW w:w="1398" w:type="dxa"/>
            <w:tcBorders>
              <w:top w:val="nil"/>
              <w:left w:val="nil"/>
              <w:bottom w:val="nil"/>
              <w:right w:val="nil"/>
            </w:tcBorders>
            <w:shd w:val="clear" w:color="000000" w:fill="FFFFFF"/>
            <w:noWrap/>
            <w:vAlign w:val="bottom"/>
            <w:hideMark/>
          </w:tcPr>
          <w:p w14:paraId="78517A9B"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8D98085"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nil"/>
              <w:right w:val="nil"/>
            </w:tcBorders>
            <w:shd w:val="clear" w:color="000000" w:fill="FFFFFF"/>
            <w:noWrap/>
            <w:vAlign w:val="bottom"/>
            <w:hideMark/>
          </w:tcPr>
          <w:p w14:paraId="7B246407"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r>
      <w:tr w:rsidR="00B517F7" w:rsidRPr="00F320C3" w14:paraId="45C23DF8" w14:textId="77777777" w:rsidTr="0027260F">
        <w:trPr>
          <w:trHeight w:val="260"/>
        </w:trPr>
        <w:tc>
          <w:tcPr>
            <w:tcW w:w="6682" w:type="dxa"/>
            <w:gridSpan w:val="2"/>
            <w:tcBorders>
              <w:top w:val="nil"/>
              <w:left w:val="nil"/>
              <w:bottom w:val="nil"/>
              <w:right w:val="nil"/>
            </w:tcBorders>
            <w:shd w:val="clear" w:color="000000" w:fill="FFFFFF"/>
            <w:noWrap/>
            <w:vAlign w:val="bottom"/>
            <w:hideMark/>
          </w:tcPr>
          <w:p w14:paraId="3A242F8D" w14:textId="3A993FC8" w:rsidR="00B517F7" w:rsidRPr="00F320C3" w:rsidRDefault="00B517F7" w:rsidP="0027260F">
            <w:pPr>
              <w:spacing w:before="0" w:after="0"/>
              <w:rPr>
                <w:rFonts w:eastAsia="Times New Roman" w:cs="Arial"/>
                <w:b/>
                <w:bCs/>
                <w:sz w:val="20"/>
                <w:szCs w:val="20"/>
                <w:lang w:eastAsia="en-GB"/>
              </w:rPr>
            </w:pPr>
            <w:r w:rsidRPr="00F320C3">
              <w:rPr>
                <w:rFonts w:eastAsia="Times New Roman" w:cs="Arial"/>
                <w:b/>
                <w:bCs/>
                <w:sz w:val="20"/>
                <w:szCs w:val="20"/>
                <w:lang w:eastAsia="en-GB"/>
              </w:rPr>
              <w:t>Statement of Comprehensive Net Expenditure for the year ended</w:t>
            </w:r>
          </w:p>
        </w:tc>
        <w:tc>
          <w:tcPr>
            <w:tcW w:w="1398" w:type="dxa"/>
            <w:tcBorders>
              <w:top w:val="nil"/>
              <w:left w:val="nil"/>
              <w:bottom w:val="nil"/>
              <w:right w:val="nil"/>
            </w:tcBorders>
            <w:shd w:val="clear" w:color="000000" w:fill="FFFFFF"/>
            <w:noWrap/>
            <w:vAlign w:val="bottom"/>
            <w:hideMark/>
          </w:tcPr>
          <w:p w14:paraId="19411868" w14:textId="77777777" w:rsidR="00B517F7" w:rsidRPr="00F320C3" w:rsidRDefault="00B517F7"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151FBA2" w14:textId="77777777" w:rsidR="00B517F7" w:rsidRPr="00F320C3" w:rsidRDefault="00B517F7"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nil"/>
              <w:right w:val="nil"/>
            </w:tcBorders>
            <w:shd w:val="clear" w:color="000000" w:fill="FFFFFF"/>
            <w:noWrap/>
            <w:vAlign w:val="bottom"/>
            <w:hideMark/>
          </w:tcPr>
          <w:p w14:paraId="712F7C58" w14:textId="77777777" w:rsidR="00B517F7" w:rsidRPr="00F320C3" w:rsidRDefault="00B517F7"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r>
      <w:tr w:rsidR="0027260F" w:rsidRPr="00F320C3" w14:paraId="71E2EF27" w14:textId="77777777" w:rsidTr="0027260F">
        <w:trPr>
          <w:trHeight w:val="260"/>
        </w:trPr>
        <w:tc>
          <w:tcPr>
            <w:tcW w:w="6021" w:type="dxa"/>
            <w:tcBorders>
              <w:top w:val="nil"/>
              <w:left w:val="nil"/>
              <w:bottom w:val="nil"/>
              <w:right w:val="nil"/>
            </w:tcBorders>
            <w:shd w:val="clear" w:color="000000" w:fill="FFFFFF"/>
            <w:noWrap/>
            <w:vAlign w:val="bottom"/>
            <w:hideMark/>
          </w:tcPr>
          <w:p w14:paraId="47D032A1" w14:textId="77777777" w:rsidR="00F320C3" w:rsidRPr="00F320C3" w:rsidRDefault="00F320C3" w:rsidP="00F320C3">
            <w:pPr>
              <w:spacing w:before="0" w:after="0"/>
              <w:rPr>
                <w:rFonts w:eastAsia="Times New Roman" w:cs="Arial"/>
                <w:b/>
                <w:bCs/>
                <w:sz w:val="20"/>
                <w:szCs w:val="20"/>
                <w:lang w:eastAsia="en-GB"/>
              </w:rPr>
            </w:pPr>
            <w:r w:rsidRPr="00F320C3">
              <w:rPr>
                <w:rFonts w:eastAsia="Times New Roman" w:cs="Arial"/>
                <w:b/>
                <w:bCs/>
                <w:sz w:val="20"/>
                <w:szCs w:val="20"/>
                <w:lang w:eastAsia="en-GB"/>
              </w:rPr>
              <w:t>31 March 24</w:t>
            </w:r>
          </w:p>
        </w:tc>
        <w:tc>
          <w:tcPr>
            <w:tcW w:w="661" w:type="dxa"/>
            <w:tcBorders>
              <w:top w:val="nil"/>
              <w:left w:val="nil"/>
              <w:bottom w:val="nil"/>
              <w:right w:val="nil"/>
            </w:tcBorders>
            <w:shd w:val="clear" w:color="000000" w:fill="FFFFFF"/>
            <w:noWrap/>
            <w:vAlign w:val="bottom"/>
            <w:hideMark/>
          </w:tcPr>
          <w:p w14:paraId="193314AC"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 </w:t>
            </w:r>
          </w:p>
        </w:tc>
        <w:tc>
          <w:tcPr>
            <w:tcW w:w="1398" w:type="dxa"/>
            <w:tcBorders>
              <w:top w:val="nil"/>
              <w:left w:val="nil"/>
              <w:bottom w:val="nil"/>
              <w:right w:val="nil"/>
            </w:tcBorders>
            <w:shd w:val="clear" w:color="000000" w:fill="FFFFFF"/>
            <w:noWrap/>
            <w:vAlign w:val="bottom"/>
            <w:hideMark/>
          </w:tcPr>
          <w:p w14:paraId="57ACB737"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17FDA3AE"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nil"/>
              <w:right w:val="nil"/>
            </w:tcBorders>
            <w:shd w:val="clear" w:color="000000" w:fill="FFFFFF"/>
            <w:noWrap/>
            <w:vAlign w:val="bottom"/>
            <w:hideMark/>
          </w:tcPr>
          <w:p w14:paraId="787D16DC"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r>
      <w:tr w:rsidR="0027260F" w:rsidRPr="00F320C3" w14:paraId="75ED187B" w14:textId="77777777" w:rsidTr="0027260F">
        <w:trPr>
          <w:trHeight w:val="130"/>
        </w:trPr>
        <w:tc>
          <w:tcPr>
            <w:tcW w:w="6021" w:type="dxa"/>
            <w:tcBorders>
              <w:top w:val="nil"/>
              <w:left w:val="nil"/>
              <w:bottom w:val="nil"/>
              <w:right w:val="nil"/>
            </w:tcBorders>
            <w:shd w:val="clear" w:color="000000" w:fill="FFFFFF"/>
            <w:noWrap/>
            <w:vAlign w:val="bottom"/>
            <w:hideMark/>
          </w:tcPr>
          <w:p w14:paraId="29FDA77A"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661" w:type="dxa"/>
            <w:tcBorders>
              <w:top w:val="nil"/>
              <w:left w:val="nil"/>
              <w:bottom w:val="nil"/>
              <w:right w:val="nil"/>
            </w:tcBorders>
            <w:shd w:val="clear" w:color="000000" w:fill="FFFFFF"/>
            <w:noWrap/>
            <w:vAlign w:val="bottom"/>
            <w:hideMark/>
          </w:tcPr>
          <w:p w14:paraId="030EB3FD"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 </w:t>
            </w:r>
          </w:p>
        </w:tc>
        <w:tc>
          <w:tcPr>
            <w:tcW w:w="1398" w:type="dxa"/>
            <w:tcBorders>
              <w:top w:val="nil"/>
              <w:left w:val="nil"/>
              <w:bottom w:val="nil"/>
              <w:right w:val="nil"/>
            </w:tcBorders>
            <w:shd w:val="clear" w:color="000000" w:fill="FFFFFF"/>
            <w:noWrap/>
            <w:vAlign w:val="bottom"/>
            <w:hideMark/>
          </w:tcPr>
          <w:p w14:paraId="661B9B05"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C16EBCE"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nil"/>
              <w:right w:val="nil"/>
            </w:tcBorders>
            <w:shd w:val="clear" w:color="000000" w:fill="FFFFFF"/>
            <w:noWrap/>
            <w:vAlign w:val="bottom"/>
            <w:hideMark/>
          </w:tcPr>
          <w:p w14:paraId="26611847"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r>
      <w:tr w:rsidR="00B517F7" w:rsidRPr="00F320C3" w14:paraId="60D3C059" w14:textId="77777777" w:rsidTr="0027260F">
        <w:trPr>
          <w:trHeight w:val="520"/>
        </w:trPr>
        <w:tc>
          <w:tcPr>
            <w:tcW w:w="6021" w:type="dxa"/>
            <w:tcBorders>
              <w:top w:val="nil"/>
              <w:left w:val="nil"/>
              <w:bottom w:val="nil"/>
              <w:right w:val="nil"/>
            </w:tcBorders>
            <w:shd w:val="clear" w:color="000000" w:fill="FFFFFF"/>
            <w:noWrap/>
            <w:vAlign w:val="bottom"/>
            <w:hideMark/>
          </w:tcPr>
          <w:p w14:paraId="23D12BD5"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661" w:type="dxa"/>
            <w:tcBorders>
              <w:top w:val="nil"/>
              <w:left w:val="nil"/>
              <w:bottom w:val="nil"/>
              <w:right w:val="nil"/>
            </w:tcBorders>
            <w:shd w:val="clear" w:color="000000" w:fill="FFFFFF"/>
            <w:noWrap/>
            <w:vAlign w:val="bottom"/>
            <w:hideMark/>
          </w:tcPr>
          <w:p w14:paraId="2A8B5BAE"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 </w:t>
            </w:r>
          </w:p>
        </w:tc>
        <w:tc>
          <w:tcPr>
            <w:tcW w:w="1398" w:type="dxa"/>
            <w:tcBorders>
              <w:top w:val="nil"/>
              <w:left w:val="nil"/>
              <w:bottom w:val="nil"/>
              <w:right w:val="nil"/>
            </w:tcBorders>
            <w:shd w:val="clear" w:color="000000" w:fill="FFFFFF"/>
            <w:vAlign w:val="bottom"/>
            <w:hideMark/>
          </w:tcPr>
          <w:p w14:paraId="3F48D8C2" w14:textId="77777777" w:rsidR="00F320C3" w:rsidRPr="00F320C3" w:rsidRDefault="00F320C3" w:rsidP="00F320C3">
            <w:pPr>
              <w:spacing w:before="0" w:after="0"/>
              <w:jc w:val="right"/>
              <w:rPr>
                <w:rFonts w:eastAsia="Times New Roman" w:cs="Arial"/>
                <w:b/>
                <w:bCs/>
                <w:sz w:val="20"/>
                <w:szCs w:val="20"/>
                <w:lang w:eastAsia="en-GB"/>
              </w:rPr>
            </w:pPr>
            <w:r w:rsidRPr="00F320C3">
              <w:rPr>
                <w:rFonts w:eastAsia="Times New Roman" w:cs="Arial"/>
                <w:b/>
                <w:bCs/>
                <w:sz w:val="20"/>
                <w:szCs w:val="20"/>
                <w:lang w:eastAsia="en-GB"/>
              </w:rPr>
              <w:t>1-Apr-23 to 31-Mar-24</w:t>
            </w:r>
          </w:p>
        </w:tc>
        <w:tc>
          <w:tcPr>
            <w:tcW w:w="272" w:type="dxa"/>
            <w:tcBorders>
              <w:top w:val="nil"/>
              <w:left w:val="nil"/>
              <w:bottom w:val="nil"/>
              <w:right w:val="nil"/>
            </w:tcBorders>
            <w:shd w:val="clear" w:color="000000" w:fill="FFFFFF"/>
            <w:noWrap/>
            <w:vAlign w:val="bottom"/>
            <w:hideMark/>
          </w:tcPr>
          <w:p w14:paraId="68B06D4E" w14:textId="77777777" w:rsidR="00F320C3" w:rsidRPr="00F320C3" w:rsidRDefault="00F320C3" w:rsidP="00F320C3">
            <w:pPr>
              <w:spacing w:before="0" w:after="0"/>
              <w:jc w:val="right"/>
              <w:rPr>
                <w:rFonts w:eastAsia="Times New Roman" w:cs="Arial"/>
                <w:b/>
                <w:bCs/>
                <w:sz w:val="20"/>
                <w:szCs w:val="20"/>
                <w:lang w:eastAsia="en-GB"/>
              </w:rPr>
            </w:pPr>
            <w:r w:rsidRPr="00F320C3">
              <w:rPr>
                <w:rFonts w:eastAsia="Times New Roman" w:cs="Arial"/>
                <w:b/>
                <w:bCs/>
                <w:sz w:val="20"/>
                <w:szCs w:val="20"/>
                <w:lang w:eastAsia="en-GB"/>
              </w:rPr>
              <w:t> </w:t>
            </w:r>
          </w:p>
        </w:tc>
        <w:tc>
          <w:tcPr>
            <w:tcW w:w="1433" w:type="dxa"/>
            <w:tcBorders>
              <w:top w:val="nil"/>
              <w:left w:val="nil"/>
              <w:bottom w:val="nil"/>
              <w:right w:val="nil"/>
            </w:tcBorders>
            <w:shd w:val="clear" w:color="000000" w:fill="FFFFFF"/>
            <w:vAlign w:val="bottom"/>
            <w:hideMark/>
          </w:tcPr>
          <w:p w14:paraId="535E3994" w14:textId="77777777" w:rsidR="00F320C3" w:rsidRPr="00F320C3" w:rsidRDefault="00F320C3" w:rsidP="00F320C3">
            <w:pPr>
              <w:spacing w:before="0" w:after="0"/>
              <w:jc w:val="right"/>
              <w:rPr>
                <w:rFonts w:eastAsia="Times New Roman" w:cs="Arial"/>
                <w:sz w:val="20"/>
                <w:szCs w:val="20"/>
                <w:lang w:eastAsia="en-GB"/>
              </w:rPr>
            </w:pPr>
            <w:r w:rsidRPr="00F320C3">
              <w:rPr>
                <w:rFonts w:eastAsia="Times New Roman" w:cs="Arial"/>
                <w:sz w:val="20"/>
                <w:szCs w:val="20"/>
                <w:lang w:eastAsia="en-GB"/>
              </w:rPr>
              <w:t>1-Jul-22 to 31-Mar-23</w:t>
            </w:r>
          </w:p>
        </w:tc>
      </w:tr>
      <w:tr w:rsidR="00B517F7" w:rsidRPr="00F320C3" w14:paraId="10DFD5E5" w14:textId="77777777" w:rsidTr="0027260F">
        <w:trPr>
          <w:trHeight w:val="260"/>
        </w:trPr>
        <w:tc>
          <w:tcPr>
            <w:tcW w:w="6021" w:type="dxa"/>
            <w:tcBorders>
              <w:top w:val="nil"/>
              <w:left w:val="nil"/>
              <w:bottom w:val="nil"/>
              <w:right w:val="nil"/>
            </w:tcBorders>
            <w:shd w:val="clear" w:color="000000" w:fill="FFFFFF"/>
            <w:noWrap/>
            <w:vAlign w:val="bottom"/>
            <w:hideMark/>
          </w:tcPr>
          <w:p w14:paraId="36871184"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661" w:type="dxa"/>
            <w:tcBorders>
              <w:top w:val="nil"/>
              <w:left w:val="nil"/>
              <w:bottom w:val="nil"/>
              <w:right w:val="nil"/>
            </w:tcBorders>
            <w:shd w:val="clear" w:color="000000" w:fill="FFFFFF"/>
            <w:noWrap/>
            <w:vAlign w:val="bottom"/>
            <w:hideMark/>
          </w:tcPr>
          <w:p w14:paraId="76B7C01A"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 </w:t>
            </w:r>
          </w:p>
        </w:tc>
        <w:tc>
          <w:tcPr>
            <w:tcW w:w="1398" w:type="dxa"/>
            <w:tcBorders>
              <w:top w:val="nil"/>
              <w:left w:val="nil"/>
              <w:bottom w:val="nil"/>
              <w:right w:val="nil"/>
            </w:tcBorders>
            <w:shd w:val="clear" w:color="000000" w:fill="FFFFFF"/>
            <w:vAlign w:val="bottom"/>
            <w:hideMark/>
          </w:tcPr>
          <w:p w14:paraId="0251ACC5" w14:textId="77777777" w:rsidR="00F320C3" w:rsidRPr="00F320C3" w:rsidRDefault="00F320C3" w:rsidP="00F320C3">
            <w:pPr>
              <w:spacing w:before="0" w:after="0"/>
              <w:jc w:val="right"/>
              <w:rPr>
                <w:rFonts w:eastAsia="Times New Roman" w:cs="Arial"/>
                <w:b/>
                <w:bCs/>
                <w:sz w:val="20"/>
                <w:szCs w:val="20"/>
                <w:lang w:eastAsia="en-GB"/>
              </w:rPr>
            </w:pPr>
            <w:r w:rsidRPr="00F320C3">
              <w:rPr>
                <w:rFonts w:eastAsia="Times New Roman" w:cs="Arial"/>
                <w:b/>
                <w:bCs/>
                <w:sz w:val="20"/>
                <w:szCs w:val="20"/>
                <w:lang w:eastAsia="en-GB"/>
              </w:rPr>
              <w:t>(1 Year)</w:t>
            </w:r>
          </w:p>
        </w:tc>
        <w:tc>
          <w:tcPr>
            <w:tcW w:w="272" w:type="dxa"/>
            <w:tcBorders>
              <w:top w:val="nil"/>
              <w:left w:val="nil"/>
              <w:bottom w:val="nil"/>
              <w:right w:val="nil"/>
            </w:tcBorders>
            <w:shd w:val="clear" w:color="000000" w:fill="FFFFFF"/>
            <w:noWrap/>
            <w:vAlign w:val="bottom"/>
            <w:hideMark/>
          </w:tcPr>
          <w:p w14:paraId="125DB6D8" w14:textId="77777777" w:rsidR="00F320C3" w:rsidRPr="00F320C3" w:rsidRDefault="00F320C3" w:rsidP="00F320C3">
            <w:pPr>
              <w:spacing w:before="0" w:after="0"/>
              <w:jc w:val="right"/>
              <w:rPr>
                <w:rFonts w:eastAsia="Times New Roman" w:cs="Arial"/>
                <w:b/>
                <w:bCs/>
                <w:sz w:val="20"/>
                <w:szCs w:val="20"/>
                <w:lang w:eastAsia="en-GB"/>
              </w:rPr>
            </w:pPr>
            <w:r w:rsidRPr="00F320C3">
              <w:rPr>
                <w:rFonts w:eastAsia="Times New Roman" w:cs="Arial"/>
                <w:b/>
                <w:bCs/>
                <w:sz w:val="20"/>
                <w:szCs w:val="20"/>
                <w:lang w:eastAsia="en-GB"/>
              </w:rPr>
              <w:t> </w:t>
            </w:r>
          </w:p>
        </w:tc>
        <w:tc>
          <w:tcPr>
            <w:tcW w:w="1433" w:type="dxa"/>
            <w:tcBorders>
              <w:top w:val="nil"/>
              <w:left w:val="nil"/>
              <w:bottom w:val="nil"/>
              <w:right w:val="nil"/>
            </w:tcBorders>
            <w:shd w:val="clear" w:color="000000" w:fill="FFFFFF"/>
            <w:vAlign w:val="bottom"/>
            <w:hideMark/>
          </w:tcPr>
          <w:p w14:paraId="303C3591" w14:textId="77777777" w:rsidR="00F320C3" w:rsidRPr="00F320C3" w:rsidRDefault="00F320C3" w:rsidP="00F320C3">
            <w:pPr>
              <w:spacing w:before="0" w:after="0"/>
              <w:jc w:val="right"/>
              <w:rPr>
                <w:rFonts w:eastAsia="Times New Roman" w:cs="Arial"/>
                <w:sz w:val="20"/>
                <w:szCs w:val="20"/>
                <w:lang w:eastAsia="en-GB"/>
              </w:rPr>
            </w:pPr>
            <w:r w:rsidRPr="00F320C3">
              <w:rPr>
                <w:rFonts w:eastAsia="Times New Roman" w:cs="Arial"/>
                <w:sz w:val="20"/>
                <w:szCs w:val="20"/>
                <w:lang w:eastAsia="en-GB"/>
              </w:rPr>
              <w:t>(9 Months)</w:t>
            </w:r>
          </w:p>
        </w:tc>
      </w:tr>
      <w:tr w:rsidR="0027260F" w:rsidRPr="00F320C3" w14:paraId="3ABE8351" w14:textId="77777777" w:rsidTr="0027260F">
        <w:trPr>
          <w:trHeight w:val="260"/>
        </w:trPr>
        <w:tc>
          <w:tcPr>
            <w:tcW w:w="6021" w:type="dxa"/>
            <w:tcBorders>
              <w:top w:val="nil"/>
              <w:left w:val="nil"/>
              <w:bottom w:val="nil"/>
              <w:right w:val="nil"/>
            </w:tcBorders>
            <w:shd w:val="clear" w:color="000000" w:fill="FFFFFF"/>
            <w:noWrap/>
            <w:vAlign w:val="bottom"/>
            <w:hideMark/>
          </w:tcPr>
          <w:p w14:paraId="761D59FA"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661" w:type="dxa"/>
            <w:tcBorders>
              <w:top w:val="nil"/>
              <w:left w:val="nil"/>
              <w:bottom w:val="nil"/>
              <w:right w:val="nil"/>
            </w:tcBorders>
            <w:shd w:val="clear" w:color="000000" w:fill="FFFFFF"/>
            <w:noWrap/>
            <w:vAlign w:val="bottom"/>
            <w:hideMark/>
          </w:tcPr>
          <w:p w14:paraId="5F11B6F7" w14:textId="77777777" w:rsidR="00F320C3" w:rsidRPr="00F320C3" w:rsidRDefault="00F320C3" w:rsidP="00F320C3">
            <w:pPr>
              <w:spacing w:before="0" w:after="0"/>
              <w:jc w:val="center"/>
              <w:rPr>
                <w:rFonts w:eastAsia="Times New Roman" w:cs="Arial"/>
                <w:b/>
                <w:bCs/>
                <w:sz w:val="20"/>
                <w:szCs w:val="20"/>
                <w:lang w:eastAsia="en-GB"/>
              </w:rPr>
            </w:pPr>
            <w:r w:rsidRPr="00F320C3">
              <w:rPr>
                <w:rFonts w:eastAsia="Times New Roman" w:cs="Arial"/>
                <w:b/>
                <w:bCs/>
                <w:sz w:val="20"/>
                <w:szCs w:val="20"/>
                <w:lang w:eastAsia="en-GB"/>
              </w:rPr>
              <w:t>Note</w:t>
            </w:r>
          </w:p>
        </w:tc>
        <w:tc>
          <w:tcPr>
            <w:tcW w:w="1398" w:type="dxa"/>
            <w:tcBorders>
              <w:top w:val="nil"/>
              <w:left w:val="nil"/>
              <w:bottom w:val="nil"/>
              <w:right w:val="nil"/>
            </w:tcBorders>
            <w:shd w:val="clear" w:color="000000" w:fill="FFFFFF"/>
            <w:noWrap/>
            <w:vAlign w:val="bottom"/>
            <w:hideMark/>
          </w:tcPr>
          <w:p w14:paraId="45A51858" w14:textId="77777777" w:rsidR="00F320C3" w:rsidRPr="00F320C3" w:rsidRDefault="00F320C3" w:rsidP="00F320C3">
            <w:pPr>
              <w:spacing w:before="0" w:after="0"/>
              <w:jc w:val="right"/>
              <w:rPr>
                <w:rFonts w:eastAsia="Times New Roman" w:cs="Arial"/>
                <w:b/>
                <w:bCs/>
                <w:sz w:val="20"/>
                <w:szCs w:val="20"/>
                <w:lang w:eastAsia="en-GB"/>
              </w:rPr>
            </w:pPr>
            <w:r w:rsidRPr="00F320C3">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bottom"/>
            <w:hideMark/>
          </w:tcPr>
          <w:p w14:paraId="69A3B00C" w14:textId="77777777" w:rsidR="00F320C3" w:rsidRPr="00F320C3" w:rsidRDefault="00F320C3" w:rsidP="00F320C3">
            <w:pPr>
              <w:spacing w:before="0" w:after="0"/>
              <w:jc w:val="right"/>
              <w:rPr>
                <w:rFonts w:eastAsia="Times New Roman" w:cs="Arial"/>
                <w:b/>
                <w:bCs/>
                <w:sz w:val="20"/>
                <w:szCs w:val="20"/>
                <w:lang w:eastAsia="en-GB"/>
              </w:rPr>
            </w:pPr>
            <w:r w:rsidRPr="00F320C3">
              <w:rPr>
                <w:rFonts w:eastAsia="Times New Roman" w:cs="Arial"/>
                <w:b/>
                <w:bCs/>
                <w:sz w:val="20"/>
                <w:szCs w:val="20"/>
                <w:lang w:eastAsia="en-GB"/>
              </w:rPr>
              <w:t> </w:t>
            </w:r>
          </w:p>
        </w:tc>
        <w:tc>
          <w:tcPr>
            <w:tcW w:w="1433" w:type="dxa"/>
            <w:tcBorders>
              <w:top w:val="nil"/>
              <w:left w:val="nil"/>
              <w:bottom w:val="nil"/>
              <w:right w:val="nil"/>
            </w:tcBorders>
            <w:shd w:val="clear" w:color="000000" w:fill="FFFFFF"/>
            <w:noWrap/>
            <w:vAlign w:val="bottom"/>
            <w:hideMark/>
          </w:tcPr>
          <w:p w14:paraId="47A5B285" w14:textId="77777777" w:rsidR="00F320C3" w:rsidRPr="00F320C3" w:rsidRDefault="00F320C3" w:rsidP="00F320C3">
            <w:pPr>
              <w:spacing w:before="0" w:after="0"/>
              <w:jc w:val="right"/>
              <w:rPr>
                <w:rFonts w:eastAsia="Times New Roman" w:cs="Arial"/>
                <w:sz w:val="20"/>
                <w:szCs w:val="20"/>
                <w:lang w:eastAsia="en-GB"/>
              </w:rPr>
            </w:pPr>
            <w:r w:rsidRPr="00F320C3">
              <w:rPr>
                <w:rFonts w:eastAsia="Times New Roman" w:cs="Arial"/>
                <w:sz w:val="20"/>
                <w:szCs w:val="20"/>
                <w:lang w:eastAsia="en-GB"/>
              </w:rPr>
              <w:t>£'000</w:t>
            </w:r>
          </w:p>
        </w:tc>
      </w:tr>
      <w:tr w:rsidR="00B517F7" w:rsidRPr="00F320C3" w14:paraId="6D849185" w14:textId="77777777" w:rsidTr="0027260F">
        <w:trPr>
          <w:trHeight w:val="260"/>
        </w:trPr>
        <w:tc>
          <w:tcPr>
            <w:tcW w:w="6021" w:type="dxa"/>
            <w:tcBorders>
              <w:top w:val="nil"/>
              <w:left w:val="nil"/>
              <w:bottom w:val="nil"/>
              <w:right w:val="nil"/>
            </w:tcBorders>
            <w:shd w:val="clear" w:color="000000" w:fill="FFFFFF"/>
            <w:vAlign w:val="center"/>
            <w:hideMark/>
          </w:tcPr>
          <w:p w14:paraId="39C07C97" w14:textId="77777777" w:rsidR="00F320C3" w:rsidRPr="00F320C3" w:rsidRDefault="00F320C3" w:rsidP="00F320C3">
            <w:pPr>
              <w:spacing w:before="0" w:after="0"/>
              <w:rPr>
                <w:rFonts w:eastAsia="Times New Roman" w:cs="Arial"/>
                <w:b/>
                <w:bCs/>
                <w:sz w:val="20"/>
                <w:szCs w:val="20"/>
                <w:lang w:eastAsia="en-GB"/>
              </w:rPr>
            </w:pPr>
            <w:r w:rsidRPr="00F320C3">
              <w:rPr>
                <w:rFonts w:eastAsia="Times New Roman" w:cs="Arial"/>
                <w:b/>
                <w:bCs/>
                <w:sz w:val="20"/>
                <w:szCs w:val="20"/>
                <w:lang w:eastAsia="en-GB"/>
              </w:rPr>
              <w:t> </w:t>
            </w:r>
          </w:p>
        </w:tc>
        <w:tc>
          <w:tcPr>
            <w:tcW w:w="661" w:type="dxa"/>
            <w:tcBorders>
              <w:top w:val="nil"/>
              <w:left w:val="nil"/>
              <w:bottom w:val="nil"/>
              <w:right w:val="nil"/>
            </w:tcBorders>
            <w:shd w:val="clear" w:color="000000" w:fill="FFFFFF"/>
            <w:noWrap/>
            <w:vAlign w:val="bottom"/>
            <w:hideMark/>
          </w:tcPr>
          <w:p w14:paraId="28786F3E"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 </w:t>
            </w:r>
          </w:p>
        </w:tc>
        <w:tc>
          <w:tcPr>
            <w:tcW w:w="1398" w:type="dxa"/>
            <w:tcBorders>
              <w:top w:val="nil"/>
              <w:left w:val="nil"/>
              <w:bottom w:val="nil"/>
              <w:right w:val="nil"/>
            </w:tcBorders>
            <w:shd w:val="clear" w:color="000000" w:fill="FFFFFF"/>
            <w:noWrap/>
            <w:vAlign w:val="bottom"/>
            <w:hideMark/>
          </w:tcPr>
          <w:p w14:paraId="2F5074D1"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3C9E40DB"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nil"/>
              <w:right w:val="nil"/>
            </w:tcBorders>
            <w:shd w:val="clear" w:color="000000" w:fill="FFFFFF"/>
            <w:noWrap/>
            <w:vAlign w:val="bottom"/>
            <w:hideMark/>
          </w:tcPr>
          <w:p w14:paraId="1E2ADD9D"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r>
      <w:tr w:rsidR="00B517F7" w:rsidRPr="00F320C3" w14:paraId="2E79642A" w14:textId="77777777" w:rsidTr="0027260F">
        <w:trPr>
          <w:trHeight w:val="270"/>
        </w:trPr>
        <w:tc>
          <w:tcPr>
            <w:tcW w:w="6021" w:type="dxa"/>
            <w:tcBorders>
              <w:top w:val="nil"/>
              <w:left w:val="nil"/>
              <w:bottom w:val="nil"/>
              <w:right w:val="nil"/>
            </w:tcBorders>
            <w:shd w:val="clear" w:color="000000" w:fill="FFFFFF"/>
            <w:vAlign w:val="center"/>
            <w:hideMark/>
          </w:tcPr>
          <w:p w14:paraId="11CF9215"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Income from sale of goods and services</w:t>
            </w:r>
          </w:p>
        </w:tc>
        <w:tc>
          <w:tcPr>
            <w:tcW w:w="661" w:type="dxa"/>
            <w:tcBorders>
              <w:top w:val="nil"/>
              <w:left w:val="nil"/>
              <w:bottom w:val="nil"/>
              <w:right w:val="nil"/>
            </w:tcBorders>
            <w:shd w:val="clear" w:color="000000" w:fill="FFFFFF"/>
            <w:noWrap/>
            <w:vAlign w:val="bottom"/>
            <w:hideMark/>
          </w:tcPr>
          <w:p w14:paraId="6323DF5B"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2</w:t>
            </w:r>
          </w:p>
        </w:tc>
        <w:tc>
          <w:tcPr>
            <w:tcW w:w="1398" w:type="dxa"/>
            <w:tcBorders>
              <w:top w:val="nil"/>
              <w:left w:val="nil"/>
              <w:bottom w:val="single" w:sz="4" w:space="0" w:color="auto"/>
              <w:right w:val="nil"/>
            </w:tcBorders>
            <w:shd w:val="clear" w:color="000000" w:fill="FFFFFF"/>
            <w:noWrap/>
            <w:vAlign w:val="bottom"/>
            <w:hideMark/>
          </w:tcPr>
          <w:p w14:paraId="723C9AF2" w14:textId="77777777" w:rsidR="00F320C3" w:rsidRPr="00F320C3" w:rsidRDefault="00F320C3" w:rsidP="00F320C3">
            <w:pPr>
              <w:spacing w:before="0" w:after="0"/>
              <w:jc w:val="right"/>
              <w:rPr>
                <w:rFonts w:eastAsia="Times New Roman" w:cs="Arial"/>
                <w:sz w:val="20"/>
                <w:szCs w:val="20"/>
                <w:lang w:eastAsia="en-GB"/>
              </w:rPr>
            </w:pPr>
            <w:r w:rsidRPr="00F320C3">
              <w:rPr>
                <w:rFonts w:eastAsia="Times New Roman" w:cs="Arial"/>
                <w:sz w:val="20"/>
                <w:szCs w:val="20"/>
                <w:lang w:eastAsia="en-GB"/>
              </w:rPr>
              <w:t>(47,564)</w:t>
            </w:r>
          </w:p>
        </w:tc>
        <w:tc>
          <w:tcPr>
            <w:tcW w:w="272" w:type="dxa"/>
            <w:tcBorders>
              <w:top w:val="nil"/>
              <w:left w:val="nil"/>
              <w:bottom w:val="nil"/>
              <w:right w:val="nil"/>
            </w:tcBorders>
            <w:shd w:val="clear" w:color="000000" w:fill="FFFFFF"/>
            <w:noWrap/>
            <w:vAlign w:val="bottom"/>
            <w:hideMark/>
          </w:tcPr>
          <w:p w14:paraId="1A111D8B"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single" w:sz="4" w:space="0" w:color="auto"/>
              <w:right w:val="nil"/>
            </w:tcBorders>
            <w:shd w:val="clear" w:color="000000" w:fill="FFFFFF"/>
            <w:noWrap/>
            <w:vAlign w:val="bottom"/>
            <w:hideMark/>
          </w:tcPr>
          <w:p w14:paraId="1DA71911" w14:textId="77777777" w:rsidR="00F320C3" w:rsidRPr="00F320C3" w:rsidRDefault="00F320C3" w:rsidP="00F320C3">
            <w:pPr>
              <w:spacing w:before="0" w:after="0"/>
              <w:jc w:val="right"/>
              <w:rPr>
                <w:rFonts w:eastAsia="Times New Roman" w:cs="Arial"/>
                <w:sz w:val="20"/>
                <w:szCs w:val="20"/>
                <w:lang w:eastAsia="en-GB"/>
              </w:rPr>
            </w:pPr>
            <w:r w:rsidRPr="00F320C3">
              <w:rPr>
                <w:rFonts w:eastAsia="Times New Roman" w:cs="Arial"/>
                <w:sz w:val="20"/>
                <w:szCs w:val="20"/>
                <w:lang w:eastAsia="en-GB"/>
              </w:rPr>
              <w:t>(10,386)</w:t>
            </w:r>
          </w:p>
        </w:tc>
      </w:tr>
      <w:tr w:rsidR="00B517F7" w:rsidRPr="00F320C3" w14:paraId="1D6F58F6" w14:textId="77777777" w:rsidTr="0027260F">
        <w:trPr>
          <w:trHeight w:val="280"/>
        </w:trPr>
        <w:tc>
          <w:tcPr>
            <w:tcW w:w="6021" w:type="dxa"/>
            <w:tcBorders>
              <w:top w:val="nil"/>
              <w:left w:val="nil"/>
              <w:bottom w:val="nil"/>
              <w:right w:val="nil"/>
            </w:tcBorders>
            <w:shd w:val="clear" w:color="000000" w:fill="FFFFFF"/>
            <w:vAlign w:val="center"/>
            <w:hideMark/>
          </w:tcPr>
          <w:p w14:paraId="02046193" w14:textId="77777777" w:rsidR="00F320C3" w:rsidRPr="00F320C3" w:rsidRDefault="00F320C3" w:rsidP="00F320C3">
            <w:pPr>
              <w:spacing w:before="0" w:after="0"/>
              <w:rPr>
                <w:rFonts w:eastAsia="Times New Roman" w:cs="Arial"/>
                <w:b/>
                <w:bCs/>
                <w:sz w:val="20"/>
                <w:szCs w:val="20"/>
                <w:lang w:eastAsia="en-GB"/>
              </w:rPr>
            </w:pPr>
            <w:r w:rsidRPr="00F320C3">
              <w:rPr>
                <w:rFonts w:eastAsia="Times New Roman" w:cs="Arial"/>
                <w:b/>
                <w:bCs/>
                <w:sz w:val="20"/>
                <w:szCs w:val="20"/>
                <w:lang w:eastAsia="en-GB"/>
              </w:rPr>
              <w:t>Total operating income</w:t>
            </w:r>
          </w:p>
        </w:tc>
        <w:tc>
          <w:tcPr>
            <w:tcW w:w="661" w:type="dxa"/>
            <w:tcBorders>
              <w:top w:val="nil"/>
              <w:left w:val="nil"/>
              <w:bottom w:val="nil"/>
              <w:right w:val="nil"/>
            </w:tcBorders>
            <w:shd w:val="clear" w:color="000000" w:fill="FFFFFF"/>
            <w:noWrap/>
            <w:vAlign w:val="bottom"/>
            <w:hideMark/>
          </w:tcPr>
          <w:p w14:paraId="7D1FEE5C"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 </w:t>
            </w:r>
          </w:p>
        </w:tc>
        <w:tc>
          <w:tcPr>
            <w:tcW w:w="1398" w:type="dxa"/>
            <w:tcBorders>
              <w:top w:val="nil"/>
              <w:left w:val="nil"/>
              <w:bottom w:val="nil"/>
              <w:right w:val="nil"/>
            </w:tcBorders>
            <w:shd w:val="clear" w:color="000000" w:fill="FFFFFF"/>
            <w:noWrap/>
            <w:vAlign w:val="bottom"/>
            <w:hideMark/>
          </w:tcPr>
          <w:p w14:paraId="4D0834D6" w14:textId="77777777" w:rsidR="00F320C3" w:rsidRPr="00F320C3" w:rsidRDefault="00F320C3" w:rsidP="00F320C3">
            <w:pPr>
              <w:spacing w:before="0" w:after="0"/>
              <w:jc w:val="right"/>
              <w:rPr>
                <w:rFonts w:eastAsia="Times New Roman" w:cs="Arial"/>
                <w:b/>
                <w:bCs/>
                <w:sz w:val="20"/>
                <w:szCs w:val="20"/>
                <w:lang w:eastAsia="en-GB"/>
              </w:rPr>
            </w:pPr>
            <w:r w:rsidRPr="00F320C3">
              <w:rPr>
                <w:rFonts w:eastAsia="Times New Roman" w:cs="Arial"/>
                <w:b/>
                <w:bCs/>
                <w:sz w:val="20"/>
                <w:szCs w:val="20"/>
                <w:lang w:eastAsia="en-GB"/>
              </w:rPr>
              <w:t>(47,564)</w:t>
            </w:r>
          </w:p>
        </w:tc>
        <w:tc>
          <w:tcPr>
            <w:tcW w:w="272" w:type="dxa"/>
            <w:tcBorders>
              <w:top w:val="nil"/>
              <w:left w:val="nil"/>
              <w:bottom w:val="nil"/>
              <w:right w:val="nil"/>
            </w:tcBorders>
            <w:shd w:val="clear" w:color="000000" w:fill="FFFFFF"/>
            <w:noWrap/>
            <w:vAlign w:val="bottom"/>
            <w:hideMark/>
          </w:tcPr>
          <w:p w14:paraId="4EDFD86C"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nil"/>
              <w:right w:val="nil"/>
            </w:tcBorders>
            <w:shd w:val="clear" w:color="000000" w:fill="FFFFFF"/>
            <w:noWrap/>
            <w:vAlign w:val="bottom"/>
            <w:hideMark/>
          </w:tcPr>
          <w:p w14:paraId="7C7E8989" w14:textId="77777777" w:rsidR="00F320C3" w:rsidRPr="00F320C3" w:rsidRDefault="00F320C3" w:rsidP="00F320C3">
            <w:pPr>
              <w:spacing w:before="0" w:after="0"/>
              <w:jc w:val="right"/>
              <w:rPr>
                <w:rFonts w:eastAsia="Times New Roman" w:cs="Arial"/>
                <w:b/>
                <w:bCs/>
                <w:sz w:val="20"/>
                <w:szCs w:val="20"/>
                <w:lang w:eastAsia="en-GB"/>
              </w:rPr>
            </w:pPr>
            <w:r w:rsidRPr="00F320C3">
              <w:rPr>
                <w:rFonts w:eastAsia="Times New Roman" w:cs="Arial"/>
                <w:b/>
                <w:bCs/>
                <w:sz w:val="20"/>
                <w:szCs w:val="20"/>
                <w:lang w:eastAsia="en-GB"/>
              </w:rPr>
              <w:t>(10,386)</w:t>
            </w:r>
          </w:p>
        </w:tc>
      </w:tr>
      <w:tr w:rsidR="00B517F7" w:rsidRPr="00F320C3" w14:paraId="18F7382F" w14:textId="77777777" w:rsidTr="0027260F">
        <w:trPr>
          <w:trHeight w:val="280"/>
        </w:trPr>
        <w:tc>
          <w:tcPr>
            <w:tcW w:w="6021" w:type="dxa"/>
            <w:tcBorders>
              <w:top w:val="nil"/>
              <w:left w:val="nil"/>
              <w:bottom w:val="nil"/>
              <w:right w:val="nil"/>
            </w:tcBorders>
            <w:shd w:val="clear" w:color="000000" w:fill="FFFFFF"/>
            <w:vAlign w:val="center"/>
            <w:hideMark/>
          </w:tcPr>
          <w:p w14:paraId="53B4A983" w14:textId="77777777" w:rsidR="00F320C3" w:rsidRPr="00F320C3" w:rsidRDefault="00F320C3" w:rsidP="00F320C3">
            <w:pPr>
              <w:spacing w:before="0" w:after="0"/>
              <w:rPr>
                <w:rFonts w:eastAsia="Times New Roman" w:cs="Arial"/>
                <w:b/>
                <w:bCs/>
                <w:sz w:val="20"/>
                <w:szCs w:val="20"/>
                <w:lang w:eastAsia="en-GB"/>
              </w:rPr>
            </w:pPr>
            <w:r w:rsidRPr="00F320C3">
              <w:rPr>
                <w:rFonts w:eastAsia="Times New Roman" w:cs="Arial"/>
                <w:b/>
                <w:bCs/>
                <w:sz w:val="20"/>
                <w:szCs w:val="20"/>
                <w:lang w:eastAsia="en-GB"/>
              </w:rPr>
              <w:t> </w:t>
            </w:r>
          </w:p>
        </w:tc>
        <w:tc>
          <w:tcPr>
            <w:tcW w:w="661" w:type="dxa"/>
            <w:tcBorders>
              <w:top w:val="nil"/>
              <w:left w:val="nil"/>
              <w:bottom w:val="nil"/>
              <w:right w:val="nil"/>
            </w:tcBorders>
            <w:shd w:val="clear" w:color="000000" w:fill="FFFFFF"/>
            <w:noWrap/>
            <w:vAlign w:val="bottom"/>
            <w:hideMark/>
          </w:tcPr>
          <w:p w14:paraId="54D7DFC1"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 </w:t>
            </w:r>
          </w:p>
        </w:tc>
        <w:tc>
          <w:tcPr>
            <w:tcW w:w="1398" w:type="dxa"/>
            <w:tcBorders>
              <w:top w:val="nil"/>
              <w:left w:val="nil"/>
              <w:bottom w:val="nil"/>
              <w:right w:val="nil"/>
            </w:tcBorders>
            <w:shd w:val="clear" w:color="000000" w:fill="FFFFFF"/>
            <w:noWrap/>
            <w:vAlign w:val="bottom"/>
            <w:hideMark/>
          </w:tcPr>
          <w:p w14:paraId="78AFCECB"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B9D403B"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nil"/>
              <w:right w:val="nil"/>
            </w:tcBorders>
            <w:shd w:val="clear" w:color="000000" w:fill="FFFFFF"/>
            <w:noWrap/>
            <w:vAlign w:val="bottom"/>
            <w:hideMark/>
          </w:tcPr>
          <w:p w14:paraId="2AB5BBED"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r>
      <w:tr w:rsidR="00B517F7" w:rsidRPr="00F320C3" w14:paraId="15B8A0FA" w14:textId="77777777" w:rsidTr="0027260F">
        <w:trPr>
          <w:trHeight w:val="260"/>
        </w:trPr>
        <w:tc>
          <w:tcPr>
            <w:tcW w:w="6021" w:type="dxa"/>
            <w:tcBorders>
              <w:top w:val="nil"/>
              <w:left w:val="nil"/>
              <w:bottom w:val="nil"/>
              <w:right w:val="nil"/>
            </w:tcBorders>
            <w:shd w:val="clear" w:color="000000" w:fill="FFFFFF"/>
            <w:vAlign w:val="center"/>
            <w:hideMark/>
          </w:tcPr>
          <w:p w14:paraId="5F3328AE"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Employee benefits</w:t>
            </w:r>
          </w:p>
        </w:tc>
        <w:tc>
          <w:tcPr>
            <w:tcW w:w="661" w:type="dxa"/>
            <w:tcBorders>
              <w:top w:val="nil"/>
              <w:left w:val="nil"/>
              <w:bottom w:val="nil"/>
              <w:right w:val="nil"/>
            </w:tcBorders>
            <w:shd w:val="clear" w:color="000000" w:fill="FFFFFF"/>
            <w:noWrap/>
            <w:vAlign w:val="bottom"/>
            <w:hideMark/>
          </w:tcPr>
          <w:p w14:paraId="48AC9199"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4</w:t>
            </w:r>
          </w:p>
        </w:tc>
        <w:tc>
          <w:tcPr>
            <w:tcW w:w="1398" w:type="dxa"/>
            <w:tcBorders>
              <w:top w:val="nil"/>
              <w:left w:val="nil"/>
              <w:bottom w:val="nil"/>
              <w:right w:val="nil"/>
            </w:tcBorders>
            <w:shd w:val="clear" w:color="000000" w:fill="FFFFFF"/>
            <w:noWrap/>
            <w:vAlign w:val="bottom"/>
            <w:hideMark/>
          </w:tcPr>
          <w:p w14:paraId="1F5A7420" w14:textId="77777777" w:rsidR="00F320C3" w:rsidRPr="00F320C3" w:rsidRDefault="00F320C3" w:rsidP="00F320C3">
            <w:pPr>
              <w:spacing w:before="0" w:after="0"/>
              <w:jc w:val="right"/>
              <w:rPr>
                <w:rFonts w:eastAsia="Times New Roman" w:cs="Arial"/>
                <w:sz w:val="20"/>
                <w:szCs w:val="20"/>
                <w:lang w:eastAsia="en-GB"/>
              </w:rPr>
            </w:pPr>
            <w:r w:rsidRPr="00F320C3">
              <w:rPr>
                <w:rFonts w:eastAsia="Times New Roman" w:cs="Arial"/>
                <w:sz w:val="20"/>
                <w:szCs w:val="20"/>
                <w:lang w:eastAsia="en-GB"/>
              </w:rPr>
              <w:t>38,110</w:t>
            </w:r>
          </w:p>
        </w:tc>
        <w:tc>
          <w:tcPr>
            <w:tcW w:w="272" w:type="dxa"/>
            <w:tcBorders>
              <w:top w:val="nil"/>
              <w:left w:val="nil"/>
              <w:bottom w:val="nil"/>
              <w:right w:val="nil"/>
            </w:tcBorders>
            <w:shd w:val="clear" w:color="000000" w:fill="FFFFFF"/>
            <w:noWrap/>
            <w:vAlign w:val="bottom"/>
            <w:hideMark/>
          </w:tcPr>
          <w:p w14:paraId="6C25A56C"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nil"/>
              <w:right w:val="nil"/>
            </w:tcBorders>
            <w:shd w:val="clear" w:color="000000" w:fill="FFFFFF"/>
            <w:noWrap/>
            <w:vAlign w:val="bottom"/>
            <w:hideMark/>
          </w:tcPr>
          <w:p w14:paraId="7B480A1B" w14:textId="77777777" w:rsidR="00F320C3" w:rsidRPr="00F320C3" w:rsidRDefault="00F320C3" w:rsidP="00F320C3">
            <w:pPr>
              <w:spacing w:before="0" w:after="0"/>
              <w:jc w:val="right"/>
              <w:rPr>
                <w:rFonts w:eastAsia="Times New Roman" w:cs="Arial"/>
                <w:sz w:val="20"/>
                <w:szCs w:val="20"/>
                <w:lang w:eastAsia="en-GB"/>
              </w:rPr>
            </w:pPr>
            <w:r w:rsidRPr="00F320C3">
              <w:rPr>
                <w:rFonts w:eastAsia="Times New Roman" w:cs="Arial"/>
                <w:sz w:val="20"/>
                <w:szCs w:val="20"/>
                <w:lang w:eastAsia="en-GB"/>
              </w:rPr>
              <w:t>28,205</w:t>
            </w:r>
          </w:p>
        </w:tc>
      </w:tr>
      <w:tr w:rsidR="00B517F7" w:rsidRPr="00F320C3" w14:paraId="44191E92" w14:textId="77777777" w:rsidTr="0027260F">
        <w:trPr>
          <w:trHeight w:val="260"/>
        </w:trPr>
        <w:tc>
          <w:tcPr>
            <w:tcW w:w="6021" w:type="dxa"/>
            <w:tcBorders>
              <w:top w:val="nil"/>
              <w:left w:val="nil"/>
              <w:bottom w:val="nil"/>
              <w:right w:val="nil"/>
            </w:tcBorders>
            <w:shd w:val="clear" w:color="000000" w:fill="FFFFFF"/>
            <w:vAlign w:val="center"/>
            <w:hideMark/>
          </w:tcPr>
          <w:p w14:paraId="67045156"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Purchase of goods and services</w:t>
            </w:r>
          </w:p>
        </w:tc>
        <w:tc>
          <w:tcPr>
            <w:tcW w:w="661" w:type="dxa"/>
            <w:tcBorders>
              <w:top w:val="nil"/>
              <w:left w:val="nil"/>
              <w:bottom w:val="nil"/>
              <w:right w:val="nil"/>
            </w:tcBorders>
            <w:shd w:val="clear" w:color="000000" w:fill="FFFFFF"/>
            <w:noWrap/>
            <w:vAlign w:val="bottom"/>
            <w:hideMark/>
          </w:tcPr>
          <w:p w14:paraId="2BB14B20"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5</w:t>
            </w:r>
          </w:p>
        </w:tc>
        <w:tc>
          <w:tcPr>
            <w:tcW w:w="1398" w:type="dxa"/>
            <w:tcBorders>
              <w:top w:val="nil"/>
              <w:left w:val="nil"/>
              <w:bottom w:val="nil"/>
              <w:right w:val="nil"/>
            </w:tcBorders>
            <w:shd w:val="clear" w:color="000000" w:fill="FFFFFF"/>
            <w:noWrap/>
            <w:vAlign w:val="bottom"/>
            <w:hideMark/>
          </w:tcPr>
          <w:p w14:paraId="4B9BE045" w14:textId="77777777" w:rsidR="00F320C3" w:rsidRPr="00F320C3" w:rsidRDefault="00F320C3" w:rsidP="00F320C3">
            <w:pPr>
              <w:spacing w:before="0" w:after="0"/>
              <w:jc w:val="right"/>
              <w:rPr>
                <w:rFonts w:eastAsia="Times New Roman" w:cs="Arial"/>
                <w:sz w:val="20"/>
                <w:szCs w:val="20"/>
                <w:lang w:eastAsia="en-GB"/>
              </w:rPr>
            </w:pPr>
            <w:r w:rsidRPr="00F320C3">
              <w:rPr>
                <w:rFonts w:eastAsia="Times New Roman" w:cs="Arial"/>
                <w:sz w:val="20"/>
                <w:szCs w:val="20"/>
                <w:lang w:eastAsia="en-GB"/>
              </w:rPr>
              <w:t>2,703,294</w:t>
            </w:r>
          </w:p>
        </w:tc>
        <w:tc>
          <w:tcPr>
            <w:tcW w:w="272" w:type="dxa"/>
            <w:tcBorders>
              <w:top w:val="nil"/>
              <w:left w:val="nil"/>
              <w:bottom w:val="nil"/>
              <w:right w:val="nil"/>
            </w:tcBorders>
            <w:shd w:val="clear" w:color="000000" w:fill="FFFFFF"/>
            <w:noWrap/>
            <w:vAlign w:val="bottom"/>
            <w:hideMark/>
          </w:tcPr>
          <w:p w14:paraId="35F78225"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nil"/>
              <w:right w:val="nil"/>
            </w:tcBorders>
            <w:shd w:val="clear" w:color="000000" w:fill="FFFFFF"/>
            <w:noWrap/>
            <w:vAlign w:val="bottom"/>
            <w:hideMark/>
          </w:tcPr>
          <w:p w14:paraId="73489F6D" w14:textId="77777777" w:rsidR="00F320C3" w:rsidRPr="00F320C3" w:rsidRDefault="00F320C3" w:rsidP="00F320C3">
            <w:pPr>
              <w:spacing w:before="0" w:after="0"/>
              <w:jc w:val="right"/>
              <w:rPr>
                <w:rFonts w:eastAsia="Times New Roman" w:cs="Arial"/>
                <w:sz w:val="20"/>
                <w:szCs w:val="20"/>
                <w:lang w:eastAsia="en-GB"/>
              </w:rPr>
            </w:pPr>
            <w:r w:rsidRPr="00F320C3">
              <w:rPr>
                <w:rFonts w:eastAsia="Times New Roman" w:cs="Arial"/>
                <w:sz w:val="20"/>
                <w:szCs w:val="20"/>
                <w:lang w:eastAsia="en-GB"/>
              </w:rPr>
              <w:t>1,842,034</w:t>
            </w:r>
          </w:p>
        </w:tc>
      </w:tr>
      <w:tr w:rsidR="00B517F7" w:rsidRPr="00F320C3" w14:paraId="7D9E4874" w14:textId="77777777" w:rsidTr="0027260F">
        <w:trPr>
          <w:trHeight w:val="260"/>
        </w:trPr>
        <w:tc>
          <w:tcPr>
            <w:tcW w:w="6021" w:type="dxa"/>
            <w:tcBorders>
              <w:top w:val="nil"/>
              <w:left w:val="nil"/>
              <w:bottom w:val="nil"/>
              <w:right w:val="nil"/>
            </w:tcBorders>
            <w:shd w:val="clear" w:color="000000" w:fill="FFFFFF"/>
            <w:vAlign w:val="center"/>
            <w:hideMark/>
          </w:tcPr>
          <w:p w14:paraId="12B69831"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Depreciation and impairment charges</w:t>
            </w:r>
          </w:p>
        </w:tc>
        <w:tc>
          <w:tcPr>
            <w:tcW w:w="661" w:type="dxa"/>
            <w:tcBorders>
              <w:top w:val="nil"/>
              <w:left w:val="nil"/>
              <w:bottom w:val="nil"/>
              <w:right w:val="nil"/>
            </w:tcBorders>
            <w:shd w:val="clear" w:color="000000" w:fill="FFFFFF"/>
            <w:noWrap/>
            <w:vAlign w:val="bottom"/>
            <w:hideMark/>
          </w:tcPr>
          <w:p w14:paraId="01F9386B"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5</w:t>
            </w:r>
          </w:p>
        </w:tc>
        <w:tc>
          <w:tcPr>
            <w:tcW w:w="1398" w:type="dxa"/>
            <w:tcBorders>
              <w:top w:val="nil"/>
              <w:left w:val="nil"/>
              <w:bottom w:val="nil"/>
              <w:right w:val="nil"/>
            </w:tcBorders>
            <w:shd w:val="clear" w:color="000000" w:fill="FFFFFF"/>
            <w:noWrap/>
            <w:vAlign w:val="bottom"/>
            <w:hideMark/>
          </w:tcPr>
          <w:p w14:paraId="50F5FF37" w14:textId="77777777" w:rsidR="00F320C3" w:rsidRPr="00F320C3" w:rsidRDefault="00F320C3" w:rsidP="00F320C3">
            <w:pPr>
              <w:spacing w:before="0" w:after="0"/>
              <w:jc w:val="right"/>
              <w:rPr>
                <w:rFonts w:eastAsia="Times New Roman" w:cs="Arial"/>
                <w:sz w:val="20"/>
                <w:szCs w:val="20"/>
                <w:lang w:eastAsia="en-GB"/>
              </w:rPr>
            </w:pPr>
            <w:r w:rsidRPr="00F320C3">
              <w:rPr>
                <w:rFonts w:eastAsia="Times New Roman" w:cs="Arial"/>
                <w:sz w:val="20"/>
                <w:szCs w:val="20"/>
                <w:lang w:eastAsia="en-GB"/>
              </w:rPr>
              <w:t>462</w:t>
            </w:r>
          </w:p>
        </w:tc>
        <w:tc>
          <w:tcPr>
            <w:tcW w:w="272" w:type="dxa"/>
            <w:tcBorders>
              <w:top w:val="nil"/>
              <w:left w:val="nil"/>
              <w:bottom w:val="nil"/>
              <w:right w:val="nil"/>
            </w:tcBorders>
            <w:shd w:val="clear" w:color="000000" w:fill="FFFFFF"/>
            <w:noWrap/>
            <w:vAlign w:val="bottom"/>
            <w:hideMark/>
          </w:tcPr>
          <w:p w14:paraId="084CD07B"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nil"/>
              <w:right w:val="nil"/>
            </w:tcBorders>
            <w:shd w:val="clear" w:color="000000" w:fill="FFFFFF"/>
            <w:noWrap/>
            <w:vAlign w:val="bottom"/>
            <w:hideMark/>
          </w:tcPr>
          <w:p w14:paraId="05E6AD98" w14:textId="77777777" w:rsidR="00F320C3" w:rsidRPr="00F320C3" w:rsidRDefault="00F320C3" w:rsidP="00F320C3">
            <w:pPr>
              <w:spacing w:before="0" w:after="0"/>
              <w:jc w:val="right"/>
              <w:rPr>
                <w:rFonts w:eastAsia="Times New Roman" w:cs="Arial"/>
                <w:sz w:val="20"/>
                <w:szCs w:val="20"/>
                <w:lang w:eastAsia="en-GB"/>
              </w:rPr>
            </w:pPr>
            <w:r w:rsidRPr="00F320C3">
              <w:rPr>
                <w:rFonts w:eastAsia="Times New Roman" w:cs="Arial"/>
                <w:sz w:val="20"/>
                <w:szCs w:val="20"/>
                <w:lang w:eastAsia="en-GB"/>
              </w:rPr>
              <w:t>505</w:t>
            </w:r>
          </w:p>
        </w:tc>
      </w:tr>
      <w:tr w:rsidR="00B517F7" w:rsidRPr="00F320C3" w14:paraId="499B3D76" w14:textId="77777777" w:rsidTr="0027260F">
        <w:trPr>
          <w:trHeight w:val="260"/>
        </w:trPr>
        <w:tc>
          <w:tcPr>
            <w:tcW w:w="6021" w:type="dxa"/>
            <w:tcBorders>
              <w:top w:val="nil"/>
              <w:left w:val="nil"/>
              <w:bottom w:val="nil"/>
              <w:right w:val="nil"/>
            </w:tcBorders>
            <w:shd w:val="clear" w:color="000000" w:fill="FFFFFF"/>
            <w:vAlign w:val="center"/>
            <w:hideMark/>
          </w:tcPr>
          <w:p w14:paraId="3C4E78BC"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Provision expense</w:t>
            </w:r>
          </w:p>
        </w:tc>
        <w:tc>
          <w:tcPr>
            <w:tcW w:w="661" w:type="dxa"/>
            <w:tcBorders>
              <w:top w:val="nil"/>
              <w:left w:val="nil"/>
              <w:bottom w:val="nil"/>
              <w:right w:val="nil"/>
            </w:tcBorders>
            <w:shd w:val="clear" w:color="000000" w:fill="FFFFFF"/>
            <w:noWrap/>
            <w:vAlign w:val="bottom"/>
            <w:hideMark/>
          </w:tcPr>
          <w:p w14:paraId="297AA209"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5</w:t>
            </w:r>
          </w:p>
        </w:tc>
        <w:tc>
          <w:tcPr>
            <w:tcW w:w="1398" w:type="dxa"/>
            <w:tcBorders>
              <w:top w:val="nil"/>
              <w:left w:val="nil"/>
              <w:bottom w:val="nil"/>
              <w:right w:val="nil"/>
            </w:tcBorders>
            <w:shd w:val="clear" w:color="000000" w:fill="FFFFFF"/>
            <w:noWrap/>
            <w:vAlign w:val="bottom"/>
            <w:hideMark/>
          </w:tcPr>
          <w:p w14:paraId="60A6EFA9" w14:textId="77777777" w:rsidR="00F320C3" w:rsidRPr="00F320C3" w:rsidRDefault="00F320C3" w:rsidP="00F320C3">
            <w:pPr>
              <w:spacing w:before="0" w:after="0"/>
              <w:jc w:val="right"/>
              <w:rPr>
                <w:rFonts w:eastAsia="Times New Roman" w:cs="Arial"/>
                <w:sz w:val="20"/>
                <w:szCs w:val="20"/>
                <w:lang w:eastAsia="en-GB"/>
              </w:rPr>
            </w:pPr>
            <w:r w:rsidRPr="00F320C3">
              <w:rPr>
                <w:rFonts w:eastAsia="Times New Roman" w:cs="Arial"/>
                <w:sz w:val="20"/>
                <w:szCs w:val="20"/>
                <w:lang w:eastAsia="en-GB"/>
              </w:rPr>
              <w:t>(8,931)</w:t>
            </w:r>
          </w:p>
        </w:tc>
        <w:tc>
          <w:tcPr>
            <w:tcW w:w="272" w:type="dxa"/>
            <w:tcBorders>
              <w:top w:val="nil"/>
              <w:left w:val="nil"/>
              <w:bottom w:val="nil"/>
              <w:right w:val="nil"/>
            </w:tcBorders>
            <w:shd w:val="clear" w:color="000000" w:fill="FFFFFF"/>
            <w:noWrap/>
            <w:vAlign w:val="bottom"/>
            <w:hideMark/>
          </w:tcPr>
          <w:p w14:paraId="7F450FAA"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nil"/>
              <w:right w:val="nil"/>
            </w:tcBorders>
            <w:shd w:val="clear" w:color="000000" w:fill="FFFFFF"/>
            <w:noWrap/>
            <w:vAlign w:val="bottom"/>
            <w:hideMark/>
          </w:tcPr>
          <w:p w14:paraId="1776F4D5" w14:textId="77777777" w:rsidR="00F320C3" w:rsidRPr="00F320C3" w:rsidRDefault="00F320C3" w:rsidP="00F320C3">
            <w:pPr>
              <w:spacing w:before="0" w:after="0"/>
              <w:jc w:val="right"/>
              <w:rPr>
                <w:rFonts w:eastAsia="Times New Roman" w:cs="Arial"/>
                <w:sz w:val="20"/>
                <w:szCs w:val="20"/>
                <w:lang w:eastAsia="en-GB"/>
              </w:rPr>
            </w:pPr>
            <w:r w:rsidRPr="00F320C3">
              <w:rPr>
                <w:rFonts w:eastAsia="Times New Roman" w:cs="Arial"/>
                <w:sz w:val="20"/>
                <w:szCs w:val="20"/>
                <w:lang w:eastAsia="en-GB"/>
              </w:rPr>
              <w:t>4,043</w:t>
            </w:r>
          </w:p>
        </w:tc>
      </w:tr>
      <w:tr w:rsidR="00B517F7" w:rsidRPr="00F320C3" w14:paraId="243F7483" w14:textId="77777777" w:rsidTr="0027260F">
        <w:trPr>
          <w:trHeight w:val="260"/>
        </w:trPr>
        <w:tc>
          <w:tcPr>
            <w:tcW w:w="6021" w:type="dxa"/>
            <w:tcBorders>
              <w:top w:val="nil"/>
              <w:left w:val="nil"/>
              <w:bottom w:val="nil"/>
              <w:right w:val="nil"/>
            </w:tcBorders>
            <w:shd w:val="clear" w:color="000000" w:fill="FFFFFF"/>
            <w:vAlign w:val="center"/>
            <w:hideMark/>
          </w:tcPr>
          <w:p w14:paraId="6391A68A"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Other operating expenditure</w:t>
            </w:r>
          </w:p>
        </w:tc>
        <w:tc>
          <w:tcPr>
            <w:tcW w:w="661" w:type="dxa"/>
            <w:tcBorders>
              <w:top w:val="nil"/>
              <w:left w:val="nil"/>
              <w:bottom w:val="nil"/>
              <w:right w:val="nil"/>
            </w:tcBorders>
            <w:shd w:val="clear" w:color="000000" w:fill="FFFFFF"/>
            <w:noWrap/>
            <w:vAlign w:val="bottom"/>
            <w:hideMark/>
          </w:tcPr>
          <w:p w14:paraId="65AEF1B1"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5</w:t>
            </w:r>
          </w:p>
        </w:tc>
        <w:tc>
          <w:tcPr>
            <w:tcW w:w="1398" w:type="dxa"/>
            <w:tcBorders>
              <w:top w:val="nil"/>
              <w:left w:val="nil"/>
              <w:bottom w:val="single" w:sz="4" w:space="0" w:color="auto"/>
              <w:right w:val="nil"/>
            </w:tcBorders>
            <w:shd w:val="clear" w:color="000000" w:fill="FFFFFF"/>
            <w:noWrap/>
            <w:vAlign w:val="bottom"/>
            <w:hideMark/>
          </w:tcPr>
          <w:p w14:paraId="037B1348" w14:textId="77777777" w:rsidR="00F320C3" w:rsidRPr="00F320C3" w:rsidRDefault="00F320C3" w:rsidP="00F320C3">
            <w:pPr>
              <w:spacing w:before="0" w:after="0"/>
              <w:jc w:val="right"/>
              <w:rPr>
                <w:rFonts w:eastAsia="Times New Roman" w:cs="Arial"/>
                <w:sz w:val="20"/>
                <w:szCs w:val="20"/>
                <w:lang w:eastAsia="en-GB"/>
              </w:rPr>
            </w:pPr>
            <w:r w:rsidRPr="00F320C3">
              <w:rPr>
                <w:rFonts w:eastAsia="Times New Roman" w:cs="Arial"/>
                <w:sz w:val="20"/>
                <w:szCs w:val="20"/>
                <w:lang w:eastAsia="en-GB"/>
              </w:rPr>
              <w:t>557</w:t>
            </w:r>
          </w:p>
        </w:tc>
        <w:tc>
          <w:tcPr>
            <w:tcW w:w="272" w:type="dxa"/>
            <w:tcBorders>
              <w:top w:val="nil"/>
              <w:left w:val="nil"/>
              <w:bottom w:val="nil"/>
              <w:right w:val="nil"/>
            </w:tcBorders>
            <w:shd w:val="clear" w:color="000000" w:fill="FFFFFF"/>
            <w:noWrap/>
            <w:vAlign w:val="bottom"/>
            <w:hideMark/>
          </w:tcPr>
          <w:p w14:paraId="239F6DED"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single" w:sz="4" w:space="0" w:color="auto"/>
              <w:right w:val="nil"/>
            </w:tcBorders>
            <w:shd w:val="clear" w:color="000000" w:fill="FFFFFF"/>
            <w:noWrap/>
            <w:vAlign w:val="bottom"/>
            <w:hideMark/>
          </w:tcPr>
          <w:p w14:paraId="3648DC7D" w14:textId="77777777" w:rsidR="00F320C3" w:rsidRPr="00F320C3" w:rsidRDefault="00F320C3" w:rsidP="00F320C3">
            <w:pPr>
              <w:spacing w:before="0" w:after="0"/>
              <w:jc w:val="right"/>
              <w:rPr>
                <w:rFonts w:eastAsia="Times New Roman" w:cs="Arial"/>
                <w:sz w:val="20"/>
                <w:szCs w:val="20"/>
                <w:lang w:eastAsia="en-GB"/>
              </w:rPr>
            </w:pPr>
            <w:r w:rsidRPr="00F320C3">
              <w:rPr>
                <w:rFonts w:eastAsia="Times New Roman" w:cs="Arial"/>
                <w:sz w:val="20"/>
                <w:szCs w:val="20"/>
                <w:lang w:eastAsia="en-GB"/>
              </w:rPr>
              <w:t>9,336</w:t>
            </w:r>
          </w:p>
        </w:tc>
      </w:tr>
      <w:tr w:rsidR="00B517F7" w:rsidRPr="00F320C3" w14:paraId="3985ED1C" w14:textId="77777777" w:rsidTr="0027260F">
        <w:trPr>
          <w:trHeight w:val="280"/>
        </w:trPr>
        <w:tc>
          <w:tcPr>
            <w:tcW w:w="6021" w:type="dxa"/>
            <w:tcBorders>
              <w:top w:val="nil"/>
              <w:left w:val="nil"/>
              <w:bottom w:val="nil"/>
              <w:right w:val="nil"/>
            </w:tcBorders>
            <w:shd w:val="clear" w:color="000000" w:fill="FFFFFF"/>
            <w:vAlign w:val="center"/>
            <w:hideMark/>
          </w:tcPr>
          <w:p w14:paraId="31659BE9" w14:textId="77777777" w:rsidR="00F320C3" w:rsidRPr="00F320C3" w:rsidRDefault="00F320C3" w:rsidP="00F320C3">
            <w:pPr>
              <w:spacing w:before="0" w:after="0"/>
              <w:rPr>
                <w:rFonts w:eastAsia="Times New Roman" w:cs="Arial"/>
                <w:b/>
                <w:bCs/>
                <w:sz w:val="20"/>
                <w:szCs w:val="20"/>
                <w:lang w:eastAsia="en-GB"/>
              </w:rPr>
            </w:pPr>
            <w:r w:rsidRPr="00F320C3">
              <w:rPr>
                <w:rFonts w:eastAsia="Times New Roman" w:cs="Arial"/>
                <w:b/>
                <w:bCs/>
                <w:sz w:val="20"/>
                <w:szCs w:val="20"/>
                <w:lang w:eastAsia="en-GB"/>
              </w:rPr>
              <w:t>Total operating expenditure</w:t>
            </w:r>
          </w:p>
        </w:tc>
        <w:tc>
          <w:tcPr>
            <w:tcW w:w="661" w:type="dxa"/>
            <w:tcBorders>
              <w:top w:val="nil"/>
              <w:left w:val="nil"/>
              <w:bottom w:val="nil"/>
              <w:right w:val="nil"/>
            </w:tcBorders>
            <w:shd w:val="clear" w:color="000000" w:fill="FFFFFF"/>
            <w:noWrap/>
            <w:vAlign w:val="bottom"/>
            <w:hideMark/>
          </w:tcPr>
          <w:p w14:paraId="221AF6B7"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 </w:t>
            </w:r>
          </w:p>
        </w:tc>
        <w:tc>
          <w:tcPr>
            <w:tcW w:w="1398" w:type="dxa"/>
            <w:tcBorders>
              <w:top w:val="nil"/>
              <w:left w:val="nil"/>
              <w:bottom w:val="nil"/>
              <w:right w:val="nil"/>
            </w:tcBorders>
            <w:shd w:val="clear" w:color="000000" w:fill="FFFFFF"/>
            <w:noWrap/>
            <w:vAlign w:val="bottom"/>
            <w:hideMark/>
          </w:tcPr>
          <w:p w14:paraId="7F777F60" w14:textId="77777777" w:rsidR="00F320C3" w:rsidRPr="00F320C3" w:rsidRDefault="00F320C3" w:rsidP="00F320C3">
            <w:pPr>
              <w:spacing w:before="0" w:after="0"/>
              <w:jc w:val="right"/>
              <w:rPr>
                <w:rFonts w:eastAsia="Times New Roman" w:cs="Arial"/>
                <w:b/>
                <w:bCs/>
                <w:sz w:val="20"/>
                <w:szCs w:val="20"/>
                <w:lang w:eastAsia="en-GB"/>
              </w:rPr>
            </w:pPr>
            <w:r w:rsidRPr="00F320C3">
              <w:rPr>
                <w:rFonts w:eastAsia="Times New Roman" w:cs="Arial"/>
                <w:b/>
                <w:bCs/>
                <w:sz w:val="20"/>
                <w:szCs w:val="20"/>
                <w:lang w:eastAsia="en-GB"/>
              </w:rPr>
              <w:t>2,733,492</w:t>
            </w:r>
          </w:p>
        </w:tc>
        <w:tc>
          <w:tcPr>
            <w:tcW w:w="272" w:type="dxa"/>
            <w:tcBorders>
              <w:top w:val="nil"/>
              <w:left w:val="nil"/>
              <w:bottom w:val="nil"/>
              <w:right w:val="nil"/>
            </w:tcBorders>
            <w:shd w:val="clear" w:color="000000" w:fill="FFFFFF"/>
            <w:noWrap/>
            <w:vAlign w:val="bottom"/>
            <w:hideMark/>
          </w:tcPr>
          <w:p w14:paraId="265E8F38"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nil"/>
              <w:right w:val="nil"/>
            </w:tcBorders>
            <w:shd w:val="clear" w:color="000000" w:fill="FFFFFF"/>
            <w:noWrap/>
            <w:vAlign w:val="bottom"/>
            <w:hideMark/>
          </w:tcPr>
          <w:p w14:paraId="14A92F3D" w14:textId="77777777" w:rsidR="00F320C3" w:rsidRPr="00F320C3" w:rsidRDefault="00F320C3" w:rsidP="00F320C3">
            <w:pPr>
              <w:spacing w:before="0" w:after="0"/>
              <w:jc w:val="right"/>
              <w:rPr>
                <w:rFonts w:eastAsia="Times New Roman" w:cs="Arial"/>
                <w:b/>
                <w:bCs/>
                <w:sz w:val="20"/>
                <w:szCs w:val="20"/>
                <w:lang w:eastAsia="en-GB"/>
              </w:rPr>
            </w:pPr>
            <w:r w:rsidRPr="00F320C3">
              <w:rPr>
                <w:rFonts w:eastAsia="Times New Roman" w:cs="Arial"/>
                <w:b/>
                <w:bCs/>
                <w:sz w:val="20"/>
                <w:szCs w:val="20"/>
                <w:lang w:eastAsia="en-GB"/>
              </w:rPr>
              <w:t>1,884,123</w:t>
            </w:r>
          </w:p>
        </w:tc>
      </w:tr>
      <w:tr w:rsidR="00B517F7" w:rsidRPr="00F320C3" w14:paraId="40E72743" w14:textId="77777777" w:rsidTr="0027260F">
        <w:trPr>
          <w:trHeight w:val="280"/>
        </w:trPr>
        <w:tc>
          <w:tcPr>
            <w:tcW w:w="6021" w:type="dxa"/>
            <w:tcBorders>
              <w:top w:val="nil"/>
              <w:left w:val="nil"/>
              <w:bottom w:val="nil"/>
              <w:right w:val="nil"/>
            </w:tcBorders>
            <w:shd w:val="clear" w:color="000000" w:fill="FFFFFF"/>
            <w:vAlign w:val="center"/>
            <w:hideMark/>
          </w:tcPr>
          <w:p w14:paraId="61E61C9E" w14:textId="77777777" w:rsidR="00F320C3" w:rsidRPr="00F320C3" w:rsidRDefault="00F320C3" w:rsidP="00F320C3">
            <w:pPr>
              <w:spacing w:before="0" w:after="0"/>
              <w:rPr>
                <w:rFonts w:eastAsia="Times New Roman" w:cs="Arial"/>
                <w:b/>
                <w:bCs/>
                <w:sz w:val="20"/>
                <w:szCs w:val="20"/>
                <w:lang w:eastAsia="en-GB"/>
              </w:rPr>
            </w:pPr>
            <w:r w:rsidRPr="00F320C3">
              <w:rPr>
                <w:rFonts w:eastAsia="Times New Roman" w:cs="Arial"/>
                <w:b/>
                <w:bCs/>
                <w:sz w:val="20"/>
                <w:szCs w:val="20"/>
                <w:lang w:eastAsia="en-GB"/>
              </w:rPr>
              <w:t> </w:t>
            </w:r>
          </w:p>
        </w:tc>
        <w:tc>
          <w:tcPr>
            <w:tcW w:w="661" w:type="dxa"/>
            <w:tcBorders>
              <w:top w:val="nil"/>
              <w:left w:val="nil"/>
              <w:bottom w:val="nil"/>
              <w:right w:val="nil"/>
            </w:tcBorders>
            <w:shd w:val="clear" w:color="000000" w:fill="FFFFFF"/>
            <w:noWrap/>
            <w:vAlign w:val="bottom"/>
            <w:hideMark/>
          </w:tcPr>
          <w:p w14:paraId="53E4C43F"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 </w:t>
            </w:r>
          </w:p>
        </w:tc>
        <w:tc>
          <w:tcPr>
            <w:tcW w:w="1398" w:type="dxa"/>
            <w:tcBorders>
              <w:top w:val="nil"/>
              <w:left w:val="nil"/>
              <w:bottom w:val="single" w:sz="4" w:space="0" w:color="auto"/>
              <w:right w:val="nil"/>
            </w:tcBorders>
            <w:shd w:val="clear" w:color="000000" w:fill="FFFFFF"/>
            <w:noWrap/>
            <w:vAlign w:val="bottom"/>
            <w:hideMark/>
          </w:tcPr>
          <w:p w14:paraId="0A497F7B"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0AC35F3"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single" w:sz="4" w:space="0" w:color="auto"/>
              <w:right w:val="nil"/>
            </w:tcBorders>
            <w:shd w:val="clear" w:color="000000" w:fill="FFFFFF"/>
            <w:noWrap/>
            <w:vAlign w:val="bottom"/>
            <w:hideMark/>
          </w:tcPr>
          <w:p w14:paraId="299E81D2"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r>
      <w:tr w:rsidR="00B517F7" w:rsidRPr="00F320C3" w14:paraId="2553A254" w14:textId="77777777" w:rsidTr="0027260F">
        <w:trPr>
          <w:trHeight w:val="280"/>
        </w:trPr>
        <w:tc>
          <w:tcPr>
            <w:tcW w:w="6021" w:type="dxa"/>
            <w:tcBorders>
              <w:top w:val="nil"/>
              <w:left w:val="nil"/>
              <w:bottom w:val="nil"/>
              <w:right w:val="nil"/>
            </w:tcBorders>
            <w:shd w:val="clear" w:color="000000" w:fill="FFFFFF"/>
            <w:vAlign w:val="center"/>
            <w:hideMark/>
          </w:tcPr>
          <w:p w14:paraId="7EDA043C" w14:textId="77777777" w:rsidR="00F320C3" w:rsidRPr="00F320C3" w:rsidRDefault="00F320C3" w:rsidP="00F320C3">
            <w:pPr>
              <w:spacing w:before="0" w:after="0"/>
              <w:rPr>
                <w:rFonts w:eastAsia="Times New Roman" w:cs="Arial"/>
                <w:b/>
                <w:bCs/>
                <w:sz w:val="20"/>
                <w:szCs w:val="20"/>
                <w:lang w:eastAsia="en-GB"/>
              </w:rPr>
            </w:pPr>
            <w:r w:rsidRPr="00F320C3">
              <w:rPr>
                <w:rFonts w:eastAsia="Times New Roman" w:cs="Arial"/>
                <w:b/>
                <w:bCs/>
                <w:sz w:val="20"/>
                <w:szCs w:val="20"/>
                <w:lang w:eastAsia="en-GB"/>
              </w:rPr>
              <w:t>Net operating expenditure</w:t>
            </w:r>
          </w:p>
        </w:tc>
        <w:tc>
          <w:tcPr>
            <w:tcW w:w="661" w:type="dxa"/>
            <w:tcBorders>
              <w:top w:val="nil"/>
              <w:left w:val="nil"/>
              <w:bottom w:val="nil"/>
              <w:right w:val="nil"/>
            </w:tcBorders>
            <w:shd w:val="clear" w:color="000000" w:fill="FFFFFF"/>
            <w:noWrap/>
            <w:vAlign w:val="bottom"/>
            <w:hideMark/>
          </w:tcPr>
          <w:p w14:paraId="0CE17C45"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 </w:t>
            </w:r>
          </w:p>
        </w:tc>
        <w:tc>
          <w:tcPr>
            <w:tcW w:w="1398" w:type="dxa"/>
            <w:tcBorders>
              <w:top w:val="nil"/>
              <w:left w:val="nil"/>
              <w:bottom w:val="nil"/>
              <w:right w:val="nil"/>
            </w:tcBorders>
            <w:shd w:val="clear" w:color="000000" w:fill="FFFFFF"/>
            <w:noWrap/>
            <w:vAlign w:val="bottom"/>
            <w:hideMark/>
          </w:tcPr>
          <w:p w14:paraId="416909F4" w14:textId="77777777" w:rsidR="00F320C3" w:rsidRPr="00F320C3" w:rsidRDefault="00F320C3" w:rsidP="00F320C3">
            <w:pPr>
              <w:spacing w:before="0" w:after="0"/>
              <w:jc w:val="right"/>
              <w:rPr>
                <w:rFonts w:eastAsia="Times New Roman" w:cs="Arial"/>
                <w:b/>
                <w:bCs/>
                <w:sz w:val="20"/>
                <w:szCs w:val="20"/>
                <w:lang w:eastAsia="en-GB"/>
              </w:rPr>
            </w:pPr>
            <w:r w:rsidRPr="00F320C3">
              <w:rPr>
                <w:rFonts w:eastAsia="Times New Roman" w:cs="Arial"/>
                <w:b/>
                <w:bCs/>
                <w:sz w:val="20"/>
                <w:szCs w:val="20"/>
                <w:lang w:eastAsia="en-GB"/>
              </w:rPr>
              <w:t>2,685,928</w:t>
            </w:r>
          </w:p>
        </w:tc>
        <w:tc>
          <w:tcPr>
            <w:tcW w:w="272" w:type="dxa"/>
            <w:tcBorders>
              <w:top w:val="nil"/>
              <w:left w:val="nil"/>
              <w:bottom w:val="nil"/>
              <w:right w:val="nil"/>
            </w:tcBorders>
            <w:shd w:val="clear" w:color="000000" w:fill="FFFFFF"/>
            <w:noWrap/>
            <w:vAlign w:val="bottom"/>
            <w:hideMark/>
          </w:tcPr>
          <w:p w14:paraId="75AFB9E4"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nil"/>
              <w:right w:val="nil"/>
            </w:tcBorders>
            <w:shd w:val="clear" w:color="000000" w:fill="FFFFFF"/>
            <w:noWrap/>
            <w:vAlign w:val="bottom"/>
            <w:hideMark/>
          </w:tcPr>
          <w:p w14:paraId="717B6160" w14:textId="77777777" w:rsidR="00F320C3" w:rsidRPr="00F320C3" w:rsidRDefault="00F320C3" w:rsidP="00F320C3">
            <w:pPr>
              <w:spacing w:before="0" w:after="0"/>
              <w:jc w:val="right"/>
              <w:rPr>
                <w:rFonts w:eastAsia="Times New Roman" w:cs="Arial"/>
                <w:b/>
                <w:bCs/>
                <w:sz w:val="20"/>
                <w:szCs w:val="20"/>
                <w:lang w:eastAsia="en-GB"/>
              </w:rPr>
            </w:pPr>
            <w:r w:rsidRPr="00F320C3">
              <w:rPr>
                <w:rFonts w:eastAsia="Times New Roman" w:cs="Arial"/>
                <w:b/>
                <w:bCs/>
                <w:sz w:val="20"/>
                <w:szCs w:val="20"/>
                <w:lang w:eastAsia="en-GB"/>
              </w:rPr>
              <w:t>1,873,737</w:t>
            </w:r>
          </w:p>
        </w:tc>
      </w:tr>
      <w:tr w:rsidR="00B517F7" w:rsidRPr="00F320C3" w14:paraId="1246B1D1" w14:textId="77777777" w:rsidTr="0027260F">
        <w:trPr>
          <w:trHeight w:val="280"/>
        </w:trPr>
        <w:tc>
          <w:tcPr>
            <w:tcW w:w="6021" w:type="dxa"/>
            <w:tcBorders>
              <w:top w:val="nil"/>
              <w:left w:val="nil"/>
              <w:bottom w:val="nil"/>
              <w:right w:val="nil"/>
            </w:tcBorders>
            <w:shd w:val="clear" w:color="000000" w:fill="FFFFFF"/>
            <w:vAlign w:val="center"/>
            <w:hideMark/>
          </w:tcPr>
          <w:p w14:paraId="14872D23" w14:textId="77777777" w:rsidR="00F320C3" w:rsidRPr="00F320C3" w:rsidRDefault="00F320C3" w:rsidP="00F320C3">
            <w:pPr>
              <w:spacing w:before="0" w:after="0"/>
              <w:rPr>
                <w:rFonts w:eastAsia="Times New Roman" w:cs="Arial"/>
                <w:b/>
                <w:bCs/>
                <w:sz w:val="20"/>
                <w:szCs w:val="20"/>
                <w:lang w:eastAsia="en-GB"/>
              </w:rPr>
            </w:pPr>
            <w:r w:rsidRPr="00F320C3">
              <w:rPr>
                <w:rFonts w:eastAsia="Times New Roman" w:cs="Arial"/>
                <w:b/>
                <w:bCs/>
                <w:sz w:val="20"/>
                <w:szCs w:val="20"/>
                <w:lang w:eastAsia="en-GB"/>
              </w:rPr>
              <w:t> </w:t>
            </w:r>
          </w:p>
        </w:tc>
        <w:tc>
          <w:tcPr>
            <w:tcW w:w="661" w:type="dxa"/>
            <w:tcBorders>
              <w:top w:val="nil"/>
              <w:left w:val="nil"/>
              <w:bottom w:val="nil"/>
              <w:right w:val="nil"/>
            </w:tcBorders>
            <w:shd w:val="clear" w:color="000000" w:fill="FFFFFF"/>
            <w:noWrap/>
            <w:vAlign w:val="bottom"/>
            <w:hideMark/>
          </w:tcPr>
          <w:p w14:paraId="20DB492B"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 </w:t>
            </w:r>
          </w:p>
        </w:tc>
        <w:tc>
          <w:tcPr>
            <w:tcW w:w="1398" w:type="dxa"/>
            <w:tcBorders>
              <w:top w:val="nil"/>
              <w:left w:val="nil"/>
              <w:bottom w:val="nil"/>
              <w:right w:val="nil"/>
            </w:tcBorders>
            <w:shd w:val="clear" w:color="000000" w:fill="FFFFFF"/>
            <w:noWrap/>
            <w:vAlign w:val="bottom"/>
            <w:hideMark/>
          </w:tcPr>
          <w:p w14:paraId="1792CBF8"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5A7984C"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nil"/>
              <w:right w:val="nil"/>
            </w:tcBorders>
            <w:shd w:val="clear" w:color="000000" w:fill="FFFFFF"/>
            <w:noWrap/>
            <w:vAlign w:val="bottom"/>
            <w:hideMark/>
          </w:tcPr>
          <w:p w14:paraId="398A8615"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r>
      <w:tr w:rsidR="00B517F7" w:rsidRPr="00F320C3" w14:paraId="03B701ED" w14:textId="77777777" w:rsidTr="0027260F">
        <w:trPr>
          <w:trHeight w:val="260"/>
        </w:trPr>
        <w:tc>
          <w:tcPr>
            <w:tcW w:w="6021" w:type="dxa"/>
            <w:tcBorders>
              <w:top w:val="nil"/>
              <w:left w:val="nil"/>
              <w:bottom w:val="nil"/>
              <w:right w:val="nil"/>
            </w:tcBorders>
            <w:shd w:val="clear" w:color="000000" w:fill="FFFFFF"/>
            <w:vAlign w:val="center"/>
            <w:hideMark/>
          </w:tcPr>
          <w:p w14:paraId="3D205EC4"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Finance costs</w:t>
            </w:r>
          </w:p>
        </w:tc>
        <w:tc>
          <w:tcPr>
            <w:tcW w:w="661" w:type="dxa"/>
            <w:tcBorders>
              <w:top w:val="nil"/>
              <w:left w:val="nil"/>
              <w:bottom w:val="nil"/>
              <w:right w:val="nil"/>
            </w:tcBorders>
            <w:shd w:val="clear" w:color="000000" w:fill="FFFFFF"/>
            <w:noWrap/>
            <w:vAlign w:val="bottom"/>
            <w:hideMark/>
          </w:tcPr>
          <w:p w14:paraId="1DE055C1"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8</w:t>
            </w:r>
          </w:p>
        </w:tc>
        <w:tc>
          <w:tcPr>
            <w:tcW w:w="1398" w:type="dxa"/>
            <w:tcBorders>
              <w:top w:val="nil"/>
              <w:left w:val="nil"/>
              <w:bottom w:val="nil"/>
              <w:right w:val="nil"/>
            </w:tcBorders>
            <w:shd w:val="clear" w:color="000000" w:fill="FFFFFF"/>
            <w:noWrap/>
            <w:vAlign w:val="bottom"/>
            <w:hideMark/>
          </w:tcPr>
          <w:p w14:paraId="42468AB4" w14:textId="77777777" w:rsidR="00F320C3" w:rsidRPr="00F320C3" w:rsidRDefault="00F320C3" w:rsidP="00F320C3">
            <w:pPr>
              <w:spacing w:before="0" w:after="0"/>
              <w:jc w:val="right"/>
              <w:rPr>
                <w:rFonts w:eastAsia="Times New Roman" w:cs="Arial"/>
                <w:sz w:val="20"/>
                <w:szCs w:val="20"/>
                <w:lang w:eastAsia="en-GB"/>
              </w:rPr>
            </w:pPr>
            <w:r w:rsidRPr="00F320C3">
              <w:rPr>
                <w:rFonts w:eastAsia="Times New Roman" w:cs="Arial"/>
                <w:sz w:val="20"/>
                <w:szCs w:val="20"/>
                <w:lang w:eastAsia="en-GB"/>
              </w:rPr>
              <w:t>21</w:t>
            </w:r>
          </w:p>
        </w:tc>
        <w:tc>
          <w:tcPr>
            <w:tcW w:w="272" w:type="dxa"/>
            <w:tcBorders>
              <w:top w:val="nil"/>
              <w:left w:val="nil"/>
              <w:bottom w:val="nil"/>
              <w:right w:val="nil"/>
            </w:tcBorders>
            <w:shd w:val="clear" w:color="000000" w:fill="FFFFFF"/>
            <w:noWrap/>
            <w:vAlign w:val="bottom"/>
            <w:hideMark/>
          </w:tcPr>
          <w:p w14:paraId="27440112"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nil"/>
              <w:right w:val="nil"/>
            </w:tcBorders>
            <w:shd w:val="clear" w:color="000000" w:fill="FFFFFF"/>
            <w:noWrap/>
            <w:vAlign w:val="bottom"/>
            <w:hideMark/>
          </w:tcPr>
          <w:p w14:paraId="76E9D5AB" w14:textId="77777777" w:rsidR="00F320C3" w:rsidRPr="00F320C3" w:rsidRDefault="00F320C3" w:rsidP="00F320C3">
            <w:pPr>
              <w:spacing w:before="0" w:after="0"/>
              <w:jc w:val="right"/>
              <w:rPr>
                <w:rFonts w:eastAsia="Times New Roman" w:cs="Arial"/>
                <w:sz w:val="20"/>
                <w:szCs w:val="20"/>
                <w:lang w:eastAsia="en-GB"/>
              </w:rPr>
            </w:pPr>
            <w:r w:rsidRPr="00F320C3">
              <w:rPr>
                <w:rFonts w:eastAsia="Times New Roman" w:cs="Arial"/>
                <w:sz w:val="20"/>
                <w:szCs w:val="20"/>
                <w:lang w:eastAsia="en-GB"/>
              </w:rPr>
              <w:t>19</w:t>
            </w:r>
          </w:p>
        </w:tc>
      </w:tr>
      <w:tr w:rsidR="00B517F7" w:rsidRPr="00F320C3" w14:paraId="2EF0DD7F" w14:textId="77777777" w:rsidTr="0027260F">
        <w:trPr>
          <w:trHeight w:val="280"/>
        </w:trPr>
        <w:tc>
          <w:tcPr>
            <w:tcW w:w="6021" w:type="dxa"/>
            <w:tcBorders>
              <w:top w:val="nil"/>
              <w:left w:val="nil"/>
              <w:bottom w:val="nil"/>
              <w:right w:val="nil"/>
            </w:tcBorders>
            <w:shd w:val="clear" w:color="000000" w:fill="FFFFFF"/>
            <w:vAlign w:val="center"/>
            <w:hideMark/>
          </w:tcPr>
          <w:p w14:paraId="1ED19DDE"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Other gains &amp; losses</w:t>
            </w:r>
          </w:p>
        </w:tc>
        <w:tc>
          <w:tcPr>
            <w:tcW w:w="661" w:type="dxa"/>
            <w:tcBorders>
              <w:top w:val="nil"/>
              <w:left w:val="nil"/>
              <w:bottom w:val="nil"/>
              <w:right w:val="nil"/>
            </w:tcBorders>
            <w:shd w:val="clear" w:color="000000" w:fill="FFFFFF"/>
            <w:noWrap/>
            <w:vAlign w:val="center"/>
            <w:hideMark/>
          </w:tcPr>
          <w:p w14:paraId="6AA20D09"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7</w:t>
            </w:r>
          </w:p>
        </w:tc>
        <w:tc>
          <w:tcPr>
            <w:tcW w:w="1398" w:type="dxa"/>
            <w:tcBorders>
              <w:top w:val="nil"/>
              <w:left w:val="nil"/>
              <w:bottom w:val="single" w:sz="4" w:space="0" w:color="auto"/>
              <w:right w:val="nil"/>
            </w:tcBorders>
            <w:shd w:val="clear" w:color="000000" w:fill="FFFFFF"/>
            <w:noWrap/>
            <w:vAlign w:val="center"/>
            <w:hideMark/>
          </w:tcPr>
          <w:p w14:paraId="65DB05BB" w14:textId="77777777" w:rsidR="00F320C3" w:rsidRPr="00F320C3" w:rsidRDefault="00F320C3" w:rsidP="00F320C3">
            <w:pPr>
              <w:spacing w:before="0" w:after="0"/>
              <w:jc w:val="right"/>
              <w:rPr>
                <w:rFonts w:eastAsia="Times New Roman" w:cs="Arial"/>
                <w:sz w:val="20"/>
                <w:szCs w:val="20"/>
                <w:lang w:eastAsia="en-GB"/>
              </w:rPr>
            </w:pPr>
            <w:r w:rsidRPr="00F320C3">
              <w:rPr>
                <w:rFonts w:eastAsia="Times New Roman" w:cs="Arial"/>
                <w:sz w:val="20"/>
                <w:szCs w:val="20"/>
                <w:lang w:eastAsia="en-GB"/>
              </w:rPr>
              <w:t>6</w:t>
            </w:r>
          </w:p>
        </w:tc>
        <w:tc>
          <w:tcPr>
            <w:tcW w:w="272" w:type="dxa"/>
            <w:tcBorders>
              <w:top w:val="nil"/>
              <w:left w:val="nil"/>
              <w:bottom w:val="nil"/>
              <w:right w:val="nil"/>
            </w:tcBorders>
            <w:shd w:val="clear" w:color="000000" w:fill="FFFFFF"/>
            <w:noWrap/>
            <w:vAlign w:val="center"/>
            <w:hideMark/>
          </w:tcPr>
          <w:p w14:paraId="1E77D39E"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single" w:sz="4" w:space="0" w:color="auto"/>
              <w:right w:val="nil"/>
            </w:tcBorders>
            <w:shd w:val="clear" w:color="000000" w:fill="FFFFFF"/>
            <w:noWrap/>
            <w:vAlign w:val="center"/>
            <w:hideMark/>
          </w:tcPr>
          <w:p w14:paraId="75FE1176" w14:textId="77777777" w:rsidR="00F320C3" w:rsidRPr="00F320C3" w:rsidRDefault="00F320C3" w:rsidP="00F320C3">
            <w:pPr>
              <w:spacing w:before="0" w:after="0"/>
              <w:jc w:val="right"/>
              <w:rPr>
                <w:rFonts w:eastAsia="Times New Roman" w:cs="Arial"/>
                <w:sz w:val="20"/>
                <w:szCs w:val="20"/>
                <w:lang w:eastAsia="en-GB"/>
              </w:rPr>
            </w:pPr>
            <w:r w:rsidRPr="00F320C3">
              <w:rPr>
                <w:rFonts w:eastAsia="Times New Roman" w:cs="Arial"/>
                <w:sz w:val="20"/>
                <w:szCs w:val="20"/>
                <w:lang w:eastAsia="en-GB"/>
              </w:rPr>
              <w:t>(6)</w:t>
            </w:r>
          </w:p>
        </w:tc>
      </w:tr>
      <w:tr w:rsidR="00B517F7" w:rsidRPr="00F320C3" w14:paraId="54D7EEC0" w14:textId="77777777" w:rsidTr="0027260F">
        <w:trPr>
          <w:trHeight w:val="280"/>
        </w:trPr>
        <w:tc>
          <w:tcPr>
            <w:tcW w:w="6021" w:type="dxa"/>
            <w:tcBorders>
              <w:top w:val="nil"/>
              <w:left w:val="nil"/>
              <w:bottom w:val="nil"/>
              <w:right w:val="nil"/>
            </w:tcBorders>
            <w:shd w:val="clear" w:color="000000" w:fill="FFFFFF"/>
            <w:vAlign w:val="center"/>
            <w:hideMark/>
          </w:tcPr>
          <w:p w14:paraId="696E0DE7" w14:textId="77777777" w:rsidR="00F320C3" w:rsidRPr="00F320C3" w:rsidRDefault="00F320C3" w:rsidP="00F320C3">
            <w:pPr>
              <w:spacing w:before="0" w:after="0"/>
              <w:rPr>
                <w:rFonts w:eastAsia="Times New Roman" w:cs="Arial"/>
                <w:b/>
                <w:bCs/>
                <w:sz w:val="20"/>
                <w:szCs w:val="20"/>
                <w:lang w:eastAsia="en-GB"/>
              </w:rPr>
            </w:pPr>
            <w:r w:rsidRPr="00F320C3">
              <w:rPr>
                <w:rFonts w:eastAsia="Times New Roman" w:cs="Arial"/>
                <w:b/>
                <w:bCs/>
                <w:sz w:val="20"/>
                <w:szCs w:val="20"/>
                <w:lang w:eastAsia="en-GB"/>
              </w:rPr>
              <w:t>Total net expenditure for the year/period</w:t>
            </w:r>
          </w:p>
        </w:tc>
        <w:tc>
          <w:tcPr>
            <w:tcW w:w="661" w:type="dxa"/>
            <w:tcBorders>
              <w:top w:val="nil"/>
              <w:left w:val="nil"/>
              <w:bottom w:val="nil"/>
              <w:right w:val="nil"/>
            </w:tcBorders>
            <w:shd w:val="clear" w:color="000000" w:fill="FFFFFF"/>
            <w:noWrap/>
            <w:vAlign w:val="bottom"/>
            <w:hideMark/>
          </w:tcPr>
          <w:p w14:paraId="3E183CAC"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 </w:t>
            </w:r>
          </w:p>
        </w:tc>
        <w:tc>
          <w:tcPr>
            <w:tcW w:w="1398" w:type="dxa"/>
            <w:tcBorders>
              <w:top w:val="nil"/>
              <w:left w:val="nil"/>
              <w:bottom w:val="single" w:sz="4" w:space="0" w:color="auto"/>
              <w:right w:val="nil"/>
            </w:tcBorders>
            <w:shd w:val="clear" w:color="000000" w:fill="FFFFFF"/>
            <w:noWrap/>
            <w:vAlign w:val="bottom"/>
            <w:hideMark/>
          </w:tcPr>
          <w:p w14:paraId="42DC5F96" w14:textId="77777777" w:rsidR="00F320C3" w:rsidRPr="00F320C3" w:rsidRDefault="00F320C3" w:rsidP="00F320C3">
            <w:pPr>
              <w:spacing w:before="0" w:after="0"/>
              <w:jc w:val="right"/>
              <w:rPr>
                <w:rFonts w:eastAsia="Times New Roman" w:cs="Arial"/>
                <w:b/>
                <w:bCs/>
                <w:sz w:val="20"/>
                <w:szCs w:val="20"/>
                <w:lang w:eastAsia="en-GB"/>
              </w:rPr>
            </w:pPr>
            <w:r w:rsidRPr="00F320C3">
              <w:rPr>
                <w:rFonts w:eastAsia="Times New Roman" w:cs="Arial"/>
                <w:b/>
                <w:bCs/>
                <w:sz w:val="20"/>
                <w:szCs w:val="20"/>
                <w:lang w:eastAsia="en-GB"/>
              </w:rPr>
              <w:t>2,685,955</w:t>
            </w:r>
          </w:p>
        </w:tc>
        <w:tc>
          <w:tcPr>
            <w:tcW w:w="272" w:type="dxa"/>
            <w:tcBorders>
              <w:top w:val="nil"/>
              <w:left w:val="nil"/>
              <w:bottom w:val="nil"/>
              <w:right w:val="nil"/>
            </w:tcBorders>
            <w:shd w:val="clear" w:color="000000" w:fill="FFFFFF"/>
            <w:noWrap/>
            <w:vAlign w:val="bottom"/>
            <w:hideMark/>
          </w:tcPr>
          <w:p w14:paraId="1B4BD3D0"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single" w:sz="4" w:space="0" w:color="auto"/>
              <w:right w:val="nil"/>
            </w:tcBorders>
            <w:shd w:val="clear" w:color="000000" w:fill="FFFFFF"/>
            <w:noWrap/>
            <w:vAlign w:val="bottom"/>
            <w:hideMark/>
          </w:tcPr>
          <w:p w14:paraId="47098FA1" w14:textId="77777777" w:rsidR="00F320C3" w:rsidRPr="00F320C3" w:rsidRDefault="00F320C3" w:rsidP="00F320C3">
            <w:pPr>
              <w:spacing w:before="0" w:after="0"/>
              <w:jc w:val="right"/>
              <w:rPr>
                <w:rFonts w:eastAsia="Times New Roman" w:cs="Arial"/>
                <w:b/>
                <w:bCs/>
                <w:sz w:val="20"/>
                <w:szCs w:val="20"/>
                <w:lang w:eastAsia="en-GB"/>
              </w:rPr>
            </w:pPr>
            <w:r w:rsidRPr="00F320C3">
              <w:rPr>
                <w:rFonts w:eastAsia="Times New Roman" w:cs="Arial"/>
                <w:b/>
                <w:bCs/>
                <w:sz w:val="20"/>
                <w:szCs w:val="20"/>
                <w:lang w:eastAsia="en-GB"/>
              </w:rPr>
              <w:t>1,873,750</w:t>
            </w:r>
          </w:p>
        </w:tc>
      </w:tr>
      <w:tr w:rsidR="00B517F7" w:rsidRPr="00F320C3" w14:paraId="44F17833" w14:textId="77777777" w:rsidTr="0027260F">
        <w:trPr>
          <w:trHeight w:val="260"/>
        </w:trPr>
        <w:tc>
          <w:tcPr>
            <w:tcW w:w="6021" w:type="dxa"/>
            <w:tcBorders>
              <w:top w:val="nil"/>
              <w:left w:val="nil"/>
              <w:bottom w:val="nil"/>
              <w:right w:val="nil"/>
            </w:tcBorders>
            <w:shd w:val="clear" w:color="000000" w:fill="FFFFFF"/>
            <w:vAlign w:val="center"/>
            <w:hideMark/>
          </w:tcPr>
          <w:p w14:paraId="7AEF1EBA" w14:textId="77777777" w:rsidR="00F320C3" w:rsidRPr="00F320C3" w:rsidRDefault="00F320C3" w:rsidP="00F320C3">
            <w:pPr>
              <w:spacing w:before="0" w:after="0"/>
              <w:rPr>
                <w:rFonts w:eastAsia="Times New Roman" w:cs="Arial"/>
                <w:b/>
                <w:bCs/>
                <w:sz w:val="20"/>
                <w:szCs w:val="20"/>
                <w:lang w:eastAsia="en-GB"/>
              </w:rPr>
            </w:pPr>
            <w:r w:rsidRPr="00F320C3">
              <w:rPr>
                <w:rFonts w:eastAsia="Times New Roman" w:cs="Arial"/>
                <w:b/>
                <w:bCs/>
                <w:sz w:val="20"/>
                <w:szCs w:val="20"/>
                <w:lang w:eastAsia="en-GB"/>
              </w:rPr>
              <w:t> </w:t>
            </w:r>
          </w:p>
        </w:tc>
        <w:tc>
          <w:tcPr>
            <w:tcW w:w="661" w:type="dxa"/>
            <w:tcBorders>
              <w:top w:val="nil"/>
              <w:left w:val="nil"/>
              <w:bottom w:val="nil"/>
              <w:right w:val="nil"/>
            </w:tcBorders>
            <w:shd w:val="clear" w:color="000000" w:fill="FFFFFF"/>
            <w:noWrap/>
            <w:vAlign w:val="bottom"/>
            <w:hideMark/>
          </w:tcPr>
          <w:p w14:paraId="427AC3C0"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 </w:t>
            </w:r>
          </w:p>
        </w:tc>
        <w:tc>
          <w:tcPr>
            <w:tcW w:w="1398" w:type="dxa"/>
            <w:tcBorders>
              <w:top w:val="nil"/>
              <w:left w:val="nil"/>
              <w:bottom w:val="nil"/>
              <w:right w:val="nil"/>
            </w:tcBorders>
            <w:shd w:val="clear" w:color="000000" w:fill="FFFFFF"/>
            <w:noWrap/>
            <w:vAlign w:val="bottom"/>
            <w:hideMark/>
          </w:tcPr>
          <w:p w14:paraId="7AB47217" w14:textId="77777777" w:rsidR="00F320C3" w:rsidRPr="00F320C3" w:rsidRDefault="00F320C3" w:rsidP="00F320C3">
            <w:pPr>
              <w:spacing w:before="0" w:after="0"/>
              <w:rPr>
                <w:rFonts w:eastAsia="Times New Roman" w:cs="Arial"/>
                <w:b/>
                <w:bCs/>
                <w:sz w:val="20"/>
                <w:szCs w:val="20"/>
                <w:lang w:eastAsia="en-GB"/>
              </w:rPr>
            </w:pPr>
            <w:r w:rsidRPr="00F320C3">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7789D849"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nil"/>
              <w:right w:val="nil"/>
            </w:tcBorders>
            <w:shd w:val="clear" w:color="000000" w:fill="FFFFFF"/>
            <w:noWrap/>
            <w:vAlign w:val="bottom"/>
            <w:hideMark/>
          </w:tcPr>
          <w:p w14:paraId="7E3B5324" w14:textId="77777777" w:rsidR="00F320C3" w:rsidRPr="00F320C3" w:rsidRDefault="00F320C3" w:rsidP="00F320C3">
            <w:pPr>
              <w:spacing w:before="0" w:after="0"/>
              <w:rPr>
                <w:rFonts w:eastAsia="Times New Roman" w:cs="Arial"/>
                <w:b/>
                <w:bCs/>
                <w:sz w:val="20"/>
                <w:szCs w:val="20"/>
                <w:lang w:eastAsia="en-GB"/>
              </w:rPr>
            </w:pPr>
            <w:r w:rsidRPr="00F320C3">
              <w:rPr>
                <w:rFonts w:eastAsia="Times New Roman" w:cs="Arial"/>
                <w:b/>
                <w:bCs/>
                <w:sz w:val="20"/>
                <w:szCs w:val="20"/>
                <w:lang w:eastAsia="en-GB"/>
              </w:rPr>
              <w:t> </w:t>
            </w:r>
          </w:p>
        </w:tc>
      </w:tr>
      <w:tr w:rsidR="00B517F7" w:rsidRPr="00F320C3" w14:paraId="4E585F16" w14:textId="77777777" w:rsidTr="0027260F">
        <w:trPr>
          <w:trHeight w:val="260"/>
        </w:trPr>
        <w:tc>
          <w:tcPr>
            <w:tcW w:w="6021" w:type="dxa"/>
            <w:tcBorders>
              <w:top w:val="nil"/>
              <w:left w:val="nil"/>
              <w:bottom w:val="nil"/>
              <w:right w:val="nil"/>
            </w:tcBorders>
            <w:shd w:val="clear" w:color="000000" w:fill="FFFFFF"/>
            <w:vAlign w:val="center"/>
            <w:hideMark/>
          </w:tcPr>
          <w:p w14:paraId="7E9D1A8F" w14:textId="77777777" w:rsidR="00F320C3" w:rsidRPr="00F320C3" w:rsidRDefault="00F320C3" w:rsidP="00F320C3">
            <w:pPr>
              <w:spacing w:before="0" w:after="0"/>
              <w:rPr>
                <w:rFonts w:eastAsia="Times New Roman" w:cs="Arial"/>
                <w:b/>
                <w:bCs/>
                <w:sz w:val="20"/>
                <w:szCs w:val="20"/>
                <w:lang w:eastAsia="en-GB"/>
              </w:rPr>
            </w:pPr>
            <w:r w:rsidRPr="00F320C3">
              <w:rPr>
                <w:rFonts w:eastAsia="Times New Roman" w:cs="Arial"/>
                <w:b/>
                <w:bCs/>
                <w:sz w:val="20"/>
                <w:szCs w:val="20"/>
                <w:lang w:eastAsia="en-GB"/>
              </w:rPr>
              <w:t> </w:t>
            </w:r>
          </w:p>
        </w:tc>
        <w:tc>
          <w:tcPr>
            <w:tcW w:w="661" w:type="dxa"/>
            <w:tcBorders>
              <w:top w:val="nil"/>
              <w:left w:val="nil"/>
              <w:bottom w:val="nil"/>
              <w:right w:val="nil"/>
            </w:tcBorders>
            <w:shd w:val="clear" w:color="000000" w:fill="FFFFFF"/>
            <w:noWrap/>
            <w:vAlign w:val="bottom"/>
            <w:hideMark/>
          </w:tcPr>
          <w:p w14:paraId="6C10DE93"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 </w:t>
            </w:r>
          </w:p>
        </w:tc>
        <w:tc>
          <w:tcPr>
            <w:tcW w:w="1398" w:type="dxa"/>
            <w:tcBorders>
              <w:top w:val="nil"/>
              <w:left w:val="nil"/>
              <w:bottom w:val="nil"/>
              <w:right w:val="nil"/>
            </w:tcBorders>
            <w:shd w:val="clear" w:color="000000" w:fill="FFFFFF"/>
            <w:noWrap/>
            <w:vAlign w:val="bottom"/>
            <w:hideMark/>
          </w:tcPr>
          <w:p w14:paraId="5E37ACB4" w14:textId="77777777" w:rsidR="00F320C3" w:rsidRPr="00F320C3" w:rsidRDefault="00F320C3" w:rsidP="00F320C3">
            <w:pPr>
              <w:spacing w:before="0" w:after="0"/>
              <w:rPr>
                <w:rFonts w:eastAsia="Times New Roman" w:cs="Arial"/>
                <w:b/>
                <w:bCs/>
                <w:sz w:val="20"/>
                <w:szCs w:val="20"/>
                <w:lang w:eastAsia="en-GB"/>
              </w:rPr>
            </w:pPr>
            <w:r w:rsidRPr="00F320C3">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18E9669C"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nil"/>
              <w:right w:val="nil"/>
            </w:tcBorders>
            <w:shd w:val="clear" w:color="000000" w:fill="FFFFFF"/>
            <w:noWrap/>
            <w:vAlign w:val="bottom"/>
            <w:hideMark/>
          </w:tcPr>
          <w:p w14:paraId="4D1233C1" w14:textId="77777777" w:rsidR="00F320C3" w:rsidRPr="00F320C3" w:rsidRDefault="00F320C3" w:rsidP="00F320C3">
            <w:pPr>
              <w:spacing w:before="0" w:after="0"/>
              <w:rPr>
                <w:rFonts w:eastAsia="Times New Roman" w:cs="Arial"/>
                <w:b/>
                <w:bCs/>
                <w:sz w:val="20"/>
                <w:szCs w:val="20"/>
                <w:lang w:eastAsia="en-GB"/>
              </w:rPr>
            </w:pPr>
            <w:r w:rsidRPr="00F320C3">
              <w:rPr>
                <w:rFonts w:eastAsia="Times New Roman" w:cs="Arial"/>
                <w:b/>
                <w:bCs/>
                <w:sz w:val="20"/>
                <w:szCs w:val="20"/>
                <w:lang w:eastAsia="en-GB"/>
              </w:rPr>
              <w:t> </w:t>
            </w:r>
          </w:p>
        </w:tc>
      </w:tr>
      <w:tr w:rsidR="0027260F" w:rsidRPr="00F320C3" w14:paraId="31E7453C" w14:textId="77777777" w:rsidTr="0027260F">
        <w:trPr>
          <w:trHeight w:val="260"/>
        </w:trPr>
        <w:tc>
          <w:tcPr>
            <w:tcW w:w="6021" w:type="dxa"/>
            <w:tcBorders>
              <w:top w:val="nil"/>
              <w:left w:val="nil"/>
              <w:bottom w:val="nil"/>
              <w:right w:val="nil"/>
            </w:tcBorders>
            <w:shd w:val="clear" w:color="000000" w:fill="FFFFFF"/>
            <w:noWrap/>
            <w:vAlign w:val="bottom"/>
            <w:hideMark/>
          </w:tcPr>
          <w:p w14:paraId="2F449F04" w14:textId="75602098"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xml:space="preserve">The notes on pages 7 to </w:t>
            </w:r>
            <w:r w:rsidR="00B00FFC">
              <w:rPr>
                <w:rFonts w:eastAsia="Times New Roman" w:cs="Arial"/>
                <w:sz w:val="20"/>
                <w:szCs w:val="20"/>
                <w:lang w:eastAsia="en-GB"/>
              </w:rPr>
              <w:t>31</w:t>
            </w:r>
            <w:r w:rsidRPr="00F320C3">
              <w:rPr>
                <w:rFonts w:eastAsia="Times New Roman" w:cs="Arial"/>
                <w:sz w:val="20"/>
                <w:szCs w:val="20"/>
                <w:lang w:eastAsia="en-GB"/>
              </w:rPr>
              <w:t xml:space="preserve"> form part of this statement</w:t>
            </w:r>
          </w:p>
        </w:tc>
        <w:tc>
          <w:tcPr>
            <w:tcW w:w="661" w:type="dxa"/>
            <w:tcBorders>
              <w:top w:val="nil"/>
              <w:left w:val="nil"/>
              <w:bottom w:val="nil"/>
              <w:right w:val="nil"/>
            </w:tcBorders>
            <w:shd w:val="clear" w:color="000000" w:fill="FFFFFF"/>
            <w:noWrap/>
            <w:vAlign w:val="bottom"/>
            <w:hideMark/>
          </w:tcPr>
          <w:p w14:paraId="769535FD" w14:textId="77777777" w:rsidR="00F320C3" w:rsidRPr="00F320C3" w:rsidRDefault="00F320C3" w:rsidP="00F320C3">
            <w:pPr>
              <w:spacing w:before="0" w:after="0"/>
              <w:jc w:val="center"/>
              <w:rPr>
                <w:rFonts w:eastAsia="Times New Roman" w:cs="Arial"/>
                <w:sz w:val="20"/>
                <w:szCs w:val="20"/>
                <w:lang w:eastAsia="en-GB"/>
              </w:rPr>
            </w:pPr>
            <w:r w:rsidRPr="00F320C3">
              <w:rPr>
                <w:rFonts w:eastAsia="Times New Roman" w:cs="Arial"/>
                <w:sz w:val="20"/>
                <w:szCs w:val="20"/>
                <w:lang w:eastAsia="en-GB"/>
              </w:rPr>
              <w:t> </w:t>
            </w:r>
          </w:p>
        </w:tc>
        <w:tc>
          <w:tcPr>
            <w:tcW w:w="1398" w:type="dxa"/>
            <w:tcBorders>
              <w:top w:val="nil"/>
              <w:left w:val="nil"/>
              <w:bottom w:val="nil"/>
              <w:right w:val="nil"/>
            </w:tcBorders>
            <w:shd w:val="clear" w:color="000000" w:fill="FFFFFF"/>
            <w:noWrap/>
            <w:vAlign w:val="bottom"/>
            <w:hideMark/>
          </w:tcPr>
          <w:p w14:paraId="55452D6F" w14:textId="77777777" w:rsidR="00F320C3" w:rsidRPr="00F320C3" w:rsidRDefault="00F320C3" w:rsidP="00F320C3">
            <w:pPr>
              <w:spacing w:before="0" w:after="0"/>
              <w:rPr>
                <w:rFonts w:eastAsia="Times New Roman" w:cs="Arial"/>
                <w:b/>
                <w:bCs/>
                <w:sz w:val="20"/>
                <w:szCs w:val="20"/>
                <w:lang w:eastAsia="en-GB"/>
              </w:rPr>
            </w:pPr>
            <w:r w:rsidRPr="00F320C3">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59ECE559" w14:textId="77777777" w:rsidR="00F320C3" w:rsidRPr="00F320C3" w:rsidRDefault="00F320C3" w:rsidP="00F320C3">
            <w:pPr>
              <w:spacing w:before="0" w:after="0"/>
              <w:rPr>
                <w:rFonts w:eastAsia="Times New Roman" w:cs="Arial"/>
                <w:sz w:val="20"/>
                <w:szCs w:val="20"/>
                <w:lang w:eastAsia="en-GB"/>
              </w:rPr>
            </w:pPr>
            <w:r w:rsidRPr="00F320C3">
              <w:rPr>
                <w:rFonts w:eastAsia="Times New Roman" w:cs="Arial"/>
                <w:sz w:val="20"/>
                <w:szCs w:val="20"/>
                <w:lang w:eastAsia="en-GB"/>
              </w:rPr>
              <w:t> </w:t>
            </w:r>
          </w:p>
        </w:tc>
        <w:tc>
          <w:tcPr>
            <w:tcW w:w="1433" w:type="dxa"/>
            <w:tcBorders>
              <w:top w:val="nil"/>
              <w:left w:val="nil"/>
              <w:bottom w:val="nil"/>
              <w:right w:val="nil"/>
            </w:tcBorders>
            <w:shd w:val="clear" w:color="000000" w:fill="FFFFFF"/>
            <w:noWrap/>
            <w:vAlign w:val="bottom"/>
            <w:hideMark/>
          </w:tcPr>
          <w:p w14:paraId="702761FE" w14:textId="77777777" w:rsidR="00F320C3" w:rsidRPr="00F320C3" w:rsidRDefault="00F320C3" w:rsidP="00F320C3">
            <w:pPr>
              <w:spacing w:before="0" w:after="0"/>
              <w:rPr>
                <w:rFonts w:eastAsia="Times New Roman" w:cs="Arial"/>
                <w:b/>
                <w:bCs/>
                <w:sz w:val="20"/>
                <w:szCs w:val="20"/>
                <w:lang w:eastAsia="en-GB"/>
              </w:rPr>
            </w:pPr>
            <w:r w:rsidRPr="00F320C3">
              <w:rPr>
                <w:rFonts w:eastAsia="Times New Roman" w:cs="Arial"/>
                <w:b/>
                <w:bCs/>
                <w:sz w:val="20"/>
                <w:szCs w:val="20"/>
                <w:lang w:eastAsia="en-GB"/>
              </w:rPr>
              <w:t> </w:t>
            </w:r>
          </w:p>
        </w:tc>
      </w:tr>
    </w:tbl>
    <w:p w14:paraId="67003FDC" w14:textId="77777777" w:rsidR="00877CF6" w:rsidRDefault="00877CF6" w:rsidP="00C70A7F">
      <w:pPr>
        <w:spacing w:before="0" w:after="200" w:line="276" w:lineRule="auto"/>
      </w:pPr>
    </w:p>
    <w:p w14:paraId="7ECF781C" w14:textId="783FD6F6" w:rsidR="00A64442" w:rsidRDefault="00A64442">
      <w:pPr>
        <w:spacing w:before="0" w:after="200" w:line="276" w:lineRule="auto"/>
      </w:pPr>
      <w:r>
        <w:br w:type="page"/>
      </w:r>
    </w:p>
    <w:tbl>
      <w:tblPr>
        <w:tblW w:w="9172" w:type="dxa"/>
        <w:tblLook w:val="04A0" w:firstRow="1" w:lastRow="0" w:firstColumn="1" w:lastColumn="0" w:noHBand="0" w:noVBand="1"/>
      </w:tblPr>
      <w:tblGrid>
        <w:gridCol w:w="5680"/>
        <w:gridCol w:w="720"/>
        <w:gridCol w:w="1320"/>
        <w:gridCol w:w="272"/>
        <w:gridCol w:w="1180"/>
      </w:tblGrid>
      <w:tr w:rsidR="00BA2151" w:rsidRPr="00BA2151" w14:paraId="56D10B77" w14:textId="77777777" w:rsidTr="00BA2151">
        <w:trPr>
          <w:trHeight w:val="260"/>
        </w:trPr>
        <w:tc>
          <w:tcPr>
            <w:tcW w:w="9172" w:type="dxa"/>
            <w:gridSpan w:val="5"/>
            <w:tcBorders>
              <w:top w:val="nil"/>
              <w:left w:val="nil"/>
              <w:bottom w:val="nil"/>
            </w:tcBorders>
            <w:shd w:val="clear" w:color="auto" w:fill="auto"/>
            <w:noWrap/>
            <w:vAlign w:val="bottom"/>
            <w:hideMark/>
          </w:tcPr>
          <w:p w14:paraId="0F234314" w14:textId="147B1C43" w:rsidR="00BA2151" w:rsidRPr="00BA2151" w:rsidRDefault="00BA2151" w:rsidP="00BA2151">
            <w:pPr>
              <w:spacing w:before="0" w:after="0"/>
              <w:rPr>
                <w:rFonts w:ascii="Times New Roman" w:eastAsia="Times New Roman" w:hAnsi="Times New Roman" w:cs="Times New Roman"/>
                <w:sz w:val="20"/>
                <w:szCs w:val="20"/>
                <w:lang w:eastAsia="en-GB"/>
              </w:rPr>
            </w:pPr>
            <w:r w:rsidRPr="00BA2151">
              <w:rPr>
                <w:rFonts w:eastAsia="Times New Roman" w:cs="Arial"/>
                <w:i/>
                <w:iCs/>
                <w:sz w:val="20"/>
                <w:szCs w:val="20"/>
                <w:lang w:eastAsia="en-GB"/>
              </w:rPr>
              <w:lastRenderedPageBreak/>
              <w:t>NHS Mid and South Essex Integrated Care Board - Statutory Accounts 2023-24</w:t>
            </w:r>
          </w:p>
        </w:tc>
      </w:tr>
      <w:tr w:rsidR="00BA2151" w:rsidRPr="00BA2151" w14:paraId="04BA9F5B" w14:textId="77777777" w:rsidTr="00BA2151">
        <w:trPr>
          <w:trHeight w:val="250"/>
        </w:trPr>
        <w:tc>
          <w:tcPr>
            <w:tcW w:w="5680" w:type="dxa"/>
            <w:tcBorders>
              <w:top w:val="nil"/>
              <w:left w:val="nil"/>
              <w:bottom w:val="nil"/>
              <w:right w:val="nil"/>
            </w:tcBorders>
            <w:shd w:val="clear" w:color="auto" w:fill="auto"/>
            <w:noWrap/>
            <w:vAlign w:val="bottom"/>
            <w:hideMark/>
          </w:tcPr>
          <w:p w14:paraId="2CB1ACB9"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720" w:type="dxa"/>
            <w:tcBorders>
              <w:top w:val="nil"/>
              <w:left w:val="nil"/>
              <w:bottom w:val="nil"/>
              <w:right w:val="nil"/>
            </w:tcBorders>
            <w:shd w:val="clear" w:color="auto" w:fill="auto"/>
            <w:noWrap/>
            <w:vAlign w:val="bottom"/>
            <w:hideMark/>
          </w:tcPr>
          <w:p w14:paraId="373BFC8A"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320" w:type="dxa"/>
            <w:tcBorders>
              <w:top w:val="nil"/>
              <w:left w:val="nil"/>
              <w:bottom w:val="nil"/>
              <w:right w:val="nil"/>
            </w:tcBorders>
            <w:shd w:val="clear" w:color="auto" w:fill="auto"/>
            <w:noWrap/>
            <w:vAlign w:val="bottom"/>
            <w:hideMark/>
          </w:tcPr>
          <w:p w14:paraId="135410FA" w14:textId="77777777" w:rsidR="00BA2151" w:rsidRPr="00BA2151" w:rsidRDefault="00BA2151" w:rsidP="00BA2151">
            <w:pPr>
              <w:spacing w:before="0" w:after="0"/>
              <w:jc w:val="center"/>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1B1C0E4E"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1E5D84C1"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r>
      <w:tr w:rsidR="00BA2151" w:rsidRPr="00BA2151" w14:paraId="256C4401" w14:textId="77777777" w:rsidTr="00BA2151">
        <w:trPr>
          <w:trHeight w:val="260"/>
        </w:trPr>
        <w:tc>
          <w:tcPr>
            <w:tcW w:w="5680" w:type="dxa"/>
            <w:tcBorders>
              <w:top w:val="nil"/>
              <w:left w:val="nil"/>
              <w:bottom w:val="nil"/>
              <w:right w:val="nil"/>
            </w:tcBorders>
            <w:shd w:val="clear" w:color="auto" w:fill="auto"/>
            <w:noWrap/>
            <w:vAlign w:val="bottom"/>
            <w:hideMark/>
          </w:tcPr>
          <w:p w14:paraId="0680253A" w14:textId="77777777" w:rsidR="00BA2151" w:rsidRPr="00BA2151" w:rsidRDefault="00BA2151" w:rsidP="00BA2151">
            <w:pPr>
              <w:spacing w:before="0" w:after="0"/>
              <w:rPr>
                <w:rFonts w:eastAsia="Times New Roman" w:cs="Arial"/>
                <w:b/>
                <w:bCs/>
                <w:sz w:val="20"/>
                <w:szCs w:val="20"/>
                <w:lang w:eastAsia="en-GB"/>
              </w:rPr>
            </w:pPr>
            <w:r w:rsidRPr="00BA2151">
              <w:rPr>
                <w:rFonts w:eastAsia="Times New Roman" w:cs="Arial"/>
                <w:b/>
                <w:bCs/>
                <w:sz w:val="20"/>
                <w:szCs w:val="20"/>
                <w:lang w:eastAsia="en-GB"/>
              </w:rPr>
              <w:t>Statement of Financial Position as at</w:t>
            </w:r>
          </w:p>
        </w:tc>
        <w:tc>
          <w:tcPr>
            <w:tcW w:w="720" w:type="dxa"/>
            <w:tcBorders>
              <w:top w:val="nil"/>
              <w:left w:val="nil"/>
              <w:bottom w:val="nil"/>
              <w:right w:val="nil"/>
            </w:tcBorders>
            <w:shd w:val="clear" w:color="auto" w:fill="auto"/>
            <w:noWrap/>
            <w:vAlign w:val="bottom"/>
            <w:hideMark/>
          </w:tcPr>
          <w:p w14:paraId="7D20DA43" w14:textId="77777777" w:rsidR="00BA2151" w:rsidRPr="00BA2151" w:rsidRDefault="00BA2151" w:rsidP="00BA2151">
            <w:pPr>
              <w:spacing w:before="0" w:after="0"/>
              <w:rPr>
                <w:rFonts w:eastAsia="Times New Roman" w:cs="Arial"/>
                <w:b/>
                <w:bCs/>
                <w:sz w:val="20"/>
                <w:szCs w:val="20"/>
                <w:lang w:eastAsia="en-GB"/>
              </w:rPr>
            </w:pPr>
          </w:p>
        </w:tc>
        <w:tc>
          <w:tcPr>
            <w:tcW w:w="1320" w:type="dxa"/>
            <w:tcBorders>
              <w:top w:val="nil"/>
              <w:left w:val="nil"/>
              <w:bottom w:val="nil"/>
              <w:right w:val="nil"/>
            </w:tcBorders>
            <w:shd w:val="clear" w:color="auto" w:fill="auto"/>
            <w:noWrap/>
            <w:vAlign w:val="bottom"/>
            <w:hideMark/>
          </w:tcPr>
          <w:p w14:paraId="70624562" w14:textId="77777777" w:rsidR="00BA2151" w:rsidRPr="00BA2151" w:rsidRDefault="00BA2151" w:rsidP="00BA2151">
            <w:pPr>
              <w:spacing w:before="0" w:after="0"/>
              <w:jc w:val="center"/>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050CA2FD"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50D5640E"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r>
      <w:tr w:rsidR="00BA2151" w:rsidRPr="00BA2151" w14:paraId="41FE3F5E" w14:textId="77777777" w:rsidTr="00BA2151">
        <w:trPr>
          <w:trHeight w:val="260"/>
        </w:trPr>
        <w:tc>
          <w:tcPr>
            <w:tcW w:w="5680" w:type="dxa"/>
            <w:tcBorders>
              <w:top w:val="nil"/>
              <w:left w:val="nil"/>
              <w:bottom w:val="nil"/>
              <w:right w:val="nil"/>
            </w:tcBorders>
            <w:shd w:val="clear" w:color="auto" w:fill="auto"/>
            <w:noWrap/>
            <w:vAlign w:val="bottom"/>
            <w:hideMark/>
          </w:tcPr>
          <w:p w14:paraId="4579A8D0" w14:textId="77777777" w:rsidR="00BA2151" w:rsidRPr="00BA2151" w:rsidRDefault="00BA2151" w:rsidP="00BA2151">
            <w:pPr>
              <w:spacing w:before="0" w:after="0"/>
              <w:rPr>
                <w:rFonts w:eastAsia="Times New Roman" w:cs="Arial"/>
                <w:b/>
                <w:bCs/>
                <w:sz w:val="20"/>
                <w:szCs w:val="20"/>
                <w:lang w:eastAsia="en-GB"/>
              </w:rPr>
            </w:pPr>
            <w:r w:rsidRPr="00BA2151">
              <w:rPr>
                <w:rFonts w:eastAsia="Times New Roman" w:cs="Arial"/>
                <w:b/>
                <w:bCs/>
                <w:sz w:val="20"/>
                <w:szCs w:val="20"/>
                <w:lang w:eastAsia="en-GB"/>
              </w:rPr>
              <w:t>31 March 24</w:t>
            </w:r>
          </w:p>
        </w:tc>
        <w:tc>
          <w:tcPr>
            <w:tcW w:w="720" w:type="dxa"/>
            <w:tcBorders>
              <w:top w:val="nil"/>
              <w:left w:val="nil"/>
              <w:bottom w:val="nil"/>
              <w:right w:val="nil"/>
            </w:tcBorders>
            <w:shd w:val="clear" w:color="auto" w:fill="auto"/>
            <w:noWrap/>
            <w:vAlign w:val="bottom"/>
            <w:hideMark/>
          </w:tcPr>
          <w:p w14:paraId="674E1438" w14:textId="77777777" w:rsidR="00BA2151" w:rsidRPr="00BA2151" w:rsidRDefault="00BA2151" w:rsidP="00BA2151">
            <w:pPr>
              <w:spacing w:before="0" w:after="0"/>
              <w:rPr>
                <w:rFonts w:eastAsia="Times New Roman" w:cs="Arial"/>
                <w:b/>
                <w:bCs/>
                <w:sz w:val="20"/>
                <w:szCs w:val="20"/>
                <w:lang w:eastAsia="en-GB"/>
              </w:rPr>
            </w:pPr>
          </w:p>
        </w:tc>
        <w:tc>
          <w:tcPr>
            <w:tcW w:w="1320" w:type="dxa"/>
            <w:tcBorders>
              <w:top w:val="nil"/>
              <w:left w:val="nil"/>
              <w:bottom w:val="nil"/>
              <w:right w:val="nil"/>
            </w:tcBorders>
            <w:shd w:val="clear" w:color="000000" w:fill="FFFFFF"/>
            <w:noWrap/>
            <w:vAlign w:val="bottom"/>
            <w:hideMark/>
          </w:tcPr>
          <w:p w14:paraId="396A8E52"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7E2C1CC"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61317910"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w:t>
            </w:r>
          </w:p>
        </w:tc>
      </w:tr>
      <w:tr w:rsidR="00BA2151" w:rsidRPr="00BA2151" w14:paraId="460E9C88" w14:textId="77777777" w:rsidTr="00BA2151">
        <w:trPr>
          <w:trHeight w:val="110"/>
        </w:trPr>
        <w:tc>
          <w:tcPr>
            <w:tcW w:w="5680" w:type="dxa"/>
            <w:tcBorders>
              <w:top w:val="nil"/>
              <w:left w:val="nil"/>
              <w:bottom w:val="nil"/>
              <w:right w:val="nil"/>
            </w:tcBorders>
            <w:shd w:val="clear" w:color="auto" w:fill="auto"/>
            <w:noWrap/>
            <w:vAlign w:val="bottom"/>
            <w:hideMark/>
          </w:tcPr>
          <w:p w14:paraId="51D1C9D8" w14:textId="77777777" w:rsidR="00BA2151" w:rsidRPr="00BA2151" w:rsidRDefault="00BA2151" w:rsidP="00BA2151">
            <w:pPr>
              <w:spacing w:before="0" w:after="0"/>
              <w:rPr>
                <w:rFonts w:eastAsia="Times New Roman" w:cs="Arial"/>
                <w:sz w:val="20"/>
                <w:szCs w:val="20"/>
                <w:lang w:eastAsia="en-GB"/>
              </w:rPr>
            </w:pPr>
          </w:p>
        </w:tc>
        <w:tc>
          <w:tcPr>
            <w:tcW w:w="720" w:type="dxa"/>
            <w:tcBorders>
              <w:top w:val="nil"/>
              <w:left w:val="nil"/>
              <w:bottom w:val="nil"/>
              <w:right w:val="nil"/>
            </w:tcBorders>
            <w:shd w:val="clear" w:color="auto" w:fill="auto"/>
            <w:noWrap/>
            <w:vAlign w:val="bottom"/>
            <w:hideMark/>
          </w:tcPr>
          <w:p w14:paraId="7839555B"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320" w:type="dxa"/>
            <w:tcBorders>
              <w:top w:val="nil"/>
              <w:left w:val="nil"/>
              <w:bottom w:val="nil"/>
              <w:right w:val="nil"/>
            </w:tcBorders>
            <w:shd w:val="clear" w:color="000000" w:fill="FFFFFF"/>
            <w:noWrap/>
            <w:vAlign w:val="bottom"/>
            <w:hideMark/>
          </w:tcPr>
          <w:p w14:paraId="4A8C87DB"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C44C9E2"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4601971A"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w:t>
            </w:r>
          </w:p>
        </w:tc>
      </w:tr>
      <w:tr w:rsidR="00BA2151" w:rsidRPr="00BA2151" w14:paraId="20F6EE03" w14:textId="77777777" w:rsidTr="00BA2151">
        <w:trPr>
          <w:trHeight w:val="520"/>
        </w:trPr>
        <w:tc>
          <w:tcPr>
            <w:tcW w:w="5680" w:type="dxa"/>
            <w:tcBorders>
              <w:top w:val="nil"/>
              <w:left w:val="nil"/>
              <w:bottom w:val="nil"/>
              <w:right w:val="nil"/>
            </w:tcBorders>
            <w:shd w:val="clear" w:color="auto" w:fill="auto"/>
            <w:noWrap/>
            <w:vAlign w:val="bottom"/>
            <w:hideMark/>
          </w:tcPr>
          <w:p w14:paraId="3997F050" w14:textId="77777777" w:rsidR="00BA2151" w:rsidRPr="00BA2151" w:rsidRDefault="00BA2151" w:rsidP="00BA2151">
            <w:pPr>
              <w:spacing w:before="0" w:after="0"/>
              <w:rPr>
                <w:rFonts w:eastAsia="Times New Roman" w:cs="Arial"/>
                <w:sz w:val="20"/>
                <w:szCs w:val="20"/>
                <w:lang w:eastAsia="en-GB"/>
              </w:rPr>
            </w:pPr>
          </w:p>
        </w:tc>
        <w:tc>
          <w:tcPr>
            <w:tcW w:w="720" w:type="dxa"/>
            <w:tcBorders>
              <w:top w:val="nil"/>
              <w:left w:val="nil"/>
              <w:bottom w:val="nil"/>
              <w:right w:val="nil"/>
            </w:tcBorders>
            <w:shd w:val="clear" w:color="auto" w:fill="auto"/>
            <w:noWrap/>
            <w:vAlign w:val="bottom"/>
            <w:hideMark/>
          </w:tcPr>
          <w:p w14:paraId="14EAFDEA"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320" w:type="dxa"/>
            <w:tcBorders>
              <w:top w:val="nil"/>
              <w:left w:val="nil"/>
              <w:bottom w:val="nil"/>
              <w:right w:val="nil"/>
            </w:tcBorders>
            <w:shd w:val="clear" w:color="000000" w:fill="FFFFFF"/>
            <w:vAlign w:val="bottom"/>
            <w:hideMark/>
          </w:tcPr>
          <w:p w14:paraId="161BAD1D" w14:textId="77777777" w:rsidR="00BA2151" w:rsidRPr="00BA2151" w:rsidRDefault="00BA2151" w:rsidP="00BA2151">
            <w:pPr>
              <w:spacing w:before="0" w:after="0"/>
              <w:jc w:val="right"/>
              <w:rPr>
                <w:rFonts w:eastAsia="Times New Roman" w:cs="Arial"/>
                <w:b/>
                <w:bCs/>
                <w:sz w:val="20"/>
                <w:szCs w:val="20"/>
                <w:lang w:eastAsia="en-GB"/>
              </w:rPr>
            </w:pPr>
            <w:r w:rsidRPr="00BA2151">
              <w:rPr>
                <w:rFonts w:eastAsia="Times New Roman" w:cs="Arial"/>
                <w:b/>
                <w:bCs/>
                <w:sz w:val="20"/>
                <w:szCs w:val="20"/>
                <w:lang w:eastAsia="en-GB"/>
              </w:rPr>
              <w:t>1-Apr-23 to 31-Mar-24</w:t>
            </w:r>
          </w:p>
        </w:tc>
        <w:tc>
          <w:tcPr>
            <w:tcW w:w="272" w:type="dxa"/>
            <w:tcBorders>
              <w:top w:val="nil"/>
              <w:left w:val="nil"/>
              <w:bottom w:val="nil"/>
              <w:right w:val="nil"/>
            </w:tcBorders>
            <w:shd w:val="clear" w:color="000000" w:fill="FFFFFF"/>
            <w:vAlign w:val="bottom"/>
            <w:hideMark/>
          </w:tcPr>
          <w:p w14:paraId="3ECCE05E" w14:textId="77777777" w:rsidR="00BA2151" w:rsidRPr="00BA2151" w:rsidRDefault="00BA2151" w:rsidP="00BA2151">
            <w:pPr>
              <w:spacing w:before="0" w:after="0"/>
              <w:jc w:val="right"/>
              <w:rPr>
                <w:rFonts w:eastAsia="Times New Roman" w:cs="Arial"/>
                <w:b/>
                <w:bCs/>
                <w:sz w:val="20"/>
                <w:szCs w:val="20"/>
                <w:lang w:eastAsia="en-GB"/>
              </w:rPr>
            </w:pPr>
            <w:r w:rsidRPr="00BA2151">
              <w:rPr>
                <w:rFonts w:eastAsia="Times New Roman" w:cs="Arial"/>
                <w:b/>
                <w:bCs/>
                <w:sz w:val="20"/>
                <w:szCs w:val="20"/>
                <w:lang w:eastAsia="en-GB"/>
              </w:rPr>
              <w:t> </w:t>
            </w:r>
          </w:p>
        </w:tc>
        <w:tc>
          <w:tcPr>
            <w:tcW w:w="1180" w:type="dxa"/>
            <w:tcBorders>
              <w:top w:val="nil"/>
              <w:left w:val="nil"/>
              <w:bottom w:val="nil"/>
              <w:right w:val="nil"/>
            </w:tcBorders>
            <w:shd w:val="clear" w:color="000000" w:fill="FFFFFF"/>
            <w:vAlign w:val="bottom"/>
            <w:hideMark/>
          </w:tcPr>
          <w:p w14:paraId="54C83DC7"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1-Jul-22 to 31-Mar-23</w:t>
            </w:r>
          </w:p>
        </w:tc>
      </w:tr>
      <w:tr w:rsidR="00BA2151" w:rsidRPr="00BA2151" w14:paraId="62ACABD8" w14:textId="77777777" w:rsidTr="00BA2151">
        <w:trPr>
          <w:trHeight w:val="260"/>
        </w:trPr>
        <w:tc>
          <w:tcPr>
            <w:tcW w:w="5680" w:type="dxa"/>
            <w:tcBorders>
              <w:top w:val="nil"/>
              <w:left w:val="nil"/>
              <w:bottom w:val="nil"/>
              <w:right w:val="nil"/>
            </w:tcBorders>
            <w:shd w:val="clear" w:color="auto" w:fill="auto"/>
            <w:noWrap/>
            <w:vAlign w:val="bottom"/>
            <w:hideMark/>
          </w:tcPr>
          <w:p w14:paraId="3C15A016" w14:textId="77777777" w:rsidR="00BA2151" w:rsidRPr="00BA2151" w:rsidRDefault="00BA2151" w:rsidP="00BA2151">
            <w:pPr>
              <w:spacing w:before="0" w:after="0"/>
              <w:jc w:val="right"/>
              <w:rPr>
                <w:rFonts w:eastAsia="Times New Roman" w:cs="Arial"/>
                <w:sz w:val="20"/>
                <w:szCs w:val="20"/>
                <w:lang w:eastAsia="en-GB"/>
              </w:rPr>
            </w:pPr>
          </w:p>
        </w:tc>
        <w:tc>
          <w:tcPr>
            <w:tcW w:w="720" w:type="dxa"/>
            <w:tcBorders>
              <w:top w:val="nil"/>
              <w:left w:val="nil"/>
              <w:bottom w:val="nil"/>
              <w:right w:val="nil"/>
            </w:tcBorders>
            <w:shd w:val="clear" w:color="auto" w:fill="auto"/>
            <w:noWrap/>
            <w:vAlign w:val="bottom"/>
            <w:hideMark/>
          </w:tcPr>
          <w:p w14:paraId="24AB5245"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320" w:type="dxa"/>
            <w:tcBorders>
              <w:top w:val="nil"/>
              <w:left w:val="nil"/>
              <w:bottom w:val="nil"/>
              <w:right w:val="nil"/>
            </w:tcBorders>
            <w:shd w:val="clear" w:color="000000" w:fill="FFFFFF"/>
            <w:noWrap/>
            <w:vAlign w:val="bottom"/>
            <w:hideMark/>
          </w:tcPr>
          <w:p w14:paraId="5B7FF895" w14:textId="77777777" w:rsidR="00BA2151" w:rsidRPr="00BA2151" w:rsidRDefault="00BA2151" w:rsidP="00BA2151">
            <w:pPr>
              <w:spacing w:before="0" w:after="0"/>
              <w:jc w:val="right"/>
              <w:rPr>
                <w:rFonts w:eastAsia="Times New Roman" w:cs="Arial"/>
                <w:b/>
                <w:bCs/>
                <w:sz w:val="20"/>
                <w:szCs w:val="20"/>
                <w:lang w:eastAsia="en-GB"/>
              </w:rPr>
            </w:pPr>
            <w:r w:rsidRPr="00BA2151">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57704BF6"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0A1F026C"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 </w:t>
            </w:r>
          </w:p>
        </w:tc>
      </w:tr>
      <w:tr w:rsidR="00BA2151" w:rsidRPr="00BA2151" w14:paraId="1EEFD539" w14:textId="77777777" w:rsidTr="00BA2151">
        <w:trPr>
          <w:trHeight w:val="260"/>
        </w:trPr>
        <w:tc>
          <w:tcPr>
            <w:tcW w:w="5680" w:type="dxa"/>
            <w:tcBorders>
              <w:top w:val="nil"/>
              <w:left w:val="nil"/>
              <w:bottom w:val="nil"/>
              <w:right w:val="nil"/>
            </w:tcBorders>
            <w:shd w:val="clear" w:color="auto" w:fill="auto"/>
            <w:noWrap/>
            <w:vAlign w:val="bottom"/>
            <w:hideMark/>
          </w:tcPr>
          <w:p w14:paraId="154969AB" w14:textId="77777777" w:rsidR="00BA2151" w:rsidRPr="00BA2151" w:rsidRDefault="00BA2151" w:rsidP="00BA2151">
            <w:pPr>
              <w:spacing w:before="0" w:after="0"/>
              <w:jc w:val="right"/>
              <w:rPr>
                <w:rFonts w:eastAsia="Times New Roman" w:cs="Arial"/>
                <w:sz w:val="20"/>
                <w:szCs w:val="20"/>
                <w:lang w:eastAsia="en-GB"/>
              </w:rPr>
            </w:pPr>
          </w:p>
        </w:tc>
        <w:tc>
          <w:tcPr>
            <w:tcW w:w="720" w:type="dxa"/>
            <w:tcBorders>
              <w:top w:val="nil"/>
              <w:left w:val="nil"/>
              <w:bottom w:val="nil"/>
              <w:right w:val="nil"/>
            </w:tcBorders>
            <w:shd w:val="clear" w:color="auto" w:fill="auto"/>
            <w:noWrap/>
            <w:vAlign w:val="bottom"/>
            <w:hideMark/>
          </w:tcPr>
          <w:p w14:paraId="3C6783B0" w14:textId="77777777" w:rsidR="00BA2151" w:rsidRPr="00BA2151" w:rsidRDefault="00BA2151" w:rsidP="00BA2151">
            <w:pPr>
              <w:spacing w:before="0" w:after="0"/>
              <w:jc w:val="center"/>
              <w:rPr>
                <w:rFonts w:eastAsia="Times New Roman" w:cs="Arial"/>
                <w:b/>
                <w:bCs/>
                <w:sz w:val="20"/>
                <w:szCs w:val="20"/>
                <w:lang w:eastAsia="en-GB"/>
              </w:rPr>
            </w:pPr>
            <w:r w:rsidRPr="00BA2151">
              <w:rPr>
                <w:rFonts w:eastAsia="Times New Roman" w:cs="Arial"/>
                <w:b/>
                <w:bCs/>
                <w:sz w:val="20"/>
                <w:szCs w:val="20"/>
                <w:lang w:eastAsia="en-GB"/>
              </w:rPr>
              <w:t>Note</w:t>
            </w:r>
          </w:p>
        </w:tc>
        <w:tc>
          <w:tcPr>
            <w:tcW w:w="1320" w:type="dxa"/>
            <w:tcBorders>
              <w:top w:val="nil"/>
              <w:left w:val="nil"/>
              <w:bottom w:val="nil"/>
              <w:right w:val="nil"/>
            </w:tcBorders>
            <w:shd w:val="clear" w:color="000000" w:fill="FFFFFF"/>
            <w:noWrap/>
            <w:vAlign w:val="bottom"/>
            <w:hideMark/>
          </w:tcPr>
          <w:p w14:paraId="6A33C41D" w14:textId="77777777" w:rsidR="00BA2151" w:rsidRPr="00BA2151" w:rsidRDefault="00BA2151" w:rsidP="00BA2151">
            <w:pPr>
              <w:spacing w:before="0" w:after="0"/>
              <w:jc w:val="right"/>
              <w:rPr>
                <w:rFonts w:eastAsia="Times New Roman" w:cs="Arial"/>
                <w:b/>
                <w:bCs/>
                <w:sz w:val="20"/>
                <w:szCs w:val="20"/>
                <w:lang w:eastAsia="en-GB"/>
              </w:rPr>
            </w:pPr>
            <w:r w:rsidRPr="00BA2151">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bottom"/>
            <w:hideMark/>
          </w:tcPr>
          <w:p w14:paraId="5EF769D2"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54A37C99"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£'000</w:t>
            </w:r>
          </w:p>
        </w:tc>
      </w:tr>
      <w:tr w:rsidR="00BA2151" w:rsidRPr="00BA2151" w14:paraId="0160C1B5" w14:textId="77777777" w:rsidTr="00BA2151">
        <w:trPr>
          <w:trHeight w:val="260"/>
        </w:trPr>
        <w:tc>
          <w:tcPr>
            <w:tcW w:w="5680" w:type="dxa"/>
            <w:tcBorders>
              <w:top w:val="nil"/>
              <w:left w:val="nil"/>
              <w:bottom w:val="nil"/>
              <w:right w:val="nil"/>
            </w:tcBorders>
            <w:shd w:val="clear" w:color="auto" w:fill="auto"/>
            <w:noWrap/>
            <w:vAlign w:val="bottom"/>
            <w:hideMark/>
          </w:tcPr>
          <w:p w14:paraId="71D3A4CD" w14:textId="77777777" w:rsidR="00BA2151" w:rsidRPr="00BA2151" w:rsidRDefault="00BA2151" w:rsidP="00BA2151">
            <w:pPr>
              <w:spacing w:before="0" w:after="0"/>
              <w:rPr>
                <w:rFonts w:eastAsia="Times New Roman" w:cs="Arial"/>
                <w:b/>
                <w:bCs/>
                <w:sz w:val="20"/>
                <w:szCs w:val="20"/>
                <w:lang w:eastAsia="en-GB"/>
              </w:rPr>
            </w:pPr>
            <w:r w:rsidRPr="00BA2151">
              <w:rPr>
                <w:rFonts w:eastAsia="Times New Roman" w:cs="Arial"/>
                <w:b/>
                <w:bCs/>
                <w:sz w:val="20"/>
                <w:szCs w:val="20"/>
                <w:lang w:eastAsia="en-GB"/>
              </w:rPr>
              <w:t>Non-current assets:</w:t>
            </w:r>
          </w:p>
        </w:tc>
        <w:tc>
          <w:tcPr>
            <w:tcW w:w="720" w:type="dxa"/>
            <w:tcBorders>
              <w:top w:val="nil"/>
              <w:left w:val="nil"/>
              <w:bottom w:val="nil"/>
              <w:right w:val="nil"/>
            </w:tcBorders>
            <w:shd w:val="clear" w:color="000000" w:fill="FFFFFF"/>
            <w:noWrap/>
            <w:vAlign w:val="bottom"/>
            <w:hideMark/>
          </w:tcPr>
          <w:p w14:paraId="5F66360C"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 </w:t>
            </w:r>
          </w:p>
        </w:tc>
        <w:tc>
          <w:tcPr>
            <w:tcW w:w="1320" w:type="dxa"/>
            <w:tcBorders>
              <w:top w:val="nil"/>
              <w:left w:val="nil"/>
              <w:bottom w:val="nil"/>
              <w:right w:val="nil"/>
            </w:tcBorders>
            <w:shd w:val="clear" w:color="000000" w:fill="FFFFFF"/>
            <w:noWrap/>
            <w:vAlign w:val="bottom"/>
            <w:hideMark/>
          </w:tcPr>
          <w:p w14:paraId="6F3441A6"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2C76E99"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77EAAFA2"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w:t>
            </w:r>
          </w:p>
        </w:tc>
      </w:tr>
      <w:tr w:rsidR="00BA2151" w:rsidRPr="00BA2151" w14:paraId="3C168687" w14:textId="77777777" w:rsidTr="00BA2151">
        <w:trPr>
          <w:trHeight w:val="250"/>
        </w:trPr>
        <w:tc>
          <w:tcPr>
            <w:tcW w:w="5680" w:type="dxa"/>
            <w:tcBorders>
              <w:top w:val="nil"/>
              <w:left w:val="nil"/>
              <w:bottom w:val="nil"/>
              <w:right w:val="nil"/>
            </w:tcBorders>
            <w:shd w:val="clear" w:color="auto" w:fill="auto"/>
            <w:noWrap/>
            <w:vAlign w:val="bottom"/>
            <w:hideMark/>
          </w:tcPr>
          <w:p w14:paraId="77F3E6EF"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Right-of-use assets</w:t>
            </w:r>
          </w:p>
        </w:tc>
        <w:tc>
          <w:tcPr>
            <w:tcW w:w="720" w:type="dxa"/>
            <w:tcBorders>
              <w:top w:val="nil"/>
              <w:left w:val="nil"/>
              <w:bottom w:val="nil"/>
              <w:right w:val="nil"/>
            </w:tcBorders>
            <w:shd w:val="clear" w:color="000000" w:fill="FFFFFF"/>
            <w:noWrap/>
            <w:vAlign w:val="bottom"/>
            <w:hideMark/>
          </w:tcPr>
          <w:p w14:paraId="62EF6924"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10</w:t>
            </w:r>
          </w:p>
        </w:tc>
        <w:tc>
          <w:tcPr>
            <w:tcW w:w="1320" w:type="dxa"/>
            <w:tcBorders>
              <w:top w:val="nil"/>
              <w:left w:val="nil"/>
              <w:bottom w:val="nil"/>
              <w:right w:val="nil"/>
            </w:tcBorders>
            <w:shd w:val="clear" w:color="auto" w:fill="auto"/>
            <w:noWrap/>
            <w:vAlign w:val="bottom"/>
            <w:hideMark/>
          </w:tcPr>
          <w:p w14:paraId="15A17B4C"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2,195</w:t>
            </w:r>
          </w:p>
        </w:tc>
        <w:tc>
          <w:tcPr>
            <w:tcW w:w="272" w:type="dxa"/>
            <w:tcBorders>
              <w:top w:val="nil"/>
              <w:left w:val="nil"/>
              <w:bottom w:val="nil"/>
              <w:right w:val="nil"/>
            </w:tcBorders>
            <w:shd w:val="clear" w:color="auto" w:fill="auto"/>
            <w:noWrap/>
            <w:vAlign w:val="bottom"/>
            <w:hideMark/>
          </w:tcPr>
          <w:p w14:paraId="6F03D7B1" w14:textId="77777777" w:rsidR="00BA2151" w:rsidRPr="00BA2151" w:rsidRDefault="00BA2151" w:rsidP="00BA2151">
            <w:pPr>
              <w:spacing w:before="0" w:after="0"/>
              <w:jc w:val="right"/>
              <w:rPr>
                <w:rFonts w:eastAsia="Times New Roman" w:cs="Arial"/>
                <w:sz w:val="20"/>
                <w:szCs w:val="20"/>
                <w:lang w:eastAsia="en-GB"/>
              </w:rPr>
            </w:pPr>
          </w:p>
        </w:tc>
        <w:tc>
          <w:tcPr>
            <w:tcW w:w="1180" w:type="dxa"/>
            <w:tcBorders>
              <w:top w:val="nil"/>
              <w:left w:val="nil"/>
              <w:bottom w:val="nil"/>
              <w:right w:val="nil"/>
            </w:tcBorders>
            <w:shd w:val="clear" w:color="auto" w:fill="auto"/>
            <w:noWrap/>
            <w:vAlign w:val="bottom"/>
            <w:hideMark/>
          </w:tcPr>
          <w:p w14:paraId="01768D47"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2,815</w:t>
            </w:r>
          </w:p>
        </w:tc>
      </w:tr>
      <w:tr w:rsidR="00BA2151" w:rsidRPr="00BA2151" w14:paraId="44AF5270" w14:textId="77777777" w:rsidTr="00BA2151">
        <w:trPr>
          <w:trHeight w:val="280"/>
        </w:trPr>
        <w:tc>
          <w:tcPr>
            <w:tcW w:w="5680" w:type="dxa"/>
            <w:tcBorders>
              <w:top w:val="nil"/>
              <w:left w:val="nil"/>
              <w:bottom w:val="nil"/>
              <w:right w:val="nil"/>
            </w:tcBorders>
            <w:shd w:val="clear" w:color="auto" w:fill="auto"/>
            <w:noWrap/>
            <w:vAlign w:val="bottom"/>
            <w:hideMark/>
          </w:tcPr>
          <w:p w14:paraId="4733C98D" w14:textId="77777777" w:rsidR="00BA2151" w:rsidRPr="00BA2151" w:rsidRDefault="00BA2151" w:rsidP="00BA2151">
            <w:pPr>
              <w:spacing w:before="0" w:after="0"/>
              <w:rPr>
                <w:rFonts w:eastAsia="Times New Roman" w:cs="Arial"/>
                <w:b/>
                <w:bCs/>
                <w:sz w:val="20"/>
                <w:szCs w:val="20"/>
                <w:lang w:eastAsia="en-GB"/>
              </w:rPr>
            </w:pPr>
            <w:r w:rsidRPr="00BA2151">
              <w:rPr>
                <w:rFonts w:eastAsia="Times New Roman" w:cs="Arial"/>
                <w:b/>
                <w:bCs/>
                <w:sz w:val="20"/>
                <w:szCs w:val="20"/>
                <w:lang w:eastAsia="en-GB"/>
              </w:rPr>
              <w:t>Total non-current assets</w:t>
            </w:r>
          </w:p>
        </w:tc>
        <w:tc>
          <w:tcPr>
            <w:tcW w:w="720" w:type="dxa"/>
            <w:tcBorders>
              <w:top w:val="nil"/>
              <w:left w:val="nil"/>
              <w:bottom w:val="nil"/>
              <w:right w:val="nil"/>
            </w:tcBorders>
            <w:shd w:val="clear" w:color="000000" w:fill="FFFFFF"/>
            <w:noWrap/>
            <w:vAlign w:val="bottom"/>
            <w:hideMark/>
          </w:tcPr>
          <w:p w14:paraId="28C809BB"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 </w:t>
            </w:r>
          </w:p>
        </w:tc>
        <w:tc>
          <w:tcPr>
            <w:tcW w:w="1320" w:type="dxa"/>
            <w:tcBorders>
              <w:top w:val="single" w:sz="4" w:space="0" w:color="auto"/>
              <w:left w:val="nil"/>
              <w:bottom w:val="nil"/>
              <w:right w:val="nil"/>
            </w:tcBorders>
            <w:shd w:val="clear" w:color="auto" w:fill="auto"/>
            <w:noWrap/>
            <w:vAlign w:val="bottom"/>
            <w:hideMark/>
          </w:tcPr>
          <w:p w14:paraId="1D2A06CE" w14:textId="77777777" w:rsidR="00BA2151" w:rsidRPr="00BA2151" w:rsidRDefault="00BA2151" w:rsidP="00BA2151">
            <w:pPr>
              <w:spacing w:before="0" w:after="0"/>
              <w:jc w:val="right"/>
              <w:rPr>
                <w:rFonts w:eastAsia="Times New Roman" w:cs="Arial"/>
                <w:b/>
                <w:bCs/>
                <w:sz w:val="20"/>
                <w:szCs w:val="20"/>
                <w:lang w:eastAsia="en-GB"/>
              </w:rPr>
            </w:pPr>
            <w:r w:rsidRPr="00BA2151">
              <w:rPr>
                <w:rFonts w:eastAsia="Times New Roman" w:cs="Arial"/>
                <w:b/>
                <w:bCs/>
                <w:sz w:val="20"/>
                <w:szCs w:val="20"/>
                <w:lang w:eastAsia="en-GB"/>
              </w:rPr>
              <w:t>2,195</w:t>
            </w:r>
          </w:p>
        </w:tc>
        <w:tc>
          <w:tcPr>
            <w:tcW w:w="272" w:type="dxa"/>
            <w:tcBorders>
              <w:top w:val="nil"/>
              <w:left w:val="nil"/>
              <w:bottom w:val="nil"/>
              <w:right w:val="nil"/>
            </w:tcBorders>
            <w:shd w:val="clear" w:color="auto" w:fill="auto"/>
            <w:noWrap/>
            <w:vAlign w:val="bottom"/>
            <w:hideMark/>
          </w:tcPr>
          <w:p w14:paraId="7053C554" w14:textId="77777777" w:rsidR="00BA2151" w:rsidRPr="00BA2151" w:rsidRDefault="00BA2151" w:rsidP="00BA2151">
            <w:pPr>
              <w:spacing w:before="0" w:after="0"/>
              <w:jc w:val="right"/>
              <w:rPr>
                <w:rFonts w:eastAsia="Times New Roman" w:cs="Arial"/>
                <w:b/>
                <w:bCs/>
                <w:sz w:val="20"/>
                <w:szCs w:val="20"/>
                <w:lang w:eastAsia="en-GB"/>
              </w:rPr>
            </w:pPr>
          </w:p>
        </w:tc>
        <w:tc>
          <w:tcPr>
            <w:tcW w:w="1180" w:type="dxa"/>
            <w:tcBorders>
              <w:top w:val="single" w:sz="4" w:space="0" w:color="auto"/>
              <w:left w:val="nil"/>
              <w:bottom w:val="nil"/>
              <w:right w:val="nil"/>
            </w:tcBorders>
            <w:shd w:val="clear" w:color="auto" w:fill="auto"/>
            <w:noWrap/>
            <w:vAlign w:val="bottom"/>
            <w:hideMark/>
          </w:tcPr>
          <w:p w14:paraId="58C62611" w14:textId="77777777" w:rsidR="00BA2151" w:rsidRPr="00BA2151" w:rsidRDefault="00BA2151" w:rsidP="00BA2151">
            <w:pPr>
              <w:spacing w:before="0" w:after="0"/>
              <w:jc w:val="right"/>
              <w:rPr>
                <w:rFonts w:eastAsia="Times New Roman" w:cs="Arial"/>
                <w:b/>
                <w:bCs/>
                <w:sz w:val="20"/>
                <w:szCs w:val="20"/>
                <w:lang w:eastAsia="en-GB"/>
              </w:rPr>
            </w:pPr>
            <w:r w:rsidRPr="00BA2151">
              <w:rPr>
                <w:rFonts w:eastAsia="Times New Roman" w:cs="Arial"/>
                <w:b/>
                <w:bCs/>
                <w:sz w:val="20"/>
                <w:szCs w:val="20"/>
                <w:lang w:eastAsia="en-GB"/>
              </w:rPr>
              <w:t>2,815</w:t>
            </w:r>
          </w:p>
        </w:tc>
      </w:tr>
      <w:tr w:rsidR="00BA2151" w:rsidRPr="00BA2151" w14:paraId="242F1B59" w14:textId="77777777" w:rsidTr="00BA2151">
        <w:trPr>
          <w:trHeight w:val="135"/>
        </w:trPr>
        <w:tc>
          <w:tcPr>
            <w:tcW w:w="5680" w:type="dxa"/>
            <w:tcBorders>
              <w:top w:val="nil"/>
              <w:left w:val="nil"/>
              <w:bottom w:val="nil"/>
              <w:right w:val="nil"/>
            </w:tcBorders>
            <w:shd w:val="clear" w:color="auto" w:fill="auto"/>
            <w:noWrap/>
            <w:vAlign w:val="bottom"/>
            <w:hideMark/>
          </w:tcPr>
          <w:p w14:paraId="14FA5A9F" w14:textId="77777777" w:rsidR="00BA2151" w:rsidRPr="00BA2151" w:rsidRDefault="00BA2151" w:rsidP="00BA2151">
            <w:pPr>
              <w:spacing w:before="0" w:after="0"/>
              <w:jc w:val="right"/>
              <w:rPr>
                <w:rFonts w:eastAsia="Times New Roman" w:cs="Arial"/>
                <w:b/>
                <w:bCs/>
                <w:sz w:val="20"/>
                <w:szCs w:val="20"/>
                <w:lang w:eastAsia="en-GB"/>
              </w:rPr>
            </w:pPr>
          </w:p>
        </w:tc>
        <w:tc>
          <w:tcPr>
            <w:tcW w:w="720" w:type="dxa"/>
            <w:tcBorders>
              <w:top w:val="nil"/>
              <w:left w:val="nil"/>
              <w:bottom w:val="nil"/>
              <w:right w:val="nil"/>
            </w:tcBorders>
            <w:shd w:val="clear" w:color="000000" w:fill="FFFFFF"/>
            <w:noWrap/>
            <w:vAlign w:val="bottom"/>
            <w:hideMark/>
          </w:tcPr>
          <w:p w14:paraId="6373479F"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 </w:t>
            </w:r>
          </w:p>
        </w:tc>
        <w:tc>
          <w:tcPr>
            <w:tcW w:w="1320" w:type="dxa"/>
            <w:tcBorders>
              <w:top w:val="nil"/>
              <w:left w:val="nil"/>
              <w:bottom w:val="nil"/>
              <w:right w:val="nil"/>
            </w:tcBorders>
            <w:shd w:val="clear" w:color="auto" w:fill="auto"/>
            <w:noWrap/>
            <w:vAlign w:val="bottom"/>
            <w:hideMark/>
          </w:tcPr>
          <w:p w14:paraId="588F9200" w14:textId="77777777" w:rsidR="00BA2151" w:rsidRPr="00BA2151" w:rsidRDefault="00BA2151" w:rsidP="00BA2151">
            <w:pPr>
              <w:spacing w:before="0" w:after="0"/>
              <w:jc w:val="center"/>
              <w:rPr>
                <w:rFonts w:eastAsia="Times New Roman" w:cs="Arial"/>
                <w:sz w:val="20"/>
                <w:szCs w:val="20"/>
                <w:lang w:eastAsia="en-GB"/>
              </w:rPr>
            </w:pPr>
          </w:p>
        </w:tc>
        <w:tc>
          <w:tcPr>
            <w:tcW w:w="272" w:type="dxa"/>
            <w:tcBorders>
              <w:top w:val="nil"/>
              <w:left w:val="nil"/>
              <w:bottom w:val="nil"/>
              <w:right w:val="nil"/>
            </w:tcBorders>
            <w:shd w:val="clear" w:color="auto" w:fill="auto"/>
            <w:noWrap/>
            <w:vAlign w:val="bottom"/>
            <w:hideMark/>
          </w:tcPr>
          <w:p w14:paraId="16E0F1C7"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4EA828B9"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r>
      <w:tr w:rsidR="00BA2151" w:rsidRPr="00BA2151" w14:paraId="03F56D0A" w14:textId="77777777" w:rsidTr="00BA2151">
        <w:trPr>
          <w:trHeight w:val="260"/>
        </w:trPr>
        <w:tc>
          <w:tcPr>
            <w:tcW w:w="5680" w:type="dxa"/>
            <w:tcBorders>
              <w:top w:val="nil"/>
              <w:left w:val="nil"/>
              <w:bottom w:val="nil"/>
              <w:right w:val="nil"/>
            </w:tcBorders>
            <w:shd w:val="clear" w:color="auto" w:fill="auto"/>
            <w:noWrap/>
            <w:vAlign w:val="bottom"/>
            <w:hideMark/>
          </w:tcPr>
          <w:p w14:paraId="3E38EC84" w14:textId="77777777" w:rsidR="00BA2151" w:rsidRPr="00BA2151" w:rsidRDefault="00BA2151" w:rsidP="00BA2151">
            <w:pPr>
              <w:spacing w:before="0" w:after="0"/>
              <w:rPr>
                <w:rFonts w:eastAsia="Times New Roman" w:cs="Arial"/>
                <w:b/>
                <w:bCs/>
                <w:sz w:val="20"/>
                <w:szCs w:val="20"/>
                <w:lang w:eastAsia="en-GB"/>
              </w:rPr>
            </w:pPr>
            <w:r w:rsidRPr="00BA2151">
              <w:rPr>
                <w:rFonts w:eastAsia="Times New Roman" w:cs="Arial"/>
                <w:b/>
                <w:bCs/>
                <w:sz w:val="20"/>
                <w:szCs w:val="20"/>
                <w:lang w:eastAsia="en-GB"/>
              </w:rPr>
              <w:t>Current assets:</w:t>
            </w:r>
          </w:p>
        </w:tc>
        <w:tc>
          <w:tcPr>
            <w:tcW w:w="720" w:type="dxa"/>
            <w:tcBorders>
              <w:top w:val="nil"/>
              <w:left w:val="nil"/>
              <w:bottom w:val="nil"/>
              <w:right w:val="nil"/>
            </w:tcBorders>
            <w:shd w:val="clear" w:color="000000" w:fill="FFFFFF"/>
            <w:noWrap/>
            <w:vAlign w:val="bottom"/>
            <w:hideMark/>
          </w:tcPr>
          <w:p w14:paraId="28D64CDC"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 </w:t>
            </w:r>
          </w:p>
        </w:tc>
        <w:tc>
          <w:tcPr>
            <w:tcW w:w="1320" w:type="dxa"/>
            <w:tcBorders>
              <w:top w:val="nil"/>
              <w:left w:val="nil"/>
              <w:bottom w:val="nil"/>
              <w:right w:val="nil"/>
            </w:tcBorders>
            <w:shd w:val="clear" w:color="auto" w:fill="auto"/>
            <w:noWrap/>
            <w:vAlign w:val="bottom"/>
            <w:hideMark/>
          </w:tcPr>
          <w:p w14:paraId="404F63A5" w14:textId="77777777" w:rsidR="00BA2151" w:rsidRPr="00BA2151" w:rsidRDefault="00BA2151" w:rsidP="00BA2151">
            <w:pPr>
              <w:spacing w:before="0" w:after="0"/>
              <w:jc w:val="center"/>
              <w:rPr>
                <w:rFonts w:eastAsia="Times New Roman" w:cs="Arial"/>
                <w:sz w:val="20"/>
                <w:szCs w:val="20"/>
                <w:lang w:eastAsia="en-GB"/>
              </w:rPr>
            </w:pPr>
          </w:p>
        </w:tc>
        <w:tc>
          <w:tcPr>
            <w:tcW w:w="272" w:type="dxa"/>
            <w:tcBorders>
              <w:top w:val="nil"/>
              <w:left w:val="nil"/>
              <w:bottom w:val="nil"/>
              <w:right w:val="nil"/>
            </w:tcBorders>
            <w:shd w:val="clear" w:color="auto" w:fill="auto"/>
            <w:noWrap/>
            <w:vAlign w:val="bottom"/>
            <w:hideMark/>
          </w:tcPr>
          <w:p w14:paraId="40AE94F9"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0495DABE"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r>
      <w:tr w:rsidR="00BA2151" w:rsidRPr="00BA2151" w14:paraId="4D1CF0A7" w14:textId="77777777" w:rsidTr="00BA2151">
        <w:trPr>
          <w:trHeight w:val="250"/>
        </w:trPr>
        <w:tc>
          <w:tcPr>
            <w:tcW w:w="5680" w:type="dxa"/>
            <w:tcBorders>
              <w:top w:val="nil"/>
              <w:left w:val="nil"/>
              <w:bottom w:val="nil"/>
              <w:right w:val="nil"/>
            </w:tcBorders>
            <w:shd w:val="clear" w:color="auto" w:fill="auto"/>
            <w:noWrap/>
            <w:vAlign w:val="bottom"/>
            <w:hideMark/>
          </w:tcPr>
          <w:p w14:paraId="7964CD14"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Trade and other receivables</w:t>
            </w:r>
          </w:p>
        </w:tc>
        <w:tc>
          <w:tcPr>
            <w:tcW w:w="720" w:type="dxa"/>
            <w:tcBorders>
              <w:top w:val="nil"/>
              <w:left w:val="nil"/>
              <w:bottom w:val="nil"/>
              <w:right w:val="nil"/>
            </w:tcBorders>
            <w:shd w:val="clear" w:color="000000" w:fill="FFFFFF"/>
            <w:noWrap/>
            <w:vAlign w:val="bottom"/>
            <w:hideMark/>
          </w:tcPr>
          <w:p w14:paraId="2B1C7E2A"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11</w:t>
            </w:r>
          </w:p>
        </w:tc>
        <w:tc>
          <w:tcPr>
            <w:tcW w:w="1320" w:type="dxa"/>
            <w:tcBorders>
              <w:top w:val="nil"/>
              <w:left w:val="nil"/>
              <w:bottom w:val="single" w:sz="4" w:space="0" w:color="auto"/>
              <w:right w:val="nil"/>
            </w:tcBorders>
            <w:shd w:val="clear" w:color="000000" w:fill="FFFFFF"/>
            <w:noWrap/>
            <w:vAlign w:val="bottom"/>
            <w:hideMark/>
          </w:tcPr>
          <w:p w14:paraId="7F20DB82"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17,736</w:t>
            </w:r>
          </w:p>
        </w:tc>
        <w:tc>
          <w:tcPr>
            <w:tcW w:w="272" w:type="dxa"/>
            <w:tcBorders>
              <w:top w:val="nil"/>
              <w:left w:val="nil"/>
              <w:bottom w:val="nil"/>
              <w:right w:val="nil"/>
            </w:tcBorders>
            <w:shd w:val="clear" w:color="000000" w:fill="FFFFFF"/>
            <w:noWrap/>
            <w:vAlign w:val="bottom"/>
            <w:hideMark/>
          </w:tcPr>
          <w:p w14:paraId="2A920AA8"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w:t>
            </w:r>
          </w:p>
        </w:tc>
        <w:tc>
          <w:tcPr>
            <w:tcW w:w="1180" w:type="dxa"/>
            <w:tcBorders>
              <w:top w:val="nil"/>
              <w:left w:val="nil"/>
              <w:bottom w:val="single" w:sz="4" w:space="0" w:color="auto"/>
              <w:right w:val="nil"/>
            </w:tcBorders>
            <w:shd w:val="clear" w:color="000000" w:fill="FFFFFF"/>
            <w:noWrap/>
            <w:vAlign w:val="bottom"/>
            <w:hideMark/>
          </w:tcPr>
          <w:p w14:paraId="3FAF8F65"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9,644</w:t>
            </w:r>
          </w:p>
        </w:tc>
      </w:tr>
      <w:tr w:rsidR="00BA2151" w:rsidRPr="00BA2151" w14:paraId="3E29EE96" w14:textId="77777777" w:rsidTr="00BA2151">
        <w:trPr>
          <w:trHeight w:val="280"/>
        </w:trPr>
        <w:tc>
          <w:tcPr>
            <w:tcW w:w="5680" w:type="dxa"/>
            <w:tcBorders>
              <w:top w:val="nil"/>
              <w:left w:val="nil"/>
              <w:bottom w:val="nil"/>
              <w:right w:val="nil"/>
            </w:tcBorders>
            <w:shd w:val="clear" w:color="auto" w:fill="auto"/>
            <w:noWrap/>
            <w:vAlign w:val="bottom"/>
            <w:hideMark/>
          </w:tcPr>
          <w:p w14:paraId="6A492423" w14:textId="77777777" w:rsidR="00BA2151" w:rsidRPr="00BA2151" w:rsidRDefault="00BA2151" w:rsidP="00BA2151">
            <w:pPr>
              <w:spacing w:before="0" w:after="0"/>
              <w:rPr>
                <w:rFonts w:eastAsia="Times New Roman" w:cs="Arial"/>
                <w:b/>
                <w:bCs/>
                <w:sz w:val="20"/>
                <w:szCs w:val="20"/>
                <w:lang w:eastAsia="en-GB"/>
              </w:rPr>
            </w:pPr>
            <w:r w:rsidRPr="00BA2151">
              <w:rPr>
                <w:rFonts w:eastAsia="Times New Roman" w:cs="Arial"/>
                <w:b/>
                <w:bCs/>
                <w:sz w:val="20"/>
                <w:szCs w:val="20"/>
                <w:lang w:eastAsia="en-GB"/>
              </w:rPr>
              <w:t>Total current assets</w:t>
            </w:r>
          </w:p>
        </w:tc>
        <w:tc>
          <w:tcPr>
            <w:tcW w:w="720" w:type="dxa"/>
            <w:tcBorders>
              <w:top w:val="nil"/>
              <w:left w:val="nil"/>
              <w:bottom w:val="nil"/>
              <w:right w:val="nil"/>
            </w:tcBorders>
            <w:shd w:val="clear" w:color="000000" w:fill="FFFFFF"/>
            <w:noWrap/>
            <w:vAlign w:val="bottom"/>
            <w:hideMark/>
          </w:tcPr>
          <w:p w14:paraId="12FC3B05"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 </w:t>
            </w:r>
          </w:p>
        </w:tc>
        <w:tc>
          <w:tcPr>
            <w:tcW w:w="1320" w:type="dxa"/>
            <w:tcBorders>
              <w:top w:val="nil"/>
              <w:left w:val="nil"/>
              <w:bottom w:val="nil"/>
              <w:right w:val="nil"/>
            </w:tcBorders>
            <w:shd w:val="clear" w:color="auto" w:fill="auto"/>
            <w:noWrap/>
            <w:vAlign w:val="bottom"/>
            <w:hideMark/>
          </w:tcPr>
          <w:p w14:paraId="7170DC4C" w14:textId="77777777" w:rsidR="00BA2151" w:rsidRPr="00BA2151" w:rsidRDefault="00BA2151" w:rsidP="00BA2151">
            <w:pPr>
              <w:spacing w:before="0" w:after="0"/>
              <w:jc w:val="right"/>
              <w:rPr>
                <w:rFonts w:eastAsia="Times New Roman" w:cs="Arial"/>
                <w:b/>
                <w:bCs/>
                <w:sz w:val="20"/>
                <w:szCs w:val="20"/>
                <w:lang w:eastAsia="en-GB"/>
              </w:rPr>
            </w:pPr>
            <w:r w:rsidRPr="00BA2151">
              <w:rPr>
                <w:rFonts w:eastAsia="Times New Roman" w:cs="Arial"/>
                <w:b/>
                <w:bCs/>
                <w:sz w:val="20"/>
                <w:szCs w:val="20"/>
                <w:lang w:eastAsia="en-GB"/>
              </w:rPr>
              <w:t>17,736</w:t>
            </w:r>
          </w:p>
        </w:tc>
        <w:tc>
          <w:tcPr>
            <w:tcW w:w="272" w:type="dxa"/>
            <w:tcBorders>
              <w:top w:val="nil"/>
              <w:left w:val="nil"/>
              <w:bottom w:val="nil"/>
              <w:right w:val="nil"/>
            </w:tcBorders>
            <w:shd w:val="clear" w:color="auto" w:fill="auto"/>
            <w:noWrap/>
            <w:vAlign w:val="bottom"/>
            <w:hideMark/>
          </w:tcPr>
          <w:p w14:paraId="11C03344" w14:textId="77777777" w:rsidR="00BA2151" w:rsidRPr="00BA2151" w:rsidRDefault="00BA2151" w:rsidP="00BA2151">
            <w:pPr>
              <w:spacing w:before="0" w:after="0"/>
              <w:jc w:val="right"/>
              <w:rPr>
                <w:rFonts w:eastAsia="Times New Roman" w:cs="Arial"/>
                <w:b/>
                <w:bCs/>
                <w:sz w:val="20"/>
                <w:szCs w:val="20"/>
                <w:lang w:eastAsia="en-GB"/>
              </w:rPr>
            </w:pPr>
          </w:p>
        </w:tc>
        <w:tc>
          <w:tcPr>
            <w:tcW w:w="1180" w:type="dxa"/>
            <w:tcBorders>
              <w:top w:val="nil"/>
              <w:left w:val="nil"/>
              <w:bottom w:val="nil"/>
              <w:right w:val="nil"/>
            </w:tcBorders>
            <w:shd w:val="clear" w:color="auto" w:fill="auto"/>
            <w:noWrap/>
            <w:vAlign w:val="bottom"/>
            <w:hideMark/>
          </w:tcPr>
          <w:p w14:paraId="157B81A9" w14:textId="77777777" w:rsidR="00BA2151" w:rsidRPr="00BA2151" w:rsidRDefault="00BA2151" w:rsidP="00BA2151">
            <w:pPr>
              <w:spacing w:before="0" w:after="0"/>
              <w:jc w:val="right"/>
              <w:rPr>
                <w:rFonts w:eastAsia="Times New Roman" w:cs="Arial"/>
                <w:b/>
                <w:bCs/>
                <w:sz w:val="20"/>
                <w:szCs w:val="20"/>
                <w:lang w:eastAsia="en-GB"/>
              </w:rPr>
            </w:pPr>
            <w:r w:rsidRPr="00BA2151">
              <w:rPr>
                <w:rFonts w:eastAsia="Times New Roman" w:cs="Arial"/>
                <w:b/>
                <w:bCs/>
                <w:sz w:val="20"/>
                <w:szCs w:val="20"/>
                <w:lang w:eastAsia="en-GB"/>
              </w:rPr>
              <w:t>9,644</w:t>
            </w:r>
          </w:p>
        </w:tc>
      </w:tr>
      <w:tr w:rsidR="00BA2151" w:rsidRPr="00BA2151" w14:paraId="1E81CF1D" w14:textId="77777777" w:rsidTr="00BA2151">
        <w:trPr>
          <w:trHeight w:val="250"/>
        </w:trPr>
        <w:tc>
          <w:tcPr>
            <w:tcW w:w="5680" w:type="dxa"/>
            <w:tcBorders>
              <w:top w:val="nil"/>
              <w:left w:val="nil"/>
              <w:bottom w:val="nil"/>
              <w:right w:val="nil"/>
            </w:tcBorders>
            <w:shd w:val="clear" w:color="auto" w:fill="auto"/>
            <w:noWrap/>
            <w:vAlign w:val="bottom"/>
            <w:hideMark/>
          </w:tcPr>
          <w:p w14:paraId="69B2C130" w14:textId="77777777" w:rsidR="00BA2151" w:rsidRPr="00BA2151" w:rsidRDefault="00BA2151" w:rsidP="00BA2151">
            <w:pPr>
              <w:spacing w:before="0" w:after="0"/>
              <w:jc w:val="right"/>
              <w:rPr>
                <w:rFonts w:eastAsia="Times New Roman" w:cs="Arial"/>
                <w:b/>
                <w:bCs/>
                <w:sz w:val="20"/>
                <w:szCs w:val="20"/>
                <w:lang w:eastAsia="en-GB"/>
              </w:rPr>
            </w:pPr>
          </w:p>
        </w:tc>
        <w:tc>
          <w:tcPr>
            <w:tcW w:w="720" w:type="dxa"/>
            <w:tcBorders>
              <w:top w:val="nil"/>
              <w:left w:val="nil"/>
              <w:bottom w:val="nil"/>
              <w:right w:val="nil"/>
            </w:tcBorders>
            <w:shd w:val="clear" w:color="000000" w:fill="FFFFFF"/>
            <w:noWrap/>
            <w:vAlign w:val="bottom"/>
            <w:hideMark/>
          </w:tcPr>
          <w:p w14:paraId="09AA4055"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 </w:t>
            </w:r>
          </w:p>
        </w:tc>
        <w:tc>
          <w:tcPr>
            <w:tcW w:w="1320" w:type="dxa"/>
            <w:tcBorders>
              <w:top w:val="nil"/>
              <w:left w:val="nil"/>
              <w:bottom w:val="nil"/>
              <w:right w:val="nil"/>
            </w:tcBorders>
            <w:shd w:val="clear" w:color="auto" w:fill="auto"/>
            <w:noWrap/>
            <w:vAlign w:val="bottom"/>
            <w:hideMark/>
          </w:tcPr>
          <w:p w14:paraId="6372B3F3" w14:textId="77777777" w:rsidR="00BA2151" w:rsidRPr="00BA2151" w:rsidRDefault="00BA2151" w:rsidP="00BA2151">
            <w:pPr>
              <w:spacing w:before="0" w:after="0"/>
              <w:jc w:val="center"/>
              <w:rPr>
                <w:rFonts w:eastAsia="Times New Roman" w:cs="Arial"/>
                <w:sz w:val="20"/>
                <w:szCs w:val="20"/>
                <w:lang w:eastAsia="en-GB"/>
              </w:rPr>
            </w:pPr>
          </w:p>
        </w:tc>
        <w:tc>
          <w:tcPr>
            <w:tcW w:w="272" w:type="dxa"/>
            <w:tcBorders>
              <w:top w:val="nil"/>
              <w:left w:val="nil"/>
              <w:bottom w:val="nil"/>
              <w:right w:val="nil"/>
            </w:tcBorders>
            <w:shd w:val="clear" w:color="auto" w:fill="auto"/>
            <w:noWrap/>
            <w:vAlign w:val="bottom"/>
            <w:hideMark/>
          </w:tcPr>
          <w:p w14:paraId="426E5E86"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1F2D0E14"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r>
      <w:tr w:rsidR="00BA2151" w:rsidRPr="00BA2151" w14:paraId="30CC7056" w14:textId="77777777" w:rsidTr="00BA2151">
        <w:trPr>
          <w:trHeight w:val="280"/>
        </w:trPr>
        <w:tc>
          <w:tcPr>
            <w:tcW w:w="5680" w:type="dxa"/>
            <w:tcBorders>
              <w:top w:val="nil"/>
              <w:left w:val="nil"/>
              <w:bottom w:val="nil"/>
              <w:right w:val="nil"/>
            </w:tcBorders>
            <w:shd w:val="clear" w:color="auto" w:fill="auto"/>
            <w:noWrap/>
            <w:vAlign w:val="bottom"/>
            <w:hideMark/>
          </w:tcPr>
          <w:p w14:paraId="74F347B3" w14:textId="77777777" w:rsidR="00BA2151" w:rsidRPr="00BA2151" w:rsidRDefault="00BA2151" w:rsidP="00BA2151">
            <w:pPr>
              <w:spacing w:before="0" w:after="0"/>
              <w:rPr>
                <w:rFonts w:eastAsia="Times New Roman" w:cs="Arial"/>
                <w:b/>
                <w:bCs/>
                <w:sz w:val="20"/>
                <w:szCs w:val="20"/>
                <w:lang w:eastAsia="en-GB"/>
              </w:rPr>
            </w:pPr>
            <w:r w:rsidRPr="00BA2151">
              <w:rPr>
                <w:rFonts w:eastAsia="Times New Roman" w:cs="Arial"/>
                <w:b/>
                <w:bCs/>
                <w:sz w:val="20"/>
                <w:szCs w:val="20"/>
                <w:lang w:eastAsia="en-GB"/>
              </w:rPr>
              <w:t>Total assets</w:t>
            </w:r>
          </w:p>
        </w:tc>
        <w:tc>
          <w:tcPr>
            <w:tcW w:w="720" w:type="dxa"/>
            <w:tcBorders>
              <w:top w:val="nil"/>
              <w:left w:val="nil"/>
              <w:bottom w:val="nil"/>
              <w:right w:val="nil"/>
            </w:tcBorders>
            <w:shd w:val="clear" w:color="000000" w:fill="FFFFFF"/>
            <w:noWrap/>
            <w:vAlign w:val="bottom"/>
            <w:hideMark/>
          </w:tcPr>
          <w:p w14:paraId="341298C3"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 </w:t>
            </w:r>
          </w:p>
        </w:tc>
        <w:tc>
          <w:tcPr>
            <w:tcW w:w="1320" w:type="dxa"/>
            <w:tcBorders>
              <w:top w:val="single" w:sz="4" w:space="0" w:color="auto"/>
              <w:left w:val="nil"/>
              <w:bottom w:val="single" w:sz="4" w:space="0" w:color="auto"/>
              <w:right w:val="nil"/>
            </w:tcBorders>
            <w:shd w:val="clear" w:color="auto" w:fill="auto"/>
            <w:noWrap/>
            <w:vAlign w:val="bottom"/>
            <w:hideMark/>
          </w:tcPr>
          <w:p w14:paraId="487B38B2" w14:textId="77777777" w:rsidR="00BA2151" w:rsidRPr="00BA2151" w:rsidRDefault="00BA2151" w:rsidP="00BA2151">
            <w:pPr>
              <w:spacing w:before="0" w:after="0"/>
              <w:jc w:val="right"/>
              <w:rPr>
                <w:rFonts w:eastAsia="Times New Roman" w:cs="Arial"/>
                <w:b/>
                <w:bCs/>
                <w:sz w:val="20"/>
                <w:szCs w:val="20"/>
                <w:lang w:eastAsia="en-GB"/>
              </w:rPr>
            </w:pPr>
            <w:r w:rsidRPr="00BA2151">
              <w:rPr>
                <w:rFonts w:eastAsia="Times New Roman" w:cs="Arial"/>
                <w:b/>
                <w:bCs/>
                <w:sz w:val="20"/>
                <w:szCs w:val="20"/>
                <w:lang w:eastAsia="en-GB"/>
              </w:rPr>
              <w:t>19,931</w:t>
            </w:r>
          </w:p>
        </w:tc>
        <w:tc>
          <w:tcPr>
            <w:tcW w:w="272" w:type="dxa"/>
            <w:tcBorders>
              <w:top w:val="nil"/>
              <w:left w:val="nil"/>
              <w:bottom w:val="nil"/>
              <w:right w:val="nil"/>
            </w:tcBorders>
            <w:shd w:val="clear" w:color="auto" w:fill="auto"/>
            <w:noWrap/>
            <w:vAlign w:val="bottom"/>
            <w:hideMark/>
          </w:tcPr>
          <w:p w14:paraId="3A3AE5EC" w14:textId="77777777" w:rsidR="00BA2151" w:rsidRPr="00BA2151" w:rsidRDefault="00BA2151" w:rsidP="00BA2151">
            <w:pPr>
              <w:spacing w:before="0" w:after="0"/>
              <w:jc w:val="right"/>
              <w:rPr>
                <w:rFonts w:eastAsia="Times New Roman" w:cs="Arial"/>
                <w:b/>
                <w:bCs/>
                <w:sz w:val="20"/>
                <w:szCs w:val="20"/>
                <w:lang w:eastAsia="en-GB"/>
              </w:rPr>
            </w:pPr>
          </w:p>
        </w:tc>
        <w:tc>
          <w:tcPr>
            <w:tcW w:w="1180" w:type="dxa"/>
            <w:tcBorders>
              <w:top w:val="single" w:sz="4" w:space="0" w:color="auto"/>
              <w:left w:val="nil"/>
              <w:bottom w:val="single" w:sz="4" w:space="0" w:color="auto"/>
              <w:right w:val="nil"/>
            </w:tcBorders>
            <w:shd w:val="clear" w:color="auto" w:fill="auto"/>
            <w:noWrap/>
            <w:vAlign w:val="bottom"/>
            <w:hideMark/>
          </w:tcPr>
          <w:p w14:paraId="00935FBC" w14:textId="77777777" w:rsidR="00BA2151" w:rsidRPr="00BA2151" w:rsidRDefault="00BA2151" w:rsidP="00BA2151">
            <w:pPr>
              <w:spacing w:before="0" w:after="0"/>
              <w:jc w:val="right"/>
              <w:rPr>
                <w:rFonts w:eastAsia="Times New Roman" w:cs="Arial"/>
                <w:b/>
                <w:bCs/>
                <w:sz w:val="20"/>
                <w:szCs w:val="20"/>
                <w:lang w:eastAsia="en-GB"/>
              </w:rPr>
            </w:pPr>
            <w:r w:rsidRPr="00BA2151">
              <w:rPr>
                <w:rFonts w:eastAsia="Times New Roman" w:cs="Arial"/>
                <w:b/>
                <w:bCs/>
                <w:sz w:val="20"/>
                <w:szCs w:val="20"/>
                <w:lang w:eastAsia="en-GB"/>
              </w:rPr>
              <w:t>12,459</w:t>
            </w:r>
          </w:p>
        </w:tc>
      </w:tr>
      <w:tr w:rsidR="00BA2151" w:rsidRPr="00BA2151" w14:paraId="1805FC9E" w14:textId="77777777" w:rsidTr="00BA2151">
        <w:trPr>
          <w:trHeight w:val="250"/>
        </w:trPr>
        <w:tc>
          <w:tcPr>
            <w:tcW w:w="5680" w:type="dxa"/>
            <w:tcBorders>
              <w:top w:val="nil"/>
              <w:left w:val="nil"/>
              <w:bottom w:val="nil"/>
              <w:right w:val="nil"/>
            </w:tcBorders>
            <w:shd w:val="clear" w:color="auto" w:fill="auto"/>
            <w:noWrap/>
            <w:vAlign w:val="bottom"/>
            <w:hideMark/>
          </w:tcPr>
          <w:p w14:paraId="2DFE6032" w14:textId="77777777" w:rsidR="00BA2151" w:rsidRPr="00BA2151" w:rsidRDefault="00BA2151" w:rsidP="00BA2151">
            <w:pPr>
              <w:spacing w:before="0" w:after="0"/>
              <w:jc w:val="right"/>
              <w:rPr>
                <w:rFonts w:eastAsia="Times New Roman" w:cs="Arial"/>
                <w:b/>
                <w:bCs/>
                <w:sz w:val="20"/>
                <w:szCs w:val="20"/>
                <w:lang w:eastAsia="en-GB"/>
              </w:rPr>
            </w:pPr>
          </w:p>
        </w:tc>
        <w:tc>
          <w:tcPr>
            <w:tcW w:w="720" w:type="dxa"/>
            <w:tcBorders>
              <w:top w:val="nil"/>
              <w:left w:val="nil"/>
              <w:bottom w:val="nil"/>
              <w:right w:val="nil"/>
            </w:tcBorders>
            <w:shd w:val="clear" w:color="000000" w:fill="FFFFFF"/>
            <w:noWrap/>
            <w:vAlign w:val="bottom"/>
            <w:hideMark/>
          </w:tcPr>
          <w:p w14:paraId="12BD320D"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 </w:t>
            </w:r>
          </w:p>
        </w:tc>
        <w:tc>
          <w:tcPr>
            <w:tcW w:w="1320" w:type="dxa"/>
            <w:tcBorders>
              <w:top w:val="nil"/>
              <w:left w:val="nil"/>
              <w:bottom w:val="nil"/>
              <w:right w:val="nil"/>
            </w:tcBorders>
            <w:shd w:val="clear" w:color="auto" w:fill="auto"/>
            <w:noWrap/>
            <w:vAlign w:val="bottom"/>
            <w:hideMark/>
          </w:tcPr>
          <w:p w14:paraId="7F35CA50" w14:textId="77777777" w:rsidR="00BA2151" w:rsidRPr="00BA2151" w:rsidRDefault="00BA2151" w:rsidP="00BA2151">
            <w:pPr>
              <w:spacing w:before="0" w:after="0"/>
              <w:jc w:val="center"/>
              <w:rPr>
                <w:rFonts w:eastAsia="Times New Roman" w:cs="Arial"/>
                <w:sz w:val="20"/>
                <w:szCs w:val="20"/>
                <w:lang w:eastAsia="en-GB"/>
              </w:rPr>
            </w:pPr>
          </w:p>
        </w:tc>
        <w:tc>
          <w:tcPr>
            <w:tcW w:w="272" w:type="dxa"/>
            <w:tcBorders>
              <w:top w:val="nil"/>
              <w:left w:val="nil"/>
              <w:bottom w:val="nil"/>
              <w:right w:val="nil"/>
            </w:tcBorders>
            <w:shd w:val="clear" w:color="auto" w:fill="auto"/>
            <w:noWrap/>
            <w:vAlign w:val="bottom"/>
            <w:hideMark/>
          </w:tcPr>
          <w:p w14:paraId="4D9F605A"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76403389"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r>
      <w:tr w:rsidR="00BA2151" w:rsidRPr="00BA2151" w14:paraId="69E26E88" w14:textId="77777777" w:rsidTr="00BA2151">
        <w:trPr>
          <w:trHeight w:val="255"/>
        </w:trPr>
        <w:tc>
          <w:tcPr>
            <w:tcW w:w="5680" w:type="dxa"/>
            <w:tcBorders>
              <w:top w:val="nil"/>
              <w:left w:val="nil"/>
              <w:bottom w:val="nil"/>
              <w:right w:val="nil"/>
            </w:tcBorders>
            <w:shd w:val="clear" w:color="auto" w:fill="auto"/>
            <w:noWrap/>
            <w:vAlign w:val="bottom"/>
            <w:hideMark/>
          </w:tcPr>
          <w:p w14:paraId="38B8F7F7" w14:textId="77777777" w:rsidR="00BA2151" w:rsidRPr="00BA2151" w:rsidRDefault="00BA2151" w:rsidP="00BA2151">
            <w:pPr>
              <w:spacing w:before="0" w:after="0"/>
              <w:rPr>
                <w:rFonts w:eastAsia="Times New Roman" w:cs="Arial"/>
                <w:b/>
                <w:bCs/>
                <w:sz w:val="20"/>
                <w:szCs w:val="20"/>
                <w:lang w:eastAsia="en-GB"/>
              </w:rPr>
            </w:pPr>
            <w:r w:rsidRPr="00BA2151">
              <w:rPr>
                <w:rFonts w:eastAsia="Times New Roman" w:cs="Arial"/>
                <w:b/>
                <w:bCs/>
                <w:sz w:val="20"/>
                <w:szCs w:val="20"/>
                <w:lang w:eastAsia="en-GB"/>
              </w:rPr>
              <w:t>Current liabilities</w:t>
            </w:r>
          </w:p>
        </w:tc>
        <w:tc>
          <w:tcPr>
            <w:tcW w:w="720" w:type="dxa"/>
            <w:tcBorders>
              <w:top w:val="nil"/>
              <w:left w:val="nil"/>
              <w:bottom w:val="nil"/>
              <w:right w:val="nil"/>
            </w:tcBorders>
            <w:shd w:val="clear" w:color="000000" w:fill="FFFFFF"/>
            <w:noWrap/>
            <w:vAlign w:val="bottom"/>
            <w:hideMark/>
          </w:tcPr>
          <w:p w14:paraId="2B0D8BE9"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 </w:t>
            </w:r>
          </w:p>
        </w:tc>
        <w:tc>
          <w:tcPr>
            <w:tcW w:w="1320" w:type="dxa"/>
            <w:tcBorders>
              <w:top w:val="nil"/>
              <w:left w:val="nil"/>
              <w:bottom w:val="nil"/>
              <w:right w:val="nil"/>
            </w:tcBorders>
            <w:shd w:val="clear" w:color="000000" w:fill="FFFFFF"/>
            <w:noWrap/>
            <w:vAlign w:val="bottom"/>
            <w:hideMark/>
          </w:tcPr>
          <w:p w14:paraId="41BD2091"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F9739FD"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3798542F"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w:t>
            </w:r>
          </w:p>
        </w:tc>
      </w:tr>
      <w:tr w:rsidR="00BA2151" w:rsidRPr="00BA2151" w14:paraId="00D3B2B0" w14:textId="77777777" w:rsidTr="00BA2151">
        <w:trPr>
          <w:trHeight w:val="255"/>
        </w:trPr>
        <w:tc>
          <w:tcPr>
            <w:tcW w:w="5680" w:type="dxa"/>
            <w:tcBorders>
              <w:top w:val="nil"/>
              <w:left w:val="nil"/>
              <w:bottom w:val="nil"/>
              <w:right w:val="nil"/>
            </w:tcBorders>
            <w:shd w:val="clear" w:color="auto" w:fill="auto"/>
            <w:noWrap/>
            <w:vAlign w:val="bottom"/>
            <w:hideMark/>
          </w:tcPr>
          <w:p w14:paraId="2EB740FB"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Trade and other payables</w:t>
            </w:r>
          </w:p>
        </w:tc>
        <w:tc>
          <w:tcPr>
            <w:tcW w:w="720" w:type="dxa"/>
            <w:tcBorders>
              <w:top w:val="nil"/>
              <w:left w:val="nil"/>
              <w:bottom w:val="nil"/>
              <w:right w:val="nil"/>
            </w:tcBorders>
            <w:shd w:val="clear" w:color="000000" w:fill="FFFFFF"/>
            <w:noWrap/>
            <w:vAlign w:val="bottom"/>
            <w:hideMark/>
          </w:tcPr>
          <w:p w14:paraId="4744B466"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13</w:t>
            </w:r>
          </w:p>
        </w:tc>
        <w:tc>
          <w:tcPr>
            <w:tcW w:w="1320" w:type="dxa"/>
            <w:tcBorders>
              <w:top w:val="nil"/>
              <w:left w:val="nil"/>
              <w:bottom w:val="nil"/>
              <w:right w:val="nil"/>
            </w:tcBorders>
            <w:shd w:val="clear" w:color="000000" w:fill="FFFFFF"/>
            <w:noWrap/>
            <w:vAlign w:val="bottom"/>
            <w:hideMark/>
          </w:tcPr>
          <w:p w14:paraId="31C99761"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(143,315)</w:t>
            </w:r>
          </w:p>
        </w:tc>
        <w:tc>
          <w:tcPr>
            <w:tcW w:w="272" w:type="dxa"/>
            <w:tcBorders>
              <w:top w:val="nil"/>
              <w:left w:val="nil"/>
              <w:bottom w:val="nil"/>
              <w:right w:val="nil"/>
            </w:tcBorders>
            <w:shd w:val="clear" w:color="000000" w:fill="FFFFFF"/>
            <w:noWrap/>
            <w:vAlign w:val="bottom"/>
            <w:hideMark/>
          </w:tcPr>
          <w:p w14:paraId="1DC1346A"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180487A0"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(166,301)</w:t>
            </w:r>
          </w:p>
        </w:tc>
      </w:tr>
      <w:tr w:rsidR="00BA2151" w:rsidRPr="00BA2151" w14:paraId="656D0E37" w14:textId="77777777" w:rsidTr="00BA2151">
        <w:trPr>
          <w:trHeight w:val="255"/>
        </w:trPr>
        <w:tc>
          <w:tcPr>
            <w:tcW w:w="5680" w:type="dxa"/>
            <w:tcBorders>
              <w:top w:val="nil"/>
              <w:left w:val="nil"/>
              <w:bottom w:val="nil"/>
              <w:right w:val="nil"/>
            </w:tcBorders>
            <w:shd w:val="clear" w:color="auto" w:fill="auto"/>
            <w:noWrap/>
            <w:vAlign w:val="bottom"/>
            <w:hideMark/>
          </w:tcPr>
          <w:p w14:paraId="547AA7D5"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Lease liabilities</w:t>
            </w:r>
          </w:p>
        </w:tc>
        <w:tc>
          <w:tcPr>
            <w:tcW w:w="720" w:type="dxa"/>
            <w:tcBorders>
              <w:top w:val="nil"/>
              <w:left w:val="nil"/>
              <w:bottom w:val="nil"/>
              <w:right w:val="nil"/>
            </w:tcBorders>
            <w:shd w:val="clear" w:color="000000" w:fill="FFFFFF"/>
            <w:noWrap/>
            <w:vAlign w:val="bottom"/>
            <w:hideMark/>
          </w:tcPr>
          <w:p w14:paraId="0085826E"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10</w:t>
            </w:r>
          </w:p>
        </w:tc>
        <w:tc>
          <w:tcPr>
            <w:tcW w:w="1320" w:type="dxa"/>
            <w:tcBorders>
              <w:top w:val="nil"/>
              <w:left w:val="nil"/>
              <w:bottom w:val="nil"/>
              <w:right w:val="nil"/>
            </w:tcBorders>
            <w:shd w:val="clear" w:color="000000" w:fill="FFFFFF"/>
            <w:noWrap/>
            <w:vAlign w:val="bottom"/>
            <w:hideMark/>
          </w:tcPr>
          <w:p w14:paraId="1CE9720E"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(285)</w:t>
            </w:r>
          </w:p>
        </w:tc>
        <w:tc>
          <w:tcPr>
            <w:tcW w:w="272" w:type="dxa"/>
            <w:tcBorders>
              <w:top w:val="nil"/>
              <w:left w:val="nil"/>
              <w:bottom w:val="nil"/>
              <w:right w:val="nil"/>
            </w:tcBorders>
            <w:shd w:val="clear" w:color="000000" w:fill="FFFFFF"/>
            <w:noWrap/>
            <w:vAlign w:val="bottom"/>
            <w:hideMark/>
          </w:tcPr>
          <w:p w14:paraId="42C9507D"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4021A2BD"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(216)</w:t>
            </w:r>
          </w:p>
        </w:tc>
      </w:tr>
      <w:tr w:rsidR="00BA2151" w:rsidRPr="00BA2151" w14:paraId="0E99FAA8" w14:textId="77777777" w:rsidTr="00BA2151">
        <w:trPr>
          <w:trHeight w:val="255"/>
        </w:trPr>
        <w:tc>
          <w:tcPr>
            <w:tcW w:w="5680" w:type="dxa"/>
            <w:tcBorders>
              <w:top w:val="nil"/>
              <w:left w:val="nil"/>
              <w:bottom w:val="nil"/>
              <w:right w:val="nil"/>
            </w:tcBorders>
            <w:shd w:val="clear" w:color="auto" w:fill="auto"/>
            <w:noWrap/>
            <w:vAlign w:val="bottom"/>
            <w:hideMark/>
          </w:tcPr>
          <w:p w14:paraId="23C740DA"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Borrowings (book overdraft)</w:t>
            </w:r>
          </w:p>
        </w:tc>
        <w:tc>
          <w:tcPr>
            <w:tcW w:w="720" w:type="dxa"/>
            <w:tcBorders>
              <w:top w:val="nil"/>
              <w:left w:val="nil"/>
              <w:bottom w:val="nil"/>
              <w:right w:val="nil"/>
            </w:tcBorders>
            <w:shd w:val="clear" w:color="000000" w:fill="FFFFFF"/>
            <w:noWrap/>
            <w:vAlign w:val="bottom"/>
            <w:hideMark/>
          </w:tcPr>
          <w:p w14:paraId="2E0FC21D"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14</w:t>
            </w:r>
          </w:p>
        </w:tc>
        <w:tc>
          <w:tcPr>
            <w:tcW w:w="1320" w:type="dxa"/>
            <w:tcBorders>
              <w:top w:val="nil"/>
              <w:left w:val="nil"/>
              <w:bottom w:val="nil"/>
              <w:right w:val="nil"/>
            </w:tcBorders>
            <w:shd w:val="clear" w:color="000000" w:fill="FFFFFF"/>
            <w:noWrap/>
            <w:vAlign w:val="bottom"/>
            <w:hideMark/>
          </w:tcPr>
          <w:p w14:paraId="2D96A0FD"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(2,523)</w:t>
            </w:r>
          </w:p>
        </w:tc>
        <w:tc>
          <w:tcPr>
            <w:tcW w:w="272" w:type="dxa"/>
            <w:tcBorders>
              <w:top w:val="nil"/>
              <w:left w:val="nil"/>
              <w:bottom w:val="nil"/>
              <w:right w:val="nil"/>
            </w:tcBorders>
            <w:shd w:val="clear" w:color="000000" w:fill="FFFFFF"/>
            <w:noWrap/>
            <w:vAlign w:val="bottom"/>
            <w:hideMark/>
          </w:tcPr>
          <w:p w14:paraId="06AAC435"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6035E4DE"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(2,808)</w:t>
            </w:r>
          </w:p>
        </w:tc>
      </w:tr>
      <w:tr w:rsidR="00BA2151" w:rsidRPr="00BA2151" w14:paraId="2CA8174A" w14:textId="77777777" w:rsidTr="00BA2151">
        <w:trPr>
          <w:trHeight w:val="255"/>
        </w:trPr>
        <w:tc>
          <w:tcPr>
            <w:tcW w:w="5680" w:type="dxa"/>
            <w:tcBorders>
              <w:top w:val="nil"/>
              <w:left w:val="nil"/>
              <w:bottom w:val="nil"/>
              <w:right w:val="nil"/>
            </w:tcBorders>
            <w:shd w:val="clear" w:color="auto" w:fill="auto"/>
            <w:noWrap/>
            <w:vAlign w:val="bottom"/>
            <w:hideMark/>
          </w:tcPr>
          <w:p w14:paraId="4431C8FC"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Provisions</w:t>
            </w:r>
          </w:p>
        </w:tc>
        <w:tc>
          <w:tcPr>
            <w:tcW w:w="720" w:type="dxa"/>
            <w:tcBorders>
              <w:top w:val="nil"/>
              <w:left w:val="nil"/>
              <w:bottom w:val="nil"/>
              <w:right w:val="nil"/>
            </w:tcBorders>
            <w:shd w:val="clear" w:color="000000" w:fill="FFFFFF"/>
            <w:noWrap/>
            <w:vAlign w:val="bottom"/>
            <w:hideMark/>
          </w:tcPr>
          <w:p w14:paraId="44F8501A"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15</w:t>
            </w:r>
          </w:p>
        </w:tc>
        <w:tc>
          <w:tcPr>
            <w:tcW w:w="1320" w:type="dxa"/>
            <w:tcBorders>
              <w:top w:val="nil"/>
              <w:left w:val="nil"/>
              <w:bottom w:val="single" w:sz="4" w:space="0" w:color="auto"/>
              <w:right w:val="nil"/>
            </w:tcBorders>
            <w:shd w:val="clear" w:color="000000" w:fill="FFFFFF"/>
            <w:noWrap/>
            <w:vAlign w:val="bottom"/>
            <w:hideMark/>
          </w:tcPr>
          <w:p w14:paraId="0525C626"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(1,396)</w:t>
            </w:r>
          </w:p>
        </w:tc>
        <w:tc>
          <w:tcPr>
            <w:tcW w:w="272" w:type="dxa"/>
            <w:tcBorders>
              <w:top w:val="nil"/>
              <w:left w:val="nil"/>
              <w:bottom w:val="nil"/>
              <w:right w:val="nil"/>
            </w:tcBorders>
            <w:shd w:val="clear" w:color="000000" w:fill="FFFFFF"/>
            <w:noWrap/>
            <w:vAlign w:val="bottom"/>
            <w:hideMark/>
          </w:tcPr>
          <w:p w14:paraId="152F44F9"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w:t>
            </w:r>
          </w:p>
        </w:tc>
        <w:tc>
          <w:tcPr>
            <w:tcW w:w="1180" w:type="dxa"/>
            <w:tcBorders>
              <w:top w:val="nil"/>
              <w:left w:val="nil"/>
              <w:bottom w:val="single" w:sz="4" w:space="0" w:color="auto"/>
              <w:right w:val="nil"/>
            </w:tcBorders>
            <w:shd w:val="clear" w:color="000000" w:fill="FFFFFF"/>
            <w:noWrap/>
            <w:vAlign w:val="bottom"/>
            <w:hideMark/>
          </w:tcPr>
          <w:p w14:paraId="5175BB87"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(5,538)</w:t>
            </w:r>
          </w:p>
        </w:tc>
      </w:tr>
      <w:tr w:rsidR="00BA2151" w:rsidRPr="00BA2151" w14:paraId="2DCB7153" w14:textId="77777777" w:rsidTr="00BA2151">
        <w:trPr>
          <w:trHeight w:val="280"/>
        </w:trPr>
        <w:tc>
          <w:tcPr>
            <w:tcW w:w="5680" w:type="dxa"/>
            <w:tcBorders>
              <w:top w:val="nil"/>
              <w:left w:val="nil"/>
              <w:bottom w:val="nil"/>
              <w:right w:val="nil"/>
            </w:tcBorders>
            <w:shd w:val="clear" w:color="auto" w:fill="auto"/>
            <w:noWrap/>
            <w:vAlign w:val="bottom"/>
            <w:hideMark/>
          </w:tcPr>
          <w:p w14:paraId="47924547" w14:textId="77777777" w:rsidR="00BA2151" w:rsidRPr="00BA2151" w:rsidRDefault="00BA2151" w:rsidP="00BA2151">
            <w:pPr>
              <w:spacing w:before="0" w:after="0"/>
              <w:rPr>
                <w:rFonts w:eastAsia="Times New Roman" w:cs="Arial"/>
                <w:b/>
                <w:bCs/>
                <w:sz w:val="20"/>
                <w:szCs w:val="20"/>
                <w:lang w:eastAsia="en-GB"/>
              </w:rPr>
            </w:pPr>
            <w:r w:rsidRPr="00BA2151">
              <w:rPr>
                <w:rFonts w:eastAsia="Times New Roman" w:cs="Arial"/>
                <w:b/>
                <w:bCs/>
                <w:sz w:val="20"/>
                <w:szCs w:val="20"/>
                <w:lang w:eastAsia="en-GB"/>
              </w:rPr>
              <w:t>Total current liabilities</w:t>
            </w:r>
          </w:p>
        </w:tc>
        <w:tc>
          <w:tcPr>
            <w:tcW w:w="720" w:type="dxa"/>
            <w:tcBorders>
              <w:top w:val="nil"/>
              <w:left w:val="nil"/>
              <w:bottom w:val="nil"/>
              <w:right w:val="nil"/>
            </w:tcBorders>
            <w:shd w:val="clear" w:color="000000" w:fill="FFFFFF"/>
            <w:noWrap/>
            <w:vAlign w:val="bottom"/>
            <w:hideMark/>
          </w:tcPr>
          <w:p w14:paraId="51789500"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 </w:t>
            </w:r>
          </w:p>
        </w:tc>
        <w:tc>
          <w:tcPr>
            <w:tcW w:w="1320" w:type="dxa"/>
            <w:tcBorders>
              <w:top w:val="nil"/>
              <w:left w:val="nil"/>
              <w:bottom w:val="nil"/>
              <w:right w:val="nil"/>
            </w:tcBorders>
            <w:shd w:val="clear" w:color="auto" w:fill="auto"/>
            <w:noWrap/>
            <w:vAlign w:val="bottom"/>
            <w:hideMark/>
          </w:tcPr>
          <w:p w14:paraId="19F90389" w14:textId="77777777" w:rsidR="00BA2151" w:rsidRPr="00BA2151" w:rsidRDefault="00BA2151" w:rsidP="00BA2151">
            <w:pPr>
              <w:spacing w:before="0" w:after="0"/>
              <w:jc w:val="right"/>
              <w:rPr>
                <w:rFonts w:eastAsia="Times New Roman" w:cs="Arial"/>
                <w:b/>
                <w:bCs/>
                <w:sz w:val="20"/>
                <w:szCs w:val="20"/>
                <w:lang w:eastAsia="en-GB"/>
              </w:rPr>
            </w:pPr>
            <w:r w:rsidRPr="00BA2151">
              <w:rPr>
                <w:rFonts w:eastAsia="Times New Roman" w:cs="Arial"/>
                <w:b/>
                <w:bCs/>
                <w:sz w:val="20"/>
                <w:szCs w:val="20"/>
                <w:lang w:eastAsia="en-GB"/>
              </w:rPr>
              <w:t>(147,519)</w:t>
            </w:r>
          </w:p>
        </w:tc>
        <w:tc>
          <w:tcPr>
            <w:tcW w:w="272" w:type="dxa"/>
            <w:tcBorders>
              <w:top w:val="nil"/>
              <w:left w:val="nil"/>
              <w:bottom w:val="nil"/>
              <w:right w:val="nil"/>
            </w:tcBorders>
            <w:shd w:val="clear" w:color="auto" w:fill="auto"/>
            <w:noWrap/>
            <w:vAlign w:val="bottom"/>
            <w:hideMark/>
          </w:tcPr>
          <w:p w14:paraId="01094CC8" w14:textId="77777777" w:rsidR="00BA2151" w:rsidRPr="00BA2151" w:rsidRDefault="00BA2151" w:rsidP="00BA2151">
            <w:pPr>
              <w:spacing w:before="0" w:after="0"/>
              <w:jc w:val="right"/>
              <w:rPr>
                <w:rFonts w:eastAsia="Times New Roman" w:cs="Arial"/>
                <w:b/>
                <w:bCs/>
                <w:sz w:val="20"/>
                <w:szCs w:val="20"/>
                <w:lang w:eastAsia="en-GB"/>
              </w:rPr>
            </w:pPr>
          </w:p>
        </w:tc>
        <w:tc>
          <w:tcPr>
            <w:tcW w:w="1180" w:type="dxa"/>
            <w:tcBorders>
              <w:top w:val="nil"/>
              <w:left w:val="nil"/>
              <w:bottom w:val="nil"/>
              <w:right w:val="nil"/>
            </w:tcBorders>
            <w:shd w:val="clear" w:color="auto" w:fill="auto"/>
            <w:noWrap/>
            <w:vAlign w:val="bottom"/>
            <w:hideMark/>
          </w:tcPr>
          <w:p w14:paraId="5CD335FF" w14:textId="77777777" w:rsidR="00BA2151" w:rsidRPr="00BA2151" w:rsidRDefault="00BA2151" w:rsidP="00BA2151">
            <w:pPr>
              <w:spacing w:before="0" w:after="0"/>
              <w:jc w:val="right"/>
              <w:rPr>
                <w:rFonts w:eastAsia="Times New Roman" w:cs="Arial"/>
                <w:b/>
                <w:bCs/>
                <w:sz w:val="20"/>
                <w:szCs w:val="20"/>
                <w:lang w:eastAsia="en-GB"/>
              </w:rPr>
            </w:pPr>
            <w:r w:rsidRPr="00BA2151">
              <w:rPr>
                <w:rFonts w:eastAsia="Times New Roman" w:cs="Arial"/>
                <w:b/>
                <w:bCs/>
                <w:sz w:val="20"/>
                <w:szCs w:val="20"/>
                <w:lang w:eastAsia="en-GB"/>
              </w:rPr>
              <w:t>(174,863)</w:t>
            </w:r>
          </w:p>
        </w:tc>
      </w:tr>
      <w:tr w:rsidR="00BA2151" w:rsidRPr="00BA2151" w14:paraId="01206BB2" w14:textId="77777777" w:rsidTr="00BA2151">
        <w:trPr>
          <w:trHeight w:val="255"/>
        </w:trPr>
        <w:tc>
          <w:tcPr>
            <w:tcW w:w="5680" w:type="dxa"/>
            <w:tcBorders>
              <w:top w:val="nil"/>
              <w:left w:val="nil"/>
              <w:bottom w:val="nil"/>
              <w:right w:val="nil"/>
            </w:tcBorders>
            <w:shd w:val="clear" w:color="auto" w:fill="auto"/>
            <w:noWrap/>
            <w:vAlign w:val="bottom"/>
            <w:hideMark/>
          </w:tcPr>
          <w:p w14:paraId="70C73B7D" w14:textId="77777777" w:rsidR="00BA2151" w:rsidRPr="00BA2151" w:rsidRDefault="00BA2151" w:rsidP="00BA2151">
            <w:pPr>
              <w:spacing w:before="0" w:after="0"/>
              <w:jc w:val="right"/>
              <w:rPr>
                <w:rFonts w:eastAsia="Times New Roman" w:cs="Arial"/>
                <w:b/>
                <w:bCs/>
                <w:sz w:val="20"/>
                <w:szCs w:val="20"/>
                <w:lang w:eastAsia="en-GB"/>
              </w:rPr>
            </w:pPr>
          </w:p>
        </w:tc>
        <w:tc>
          <w:tcPr>
            <w:tcW w:w="720" w:type="dxa"/>
            <w:tcBorders>
              <w:top w:val="nil"/>
              <w:left w:val="nil"/>
              <w:bottom w:val="nil"/>
              <w:right w:val="nil"/>
            </w:tcBorders>
            <w:shd w:val="clear" w:color="000000" w:fill="FFFFFF"/>
            <w:noWrap/>
            <w:vAlign w:val="bottom"/>
            <w:hideMark/>
          </w:tcPr>
          <w:p w14:paraId="26422F69"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 </w:t>
            </w:r>
          </w:p>
        </w:tc>
        <w:tc>
          <w:tcPr>
            <w:tcW w:w="1320" w:type="dxa"/>
            <w:tcBorders>
              <w:top w:val="nil"/>
              <w:left w:val="nil"/>
              <w:bottom w:val="nil"/>
              <w:right w:val="nil"/>
            </w:tcBorders>
            <w:shd w:val="clear" w:color="auto" w:fill="auto"/>
            <w:noWrap/>
            <w:vAlign w:val="bottom"/>
            <w:hideMark/>
          </w:tcPr>
          <w:p w14:paraId="54219281" w14:textId="77777777" w:rsidR="00BA2151" w:rsidRPr="00BA2151" w:rsidRDefault="00BA2151" w:rsidP="00BA2151">
            <w:pPr>
              <w:spacing w:before="0" w:after="0"/>
              <w:jc w:val="center"/>
              <w:rPr>
                <w:rFonts w:eastAsia="Times New Roman" w:cs="Arial"/>
                <w:sz w:val="20"/>
                <w:szCs w:val="20"/>
                <w:lang w:eastAsia="en-GB"/>
              </w:rPr>
            </w:pPr>
          </w:p>
        </w:tc>
        <w:tc>
          <w:tcPr>
            <w:tcW w:w="272" w:type="dxa"/>
            <w:tcBorders>
              <w:top w:val="nil"/>
              <w:left w:val="nil"/>
              <w:bottom w:val="nil"/>
              <w:right w:val="nil"/>
            </w:tcBorders>
            <w:shd w:val="clear" w:color="auto" w:fill="auto"/>
            <w:noWrap/>
            <w:vAlign w:val="bottom"/>
            <w:hideMark/>
          </w:tcPr>
          <w:p w14:paraId="26FE4405"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03842F8A"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r>
      <w:tr w:rsidR="00BA2151" w:rsidRPr="00BA2151" w14:paraId="2A4C9BE8" w14:textId="77777777" w:rsidTr="00BA2151">
        <w:trPr>
          <w:trHeight w:val="280"/>
        </w:trPr>
        <w:tc>
          <w:tcPr>
            <w:tcW w:w="5680" w:type="dxa"/>
            <w:tcBorders>
              <w:top w:val="nil"/>
              <w:left w:val="nil"/>
              <w:bottom w:val="nil"/>
              <w:right w:val="nil"/>
            </w:tcBorders>
            <w:shd w:val="clear" w:color="auto" w:fill="auto"/>
            <w:noWrap/>
            <w:vAlign w:val="bottom"/>
            <w:hideMark/>
          </w:tcPr>
          <w:p w14:paraId="53D045BC" w14:textId="77777777" w:rsidR="00BA2151" w:rsidRPr="00BA2151" w:rsidRDefault="00BA2151" w:rsidP="00BA2151">
            <w:pPr>
              <w:spacing w:before="0" w:after="0"/>
              <w:rPr>
                <w:rFonts w:eastAsia="Times New Roman" w:cs="Arial"/>
                <w:b/>
                <w:bCs/>
                <w:sz w:val="20"/>
                <w:szCs w:val="20"/>
                <w:lang w:eastAsia="en-GB"/>
              </w:rPr>
            </w:pPr>
            <w:r w:rsidRPr="00BA2151">
              <w:rPr>
                <w:rFonts w:eastAsia="Times New Roman" w:cs="Arial"/>
                <w:b/>
                <w:bCs/>
                <w:sz w:val="20"/>
                <w:szCs w:val="20"/>
                <w:lang w:eastAsia="en-GB"/>
              </w:rPr>
              <w:t>Total assets less total current liabilities</w:t>
            </w:r>
          </w:p>
        </w:tc>
        <w:tc>
          <w:tcPr>
            <w:tcW w:w="720" w:type="dxa"/>
            <w:tcBorders>
              <w:top w:val="nil"/>
              <w:left w:val="nil"/>
              <w:bottom w:val="nil"/>
              <w:right w:val="nil"/>
            </w:tcBorders>
            <w:shd w:val="clear" w:color="000000" w:fill="FFFFFF"/>
            <w:noWrap/>
            <w:vAlign w:val="bottom"/>
            <w:hideMark/>
          </w:tcPr>
          <w:p w14:paraId="78100E5E"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 </w:t>
            </w:r>
          </w:p>
        </w:tc>
        <w:tc>
          <w:tcPr>
            <w:tcW w:w="1320" w:type="dxa"/>
            <w:tcBorders>
              <w:top w:val="single" w:sz="4" w:space="0" w:color="auto"/>
              <w:left w:val="nil"/>
              <w:bottom w:val="single" w:sz="4" w:space="0" w:color="auto"/>
              <w:right w:val="nil"/>
            </w:tcBorders>
            <w:shd w:val="clear" w:color="auto" w:fill="auto"/>
            <w:noWrap/>
            <w:vAlign w:val="bottom"/>
            <w:hideMark/>
          </w:tcPr>
          <w:p w14:paraId="1B0425FC" w14:textId="77777777" w:rsidR="00BA2151" w:rsidRPr="00BA2151" w:rsidRDefault="00BA2151" w:rsidP="00BA2151">
            <w:pPr>
              <w:spacing w:before="0" w:after="0"/>
              <w:jc w:val="right"/>
              <w:rPr>
                <w:rFonts w:eastAsia="Times New Roman" w:cs="Arial"/>
                <w:b/>
                <w:bCs/>
                <w:sz w:val="20"/>
                <w:szCs w:val="20"/>
                <w:lang w:eastAsia="en-GB"/>
              </w:rPr>
            </w:pPr>
            <w:r w:rsidRPr="00BA2151">
              <w:rPr>
                <w:rFonts w:eastAsia="Times New Roman" w:cs="Arial"/>
                <w:b/>
                <w:bCs/>
                <w:sz w:val="20"/>
                <w:szCs w:val="20"/>
                <w:lang w:eastAsia="en-GB"/>
              </w:rPr>
              <w:t>(127,588)</w:t>
            </w:r>
          </w:p>
        </w:tc>
        <w:tc>
          <w:tcPr>
            <w:tcW w:w="272" w:type="dxa"/>
            <w:tcBorders>
              <w:top w:val="nil"/>
              <w:left w:val="nil"/>
              <w:bottom w:val="nil"/>
              <w:right w:val="nil"/>
            </w:tcBorders>
            <w:shd w:val="clear" w:color="auto" w:fill="auto"/>
            <w:noWrap/>
            <w:vAlign w:val="bottom"/>
            <w:hideMark/>
          </w:tcPr>
          <w:p w14:paraId="0931F583" w14:textId="77777777" w:rsidR="00BA2151" w:rsidRPr="00BA2151" w:rsidRDefault="00BA2151" w:rsidP="00BA2151">
            <w:pPr>
              <w:spacing w:before="0" w:after="0"/>
              <w:jc w:val="right"/>
              <w:rPr>
                <w:rFonts w:eastAsia="Times New Roman" w:cs="Arial"/>
                <w:b/>
                <w:bCs/>
                <w:sz w:val="20"/>
                <w:szCs w:val="20"/>
                <w:lang w:eastAsia="en-GB"/>
              </w:rPr>
            </w:pPr>
          </w:p>
        </w:tc>
        <w:tc>
          <w:tcPr>
            <w:tcW w:w="1180" w:type="dxa"/>
            <w:tcBorders>
              <w:top w:val="single" w:sz="4" w:space="0" w:color="auto"/>
              <w:left w:val="nil"/>
              <w:bottom w:val="single" w:sz="4" w:space="0" w:color="auto"/>
              <w:right w:val="nil"/>
            </w:tcBorders>
            <w:shd w:val="clear" w:color="auto" w:fill="auto"/>
            <w:noWrap/>
            <w:vAlign w:val="bottom"/>
            <w:hideMark/>
          </w:tcPr>
          <w:p w14:paraId="5CA46892" w14:textId="77777777" w:rsidR="00BA2151" w:rsidRPr="00BA2151" w:rsidRDefault="00BA2151" w:rsidP="00BA2151">
            <w:pPr>
              <w:spacing w:before="0" w:after="0"/>
              <w:jc w:val="right"/>
              <w:rPr>
                <w:rFonts w:eastAsia="Times New Roman" w:cs="Arial"/>
                <w:b/>
                <w:bCs/>
                <w:sz w:val="20"/>
                <w:szCs w:val="20"/>
                <w:lang w:eastAsia="en-GB"/>
              </w:rPr>
            </w:pPr>
            <w:r w:rsidRPr="00BA2151">
              <w:rPr>
                <w:rFonts w:eastAsia="Times New Roman" w:cs="Arial"/>
                <w:b/>
                <w:bCs/>
                <w:sz w:val="20"/>
                <w:szCs w:val="20"/>
                <w:lang w:eastAsia="en-GB"/>
              </w:rPr>
              <w:t>(162,404)</w:t>
            </w:r>
          </w:p>
        </w:tc>
      </w:tr>
      <w:tr w:rsidR="00BA2151" w:rsidRPr="00BA2151" w14:paraId="342727BD" w14:textId="77777777" w:rsidTr="00BA2151">
        <w:trPr>
          <w:trHeight w:val="255"/>
        </w:trPr>
        <w:tc>
          <w:tcPr>
            <w:tcW w:w="5680" w:type="dxa"/>
            <w:tcBorders>
              <w:top w:val="nil"/>
              <w:left w:val="nil"/>
              <w:bottom w:val="nil"/>
              <w:right w:val="nil"/>
            </w:tcBorders>
            <w:shd w:val="clear" w:color="auto" w:fill="auto"/>
            <w:noWrap/>
            <w:vAlign w:val="bottom"/>
            <w:hideMark/>
          </w:tcPr>
          <w:p w14:paraId="5805D837" w14:textId="77777777" w:rsidR="00BA2151" w:rsidRPr="00BA2151" w:rsidRDefault="00BA2151" w:rsidP="00BA2151">
            <w:pPr>
              <w:spacing w:before="0" w:after="0"/>
              <w:jc w:val="right"/>
              <w:rPr>
                <w:rFonts w:eastAsia="Times New Roman" w:cs="Arial"/>
                <w:b/>
                <w:bCs/>
                <w:sz w:val="20"/>
                <w:szCs w:val="20"/>
                <w:lang w:eastAsia="en-GB"/>
              </w:rPr>
            </w:pPr>
          </w:p>
        </w:tc>
        <w:tc>
          <w:tcPr>
            <w:tcW w:w="720" w:type="dxa"/>
            <w:tcBorders>
              <w:top w:val="nil"/>
              <w:left w:val="nil"/>
              <w:bottom w:val="nil"/>
              <w:right w:val="nil"/>
            </w:tcBorders>
            <w:shd w:val="clear" w:color="000000" w:fill="FFFFFF"/>
            <w:noWrap/>
            <w:vAlign w:val="bottom"/>
            <w:hideMark/>
          </w:tcPr>
          <w:p w14:paraId="73449403"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 </w:t>
            </w:r>
          </w:p>
        </w:tc>
        <w:tc>
          <w:tcPr>
            <w:tcW w:w="1320" w:type="dxa"/>
            <w:tcBorders>
              <w:top w:val="nil"/>
              <w:left w:val="nil"/>
              <w:bottom w:val="nil"/>
              <w:right w:val="nil"/>
            </w:tcBorders>
            <w:shd w:val="clear" w:color="auto" w:fill="auto"/>
            <w:noWrap/>
            <w:vAlign w:val="bottom"/>
            <w:hideMark/>
          </w:tcPr>
          <w:p w14:paraId="28EF35B8" w14:textId="77777777" w:rsidR="00BA2151" w:rsidRPr="00BA2151" w:rsidRDefault="00BA2151" w:rsidP="00BA2151">
            <w:pPr>
              <w:spacing w:before="0" w:after="0"/>
              <w:jc w:val="center"/>
              <w:rPr>
                <w:rFonts w:eastAsia="Times New Roman" w:cs="Arial"/>
                <w:sz w:val="20"/>
                <w:szCs w:val="20"/>
                <w:lang w:eastAsia="en-GB"/>
              </w:rPr>
            </w:pPr>
          </w:p>
        </w:tc>
        <w:tc>
          <w:tcPr>
            <w:tcW w:w="272" w:type="dxa"/>
            <w:tcBorders>
              <w:top w:val="nil"/>
              <w:left w:val="nil"/>
              <w:bottom w:val="nil"/>
              <w:right w:val="nil"/>
            </w:tcBorders>
            <w:shd w:val="clear" w:color="auto" w:fill="auto"/>
            <w:noWrap/>
            <w:vAlign w:val="bottom"/>
            <w:hideMark/>
          </w:tcPr>
          <w:p w14:paraId="7BECACC8"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41AD65CC"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r>
      <w:tr w:rsidR="00BA2151" w:rsidRPr="00BA2151" w14:paraId="75156237" w14:textId="77777777" w:rsidTr="00BA2151">
        <w:trPr>
          <w:trHeight w:val="255"/>
        </w:trPr>
        <w:tc>
          <w:tcPr>
            <w:tcW w:w="5680" w:type="dxa"/>
            <w:tcBorders>
              <w:top w:val="nil"/>
              <w:left w:val="nil"/>
              <w:bottom w:val="nil"/>
              <w:right w:val="nil"/>
            </w:tcBorders>
            <w:shd w:val="clear" w:color="auto" w:fill="auto"/>
            <w:noWrap/>
            <w:vAlign w:val="bottom"/>
            <w:hideMark/>
          </w:tcPr>
          <w:p w14:paraId="5D2C5553" w14:textId="77777777" w:rsidR="00BA2151" w:rsidRPr="00BA2151" w:rsidRDefault="00BA2151" w:rsidP="00BA2151">
            <w:pPr>
              <w:spacing w:before="0" w:after="0"/>
              <w:rPr>
                <w:rFonts w:eastAsia="Times New Roman" w:cs="Arial"/>
                <w:b/>
                <w:bCs/>
                <w:sz w:val="20"/>
                <w:szCs w:val="20"/>
                <w:lang w:eastAsia="en-GB"/>
              </w:rPr>
            </w:pPr>
            <w:r w:rsidRPr="00BA2151">
              <w:rPr>
                <w:rFonts w:eastAsia="Times New Roman" w:cs="Arial"/>
                <w:b/>
                <w:bCs/>
                <w:sz w:val="20"/>
                <w:szCs w:val="20"/>
                <w:lang w:eastAsia="en-GB"/>
              </w:rPr>
              <w:t>Non-current liabilities</w:t>
            </w:r>
          </w:p>
        </w:tc>
        <w:tc>
          <w:tcPr>
            <w:tcW w:w="720" w:type="dxa"/>
            <w:tcBorders>
              <w:top w:val="nil"/>
              <w:left w:val="nil"/>
              <w:bottom w:val="nil"/>
              <w:right w:val="nil"/>
            </w:tcBorders>
            <w:shd w:val="clear" w:color="000000" w:fill="FFFFFF"/>
            <w:noWrap/>
            <w:vAlign w:val="bottom"/>
            <w:hideMark/>
          </w:tcPr>
          <w:p w14:paraId="08D23EED"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 </w:t>
            </w:r>
          </w:p>
        </w:tc>
        <w:tc>
          <w:tcPr>
            <w:tcW w:w="1320" w:type="dxa"/>
            <w:tcBorders>
              <w:top w:val="nil"/>
              <w:left w:val="nil"/>
              <w:bottom w:val="nil"/>
              <w:right w:val="nil"/>
            </w:tcBorders>
            <w:shd w:val="clear" w:color="auto" w:fill="auto"/>
            <w:noWrap/>
            <w:vAlign w:val="bottom"/>
            <w:hideMark/>
          </w:tcPr>
          <w:p w14:paraId="04C4C18C" w14:textId="77777777" w:rsidR="00BA2151" w:rsidRPr="00BA2151" w:rsidRDefault="00BA2151" w:rsidP="00BA2151">
            <w:pPr>
              <w:spacing w:before="0" w:after="0"/>
              <w:jc w:val="center"/>
              <w:rPr>
                <w:rFonts w:eastAsia="Times New Roman" w:cs="Arial"/>
                <w:sz w:val="20"/>
                <w:szCs w:val="20"/>
                <w:lang w:eastAsia="en-GB"/>
              </w:rPr>
            </w:pPr>
          </w:p>
        </w:tc>
        <w:tc>
          <w:tcPr>
            <w:tcW w:w="272" w:type="dxa"/>
            <w:tcBorders>
              <w:top w:val="nil"/>
              <w:left w:val="nil"/>
              <w:bottom w:val="nil"/>
              <w:right w:val="nil"/>
            </w:tcBorders>
            <w:shd w:val="clear" w:color="auto" w:fill="auto"/>
            <w:noWrap/>
            <w:vAlign w:val="bottom"/>
            <w:hideMark/>
          </w:tcPr>
          <w:p w14:paraId="0B41DB39"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7883D87E"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r>
      <w:tr w:rsidR="00BA2151" w:rsidRPr="00BA2151" w14:paraId="1CD79CEE" w14:textId="77777777" w:rsidTr="00BA2151">
        <w:trPr>
          <w:trHeight w:val="255"/>
        </w:trPr>
        <w:tc>
          <w:tcPr>
            <w:tcW w:w="5680" w:type="dxa"/>
            <w:tcBorders>
              <w:top w:val="nil"/>
              <w:left w:val="nil"/>
              <w:bottom w:val="nil"/>
              <w:right w:val="nil"/>
            </w:tcBorders>
            <w:shd w:val="clear" w:color="auto" w:fill="auto"/>
            <w:noWrap/>
            <w:vAlign w:val="bottom"/>
            <w:hideMark/>
          </w:tcPr>
          <w:p w14:paraId="5065CF57"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Lease liabilities</w:t>
            </w:r>
          </w:p>
        </w:tc>
        <w:tc>
          <w:tcPr>
            <w:tcW w:w="720" w:type="dxa"/>
            <w:tcBorders>
              <w:top w:val="nil"/>
              <w:left w:val="nil"/>
              <w:bottom w:val="nil"/>
              <w:right w:val="nil"/>
            </w:tcBorders>
            <w:shd w:val="clear" w:color="000000" w:fill="FFFFFF"/>
            <w:noWrap/>
            <w:vAlign w:val="bottom"/>
            <w:hideMark/>
          </w:tcPr>
          <w:p w14:paraId="6CD02414"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10</w:t>
            </w:r>
          </w:p>
        </w:tc>
        <w:tc>
          <w:tcPr>
            <w:tcW w:w="1320" w:type="dxa"/>
            <w:tcBorders>
              <w:top w:val="nil"/>
              <w:left w:val="nil"/>
              <w:bottom w:val="nil"/>
              <w:right w:val="nil"/>
            </w:tcBorders>
            <w:shd w:val="clear" w:color="000000" w:fill="FFFFFF"/>
            <w:noWrap/>
            <w:vAlign w:val="bottom"/>
            <w:hideMark/>
          </w:tcPr>
          <w:p w14:paraId="08050D8D"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(2,125)</w:t>
            </w:r>
          </w:p>
        </w:tc>
        <w:tc>
          <w:tcPr>
            <w:tcW w:w="272" w:type="dxa"/>
            <w:tcBorders>
              <w:top w:val="nil"/>
              <w:left w:val="nil"/>
              <w:bottom w:val="nil"/>
              <w:right w:val="nil"/>
            </w:tcBorders>
            <w:shd w:val="clear" w:color="000000" w:fill="FFFFFF"/>
            <w:noWrap/>
            <w:vAlign w:val="bottom"/>
            <w:hideMark/>
          </w:tcPr>
          <w:p w14:paraId="44E59E7B"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37FDC0BB"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(2,729)</w:t>
            </w:r>
          </w:p>
        </w:tc>
      </w:tr>
      <w:tr w:rsidR="00BA2151" w:rsidRPr="00BA2151" w14:paraId="337BFCB7" w14:textId="77777777" w:rsidTr="00BA2151">
        <w:trPr>
          <w:trHeight w:val="255"/>
        </w:trPr>
        <w:tc>
          <w:tcPr>
            <w:tcW w:w="5680" w:type="dxa"/>
            <w:tcBorders>
              <w:top w:val="nil"/>
              <w:left w:val="nil"/>
              <w:bottom w:val="nil"/>
              <w:right w:val="nil"/>
            </w:tcBorders>
            <w:shd w:val="clear" w:color="auto" w:fill="auto"/>
            <w:noWrap/>
            <w:vAlign w:val="bottom"/>
            <w:hideMark/>
          </w:tcPr>
          <w:p w14:paraId="16AC0585"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Provisions</w:t>
            </w:r>
          </w:p>
        </w:tc>
        <w:tc>
          <w:tcPr>
            <w:tcW w:w="720" w:type="dxa"/>
            <w:tcBorders>
              <w:top w:val="nil"/>
              <w:left w:val="nil"/>
              <w:bottom w:val="nil"/>
              <w:right w:val="nil"/>
            </w:tcBorders>
            <w:shd w:val="clear" w:color="000000" w:fill="FFFFFF"/>
            <w:noWrap/>
            <w:vAlign w:val="bottom"/>
            <w:hideMark/>
          </w:tcPr>
          <w:p w14:paraId="605C757D" w14:textId="77777777" w:rsidR="00BA2151" w:rsidRPr="00BA2151" w:rsidRDefault="00BA2151" w:rsidP="00BA2151">
            <w:pPr>
              <w:spacing w:before="0" w:after="0"/>
              <w:jc w:val="center"/>
              <w:rPr>
                <w:rFonts w:eastAsia="Times New Roman" w:cs="Arial"/>
                <w:sz w:val="20"/>
                <w:szCs w:val="20"/>
                <w:lang w:eastAsia="en-GB"/>
              </w:rPr>
            </w:pPr>
            <w:r w:rsidRPr="00BA2151">
              <w:rPr>
                <w:rFonts w:eastAsia="Times New Roman" w:cs="Arial"/>
                <w:sz w:val="20"/>
                <w:szCs w:val="20"/>
                <w:lang w:eastAsia="en-GB"/>
              </w:rPr>
              <w:t>15</w:t>
            </w:r>
          </w:p>
        </w:tc>
        <w:tc>
          <w:tcPr>
            <w:tcW w:w="1320" w:type="dxa"/>
            <w:tcBorders>
              <w:top w:val="nil"/>
              <w:left w:val="nil"/>
              <w:bottom w:val="single" w:sz="4" w:space="0" w:color="auto"/>
              <w:right w:val="nil"/>
            </w:tcBorders>
            <w:shd w:val="clear" w:color="000000" w:fill="FFFFFF"/>
            <w:noWrap/>
            <w:vAlign w:val="bottom"/>
            <w:hideMark/>
          </w:tcPr>
          <w:p w14:paraId="561422C3"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(7,385)</w:t>
            </w:r>
          </w:p>
        </w:tc>
        <w:tc>
          <w:tcPr>
            <w:tcW w:w="272" w:type="dxa"/>
            <w:tcBorders>
              <w:top w:val="nil"/>
              <w:left w:val="nil"/>
              <w:bottom w:val="nil"/>
              <w:right w:val="nil"/>
            </w:tcBorders>
            <w:shd w:val="clear" w:color="000000" w:fill="FFFFFF"/>
            <w:noWrap/>
            <w:vAlign w:val="bottom"/>
            <w:hideMark/>
          </w:tcPr>
          <w:p w14:paraId="5D867153"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w:t>
            </w:r>
          </w:p>
        </w:tc>
        <w:tc>
          <w:tcPr>
            <w:tcW w:w="1180" w:type="dxa"/>
            <w:tcBorders>
              <w:top w:val="nil"/>
              <w:left w:val="nil"/>
              <w:bottom w:val="single" w:sz="4" w:space="0" w:color="auto"/>
              <w:right w:val="nil"/>
            </w:tcBorders>
            <w:shd w:val="clear" w:color="000000" w:fill="FFFFFF"/>
            <w:noWrap/>
            <w:vAlign w:val="bottom"/>
            <w:hideMark/>
          </w:tcPr>
          <w:p w14:paraId="09B658DE"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(13,967)</w:t>
            </w:r>
          </w:p>
        </w:tc>
      </w:tr>
      <w:tr w:rsidR="00BA2151" w:rsidRPr="00BA2151" w14:paraId="6C459578" w14:textId="77777777" w:rsidTr="00BA2151">
        <w:trPr>
          <w:trHeight w:val="280"/>
        </w:trPr>
        <w:tc>
          <w:tcPr>
            <w:tcW w:w="5680" w:type="dxa"/>
            <w:tcBorders>
              <w:top w:val="nil"/>
              <w:left w:val="nil"/>
              <w:bottom w:val="nil"/>
              <w:right w:val="nil"/>
            </w:tcBorders>
            <w:shd w:val="clear" w:color="auto" w:fill="auto"/>
            <w:noWrap/>
            <w:vAlign w:val="bottom"/>
            <w:hideMark/>
          </w:tcPr>
          <w:p w14:paraId="369AB792" w14:textId="77777777" w:rsidR="00BA2151" w:rsidRPr="00BA2151" w:rsidRDefault="00BA2151" w:rsidP="00BA2151">
            <w:pPr>
              <w:spacing w:before="0" w:after="0"/>
              <w:rPr>
                <w:rFonts w:eastAsia="Times New Roman" w:cs="Arial"/>
                <w:b/>
                <w:bCs/>
                <w:sz w:val="20"/>
                <w:szCs w:val="20"/>
                <w:lang w:eastAsia="en-GB"/>
              </w:rPr>
            </w:pPr>
            <w:r w:rsidRPr="00BA2151">
              <w:rPr>
                <w:rFonts w:eastAsia="Times New Roman" w:cs="Arial"/>
                <w:b/>
                <w:bCs/>
                <w:sz w:val="20"/>
                <w:szCs w:val="20"/>
                <w:lang w:eastAsia="en-GB"/>
              </w:rPr>
              <w:t>Total non-current liabilities</w:t>
            </w:r>
          </w:p>
        </w:tc>
        <w:tc>
          <w:tcPr>
            <w:tcW w:w="720" w:type="dxa"/>
            <w:tcBorders>
              <w:top w:val="nil"/>
              <w:left w:val="nil"/>
              <w:bottom w:val="nil"/>
              <w:right w:val="nil"/>
            </w:tcBorders>
            <w:shd w:val="clear" w:color="000000" w:fill="FFFFFF"/>
            <w:noWrap/>
            <w:vAlign w:val="bottom"/>
            <w:hideMark/>
          </w:tcPr>
          <w:p w14:paraId="688133A1" w14:textId="77777777" w:rsidR="00BA2151" w:rsidRPr="00BA2151" w:rsidRDefault="00BA2151" w:rsidP="00BA2151">
            <w:pPr>
              <w:spacing w:before="0" w:after="0"/>
              <w:jc w:val="center"/>
              <w:rPr>
                <w:rFonts w:eastAsia="Times New Roman" w:cs="Arial"/>
                <w:b/>
                <w:bCs/>
                <w:sz w:val="20"/>
                <w:szCs w:val="20"/>
                <w:lang w:eastAsia="en-GB"/>
              </w:rPr>
            </w:pPr>
            <w:r w:rsidRPr="00BA2151">
              <w:rPr>
                <w:rFonts w:eastAsia="Times New Roman" w:cs="Arial"/>
                <w:b/>
                <w:bCs/>
                <w:sz w:val="20"/>
                <w:szCs w:val="20"/>
                <w:lang w:eastAsia="en-GB"/>
              </w:rPr>
              <w:t> </w:t>
            </w:r>
          </w:p>
        </w:tc>
        <w:tc>
          <w:tcPr>
            <w:tcW w:w="1320" w:type="dxa"/>
            <w:tcBorders>
              <w:top w:val="nil"/>
              <w:left w:val="nil"/>
              <w:bottom w:val="nil"/>
              <w:right w:val="nil"/>
            </w:tcBorders>
            <w:shd w:val="clear" w:color="000000" w:fill="FFFFFF"/>
            <w:noWrap/>
            <w:vAlign w:val="bottom"/>
            <w:hideMark/>
          </w:tcPr>
          <w:p w14:paraId="3FA68E4A" w14:textId="77777777" w:rsidR="00BA2151" w:rsidRPr="00BA2151" w:rsidRDefault="00BA2151" w:rsidP="00BA2151">
            <w:pPr>
              <w:spacing w:before="0" w:after="0"/>
              <w:jc w:val="right"/>
              <w:rPr>
                <w:rFonts w:eastAsia="Times New Roman" w:cs="Arial"/>
                <w:b/>
                <w:bCs/>
                <w:sz w:val="20"/>
                <w:szCs w:val="20"/>
                <w:lang w:eastAsia="en-GB"/>
              </w:rPr>
            </w:pPr>
            <w:r w:rsidRPr="00BA2151">
              <w:rPr>
                <w:rFonts w:eastAsia="Times New Roman" w:cs="Arial"/>
                <w:b/>
                <w:bCs/>
                <w:sz w:val="20"/>
                <w:szCs w:val="20"/>
                <w:lang w:eastAsia="en-GB"/>
              </w:rPr>
              <w:t>(9,510)</w:t>
            </w:r>
          </w:p>
        </w:tc>
        <w:tc>
          <w:tcPr>
            <w:tcW w:w="272" w:type="dxa"/>
            <w:tcBorders>
              <w:top w:val="nil"/>
              <w:left w:val="nil"/>
              <w:bottom w:val="nil"/>
              <w:right w:val="nil"/>
            </w:tcBorders>
            <w:shd w:val="clear" w:color="000000" w:fill="FFFFFF"/>
            <w:noWrap/>
            <w:vAlign w:val="bottom"/>
            <w:hideMark/>
          </w:tcPr>
          <w:p w14:paraId="73AD8ED0" w14:textId="77777777" w:rsidR="00BA2151" w:rsidRPr="00BA2151" w:rsidRDefault="00BA2151" w:rsidP="00BA2151">
            <w:pPr>
              <w:spacing w:before="0" w:after="0"/>
              <w:rPr>
                <w:rFonts w:eastAsia="Times New Roman" w:cs="Arial"/>
                <w:b/>
                <w:bCs/>
                <w:sz w:val="20"/>
                <w:szCs w:val="20"/>
                <w:lang w:eastAsia="en-GB"/>
              </w:rPr>
            </w:pPr>
            <w:r w:rsidRPr="00BA2151">
              <w:rPr>
                <w:rFonts w:eastAsia="Times New Roman" w:cs="Arial"/>
                <w:b/>
                <w:bCs/>
                <w:sz w:val="20"/>
                <w:szCs w:val="20"/>
                <w:lang w:eastAsia="en-GB"/>
              </w:rPr>
              <w:t> </w:t>
            </w:r>
          </w:p>
        </w:tc>
        <w:tc>
          <w:tcPr>
            <w:tcW w:w="1180" w:type="dxa"/>
            <w:tcBorders>
              <w:top w:val="nil"/>
              <w:left w:val="nil"/>
              <w:bottom w:val="nil"/>
              <w:right w:val="nil"/>
            </w:tcBorders>
            <w:shd w:val="clear" w:color="000000" w:fill="FFFFFF"/>
            <w:noWrap/>
            <w:vAlign w:val="bottom"/>
            <w:hideMark/>
          </w:tcPr>
          <w:p w14:paraId="644CAAE9" w14:textId="77777777" w:rsidR="00BA2151" w:rsidRPr="00BA2151" w:rsidRDefault="00BA2151" w:rsidP="00BA2151">
            <w:pPr>
              <w:spacing w:before="0" w:after="0"/>
              <w:jc w:val="right"/>
              <w:rPr>
                <w:rFonts w:eastAsia="Times New Roman" w:cs="Arial"/>
                <w:b/>
                <w:bCs/>
                <w:sz w:val="20"/>
                <w:szCs w:val="20"/>
                <w:lang w:eastAsia="en-GB"/>
              </w:rPr>
            </w:pPr>
            <w:r w:rsidRPr="00BA2151">
              <w:rPr>
                <w:rFonts w:eastAsia="Times New Roman" w:cs="Arial"/>
                <w:b/>
                <w:bCs/>
                <w:sz w:val="20"/>
                <w:szCs w:val="20"/>
                <w:lang w:eastAsia="en-GB"/>
              </w:rPr>
              <w:t>(16,696)</w:t>
            </w:r>
          </w:p>
        </w:tc>
      </w:tr>
      <w:tr w:rsidR="00BA2151" w:rsidRPr="00BA2151" w14:paraId="1FC5C373" w14:textId="77777777" w:rsidTr="00BA2151">
        <w:trPr>
          <w:trHeight w:val="255"/>
        </w:trPr>
        <w:tc>
          <w:tcPr>
            <w:tcW w:w="5680" w:type="dxa"/>
            <w:tcBorders>
              <w:top w:val="nil"/>
              <w:left w:val="nil"/>
              <w:bottom w:val="nil"/>
              <w:right w:val="nil"/>
            </w:tcBorders>
            <w:shd w:val="clear" w:color="auto" w:fill="auto"/>
            <w:noWrap/>
            <w:vAlign w:val="bottom"/>
            <w:hideMark/>
          </w:tcPr>
          <w:p w14:paraId="4483FADB" w14:textId="77777777" w:rsidR="00BA2151" w:rsidRPr="00BA2151" w:rsidRDefault="00BA2151" w:rsidP="00BA2151">
            <w:pPr>
              <w:spacing w:before="0" w:after="0"/>
              <w:jc w:val="right"/>
              <w:rPr>
                <w:rFonts w:eastAsia="Times New Roman" w:cs="Arial"/>
                <w:b/>
                <w:bCs/>
                <w:sz w:val="20"/>
                <w:szCs w:val="20"/>
                <w:lang w:eastAsia="en-GB"/>
              </w:rPr>
            </w:pPr>
          </w:p>
        </w:tc>
        <w:tc>
          <w:tcPr>
            <w:tcW w:w="720" w:type="dxa"/>
            <w:tcBorders>
              <w:top w:val="nil"/>
              <w:left w:val="nil"/>
              <w:bottom w:val="nil"/>
              <w:right w:val="nil"/>
            </w:tcBorders>
            <w:shd w:val="clear" w:color="auto" w:fill="auto"/>
            <w:noWrap/>
            <w:vAlign w:val="bottom"/>
            <w:hideMark/>
          </w:tcPr>
          <w:p w14:paraId="163B6A85"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320" w:type="dxa"/>
            <w:tcBorders>
              <w:top w:val="nil"/>
              <w:left w:val="nil"/>
              <w:bottom w:val="nil"/>
              <w:right w:val="nil"/>
            </w:tcBorders>
            <w:shd w:val="clear" w:color="auto" w:fill="auto"/>
            <w:noWrap/>
            <w:vAlign w:val="bottom"/>
            <w:hideMark/>
          </w:tcPr>
          <w:p w14:paraId="00722452" w14:textId="77777777" w:rsidR="00BA2151" w:rsidRPr="00BA2151" w:rsidRDefault="00BA2151" w:rsidP="00BA2151">
            <w:pPr>
              <w:spacing w:before="0" w:after="0"/>
              <w:jc w:val="center"/>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35E81383"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23416B80"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r>
      <w:tr w:rsidR="00BA2151" w:rsidRPr="00BA2151" w14:paraId="32920F08" w14:textId="77777777" w:rsidTr="00BA2151">
        <w:trPr>
          <w:trHeight w:val="255"/>
        </w:trPr>
        <w:tc>
          <w:tcPr>
            <w:tcW w:w="5680" w:type="dxa"/>
            <w:tcBorders>
              <w:top w:val="nil"/>
              <w:left w:val="nil"/>
              <w:bottom w:val="nil"/>
              <w:right w:val="nil"/>
            </w:tcBorders>
            <w:shd w:val="clear" w:color="auto" w:fill="auto"/>
            <w:noWrap/>
            <w:vAlign w:val="bottom"/>
            <w:hideMark/>
          </w:tcPr>
          <w:p w14:paraId="00E7E43B" w14:textId="77777777" w:rsidR="00BA2151" w:rsidRPr="00BA2151" w:rsidRDefault="00BA2151" w:rsidP="00BA2151">
            <w:pPr>
              <w:spacing w:before="0" w:after="0"/>
              <w:rPr>
                <w:rFonts w:eastAsia="Times New Roman" w:cs="Arial"/>
                <w:b/>
                <w:bCs/>
                <w:sz w:val="20"/>
                <w:szCs w:val="20"/>
                <w:lang w:eastAsia="en-GB"/>
              </w:rPr>
            </w:pPr>
            <w:r w:rsidRPr="00BA2151">
              <w:rPr>
                <w:rFonts w:eastAsia="Times New Roman" w:cs="Arial"/>
                <w:b/>
                <w:bCs/>
                <w:sz w:val="20"/>
                <w:szCs w:val="20"/>
                <w:lang w:eastAsia="en-GB"/>
              </w:rPr>
              <w:t>Assets less liabilities</w:t>
            </w:r>
          </w:p>
        </w:tc>
        <w:tc>
          <w:tcPr>
            <w:tcW w:w="720" w:type="dxa"/>
            <w:tcBorders>
              <w:top w:val="nil"/>
              <w:left w:val="nil"/>
              <w:bottom w:val="nil"/>
              <w:right w:val="nil"/>
            </w:tcBorders>
            <w:shd w:val="clear" w:color="auto" w:fill="auto"/>
            <w:noWrap/>
            <w:vAlign w:val="bottom"/>
            <w:hideMark/>
          </w:tcPr>
          <w:p w14:paraId="5B2B498E" w14:textId="77777777" w:rsidR="00BA2151" w:rsidRPr="00BA2151" w:rsidRDefault="00BA2151" w:rsidP="00BA2151">
            <w:pPr>
              <w:spacing w:before="0" w:after="0"/>
              <w:rPr>
                <w:rFonts w:eastAsia="Times New Roman" w:cs="Arial"/>
                <w:b/>
                <w:bCs/>
                <w:sz w:val="20"/>
                <w:szCs w:val="20"/>
                <w:lang w:eastAsia="en-GB"/>
              </w:rPr>
            </w:pPr>
          </w:p>
        </w:tc>
        <w:tc>
          <w:tcPr>
            <w:tcW w:w="1320" w:type="dxa"/>
            <w:tcBorders>
              <w:top w:val="single" w:sz="4" w:space="0" w:color="auto"/>
              <w:left w:val="nil"/>
              <w:bottom w:val="single" w:sz="4" w:space="0" w:color="auto"/>
              <w:right w:val="nil"/>
            </w:tcBorders>
            <w:shd w:val="clear" w:color="auto" w:fill="auto"/>
            <w:noWrap/>
            <w:vAlign w:val="bottom"/>
            <w:hideMark/>
          </w:tcPr>
          <w:p w14:paraId="26B1A72D" w14:textId="77777777" w:rsidR="00BA2151" w:rsidRPr="00BA2151" w:rsidRDefault="00BA2151" w:rsidP="00BA2151">
            <w:pPr>
              <w:spacing w:before="0" w:after="0"/>
              <w:jc w:val="right"/>
              <w:rPr>
                <w:rFonts w:eastAsia="Times New Roman" w:cs="Arial"/>
                <w:b/>
                <w:bCs/>
                <w:sz w:val="20"/>
                <w:szCs w:val="20"/>
                <w:lang w:eastAsia="en-GB"/>
              </w:rPr>
            </w:pPr>
            <w:r w:rsidRPr="00BA2151">
              <w:rPr>
                <w:rFonts w:eastAsia="Times New Roman" w:cs="Arial"/>
                <w:b/>
                <w:bCs/>
                <w:sz w:val="20"/>
                <w:szCs w:val="20"/>
                <w:lang w:eastAsia="en-GB"/>
              </w:rPr>
              <w:t>(137,098)</w:t>
            </w:r>
          </w:p>
        </w:tc>
        <w:tc>
          <w:tcPr>
            <w:tcW w:w="272" w:type="dxa"/>
            <w:tcBorders>
              <w:top w:val="nil"/>
              <w:left w:val="nil"/>
              <w:bottom w:val="nil"/>
              <w:right w:val="nil"/>
            </w:tcBorders>
            <w:shd w:val="clear" w:color="auto" w:fill="auto"/>
            <w:noWrap/>
            <w:vAlign w:val="bottom"/>
            <w:hideMark/>
          </w:tcPr>
          <w:p w14:paraId="08673F72" w14:textId="77777777" w:rsidR="00BA2151" w:rsidRPr="00BA2151" w:rsidRDefault="00BA2151" w:rsidP="00BA2151">
            <w:pPr>
              <w:spacing w:before="0" w:after="0"/>
              <w:jc w:val="right"/>
              <w:rPr>
                <w:rFonts w:eastAsia="Times New Roman" w:cs="Arial"/>
                <w:b/>
                <w:bCs/>
                <w:sz w:val="20"/>
                <w:szCs w:val="20"/>
                <w:lang w:eastAsia="en-GB"/>
              </w:rPr>
            </w:pPr>
          </w:p>
        </w:tc>
        <w:tc>
          <w:tcPr>
            <w:tcW w:w="1180" w:type="dxa"/>
            <w:tcBorders>
              <w:top w:val="single" w:sz="4" w:space="0" w:color="auto"/>
              <w:left w:val="nil"/>
              <w:bottom w:val="single" w:sz="4" w:space="0" w:color="auto"/>
              <w:right w:val="nil"/>
            </w:tcBorders>
            <w:shd w:val="clear" w:color="auto" w:fill="auto"/>
            <w:noWrap/>
            <w:vAlign w:val="bottom"/>
            <w:hideMark/>
          </w:tcPr>
          <w:p w14:paraId="7BF9A093" w14:textId="77777777" w:rsidR="00BA2151" w:rsidRPr="00BA2151" w:rsidRDefault="00BA2151" w:rsidP="00BA2151">
            <w:pPr>
              <w:spacing w:before="0" w:after="0"/>
              <w:jc w:val="right"/>
              <w:rPr>
                <w:rFonts w:eastAsia="Times New Roman" w:cs="Arial"/>
                <w:b/>
                <w:bCs/>
                <w:sz w:val="20"/>
                <w:szCs w:val="20"/>
                <w:lang w:eastAsia="en-GB"/>
              </w:rPr>
            </w:pPr>
            <w:r w:rsidRPr="00BA2151">
              <w:rPr>
                <w:rFonts w:eastAsia="Times New Roman" w:cs="Arial"/>
                <w:b/>
                <w:bCs/>
                <w:sz w:val="20"/>
                <w:szCs w:val="20"/>
                <w:lang w:eastAsia="en-GB"/>
              </w:rPr>
              <w:t>(179,100)</w:t>
            </w:r>
          </w:p>
        </w:tc>
      </w:tr>
      <w:tr w:rsidR="00BA2151" w:rsidRPr="00BA2151" w14:paraId="099DE6A1" w14:textId="77777777" w:rsidTr="00BA2151">
        <w:trPr>
          <w:trHeight w:val="255"/>
        </w:trPr>
        <w:tc>
          <w:tcPr>
            <w:tcW w:w="5680" w:type="dxa"/>
            <w:tcBorders>
              <w:top w:val="nil"/>
              <w:left w:val="nil"/>
              <w:bottom w:val="nil"/>
              <w:right w:val="nil"/>
            </w:tcBorders>
            <w:shd w:val="clear" w:color="auto" w:fill="auto"/>
            <w:noWrap/>
            <w:vAlign w:val="bottom"/>
            <w:hideMark/>
          </w:tcPr>
          <w:p w14:paraId="2857617A" w14:textId="77777777" w:rsidR="00BA2151" w:rsidRPr="00BA2151" w:rsidRDefault="00BA2151" w:rsidP="00BA2151">
            <w:pPr>
              <w:spacing w:before="0" w:after="0"/>
              <w:jc w:val="right"/>
              <w:rPr>
                <w:rFonts w:eastAsia="Times New Roman" w:cs="Arial"/>
                <w:b/>
                <w:bCs/>
                <w:sz w:val="20"/>
                <w:szCs w:val="20"/>
                <w:lang w:eastAsia="en-GB"/>
              </w:rPr>
            </w:pPr>
          </w:p>
        </w:tc>
        <w:tc>
          <w:tcPr>
            <w:tcW w:w="720" w:type="dxa"/>
            <w:tcBorders>
              <w:top w:val="nil"/>
              <w:left w:val="nil"/>
              <w:bottom w:val="nil"/>
              <w:right w:val="nil"/>
            </w:tcBorders>
            <w:shd w:val="clear" w:color="auto" w:fill="auto"/>
            <w:noWrap/>
            <w:vAlign w:val="bottom"/>
            <w:hideMark/>
          </w:tcPr>
          <w:p w14:paraId="3B43484F"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320" w:type="dxa"/>
            <w:tcBorders>
              <w:top w:val="nil"/>
              <w:left w:val="nil"/>
              <w:bottom w:val="nil"/>
              <w:right w:val="nil"/>
            </w:tcBorders>
            <w:shd w:val="clear" w:color="auto" w:fill="auto"/>
            <w:noWrap/>
            <w:vAlign w:val="bottom"/>
            <w:hideMark/>
          </w:tcPr>
          <w:p w14:paraId="1F39C103" w14:textId="77777777" w:rsidR="00BA2151" w:rsidRPr="00BA2151" w:rsidRDefault="00BA2151" w:rsidP="00BA2151">
            <w:pPr>
              <w:spacing w:before="0" w:after="0"/>
              <w:jc w:val="center"/>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05AE606B"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0DB59190"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r>
      <w:tr w:rsidR="00BA2151" w:rsidRPr="00BA2151" w14:paraId="39C432C8" w14:textId="77777777" w:rsidTr="00BA2151">
        <w:trPr>
          <w:trHeight w:val="255"/>
        </w:trPr>
        <w:tc>
          <w:tcPr>
            <w:tcW w:w="5680" w:type="dxa"/>
            <w:tcBorders>
              <w:top w:val="nil"/>
              <w:left w:val="nil"/>
              <w:bottom w:val="nil"/>
              <w:right w:val="nil"/>
            </w:tcBorders>
            <w:shd w:val="clear" w:color="auto" w:fill="auto"/>
            <w:noWrap/>
            <w:vAlign w:val="bottom"/>
            <w:hideMark/>
          </w:tcPr>
          <w:p w14:paraId="09A57380" w14:textId="77777777" w:rsidR="00BA2151" w:rsidRPr="00BA2151" w:rsidRDefault="00BA2151" w:rsidP="00BA2151">
            <w:pPr>
              <w:spacing w:before="0" w:after="0"/>
              <w:rPr>
                <w:rFonts w:eastAsia="Times New Roman" w:cs="Arial"/>
                <w:b/>
                <w:bCs/>
                <w:sz w:val="20"/>
                <w:szCs w:val="20"/>
                <w:lang w:eastAsia="en-GB"/>
              </w:rPr>
            </w:pPr>
            <w:r w:rsidRPr="00BA2151">
              <w:rPr>
                <w:rFonts w:eastAsia="Times New Roman" w:cs="Arial"/>
                <w:b/>
                <w:bCs/>
                <w:sz w:val="20"/>
                <w:szCs w:val="20"/>
                <w:lang w:eastAsia="en-GB"/>
              </w:rPr>
              <w:t>Financed by taxpayers’ equity</w:t>
            </w:r>
          </w:p>
        </w:tc>
        <w:tc>
          <w:tcPr>
            <w:tcW w:w="720" w:type="dxa"/>
            <w:tcBorders>
              <w:top w:val="nil"/>
              <w:left w:val="nil"/>
              <w:bottom w:val="nil"/>
              <w:right w:val="nil"/>
            </w:tcBorders>
            <w:shd w:val="clear" w:color="auto" w:fill="auto"/>
            <w:noWrap/>
            <w:vAlign w:val="bottom"/>
            <w:hideMark/>
          </w:tcPr>
          <w:p w14:paraId="2B4CB424" w14:textId="77777777" w:rsidR="00BA2151" w:rsidRPr="00BA2151" w:rsidRDefault="00BA2151" w:rsidP="00BA2151">
            <w:pPr>
              <w:spacing w:before="0" w:after="0"/>
              <w:rPr>
                <w:rFonts w:eastAsia="Times New Roman" w:cs="Arial"/>
                <w:b/>
                <w:bCs/>
                <w:sz w:val="20"/>
                <w:szCs w:val="20"/>
                <w:lang w:eastAsia="en-GB"/>
              </w:rPr>
            </w:pPr>
          </w:p>
        </w:tc>
        <w:tc>
          <w:tcPr>
            <w:tcW w:w="1320" w:type="dxa"/>
            <w:tcBorders>
              <w:top w:val="nil"/>
              <w:left w:val="nil"/>
              <w:bottom w:val="nil"/>
              <w:right w:val="nil"/>
            </w:tcBorders>
            <w:shd w:val="clear" w:color="auto" w:fill="auto"/>
            <w:noWrap/>
            <w:vAlign w:val="bottom"/>
            <w:hideMark/>
          </w:tcPr>
          <w:p w14:paraId="38A79D39" w14:textId="77777777" w:rsidR="00BA2151" w:rsidRPr="00BA2151" w:rsidRDefault="00BA2151" w:rsidP="00BA2151">
            <w:pPr>
              <w:spacing w:before="0" w:after="0"/>
              <w:jc w:val="center"/>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11476CE0"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7C2886B1"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r>
      <w:tr w:rsidR="00BA2151" w:rsidRPr="00BA2151" w14:paraId="3ECCB54B" w14:textId="77777777" w:rsidTr="00BA2151">
        <w:trPr>
          <w:trHeight w:val="250"/>
        </w:trPr>
        <w:tc>
          <w:tcPr>
            <w:tcW w:w="5680" w:type="dxa"/>
            <w:tcBorders>
              <w:top w:val="nil"/>
              <w:left w:val="nil"/>
              <w:bottom w:val="nil"/>
              <w:right w:val="nil"/>
            </w:tcBorders>
            <w:shd w:val="clear" w:color="auto" w:fill="auto"/>
            <w:noWrap/>
            <w:vAlign w:val="bottom"/>
            <w:hideMark/>
          </w:tcPr>
          <w:p w14:paraId="36DCED83"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General fund</w:t>
            </w:r>
          </w:p>
        </w:tc>
        <w:tc>
          <w:tcPr>
            <w:tcW w:w="720" w:type="dxa"/>
            <w:tcBorders>
              <w:top w:val="nil"/>
              <w:left w:val="nil"/>
              <w:bottom w:val="nil"/>
              <w:right w:val="nil"/>
            </w:tcBorders>
            <w:shd w:val="clear" w:color="auto" w:fill="auto"/>
            <w:noWrap/>
            <w:vAlign w:val="bottom"/>
            <w:hideMark/>
          </w:tcPr>
          <w:p w14:paraId="54907FAC" w14:textId="77777777" w:rsidR="00BA2151" w:rsidRPr="00BA2151" w:rsidRDefault="00BA2151" w:rsidP="00BA2151">
            <w:pPr>
              <w:spacing w:before="0" w:after="0"/>
              <w:rPr>
                <w:rFonts w:eastAsia="Times New Roman" w:cs="Arial"/>
                <w:sz w:val="20"/>
                <w:szCs w:val="20"/>
                <w:lang w:eastAsia="en-GB"/>
              </w:rPr>
            </w:pPr>
          </w:p>
        </w:tc>
        <w:tc>
          <w:tcPr>
            <w:tcW w:w="1320" w:type="dxa"/>
            <w:tcBorders>
              <w:top w:val="nil"/>
              <w:left w:val="nil"/>
              <w:bottom w:val="nil"/>
              <w:right w:val="nil"/>
            </w:tcBorders>
            <w:shd w:val="clear" w:color="000000" w:fill="FFFFFF"/>
            <w:noWrap/>
            <w:vAlign w:val="bottom"/>
            <w:hideMark/>
          </w:tcPr>
          <w:p w14:paraId="467ED575"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(137,098)</w:t>
            </w:r>
          </w:p>
        </w:tc>
        <w:tc>
          <w:tcPr>
            <w:tcW w:w="272" w:type="dxa"/>
            <w:tcBorders>
              <w:top w:val="nil"/>
              <w:left w:val="nil"/>
              <w:bottom w:val="nil"/>
              <w:right w:val="nil"/>
            </w:tcBorders>
            <w:shd w:val="clear" w:color="000000" w:fill="FFFFFF"/>
            <w:noWrap/>
            <w:vAlign w:val="bottom"/>
            <w:hideMark/>
          </w:tcPr>
          <w:p w14:paraId="0ACFB988"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5E0D4995" w14:textId="77777777" w:rsidR="00BA2151" w:rsidRPr="00BA2151" w:rsidRDefault="00BA2151" w:rsidP="00BA2151">
            <w:pPr>
              <w:spacing w:before="0" w:after="0"/>
              <w:jc w:val="right"/>
              <w:rPr>
                <w:rFonts w:eastAsia="Times New Roman" w:cs="Arial"/>
                <w:sz w:val="20"/>
                <w:szCs w:val="20"/>
                <w:lang w:eastAsia="en-GB"/>
              </w:rPr>
            </w:pPr>
            <w:r w:rsidRPr="00BA2151">
              <w:rPr>
                <w:rFonts w:eastAsia="Times New Roman" w:cs="Arial"/>
                <w:sz w:val="20"/>
                <w:szCs w:val="20"/>
                <w:lang w:eastAsia="en-GB"/>
              </w:rPr>
              <w:t>(179,100)</w:t>
            </w:r>
          </w:p>
        </w:tc>
      </w:tr>
      <w:tr w:rsidR="00BA2151" w:rsidRPr="00BA2151" w14:paraId="0FDBB125" w14:textId="77777777" w:rsidTr="00BA2151">
        <w:trPr>
          <w:trHeight w:val="280"/>
        </w:trPr>
        <w:tc>
          <w:tcPr>
            <w:tcW w:w="5680" w:type="dxa"/>
            <w:tcBorders>
              <w:top w:val="nil"/>
              <w:left w:val="nil"/>
              <w:bottom w:val="nil"/>
              <w:right w:val="nil"/>
            </w:tcBorders>
            <w:shd w:val="clear" w:color="auto" w:fill="auto"/>
            <w:noWrap/>
            <w:vAlign w:val="bottom"/>
            <w:hideMark/>
          </w:tcPr>
          <w:p w14:paraId="4E53C1C2" w14:textId="77777777" w:rsidR="00BA2151" w:rsidRPr="00BA2151" w:rsidRDefault="00BA2151" w:rsidP="00BA2151">
            <w:pPr>
              <w:spacing w:before="0" w:after="0"/>
              <w:rPr>
                <w:rFonts w:eastAsia="Times New Roman" w:cs="Arial"/>
                <w:b/>
                <w:bCs/>
                <w:sz w:val="20"/>
                <w:szCs w:val="20"/>
                <w:lang w:eastAsia="en-GB"/>
              </w:rPr>
            </w:pPr>
            <w:r w:rsidRPr="00BA2151">
              <w:rPr>
                <w:rFonts w:eastAsia="Times New Roman" w:cs="Arial"/>
                <w:b/>
                <w:bCs/>
                <w:sz w:val="20"/>
                <w:szCs w:val="20"/>
                <w:lang w:eastAsia="en-GB"/>
              </w:rPr>
              <w:t>Total taxpayers' equity</w:t>
            </w:r>
          </w:p>
        </w:tc>
        <w:tc>
          <w:tcPr>
            <w:tcW w:w="720" w:type="dxa"/>
            <w:tcBorders>
              <w:top w:val="nil"/>
              <w:left w:val="nil"/>
              <w:bottom w:val="nil"/>
              <w:right w:val="nil"/>
            </w:tcBorders>
            <w:shd w:val="clear" w:color="auto" w:fill="auto"/>
            <w:noWrap/>
            <w:vAlign w:val="bottom"/>
            <w:hideMark/>
          </w:tcPr>
          <w:p w14:paraId="7E3CFC33" w14:textId="77777777" w:rsidR="00BA2151" w:rsidRPr="00BA2151" w:rsidRDefault="00BA2151" w:rsidP="00BA2151">
            <w:pPr>
              <w:spacing w:before="0" w:after="0"/>
              <w:rPr>
                <w:rFonts w:eastAsia="Times New Roman" w:cs="Arial"/>
                <w:b/>
                <w:bCs/>
                <w:sz w:val="20"/>
                <w:szCs w:val="20"/>
                <w:lang w:eastAsia="en-GB"/>
              </w:rPr>
            </w:pPr>
          </w:p>
        </w:tc>
        <w:tc>
          <w:tcPr>
            <w:tcW w:w="1320" w:type="dxa"/>
            <w:tcBorders>
              <w:top w:val="single" w:sz="4" w:space="0" w:color="auto"/>
              <w:left w:val="nil"/>
              <w:bottom w:val="single" w:sz="4" w:space="0" w:color="auto"/>
              <w:right w:val="nil"/>
            </w:tcBorders>
            <w:shd w:val="clear" w:color="auto" w:fill="auto"/>
            <w:noWrap/>
            <w:vAlign w:val="bottom"/>
            <w:hideMark/>
          </w:tcPr>
          <w:p w14:paraId="04A430BC" w14:textId="77777777" w:rsidR="00BA2151" w:rsidRPr="00BA2151" w:rsidRDefault="00BA2151" w:rsidP="00BA2151">
            <w:pPr>
              <w:spacing w:before="0" w:after="0"/>
              <w:jc w:val="right"/>
              <w:rPr>
                <w:rFonts w:eastAsia="Times New Roman" w:cs="Arial"/>
                <w:b/>
                <w:bCs/>
                <w:sz w:val="20"/>
                <w:szCs w:val="20"/>
                <w:lang w:eastAsia="en-GB"/>
              </w:rPr>
            </w:pPr>
            <w:r w:rsidRPr="00BA2151">
              <w:rPr>
                <w:rFonts w:eastAsia="Times New Roman" w:cs="Arial"/>
                <w:b/>
                <w:bCs/>
                <w:sz w:val="20"/>
                <w:szCs w:val="20"/>
                <w:lang w:eastAsia="en-GB"/>
              </w:rPr>
              <w:t>(137,098)</w:t>
            </w:r>
          </w:p>
        </w:tc>
        <w:tc>
          <w:tcPr>
            <w:tcW w:w="272" w:type="dxa"/>
            <w:tcBorders>
              <w:top w:val="nil"/>
              <w:left w:val="nil"/>
              <w:bottom w:val="nil"/>
              <w:right w:val="nil"/>
            </w:tcBorders>
            <w:shd w:val="clear" w:color="auto" w:fill="auto"/>
            <w:noWrap/>
            <w:vAlign w:val="bottom"/>
            <w:hideMark/>
          </w:tcPr>
          <w:p w14:paraId="29EE47AF" w14:textId="77777777" w:rsidR="00BA2151" w:rsidRPr="00BA2151" w:rsidRDefault="00BA2151" w:rsidP="00BA2151">
            <w:pPr>
              <w:spacing w:before="0" w:after="0"/>
              <w:jc w:val="right"/>
              <w:rPr>
                <w:rFonts w:eastAsia="Times New Roman" w:cs="Arial"/>
                <w:b/>
                <w:bCs/>
                <w:sz w:val="20"/>
                <w:szCs w:val="20"/>
                <w:lang w:eastAsia="en-GB"/>
              </w:rPr>
            </w:pPr>
          </w:p>
        </w:tc>
        <w:tc>
          <w:tcPr>
            <w:tcW w:w="1180" w:type="dxa"/>
            <w:tcBorders>
              <w:top w:val="single" w:sz="4" w:space="0" w:color="auto"/>
              <w:left w:val="nil"/>
              <w:bottom w:val="single" w:sz="4" w:space="0" w:color="auto"/>
              <w:right w:val="nil"/>
            </w:tcBorders>
            <w:shd w:val="clear" w:color="auto" w:fill="auto"/>
            <w:noWrap/>
            <w:vAlign w:val="bottom"/>
            <w:hideMark/>
          </w:tcPr>
          <w:p w14:paraId="3540BE92" w14:textId="77777777" w:rsidR="00BA2151" w:rsidRPr="00BA2151" w:rsidRDefault="00BA2151" w:rsidP="00BA2151">
            <w:pPr>
              <w:spacing w:before="0" w:after="0"/>
              <w:jc w:val="right"/>
              <w:rPr>
                <w:rFonts w:eastAsia="Times New Roman" w:cs="Arial"/>
                <w:b/>
                <w:bCs/>
                <w:sz w:val="20"/>
                <w:szCs w:val="20"/>
                <w:lang w:eastAsia="en-GB"/>
              </w:rPr>
            </w:pPr>
            <w:r w:rsidRPr="00BA2151">
              <w:rPr>
                <w:rFonts w:eastAsia="Times New Roman" w:cs="Arial"/>
                <w:b/>
                <w:bCs/>
                <w:sz w:val="20"/>
                <w:szCs w:val="20"/>
                <w:lang w:eastAsia="en-GB"/>
              </w:rPr>
              <w:t>(179,100)</w:t>
            </w:r>
          </w:p>
        </w:tc>
      </w:tr>
      <w:tr w:rsidR="00BA2151" w:rsidRPr="00BA2151" w14:paraId="522B5DFC" w14:textId="77777777" w:rsidTr="00BA2151">
        <w:trPr>
          <w:trHeight w:val="255"/>
        </w:trPr>
        <w:tc>
          <w:tcPr>
            <w:tcW w:w="5680" w:type="dxa"/>
            <w:tcBorders>
              <w:top w:val="nil"/>
              <w:left w:val="nil"/>
              <w:bottom w:val="nil"/>
              <w:right w:val="nil"/>
            </w:tcBorders>
            <w:shd w:val="clear" w:color="auto" w:fill="auto"/>
            <w:noWrap/>
            <w:vAlign w:val="bottom"/>
            <w:hideMark/>
          </w:tcPr>
          <w:p w14:paraId="7A27A491" w14:textId="77777777" w:rsidR="00BA2151" w:rsidRPr="00BA2151" w:rsidRDefault="00BA2151" w:rsidP="00BA2151">
            <w:pPr>
              <w:spacing w:before="0" w:after="0"/>
              <w:jc w:val="right"/>
              <w:rPr>
                <w:rFonts w:eastAsia="Times New Roman" w:cs="Arial"/>
                <w:b/>
                <w:bCs/>
                <w:sz w:val="20"/>
                <w:szCs w:val="20"/>
                <w:lang w:eastAsia="en-GB"/>
              </w:rPr>
            </w:pPr>
          </w:p>
        </w:tc>
        <w:tc>
          <w:tcPr>
            <w:tcW w:w="720" w:type="dxa"/>
            <w:tcBorders>
              <w:top w:val="nil"/>
              <w:left w:val="nil"/>
              <w:bottom w:val="nil"/>
              <w:right w:val="nil"/>
            </w:tcBorders>
            <w:shd w:val="clear" w:color="auto" w:fill="auto"/>
            <w:noWrap/>
            <w:vAlign w:val="bottom"/>
            <w:hideMark/>
          </w:tcPr>
          <w:p w14:paraId="5DE13D7E"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320" w:type="dxa"/>
            <w:tcBorders>
              <w:top w:val="nil"/>
              <w:left w:val="nil"/>
              <w:bottom w:val="nil"/>
              <w:right w:val="nil"/>
            </w:tcBorders>
            <w:shd w:val="clear" w:color="auto" w:fill="auto"/>
            <w:noWrap/>
            <w:vAlign w:val="bottom"/>
            <w:hideMark/>
          </w:tcPr>
          <w:p w14:paraId="2500FD7E" w14:textId="77777777" w:rsidR="00BA2151" w:rsidRPr="00BA2151" w:rsidRDefault="00BA2151" w:rsidP="00BA2151">
            <w:pPr>
              <w:spacing w:before="0" w:after="0"/>
              <w:jc w:val="center"/>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320981C6"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31C448D8"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r>
      <w:tr w:rsidR="00BA2151" w:rsidRPr="00BA2151" w14:paraId="741DDC23" w14:textId="77777777" w:rsidTr="00BA2151">
        <w:trPr>
          <w:trHeight w:val="250"/>
        </w:trPr>
        <w:tc>
          <w:tcPr>
            <w:tcW w:w="5680" w:type="dxa"/>
            <w:tcBorders>
              <w:top w:val="nil"/>
              <w:left w:val="nil"/>
              <w:bottom w:val="nil"/>
              <w:right w:val="nil"/>
            </w:tcBorders>
            <w:shd w:val="clear" w:color="auto" w:fill="auto"/>
            <w:noWrap/>
            <w:vAlign w:val="bottom"/>
            <w:hideMark/>
          </w:tcPr>
          <w:p w14:paraId="64C16C61" w14:textId="0AD508F2"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xml:space="preserve">The notes on pages 7 to </w:t>
            </w:r>
            <w:r w:rsidR="00B00FFC" w:rsidRPr="00B00FFC">
              <w:rPr>
                <w:rFonts w:eastAsia="Times New Roman" w:cs="Arial"/>
                <w:sz w:val="20"/>
                <w:szCs w:val="20"/>
                <w:lang w:eastAsia="en-GB"/>
              </w:rPr>
              <w:t>31</w:t>
            </w:r>
            <w:r w:rsidRPr="00BA2151">
              <w:rPr>
                <w:rFonts w:eastAsia="Times New Roman" w:cs="Arial"/>
                <w:sz w:val="20"/>
                <w:szCs w:val="20"/>
                <w:lang w:eastAsia="en-GB"/>
              </w:rPr>
              <w:t xml:space="preserve"> form part of this statement</w:t>
            </w:r>
          </w:p>
        </w:tc>
        <w:tc>
          <w:tcPr>
            <w:tcW w:w="720" w:type="dxa"/>
            <w:tcBorders>
              <w:top w:val="nil"/>
              <w:left w:val="nil"/>
              <w:bottom w:val="nil"/>
              <w:right w:val="nil"/>
            </w:tcBorders>
            <w:shd w:val="clear" w:color="auto" w:fill="auto"/>
            <w:noWrap/>
            <w:vAlign w:val="bottom"/>
            <w:hideMark/>
          </w:tcPr>
          <w:p w14:paraId="6B67AB4A" w14:textId="77777777" w:rsidR="00BA2151" w:rsidRPr="00BA2151" w:rsidRDefault="00BA2151" w:rsidP="00BA2151">
            <w:pPr>
              <w:spacing w:before="0" w:after="0"/>
              <w:rPr>
                <w:rFonts w:eastAsia="Times New Roman" w:cs="Arial"/>
                <w:sz w:val="20"/>
                <w:szCs w:val="20"/>
                <w:lang w:eastAsia="en-GB"/>
              </w:rPr>
            </w:pPr>
          </w:p>
        </w:tc>
        <w:tc>
          <w:tcPr>
            <w:tcW w:w="1320" w:type="dxa"/>
            <w:tcBorders>
              <w:top w:val="nil"/>
              <w:left w:val="nil"/>
              <w:bottom w:val="nil"/>
              <w:right w:val="nil"/>
            </w:tcBorders>
            <w:shd w:val="clear" w:color="auto" w:fill="auto"/>
            <w:noWrap/>
            <w:vAlign w:val="bottom"/>
            <w:hideMark/>
          </w:tcPr>
          <w:p w14:paraId="03231EDD" w14:textId="77777777" w:rsidR="00BA2151" w:rsidRPr="00BA2151" w:rsidRDefault="00BA2151" w:rsidP="00BA2151">
            <w:pPr>
              <w:spacing w:before="0" w:after="0"/>
              <w:jc w:val="center"/>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7563A3D4"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0A90E7EB"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r>
      <w:tr w:rsidR="00BA2151" w:rsidRPr="00BA2151" w14:paraId="3808822E" w14:textId="77777777" w:rsidTr="00BA2151">
        <w:trPr>
          <w:trHeight w:val="250"/>
        </w:trPr>
        <w:tc>
          <w:tcPr>
            <w:tcW w:w="5680" w:type="dxa"/>
            <w:tcBorders>
              <w:top w:val="nil"/>
              <w:left w:val="nil"/>
              <w:bottom w:val="nil"/>
              <w:right w:val="nil"/>
            </w:tcBorders>
            <w:shd w:val="clear" w:color="auto" w:fill="auto"/>
            <w:noWrap/>
            <w:vAlign w:val="bottom"/>
            <w:hideMark/>
          </w:tcPr>
          <w:p w14:paraId="38932CA4"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720" w:type="dxa"/>
            <w:tcBorders>
              <w:top w:val="nil"/>
              <w:left w:val="nil"/>
              <w:bottom w:val="nil"/>
              <w:right w:val="nil"/>
            </w:tcBorders>
            <w:shd w:val="clear" w:color="auto" w:fill="auto"/>
            <w:noWrap/>
            <w:vAlign w:val="bottom"/>
            <w:hideMark/>
          </w:tcPr>
          <w:p w14:paraId="01246839"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320" w:type="dxa"/>
            <w:tcBorders>
              <w:top w:val="nil"/>
              <w:left w:val="nil"/>
              <w:bottom w:val="nil"/>
              <w:right w:val="nil"/>
            </w:tcBorders>
            <w:shd w:val="clear" w:color="auto" w:fill="auto"/>
            <w:noWrap/>
            <w:vAlign w:val="bottom"/>
            <w:hideMark/>
          </w:tcPr>
          <w:p w14:paraId="6CBF019C" w14:textId="77777777" w:rsidR="00BA2151" w:rsidRPr="00BA2151" w:rsidRDefault="00BA2151" w:rsidP="00BA2151">
            <w:pPr>
              <w:spacing w:before="0" w:after="0"/>
              <w:jc w:val="center"/>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76ADB2A2"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00AAEB10"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r>
      <w:tr w:rsidR="00BA2151" w:rsidRPr="00BA2151" w14:paraId="22CE4602" w14:textId="77777777" w:rsidTr="00BA2151">
        <w:trPr>
          <w:trHeight w:val="255"/>
        </w:trPr>
        <w:tc>
          <w:tcPr>
            <w:tcW w:w="9172" w:type="dxa"/>
            <w:gridSpan w:val="5"/>
            <w:tcBorders>
              <w:top w:val="nil"/>
              <w:left w:val="nil"/>
              <w:bottom w:val="nil"/>
              <w:right w:val="nil"/>
            </w:tcBorders>
            <w:shd w:val="clear" w:color="auto" w:fill="auto"/>
            <w:noWrap/>
            <w:vAlign w:val="bottom"/>
            <w:hideMark/>
          </w:tcPr>
          <w:p w14:paraId="3976EF7C"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r>
      <w:tr w:rsidR="00BA2151" w:rsidRPr="00BA2151" w14:paraId="38E89F17" w14:textId="77777777" w:rsidTr="00352D5F">
        <w:trPr>
          <w:trHeight w:val="510"/>
        </w:trPr>
        <w:tc>
          <w:tcPr>
            <w:tcW w:w="9172" w:type="dxa"/>
            <w:gridSpan w:val="5"/>
            <w:tcBorders>
              <w:top w:val="nil"/>
              <w:left w:val="nil"/>
              <w:bottom w:val="nil"/>
              <w:right w:val="nil"/>
            </w:tcBorders>
            <w:shd w:val="clear" w:color="auto" w:fill="auto"/>
            <w:hideMark/>
          </w:tcPr>
          <w:p w14:paraId="5E608C06" w14:textId="6A10B95D"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 xml:space="preserve">The financial statements on pages 3 to 6 were approved by the Governing Body on </w:t>
            </w:r>
            <w:r w:rsidR="0041308E" w:rsidRPr="005D36A9">
              <w:rPr>
                <w:rFonts w:eastAsia="Times New Roman" w:cs="Arial"/>
                <w:sz w:val="20"/>
                <w:szCs w:val="20"/>
                <w:lang w:eastAsia="en-GB"/>
              </w:rPr>
              <w:t>24 June 2024</w:t>
            </w:r>
            <w:r w:rsidRPr="00BA2151">
              <w:rPr>
                <w:rFonts w:eastAsia="Times New Roman" w:cs="Arial"/>
                <w:sz w:val="20"/>
                <w:szCs w:val="20"/>
                <w:lang w:eastAsia="en-GB"/>
              </w:rPr>
              <w:t xml:space="preserve"> and signed on its behalf by:</w:t>
            </w:r>
          </w:p>
        </w:tc>
      </w:tr>
      <w:tr w:rsidR="00BA2151" w:rsidRPr="00BA2151" w14:paraId="37E42FE9" w14:textId="77777777" w:rsidTr="00BA2151">
        <w:trPr>
          <w:trHeight w:val="250"/>
        </w:trPr>
        <w:tc>
          <w:tcPr>
            <w:tcW w:w="7720" w:type="dxa"/>
            <w:gridSpan w:val="3"/>
            <w:tcBorders>
              <w:top w:val="nil"/>
              <w:left w:val="nil"/>
              <w:bottom w:val="nil"/>
              <w:right w:val="nil"/>
            </w:tcBorders>
            <w:shd w:val="clear" w:color="auto" w:fill="auto"/>
            <w:noWrap/>
            <w:vAlign w:val="bottom"/>
            <w:hideMark/>
          </w:tcPr>
          <w:p w14:paraId="4F2C182F" w14:textId="77777777" w:rsidR="00BA2151" w:rsidRPr="00BA2151" w:rsidRDefault="00BA2151" w:rsidP="00BA2151">
            <w:pPr>
              <w:spacing w:before="0" w:after="0"/>
              <w:rPr>
                <w:rFonts w:eastAsia="Times New Roman" w:cs="Arial"/>
                <w:sz w:val="20"/>
                <w:szCs w:val="20"/>
                <w:lang w:eastAsia="en-GB"/>
              </w:rPr>
            </w:pPr>
          </w:p>
        </w:tc>
        <w:tc>
          <w:tcPr>
            <w:tcW w:w="272" w:type="dxa"/>
            <w:tcBorders>
              <w:top w:val="nil"/>
              <w:left w:val="nil"/>
              <w:bottom w:val="nil"/>
              <w:right w:val="nil"/>
            </w:tcBorders>
            <w:shd w:val="clear" w:color="auto" w:fill="auto"/>
            <w:noWrap/>
            <w:vAlign w:val="bottom"/>
            <w:hideMark/>
          </w:tcPr>
          <w:p w14:paraId="69A8B351"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07F40804"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r>
      <w:tr w:rsidR="00BA2151" w:rsidRPr="00BA2151" w14:paraId="6B9BB307" w14:textId="77777777" w:rsidTr="00BA2151">
        <w:trPr>
          <w:trHeight w:val="250"/>
        </w:trPr>
        <w:tc>
          <w:tcPr>
            <w:tcW w:w="5680" w:type="dxa"/>
            <w:tcBorders>
              <w:top w:val="nil"/>
              <w:left w:val="nil"/>
              <w:bottom w:val="nil"/>
              <w:right w:val="nil"/>
            </w:tcBorders>
            <w:shd w:val="clear" w:color="auto" w:fill="auto"/>
            <w:noWrap/>
            <w:vAlign w:val="bottom"/>
            <w:hideMark/>
          </w:tcPr>
          <w:p w14:paraId="480EC8CC"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720" w:type="dxa"/>
            <w:tcBorders>
              <w:top w:val="nil"/>
              <w:left w:val="nil"/>
              <w:bottom w:val="nil"/>
              <w:right w:val="nil"/>
            </w:tcBorders>
            <w:shd w:val="clear" w:color="auto" w:fill="auto"/>
            <w:noWrap/>
            <w:vAlign w:val="bottom"/>
            <w:hideMark/>
          </w:tcPr>
          <w:p w14:paraId="7A3A1B10"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320" w:type="dxa"/>
            <w:tcBorders>
              <w:top w:val="nil"/>
              <w:left w:val="nil"/>
              <w:bottom w:val="nil"/>
              <w:right w:val="nil"/>
            </w:tcBorders>
            <w:shd w:val="clear" w:color="auto" w:fill="auto"/>
            <w:noWrap/>
            <w:vAlign w:val="bottom"/>
            <w:hideMark/>
          </w:tcPr>
          <w:p w14:paraId="222D36AA" w14:textId="77777777" w:rsidR="00BA2151" w:rsidRPr="00BA2151" w:rsidRDefault="00BA2151" w:rsidP="00BA2151">
            <w:pPr>
              <w:spacing w:before="0" w:after="0"/>
              <w:jc w:val="center"/>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3B96E95B"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27831A7B"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r>
      <w:tr w:rsidR="00BA2151" w:rsidRPr="00BA2151" w14:paraId="6081A5CB" w14:textId="77777777" w:rsidTr="00BA2151">
        <w:trPr>
          <w:trHeight w:val="250"/>
        </w:trPr>
        <w:tc>
          <w:tcPr>
            <w:tcW w:w="5680" w:type="dxa"/>
            <w:tcBorders>
              <w:top w:val="nil"/>
              <w:left w:val="nil"/>
              <w:bottom w:val="nil"/>
              <w:right w:val="nil"/>
            </w:tcBorders>
            <w:shd w:val="clear" w:color="auto" w:fill="auto"/>
            <w:noWrap/>
            <w:vAlign w:val="bottom"/>
            <w:hideMark/>
          </w:tcPr>
          <w:p w14:paraId="4F300549" w14:textId="77777777" w:rsidR="00BA2151" w:rsidRPr="00BA2151" w:rsidRDefault="00BA2151" w:rsidP="00BA2151">
            <w:pPr>
              <w:spacing w:before="0" w:after="0"/>
              <w:rPr>
                <w:rFonts w:eastAsia="Times New Roman" w:cs="Arial"/>
                <w:sz w:val="20"/>
                <w:szCs w:val="20"/>
                <w:lang w:eastAsia="en-GB"/>
              </w:rPr>
            </w:pPr>
            <w:r w:rsidRPr="00BA2151">
              <w:rPr>
                <w:rFonts w:eastAsia="Times New Roman" w:cs="Arial"/>
                <w:sz w:val="20"/>
                <w:szCs w:val="20"/>
                <w:lang w:eastAsia="en-GB"/>
              </w:rPr>
              <w:t>Interim Chief Executive Officer</w:t>
            </w:r>
          </w:p>
        </w:tc>
        <w:tc>
          <w:tcPr>
            <w:tcW w:w="720" w:type="dxa"/>
            <w:tcBorders>
              <w:top w:val="nil"/>
              <w:left w:val="nil"/>
              <w:bottom w:val="nil"/>
              <w:right w:val="nil"/>
            </w:tcBorders>
            <w:shd w:val="clear" w:color="auto" w:fill="auto"/>
            <w:noWrap/>
            <w:vAlign w:val="bottom"/>
            <w:hideMark/>
          </w:tcPr>
          <w:p w14:paraId="0047912C" w14:textId="77777777" w:rsidR="00BA2151" w:rsidRPr="00BA2151" w:rsidRDefault="00BA2151" w:rsidP="00BA2151">
            <w:pPr>
              <w:spacing w:before="0" w:after="0"/>
              <w:rPr>
                <w:rFonts w:eastAsia="Times New Roman" w:cs="Arial"/>
                <w:sz w:val="20"/>
                <w:szCs w:val="20"/>
                <w:lang w:eastAsia="en-GB"/>
              </w:rPr>
            </w:pPr>
          </w:p>
        </w:tc>
        <w:tc>
          <w:tcPr>
            <w:tcW w:w="1320" w:type="dxa"/>
            <w:tcBorders>
              <w:top w:val="nil"/>
              <w:left w:val="nil"/>
              <w:bottom w:val="nil"/>
              <w:right w:val="nil"/>
            </w:tcBorders>
            <w:shd w:val="clear" w:color="auto" w:fill="auto"/>
            <w:noWrap/>
            <w:vAlign w:val="bottom"/>
            <w:hideMark/>
          </w:tcPr>
          <w:p w14:paraId="5498FBAE" w14:textId="77777777" w:rsidR="00BA2151" w:rsidRPr="00BA2151" w:rsidRDefault="00BA2151" w:rsidP="00BA2151">
            <w:pPr>
              <w:spacing w:before="0" w:after="0"/>
              <w:jc w:val="center"/>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0BFC32FC"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653C9734"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r>
      <w:tr w:rsidR="00BA2151" w:rsidRPr="00BA2151" w14:paraId="6D979FD7" w14:textId="77777777" w:rsidTr="00BA2151">
        <w:trPr>
          <w:trHeight w:val="250"/>
        </w:trPr>
        <w:tc>
          <w:tcPr>
            <w:tcW w:w="5680" w:type="dxa"/>
            <w:tcBorders>
              <w:top w:val="nil"/>
              <w:left w:val="nil"/>
              <w:bottom w:val="nil"/>
              <w:right w:val="nil"/>
            </w:tcBorders>
            <w:shd w:val="clear" w:color="000000" w:fill="FFFFFF"/>
            <w:noWrap/>
            <w:vAlign w:val="bottom"/>
            <w:hideMark/>
          </w:tcPr>
          <w:p w14:paraId="68C238E8" w14:textId="77777777" w:rsidR="00BA2151" w:rsidRPr="00BA2151" w:rsidRDefault="00BA2151" w:rsidP="00BA2151">
            <w:pPr>
              <w:spacing w:before="0" w:after="0"/>
              <w:rPr>
                <w:rFonts w:eastAsia="Times New Roman" w:cs="Arial"/>
                <w:color w:val="000000"/>
                <w:sz w:val="20"/>
                <w:szCs w:val="20"/>
                <w:lang w:eastAsia="en-GB"/>
              </w:rPr>
            </w:pPr>
            <w:r w:rsidRPr="00BA2151">
              <w:rPr>
                <w:rFonts w:eastAsia="Times New Roman" w:cs="Arial"/>
                <w:color w:val="000000"/>
                <w:sz w:val="20"/>
                <w:szCs w:val="20"/>
                <w:lang w:eastAsia="en-GB"/>
              </w:rPr>
              <w:t>Tracy Dowling</w:t>
            </w:r>
          </w:p>
        </w:tc>
        <w:tc>
          <w:tcPr>
            <w:tcW w:w="720" w:type="dxa"/>
            <w:tcBorders>
              <w:top w:val="nil"/>
              <w:left w:val="nil"/>
              <w:bottom w:val="nil"/>
              <w:right w:val="nil"/>
            </w:tcBorders>
            <w:shd w:val="clear" w:color="auto" w:fill="auto"/>
            <w:noWrap/>
            <w:vAlign w:val="bottom"/>
            <w:hideMark/>
          </w:tcPr>
          <w:p w14:paraId="7E0E0627" w14:textId="77777777" w:rsidR="00BA2151" w:rsidRPr="00BA2151" w:rsidRDefault="00BA2151" w:rsidP="00BA2151">
            <w:pPr>
              <w:spacing w:before="0" w:after="0"/>
              <w:rPr>
                <w:rFonts w:eastAsia="Times New Roman" w:cs="Arial"/>
                <w:color w:val="000000"/>
                <w:sz w:val="20"/>
                <w:szCs w:val="20"/>
                <w:lang w:eastAsia="en-GB"/>
              </w:rPr>
            </w:pPr>
          </w:p>
        </w:tc>
        <w:tc>
          <w:tcPr>
            <w:tcW w:w="1320" w:type="dxa"/>
            <w:tcBorders>
              <w:top w:val="nil"/>
              <w:left w:val="nil"/>
              <w:bottom w:val="nil"/>
              <w:right w:val="nil"/>
            </w:tcBorders>
            <w:shd w:val="clear" w:color="auto" w:fill="auto"/>
            <w:noWrap/>
            <w:vAlign w:val="bottom"/>
            <w:hideMark/>
          </w:tcPr>
          <w:p w14:paraId="7B0EF941" w14:textId="77777777" w:rsidR="00BA2151" w:rsidRPr="00BA2151" w:rsidRDefault="00BA2151" w:rsidP="00BA2151">
            <w:pPr>
              <w:spacing w:before="0" w:after="0"/>
              <w:jc w:val="center"/>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087D32D2"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46134DAC" w14:textId="77777777" w:rsidR="00BA2151" w:rsidRPr="00BA2151" w:rsidRDefault="00BA2151" w:rsidP="00BA2151">
            <w:pPr>
              <w:spacing w:before="0" w:after="0"/>
              <w:rPr>
                <w:rFonts w:ascii="Times New Roman" w:eastAsia="Times New Roman" w:hAnsi="Times New Roman" w:cs="Times New Roman"/>
                <w:sz w:val="20"/>
                <w:szCs w:val="20"/>
                <w:lang w:eastAsia="en-GB"/>
              </w:rPr>
            </w:pPr>
          </w:p>
        </w:tc>
      </w:tr>
    </w:tbl>
    <w:p w14:paraId="2EA2073D" w14:textId="77777777" w:rsidR="00DD246C" w:rsidRDefault="00DD246C">
      <w:pPr>
        <w:spacing w:before="0" w:after="200" w:line="276" w:lineRule="auto"/>
      </w:pPr>
    </w:p>
    <w:tbl>
      <w:tblPr>
        <w:tblW w:w="9611" w:type="dxa"/>
        <w:tblLook w:val="04A0" w:firstRow="1" w:lastRow="0" w:firstColumn="1" w:lastColumn="0" w:noHBand="0" w:noVBand="1"/>
      </w:tblPr>
      <w:tblGrid>
        <w:gridCol w:w="6379"/>
        <w:gridCol w:w="400"/>
        <w:gridCol w:w="1280"/>
        <w:gridCol w:w="272"/>
        <w:gridCol w:w="1280"/>
      </w:tblGrid>
      <w:tr w:rsidR="00FD5062" w:rsidRPr="00FD5062" w14:paraId="408F70F4" w14:textId="77777777" w:rsidTr="00187B5B">
        <w:trPr>
          <w:trHeight w:val="260"/>
        </w:trPr>
        <w:tc>
          <w:tcPr>
            <w:tcW w:w="9611" w:type="dxa"/>
            <w:gridSpan w:val="5"/>
            <w:tcBorders>
              <w:top w:val="nil"/>
              <w:left w:val="nil"/>
              <w:bottom w:val="nil"/>
            </w:tcBorders>
            <w:shd w:val="clear" w:color="auto" w:fill="auto"/>
            <w:noWrap/>
            <w:vAlign w:val="bottom"/>
            <w:hideMark/>
          </w:tcPr>
          <w:p w14:paraId="761FE48A" w14:textId="4414B003" w:rsidR="00FD5062" w:rsidRPr="00FD5062" w:rsidRDefault="00FD5062" w:rsidP="00FD5062">
            <w:pPr>
              <w:spacing w:before="0" w:after="0"/>
              <w:rPr>
                <w:rFonts w:ascii="Times New Roman" w:eastAsia="Times New Roman" w:hAnsi="Times New Roman" w:cs="Times New Roman"/>
                <w:sz w:val="20"/>
                <w:szCs w:val="20"/>
                <w:lang w:eastAsia="en-GB"/>
              </w:rPr>
            </w:pPr>
            <w:r w:rsidRPr="00FD5062">
              <w:rPr>
                <w:rFonts w:eastAsia="Times New Roman" w:cs="Arial"/>
                <w:i/>
                <w:iCs/>
                <w:sz w:val="20"/>
                <w:szCs w:val="20"/>
                <w:lang w:eastAsia="en-GB"/>
              </w:rPr>
              <w:lastRenderedPageBreak/>
              <w:t>NHS Mid and South Essex Integrated Care Board - Statutory Accounts 2023-24</w:t>
            </w:r>
          </w:p>
        </w:tc>
      </w:tr>
      <w:tr w:rsidR="00FD5062" w:rsidRPr="00FD5062" w14:paraId="7E492B9B" w14:textId="77777777" w:rsidTr="00FD5062">
        <w:trPr>
          <w:trHeight w:val="250"/>
        </w:trPr>
        <w:tc>
          <w:tcPr>
            <w:tcW w:w="6379" w:type="dxa"/>
            <w:tcBorders>
              <w:top w:val="nil"/>
              <w:left w:val="nil"/>
              <w:bottom w:val="nil"/>
              <w:right w:val="nil"/>
            </w:tcBorders>
            <w:shd w:val="clear" w:color="auto" w:fill="auto"/>
            <w:noWrap/>
            <w:vAlign w:val="bottom"/>
            <w:hideMark/>
          </w:tcPr>
          <w:p w14:paraId="59ED0CFE"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400" w:type="dxa"/>
            <w:tcBorders>
              <w:top w:val="nil"/>
              <w:left w:val="nil"/>
              <w:bottom w:val="nil"/>
              <w:right w:val="nil"/>
            </w:tcBorders>
            <w:shd w:val="clear" w:color="auto" w:fill="auto"/>
            <w:noWrap/>
            <w:vAlign w:val="bottom"/>
            <w:hideMark/>
          </w:tcPr>
          <w:p w14:paraId="761849A2"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1CCDB222"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1A377395"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5C59DB91"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r>
      <w:tr w:rsidR="00FD5062" w:rsidRPr="00FD5062" w14:paraId="0B697F8F" w14:textId="77777777" w:rsidTr="00FD5062">
        <w:trPr>
          <w:trHeight w:val="260"/>
        </w:trPr>
        <w:tc>
          <w:tcPr>
            <w:tcW w:w="6379" w:type="dxa"/>
            <w:tcBorders>
              <w:top w:val="nil"/>
              <w:left w:val="nil"/>
              <w:bottom w:val="nil"/>
              <w:right w:val="nil"/>
            </w:tcBorders>
            <w:shd w:val="clear" w:color="auto" w:fill="auto"/>
            <w:noWrap/>
            <w:vAlign w:val="bottom"/>
            <w:hideMark/>
          </w:tcPr>
          <w:p w14:paraId="581AC2A8" w14:textId="77777777" w:rsidR="00FD5062" w:rsidRPr="00FD5062" w:rsidRDefault="00FD5062" w:rsidP="00FD5062">
            <w:pPr>
              <w:spacing w:before="0" w:after="0"/>
              <w:rPr>
                <w:rFonts w:eastAsia="Times New Roman" w:cs="Arial"/>
                <w:b/>
                <w:bCs/>
                <w:sz w:val="20"/>
                <w:szCs w:val="20"/>
                <w:lang w:eastAsia="en-GB"/>
              </w:rPr>
            </w:pPr>
            <w:bookmarkStart w:id="245" w:name="RANGE!A3"/>
            <w:r w:rsidRPr="00FD5062">
              <w:rPr>
                <w:rFonts w:eastAsia="Times New Roman" w:cs="Arial"/>
                <w:b/>
                <w:bCs/>
                <w:sz w:val="20"/>
                <w:szCs w:val="20"/>
                <w:lang w:eastAsia="en-GB"/>
              </w:rPr>
              <w:t>Statement of Changes In Taxpayers' Equity for the year ended</w:t>
            </w:r>
            <w:bookmarkEnd w:id="245"/>
          </w:p>
        </w:tc>
        <w:tc>
          <w:tcPr>
            <w:tcW w:w="400" w:type="dxa"/>
            <w:tcBorders>
              <w:top w:val="nil"/>
              <w:left w:val="nil"/>
              <w:bottom w:val="nil"/>
              <w:right w:val="nil"/>
            </w:tcBorders>
            <w:shd w:val="clear" w:color="auto" w:fill="auto"/>
            <w:noWrap/>
            <w:vAlign w:val="bottom"/>
            <w:hideMark/>
          </w:tcPr>
          <w:p w14:paraId="15AA8FDC" w14:textId="77777777" w:rsidR="00FD5062" w:rsidRPr="00FD5062" w:rsidRDefault="00FD5062" w:rsidP="00FD5062">
            <w:pPr>
              <w:spacing w:before="0" w:after="0"/>
              <w:rPr>
                <w:rFonts w:eastAsia="Times New Roman" w:cs="Arial"/>
                <w:b/>
                <w:bCs/>
                <w:sz w:val="20"/>
                <w:szCs w:val="20"/>
                <w:lang w:eastAsia="en-GB"/>
              </w:rPr>
            </w:pPr>
          </w:p>
        </w:tc>
        <w:tc>
          <w:tcPr>
            <w:tcW w:w="1280" w:type="dxa"/>
            <w:tcBorders>
              <w:top w:val="nil"/>
              <w:left w:val="nil"/>
              <w:bottom w:val="nil"/>
              <w:right w:val="nil"/>
            </w:tcBorders>
            <w:shd w:val="clear" w:color="auto" w:fill="auto"/>
            <w:noWrap/>
            <w:vAlign w:val="bottom"/>
            <w:hideMark/>
          </w:tcPr>
          <w:p w14:paraId="4B5DA2D1"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623C1918"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369BA083"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r>
      <w:tr w:rsidR="00FD5062" w:rsidRPr="00FD5062" w14:paraId="256B5C88" w14:textId="77777777" w:rsidTr="00FD5062">
        <w:trPr>
          <w:trHeight w:val="260"/>
        </w:trPr>
        <w:tc>
          <w:tcPr>
            <w:tcW w:w="6379" w:type="dxa"/>
            <w:tcBorders>
              <w:top w:val="nil"/>
              <w:left w:val="nil"/>
              <w:bottom w:val="nil"/>
              <w:right w:val="nil"/>
            </w:tcBorders>
            <w:shd w:val="clear" w:color="auto" w:fill="auto"/>
            <w:noWrap/>
            <w:vAlign w:val="bottom"/>
            <w:hideMark/>
          </w:tcPr>
          <w:p w14:paraId="694F4CBD" w14:textId="77777777" w:rsidR="00FD5062" w:rsidRPr="00FD5062" w:rsidRDefault="00FD5062" w:rsidP="00FD5062">
            <w:pPr>
              <w:spacing w:before="0" w:after="0"/>
              <w:rPr>
                <w:rFonts w:eastAsia="Times New Roman" w:cs="Arial"/>
                <w:b/>
                <w:bCs/>
                <w:sz w:val="20"/>
                <w:szCs w:val="20"/>
                <w:lang w:eastAsia="en-GB"/>
              </w:rPr>
            </w:pPr>
            <w:r w:rsidRPr="00FD5062">
              <w:rPr>
                <w:rFonts w:eastAsia="Times New Roman" w:cs="Arial"/>
                <w:b/>
                <w:bCs/>
                <w:sz w:val="20"/>
                <w:szCs w:val="20"/>
                <w:lang w:eastAsia="en-GB"/>
              </w:rPr>
              <w:t>31 March 24</w:t>
            </w:r>
          </w:p>
        </w:tc>
        <w:tc>
          <w:tcPr>
            <w:tcW w:w="400" w:type="dxa"/>
            <w:tcBorders>
              <w:top w:val="nil"/>
              <w:left w:val="nil"/>
              <w:bottom w:val="nil"/>
              <w:right w:val="nil"/>
            </w:tcBorders>
            <w:shd w:val="clear" w:color="auto" w:fill="auto"/>
            <w:noWrap/>
            <w:vAlign w:val="bottom"/>
            <w:hideMark/>
          </w:tcPr>
          <w:p w14:paraId="223FECEB" w14:textId="77777777" w:rsidR="00FD5062" w:rsidRPr="00FD5062" w:rsidRDefault="00FD5062" w:rsidP="00FD5062">
            <w:pPr>
              <w:spacing w:before="0" w:after="0"/>
              <w:rPr>
                <w:rFonts w:eastAsia="Times New Roman" w:cs="Arial"/>
                <w:b/>
                <w:bCs/>
                <w:sz w:val="20"/>
                <w:szCs w:val="20"/>
                <w:lang w:eastAsia="en-GB"/>
              </w:rPr>
            </w:pPr>
          </w:p>
        </w:tc>
        <w:tc>
          <w:tcPr>
            <w:tcW w:w="1280" w:type="dxa"/>
            <w:tcBorders>
              <w:top w:val="nil"/>
              <w:left w:val="nil"/>
              <w:bottom w:val="nil"/>
              <w:right w:val="nil"/>
            </w:tcBorders>
            <w:shd w:val="clear" w:color="auto" w:fill="auto"/>
            <w:noWrap/>
            <w:vAlign w:val="bottom"/>
            <w:hideMark/>
          </w:tcPr>
          <w:p w14:paraId="0970A953"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421C803C"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5A7068A5"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r>
      <w:tr w:rsidR="00FD5062" w:rsidRPr="00FD5062" w14:paraId="6B990052" w14:textId="77777777" w:rsidTr="00FD5062">
        <w:trPr>
          <w:trHeight w:val="120"/>
        </w:trPr>
        <w:tc>
          <w:tcPr>
            <w:tcW w:w="6379" w:type="dxa"/>
            <w:tcBorders>
              <w:top w:val="nil"/>
              <w:left w:val="nil"/>
              <w:bottom w:val="nil"/>
              <w:right w:val="nil"/>
            </w:tcBorders>
            <w:shd w:val="clear" w:color="auto" w:fill="auto"/>
            <w:noWrap/>
            <w:vAlign w:val="bottom"/>
            <w:hideMark/>
          </w:tcPr>
          <w:p w14:paraId="22C99809"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400" w:type="dxa"/>
            <w:tcBorders>
              <w:top w:val="nil"/>
              <w:left w:val="nil"/>
              <w:bottom w:val="nil"/>
              <w:right w:val="nil"/>
            </w:tcBorders>
            <w:shd w:val="clear" w:color="auto" w:fill="auto"/>
            <w:noWrap/>
            <w:vAlign w:val="bottom"/>
            <w:hideMark/>
          </w:tcPr>
          <w:p w14:paraId="2ADA67D0"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17CD6889"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3E301EAB"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57156A39"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r>
      <w:tr w:rsidR="00FD5062" w:rsidRPr="00FD5062" w14:paraId="30F32FCA" w14:textId="77777777" w:rsidTr="00FD5062">
        <w:trPr>
          <w:trHeight w:val="550"/>
        </w:trPr>
        <w:tc>
          <w:tcPr>
            <w:tcW w:w="6379" w:type="dxa"/>
            <w:tcBorders>
              <w:top w:val="nil"/>
              <w:left w:val="nil"/>
              <w:bottom w:val="nil"/>
              <w:right w:val="nil"/>
            </w:tcBorders>
            <w:shd w:val="clear" w:color="auto" w:fill="auto"/>
            <w:vAlign w:val="bottom"/>
            <w:hideMark/>
          </w:tcPr>
          <w:p w14:paraId="67AE2E0B"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400" w:type="dxa"/>
            <w:tcBorders>
              <w:top w:val="nil"/>
              <w:left w:val="nil"/>
              <w:bottom w:val="nil"/>
              <w:right w:val="nil"/>
            </w:tcBorders>
            <w:shd w:val="clear" w:color="auto" w:fill="auto"/>
            <w:vAlign w:val="bottom"/>
            <w:hideMark/>
          </w:tcPr>
          <w:p w14:paraId="20293756"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vAlign w:val="bottom"/>
            <w:hideMark/>
          </w:tcPr>
          <w:p w14:paraId="683CA1D3" w14:textId="77777777" w:rsidR="00FD5062" w:rsidRPr="00FD5062" w:rsidRDefault="00FD5062" w:rsidP="00FD5062">
            <w:pPr>
              <w:spacing w:before="0" w:after="0"/>
              <w:jc w:val="right"/>
              <w:rPr>
                <w:rFonts w:eastAsia="Times New Roman" w:cs="Arial"/>
                <w:b/>
                <w:bCs/>
                <w:sz w:val="20"/>
                <w:szCs w:val="20"/>
                <w:lang w:eastAsia="en-GB"/>
              </w:rPr>
            </w:pPr>
            <w:r w:rsidRPr="00FD5062">
              <w:rPr>
                <w:rFonts w:eastAsia="Times New Roman" w:cs="Arial"/>
                <w:b/>
                <w:bCs/>
                <w:sz w:val="20"/>
                <w:szCs w:val="20"/>
                <w:lang w:eastAsia="en-GB"/>
              </w:rPr>
              <w:t xml:space="preserve"> General fund </w:t>
            </w:r>
          </w:p>
        </w:tc>
        <w:tc>
          <w:tcPr>
            <w:tcW w:w="272" w:type="dxa"/>
            <w:tcBorders>
              <w:top w:val="nil"/>
              <w:left w:val="nil"/>
              <w:bottom w:val="nil"/>
              <w:right w:val="nil"/>
            </w:tcBorders>
            <w:shd w:val="clear" w:color="auto" w:fill="auto"/>
            <w:vAlign w:val="bottom"/>
            <w:hideMark/>
          </w:tcPr>
          <w:p w14:paraId="791915B5" w14:textId="77777777" w:rsidR="00FD5062" w:rsidRPr="00FD5062" w:rsidRDefault="00FD5062" w:rsidP="00FD5062">
            <w:pPr>
              <w:spacing w:before="0" w:after="0"/>
              <w:jc w:val="right"/>
              <w:rPr>
                <w:rFonts w:eastAsia="Times New Roman" w:cs="Arial"/>
                <w:b/>
                <w:bCs/>
                <w:sz w:val="20"/>
                <w:szCs w:val="20"/>
                <w:lang w:eastAsia="en-GB"/>
              </w:rPr>
            </w:pPr>
          </w:p>
        </w:tc>
        <w:tc>
          <w:tcPr>
            <w:tcW w:w="1280" w:type="dxa"/>
            <w:tcBorders>
              <w:top w:val="nil"/>
              <w:left w:val="nil"/>
              <w:bottom w:val="nil"/>
              <w:right w:val="nil"/>
            </w:tcBorders>
            <w:shd w:val="clear" w:color="auto" w:fill="auto"/>
            <w:vAlign w:val="bottom"/>
            <w:hideMark/>
          </w:tcPr>
          <w:p w14:paraId="5262BCD6" w14:textId="77777777" w:rsidR="00FD5062" w:rsidRPr="00FD5062" w:rsidRDefault="00FD5062" w:rsidP="00FD5062">
            <w:pPr>
              <w:spacing w:before="0" w:after="0"/>
              <w:jc w:val="right"/>
              <w:rPr>
                <w:rFonts w:eastAsia="Times New Roman" w:cs="Arial"/>
                <w:b/>
                <w:bCs/>
                <w:sz w:val="20"/>
                <w:szCs w:val="20"/>
                <w:lang w:eastAsia="en-GB"/>
              </w:rPr>
            </w:pPr>
            <w:r w:rsidRPr="00FD5062">
              <w:rPr>
                <w:rFonts w:eastAsia="Times New Roman" w:cs="Arial"/>
                <w:b/>
                <w:bCs/>
                <w:sz w:val="20"/>
                <w:szCs w:val="20"/>
                <w:lang w:eastAsia="en-GB"/>
              </w:rPr>
              <w:t xml:space="preserve"> Total reserves </w:t>
            </w:r>
          </w:p>
        </w:tc>
      </w:tr>
      <w:tr w:rsidR="00FD5062" w:rsidRPr="00FD5062" w14:paraId="3003C603" w14:textId="77777777" w:rsidTr="00FD5062">
        <w:trPr>
          <w:trHeight w:val="260"/>
        </w:trPr>
        <w:tc>
          <w:tcPr>
            <w:tcW w:w="6379" w:type="dxa"/>
            <w:tcBorders>
              <w:top w:val="nil"/>
              <w:left w:val="nil"/>
              <w:bottom w:val="nil"/>
              <w:right w:val="nil"/>
            </w:tcBorders>
            <w:shd w:val="clear" w:color="auto" w:fill="auto"/>
            <w:noWrap/>
            <w:vAlign w:val="bottom"/>
            <w:hideMark/>
          </w:tcPr>
          <w:p w14:paraId="7C7D2E3F" w14:textId="77777777" w:rsidR="00FD5062" w:rsidRPr="00FD5062" w:rsidRDefault="00FD5062" w:rsidP="00FD5062">
            <w:pPr>
              <w:spacing w:before="0" w:after="0"/>
              <w:jc w:val="right"/>
              <w:rPr>
                <w:rFonts w:eastAsia="Times New Roman" w:cs="Arial"/>
                <w:b/>
                <w:bCs/>
                <w:sz w:val="20"/>
                <w:szCs w:val="20"/>
                <w:lang w:eastAsia="en-GB"/>
              </w:rPr>
            </w:pPr>
          </w:p>
        </w:tc>
        <w:tc>
          <w:tcPr>
            <w:tcW w:w="400" w:type="dxa"/>
            <w:tcBorders>
              <w:top w:val="nil"/>
              <w:left w:val="nil"/>
              <w:bottom w:val="nil"/>
              <w:right w:val="nil"/>
            </w:tcBorders>
            <w:shd w:val="clear" w:color="auto" w:fill="auto"/>
            <w:noWrap/>
            <w:vAlign w:val="bottom"/>
            <w:hideMark/>
          </w:tcPr>
          <w:p w14:paraId="69642D3B"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4328247F" w14:textId="77777777" w:rsidR="00FD5062" w:rsidRPr="00FD5062" w:rsidRDefault="00FD5062" w:rsidP="00FD5062">
            <w:pPr>
              <w:spacing w:before="0" w:after="0"/>
              <w:jc w:val="right"/>
              <w:rPr>
                <w:rFonts w:eastAsia="Times New Roman" w:cs="Arial"/>
                <w:b/>
                <w:bCs/>
                <w:sz w:val="20"/>
                <w:szCs w:val="20"/>
                <w:lang w:eastAsia="en-GB"/>
              </w:rPr>
            </w:pPr>
            <w:r w:rsidRPr="00FD5062">
              <w:rPr>
                <w:rFonts w:eastAsia="Times New Roman" w:cs="Arial"/>
                <w:b/>
                <w:bCs/>
                <w:sz w:val="20"/>
                <w:szCs w:val="20"/>
                <w:lang w:eastAsia="en-GB"/>
              </w:rPr>
              <w:t xml:space="preserve"> £'000 </w:t>
            </w:r>
          </w:p>
        </w:tc>
        <w:tc>
          <w:tcPr>
            <w:tcW w:w="272" w:type="dxa"/>
            <w:tcBorders>
              <w:top w:val="nil"/>
              <w:left w:val="nil"/>
              <w:bottom w:val="nil"/>
              <w:right w:val="nil"/>
            </w:tcBorders>
            <w:shd w:val="clear" w:color="auto" w:fill="auto"/>
            <w:noWrap/>
            <w:vAlign w:val="bottom"/>
            <w:hideMark/>
          </w:tcPr>
          <w:p w14:paraId="760D03D6" w14:textId="77777777" w:rsidR="00FD5062" w:rsidRPr="00FD5062" w:rsidRDefault="00FD5062" w:rsidP="00FD5062">
            <w:pPr>
              <w:spacing w:before="0" w:after="0"/>
              <w:jc w:val="right"/>
              <w:rPr>
                <w:rFonts w:eastAsia="Times New Roman" w:cs="Arial"/>
                <w:b/>
                <w:bCs/>
                <w:sz w:val="20"/>
                <w:szCs w:val="20"/>
                <w:lang w:eastAsia="en-GB"/>
              </w:rPr>
            </w:pPr>
          </w:p>
        </w:tc>
        <w:tc>
          <w:tcPr>
            <w:tcW w:w="1280" w:type="dxa"/>
            <w:tcBorders>
              <w:top w:val="nil"/>
              <w:left w:val="nil"/>
              <w:bottom w:val="nil"/>
              <w:right w:val="nil"/>
            </w:tcBorders>
            <w:shd w:val="clear" w:color="auto" w:fill="auto"/>
            <w:noWrap/>
            <w:vAlign w:val="bottom"/>
            <w:hideMark/>
          </w:tcPr>
          <w:p w14:paraId="6C591191" w14:textId="77777777" w:rsidR="00FD5062" w:rsidRPr="00FD5062" w:rsidRDefault="00FD5062" w:rsidP="00FD5062">
            <w:pPr>
              <w:spacing w:before="0" w:after="0"/>
              <w:jc w:val="right"/>
              <w:rPr>
                <w:rFonts w:eastAsia="Times New Roman" w:cs="Arial"/>
                <w:b/>
                <w:bCs/>
                <w:sz w:val="20"/>
                <w:szCs w:val="20"/>
                <w:lang w:eastAsia="en-GB"/>
              </w:rPr>
            </w:pPr>
            <w:r w:rsidRPr="00FD5062">
              <w:rPr>
                <w:rFonts w:eastAsia="Times New Roman" w:cs="Arial"/>
                <w:b/>
                <w:bCs/>
                <w:sz w:val="20"/>
                <w:szCs w:val="20"/>
                <w:lang w:eastAsia="en-GB"/>
              </w:rPr>
              <w:t xml:space="preserve"> £'000 </w:t>
            </w:r>
          </w:p>
        </w:tc>
      </w:tr>
      <w:tr w:rsidR="00FD5062" w:rsidRPr="00FD5062" w14:paraId="44437A4F" w14:textId="77777777" w:rsidTr="00FD5062">
        <w:trPr>
          <w:trHeight w:val="260"/>
        </w:trPr>
        <w:tc>
          <w:tcPr>
            <w:tcW w:w="6379" w:type="dxa"/>
            <w:tcBorders>
              <w:top w:val="nil"/>
              <w:left w:val="nil"/>
              <w:bottom w:val="nil"/>
              <w:right w:val="nil"/>
            </w:tcBorders>
            <w:shd w:val="clear" w:color="auto" w:fill="auto"/>
            <w:noWrap/>
            <w:vAlign w:val="bottom"/>
            <w:hideMark/>
          </w:tcPr>
          <w:p w14:paraId="1BD02EF1" w14:textId="77777777" w:rsidR="00FD5062" w:rsidRPr="00FD5062" w:rsidRDefault="00FD5062" w:rsidP="00FD5062">
            <w:pPr>
              <w:spacing w:before="0" w:after="0"/>
              <w:rPr>
                <w:rFonts w:eastAsia="Times New Roman" w:cs="Arial"/>
                <w:b/>
                <w:bCs/>
                <w:sz w:val="20"/>
                <w:szCs w:val="20"/>
                <w:lang w:eastAsia="en-GB"/>
              </w:rPr>
            </w:pPr>
            <w:r w:rsidRPr="00FD5062">
              <w:rPr>
                <w:rFonts w:eastAsia="Times New Roman" w:cs="Arial"/>
                <w:b/>
                <w:bCs/>
                <w:sz w:val="20"/>
                <w:szCs w:val="20"/>
                <w:lang w:eastAsia="en-GB"/>
              </w:rPr>
              <w:t>Changes in taxpayers’ equity for 2023-24 (Apr-23 to Mar-24)</w:t>
            </w:r>
          </w:p>
        </w:tc>
        <w:tc>
          <w:tcPr>
            <w:tcW w:w="400" w:type="dxa"/>
            <w:tcBorders>
              <w:top w:val="nil"/>
              <w:left w:val="nil"/>
              <w:bottom w:val="nil"/>
              <w:right w:val="nil"/>
            </w:tcBorders>
            <w:shd w:val="clear" w:color="auto" w:fill="auto"/>
            <w:noWrap/>
            <w:vAlign w:val="bottom"/>
            <w:hideMark/>
          </w:tcPr>
          <w:p w14:paraId="1CA5A2D4" w14:textId="77777777" w:rsidR="00FD5062" w:rsidRPr="00FD5062" w:rsidRDefault="00FD5062" w:rsidP="00FD5062">
            <w:pPr>
              <w:spacing w:before="0" w:after="0"/>
              <w:rPr>
                <w:rFonts w:eastAsia="Times New Roman" w:cs="Arial"/>
                <w:b/>
                <w:bCs/>
                <w:sz w:val="20"/>
                <w:szCs w:val="20"/>
                <w:lang w:eastAsia="en-GB"/>
              </w:rPr>
            </w:pPr>
          </w:p>
        </w:tc>
        <w:tc>
          <w:tcPr>
            <w:tcW w:w="1280" w:type="dxa"/>
            <w:tcBorders>
              <w:top w:val="nil"/>
              <w:left w:val="nil"/>
              <w:bottom w:val="nil"/>
              <w:right w:val="nil"/>
            </w:tcBorders>
            <w:shd w:val="clear" w:color="auto" w:fill="auto"/>
            <w:noWrap/>
            <w:vAlign w:val="bottom"/>
            <w:hideMark/>
          </w:tcPr>
          <w:p w14:paraId="1964593D"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39C031CF"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1D4391F7"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r>
      <w:tr w:rsidR="00FD5062" w:rsidRPr="00FD5062" w14:paraId="38454EFD" w14:textId="77777777" w:rsidTr="00FD5062">
        <w:trPr>
          <w:trHeight w:val="250"/>
        </w:trPr>
        <w:tc>
          <w:tcPr>
            <w:tcW w:w="6379" w:type="dxa"/>
            <w:tcBorders>
              <w:top w:val="nil"/>
              <w:left w:val="nil"/>
              <w:bottom w:val="nil"/>
              <w:right w:val="nil"/>
            </w:tcBorders>
            <w:shd w:val="clear" w:color="auto" w:fill="auto"/>
            <w:noWrap/>
            <w:vAlign w:val="bottom"/>
            <w:hideMark/>
          </w:tcPr>
          <w:p w14:paraId="6BB810C6"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400" w:type="dxa"/>
            <w:tcBorders>
              <w:top w:val="nil"/>
              <w:left w:val="nil"/>
              <w:bottom w:val="nil"/>
              <w:right w:val="nil"/>
            </w:tcBorders>
            <w:shd w:val="clear" w:color="auto" w:fill="auto"/>
            <w:noWrap/>
            <w:vAlign w:val="bottom"/>
            <w:hideMark/>
          </w:tcPr>
          <w:p w14:paraId="0F68613C"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32670474"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35229ED2"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0C33BF79"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r>
      <w:tr w:rsidR="00FD5062" w:rsidRPr="00FD5062" w14:paraId="6580A993" w14:textId="77777777" w:rsidTr="00FD5062">
        <w:trPr>
          <w:trHeight w:val="260"/>
        </w:trPr>
        <w:tc>
          <w:tcPr>
            <w:tcW w:w="6379" w:type="dxa"/>
            <w:tcBorders>
              <w:top w:val="nil"/>
              <w:left w:val="nil"/>
              <w:bottom w:val="nil"/>
              <w:right w:val="nil"/>
            </w:tcBorders>
            <w:shd w:val="clear" w:color="auto" w:fill="auto"/>
            <w:noWrap/>
            <w:vAlign w:val="bottom"/>
            <w:hideMark/>
          </w:tcPr>
          <w:p w14:paraId="55F40511" w14:textId="77777777" w:rsidR="00FD5062" w:rsidRPr="00FD5062" w:rsidRDefault="00FD5062" w:rsidP="00FD5062">
            <w:pPr>
              <w:spacing w:before="0" w:after="0"/>
              <w:rPr>
                <w:rFonts w:eastAsia="Times New Roman" w:cs="Arial"/>
                <w:b/>
                <w:bCs/>
                <w:sz w:val="20"/>
                <w:szCs w:val="20"/>
                <w:lang w:eastAsia="en-GB"/>
              </w:rPr>
            </w:pPr>
            <w:r w:rsidRPr="00FD5062">
              <w:rPr>
                <w:rFonts w:eastAsia="Times New Roman" w:cs="Arial"/>
                <w:b/>
                <w:bCs/>
                <w:sz w:val="20"/>
                <w:szCs w:val="20"/>
                <w:lang w:eastAsia="en-GB"/>
              </w:rPr>
              <w:t>Balance at 01 April 23</w:t>
            </w:r>
          </w:p>
        </w:tc>
        <w:tc>
          <w:tcPr>
            <w:tcW w:w="400" w:type="dxa"/>
            <w:tcBorders>
              <w:top w:val="nil"/>
              <w:left w:val="nil"/>
              <w:bottom w:val="nil"/>
              <w:right w:val="nil"/>
            </w:tcBorders>
            <w:shd w:val="clear" w:color="auto" w:fill="auto"/>
            <w:noWrap/>
            <w:vAlign w:val="bottom"/>
            <w:hideMark/>
          </w:tcPr>
          <w:p w14:paraId="0D73501F" w14:textId="77777777" w:rsidR="00FD5062" w:rsidRPr="00FD5062" w:rsidRDefault="00FD5062" w:rsidP="00FD5062">
            <w:pPr>
              <w:spacing w:before="0" w:after="0"/>
              <w:rPr>
                <w:rFonts w:eastAsia="Times New Roman" w:cs="Arial"/>
                <w:b/>
                <w:bCs/>
                <w:sz w:val="20"/>
                <w:szCs w:val="20"/>
                <w:lang w:eastAsia="en-GB"/>
              </w:rPr>
            </w:pPr>
          </w:p>
        </w:tc>
        <w:tc>
          <w:tcPr>
            <w:tcW w:w="1280" w:type="dxa"/>
            <w:tcBorders>
              <w:top w:val="nil"/>
              <w:left w:val="nil"/>
              <w:bottom w:val="nil"/>
              <w:right w:val="nil"/>
            </w:tcBorders>
            <w:shd w:val="clear" w:color="000000" w:fill="FFFFFF"/>
            <w:noWrap/>
            <w:vAlign w:val="bottom"/>
            <w:hideMark/>
          </w:tcPr>
          <w:p w14:paraId="1BD55ACE" w14:textId="77777777" w:rsidR="00FD5062" w:rsidRPr="00FD5062" w:rsidRDefault="00FD5062" w:rsidP="00FD5062">
            <w:pPr>
              <w:spacing w:before="0" w:after="0"/>
              <w:jc w:val="right"/>
              <w:rPr>
                <w:rFonts w:eastAsia="Times New Roman" w:cs="Arial"/>
                <w:sz w:val="20"/>
                <w:szCs w:val="20"/>
                <w:lang w:eastAsia="en-GB"/>
              </w:rPr>
            </w:pPr>
            <w:r w:rsidRPr="00FD5062">
              <w:rPr>
                <w:rFonts w:eastAsia="Times New Roman" w:cs="Arial"/>
                <w:sz w:val="20"/>
                <w:szCs w:val="20"/>
                <w:lang w:eastAsia="en-GB"/>
              </w:rPr>
              <w:t>(179,100)</w:t>
            </w:r>
          </w:p>
        </w:tc>
        <w:tc>
          <w:tcPr>
            <w:tcW w:w="272" w:type="dxa"/>
            <w:tcBorders>
              <w:top w:val="nil"/>
              <w:left w:val="nil"/>
              <w:bottom w:val="nil"/>
              <w:right w:val="nil"/>
            </w:tcBorders>
            <w:shd w:val="clear" w:color="000000" w:fill="FFFFFF"/>
            <w:noWrap/>
            <w:vAlign w:val="bottom"/>
            <w:hideMark/>
          </w:tcPr>
          <w:p w14:paraId="63094463" w14:textId="77777777" w:rsidR="00FD5062" w:rsidRPr="00FD5062" w:rsidRDefault="00FD5062" w:rsidP="00FD5062">
            <w:pPr>
              <w:spacing w:before="0" w:after="0"/>
              <w:rPr>
                <w:rFonts w:eastAsia="Times New Roman" w:cs="Arial"/>
                <w:sz w:val="20"/>
                <w:szCs w:val="20"/>
                <w:lang w:eastAsia="en-GB"/>
              </w:rPr>
            </w:pPr>
            <w:r w:rsidRPr="00FD5062">
              <w:rPr>
                <w:rFonts w:eastAsia="Times New Roman" w:cs="Arial"/>
                <w:sz w:val="20"/>
                <w:szCs w:val="20"/>
                <w:lang w:eastAsia="en-GB"/>
              </w:rPr>
              <w:t> </w:t>
            </w:r>
          </w:p>
        </w:tc>
        <w:tc>
          <w:tcPr>
            <w:tcW w:w="1280" w:type="dxa"/>
            <w:tcBorders>
              <w:top w:val="nil"/>
              <w:left w:val="nil"/>
              <w:bottom w:val="nil"/>
              <w:right w:val="nil"/>
            </w:tcBorders>
            <w:shd w:val="clear" w:color="000000" w:fill="FFFFFF"/>
            <w:noWrap/>
            <w:vAlign w:val="bottom"/>
            <w:hideMark/>
          </w:tcPr>
          <w:p w14:paraId="7591629A" w14:textId="77777777" w:rsidR="00FD5062" w:rsidRPr="00FD5062" w:rsidRDefault="00FD5062" w:rsidP="00FD5062">
            <w:pPr>
              <w:spacing w:before="0" w:after="0"/>
              <w:jc w:val="right"/>
              <w:rPr>
                <w:rFonts w:eastAsia="Times New Roman" w:cs="Arial"/>
                <w:b/>
                <w:bCs/>
                <w:sz w:val="20"/>
                <w:szCs w:val="20"/>
                <w:lang w:eastAsia="en-GB"/>
              </w:rPr>
            </w:pPr>
            <w:r w:rsidRPr="00FD5062">
              <w:rPr>
                <w:rFonts w:eastAsia="Times New Roman" w:cs="Arial"/>
                <w:b/>
                <w:bCs/>
                <w:sz w:val="20"/>
                <w:szCs w:val="20"/>
                <w:lang w:eastAsia="en-GB"/>
              </w:rPr>
              <w:t>(179,100)</w:t>
            </w:r>
          </w:p>
        </w:tc>
      </w:tr>
      <w:tr w:rsidR="00FD5062" w:rsidRPr="00FD5062" w14:paraId="0FC2103E" w14:textId="77777777" w:rsidTr="00FD5062">
        <w:trPr>
          <w:trHeight w:val="270"/>
        </w:trPr>
        <w:tc>
          <w:tcPr>
            <w:tcW w:w="6379" w:type="dxa"/>
            <w:tcBorders>
              <w:top w:val="nil"/>
              <w:left w:val="nil"/>
              <w:bottom w:val="nil"/>
              <w:right w:val="nil"/>
            </w:tcBorders>
            <w:shd w:val="clear" w:color="auto" w:fill="auto"/>
            <w:noWrap/>
            <w:vAlign w:val="bottom"/>
            <w:hideMark/>
          </w:tcPr>
          <w:p w14:paraId="13F66185" w14:textId="77777777" w:rsidR="00FD5062" w:rsidRPr="00FD5062" w:rsidRDefault="00FD5062" w:rsidP="00FD5062">
            <w:pPr>
              <w:spacing w:before="0" w:after="0"/>
              <w:rPr>
                <w:rFonts w:eastAsia="Times New Roman" w:cs="Arial"/>
                <w:b/>
                <w:bCs/>
                <w:sz w:val="20"/>
                <w:szCs w:val="20"/>
                <w:lang w:eastAsia="en-GB"/>
              </w:rPr>
            </w:pPr>
            <w:r w:rsidRPr="00FD5062">
              <w:rPr>
                <w:rFonts w:eastAsia="Times New Roman" w:cs="Arial"/>
                <w:b/>
                <w:bCs/>
                <w:sz w:val="20"/>
                <w:szCs w:val="20"/>
                <w:lang w:eastAsia="en-GB"/>
              </w:rPr>
              <w:t>Changes in ICB taxpayers’ equity for 2023-24 (Apr-23 to Mar24)</w:t>
            </w:r>
          </w:p>
        </w:tc>
        <w:tc>
          <w:tcPr>
            <w:tcW w:w="400" w:type="dxa"/>
            <w:tcBorders>
              <w:top w:val="nil"/>
              <w:left w:val="nil"/>
              <w:bottom w:val="nil"/>
              <w:right w:val="nil"/>
            </w:tcBorders>
            <w:shd w:val="clear" w:color="auto" w:fill="auto"/>
            <w:noWrap/>
            <w:vAlign w:val="bottom"/>
            <w:hideMark/>
          </w:tcPr>
          <w:p w14:paraId="6E07DB1E" w14:textId="77777777" w:rsidR="00FD5062" w:rsidRPr="00FD5062" w:rsidRDefault="00FD5062" w:rsidP="00FD5062">
            <w:pPr>
              <w:spacing w:before="0" w:after="0"/>
              <w:rPr>
                <w:rFonts w:eastAsia="Times New Roman" w:cs="Arial"/>
                <w:b/>
                <w:bCs/>
                <w:sz w:val="20"/>
                <w:szCs w:val="20"/>
                <w:lang w:eastAsia="en-GB"/>
              </w:rPr>
            </w:pPr>
          </w:p>
        </w:tc>
        <w:tc>
          <w:tcPr>
            <w:tcW w:w="1280" w:type="dxa"/>
            <w:tcBorders>
              <w:top w:val="nil"/>
              <w:left w:val="nil"/>
              <w:bottom w:val="nil"/>
              <w:right w:val="nil"/>
            </w:tcBorders>
            <w:shd w:val="clear" w:color="auto" w:fill="auto"/>
            <w:noWrap/>
            <w:vAlign w:val="bottom"/>
            <w:hideMark/>
          </w:tcPr>
          <w:p w14:paraId="3E6E09C1"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1E7914B2"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261BB381"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r>
      <w:tr w:rsidR="00FD5062" w:rsidRPr="00FD5062" w14:paraId="73693998" w14:textId="77777777" w:rsidTr="00FD5062">
        <w:trPr>
          <w:trHeight w:val="270"/>
        </w:trPr>
        <w:tc>
          <w:tcPr>
            <w:tcW w:w="6379" w:type="dxa"/>
            <w:tcBorders>
              <w:top w:val="nil"/>
              <w:left w:val="nil"/>
              <w:bottom w:val="nil"/>
              <w:right w:val="nil"/>
            </w:tcBorders>
            <w:shd w:val="clear" w:color="auto" w:fill="auto"/>
            <w:noWrap/>
            <w:vAlign w:val="bottom"/>
            <w:hideMark/>
          </w:tcPr>
          <w:p w14:paraId="22F5CCBA" w14:textId="77777777" w:rsidR="00FD5062" w:rsidRPr="00FD5062" w:rsidRDefault="00FD5062" w:rsidP="00FD5062">
            <w:pPr>
              <w:spacing w:before="0" w:after="0"/>
              <w:rPr>
                <w:rFonts w:eastAsia="Times New Roman" w:cs="Arial"/>
                <w:sz w:val="20"/>
                <w:szCs w:val="20"/>
                <w:lang w:eastAsia="en-GB"/>
              </w:rPr>
            </w:pPr>
            <w:r w:rsidRPr="00FD5062">
              <w:rPr>
                <w:rFonts w:eastAsia="Times New Roman" w:cs="Arial"/>
                <w:sz w:val="20"/>
                <w:szCs w:val="20"/>
                <w:lang w:eastAsia="en-GB"/>
              </w:rPr>
              <w:t>Net operating expenditure for the financial year</w:t>
            </w:r>
          </w:p>
        </w:tc>
        <w:tc>
          <w:tcPr>
            <w:tcW w:w="400" w:type="dxa"/>
            <w:tcBorders>
              <w:top w:val="nil"/>
              <w:left w:val="nil"/>
              <w:bottom w:val="nil"/>
              <w:right w:val="nil"/>
            </w:tcBorders>
            <w:shd w:val="clear" w:color="auto" w:fill="auto"/>
            <w:noWrap/>
            <w:vAlign w:val="bottom"/>
            <w:hideMark/>
          </w:tcPr>
          <w:p w14:paraId="4ABBC9DF" w14:textId="77777777" w:rsidR="00FD5062" w:rsidRPr="00FD5062" w:rsidRDefault="00FD5062" w:rsidP="00FD5062">
            <w:pPr>
              <w:spacing w:before="0" w:after="0"/>
              <w:rPr>
                <w:rFonts w:eastAsia="Times New Roman" w:cs="Arial"/>
                <w:sz w:val="20"/>
                <w:szCs w:val="20"/>
                <w:lang w:eastAsia="en-GB"/>
              </w:rPr>
            </w:pPr>
          </w:p>
        </w:tc>
        <w:tc>
          <w:tcPr>
            <w:tcW w:w="1280" w:type="dxa"/>
            <w:tcBorders>
              <w:top w:val="nil"/>
              <w:left w:val="nil"/>
              <w:bottom w:val="single" w:sz="4" w:space="0" w:color="auto"/>
              <w:right w:val="nil"/>
            </w:tcBorders>
            <w:shd w:val="clear" w:color="auto" w:fill="auto"/>
            <w:noWrap/>
            <w:vAlign w:val="bottom"/>
            <w:hideMark/>
          </w:tcPr>
          <w:p w14:paraId="213C42BC" w14:textId="77777777" w:rsidR="00FD5062" w:rsidRPr="00FD5062" w:rsidRDefault="00FD5062" w:rsidP="00FD5062">
            <w:pPr>
              <w:spacing w:before="0" w:after="0"/>
              <w:jc w:val="right"/>
              <w:rPr>
                <w:rFonts w:eastAsia="Times New Roman" w:cs="Arial"/>
                <w:sz w:val="20"/>
                <w:szCs w:val="20"/>
                <w:lang w:eastAsia="en-GB"/>
              </w:rPr>
            </w:pPr>
            <w:r w:rsidRPr="00FD5062">
              <w:rPr>
                <w:rFonts w:eastAsia="Times New Roman" w:cs="Arial"/>
                <w:sz w:val="20"/>
                <w:szCs w:val="20"/>
                <w:lang w:eastAsia="en-GB"/>
              </w:rPr>
              <w:t>(2,685,955)</w:t>
            </w:r>
          </w:p>
        </w:tc>
        <w:tc>
          <w:tcPr>
            <w:tcW w:w="272" w:type="dxa"/>
            <w:tcBorders>
              <w:top w:val="nil"/>
              <w:left w:val="nil"/>
              <w:bottom w:val="nil"/>
              <w:right w:val="nil"/>
            </w:tcBorders>
            <w:shd w:val="clear" w:color="auto" w:fill="auto"/>
            <w:noWrap/>
            <w:vAlign w:val="bottom"/>
            <w:hideMark/>
          </w:tcPr>
          <w:p w14:paraId="1FD8EE28" w14:textId="77777777" w:rsidR="00FD5062" w:rsidRPr="00FD5062" w:rsidRDefault="00FD5062" w:rsidP="00FD5062">
            <w:pPr>
              <w:spacing w:before="0" w:after="0"/>
              <w:jc w:val="right"/>
              <w:rPr>
                <w:rFonts w:eastAsia="Times New Roman" w:cs="Arial"/>
                <w:sz w:val="20"/>
                <w:szCs w:val="20"/>
                <w:lang w:eastAsia="en-GB"/>
              </w:rPr>
            </w:pPr>
          </w:p>
        </w:tc>
        <w:tc>
          <w:tcPr>
            <w:tcW w:w="1280" w:type="dxa"/>
            <w:tcBorders>
              <w:top w:val="nil"/>
              <w:left w:val="nil"/>
              <w:bottom w:val="single" w:sz="4" w:space="0" w:color="auto"/>
              <w:right w:val="nil"/>
            </w:tcBorders>
            <w:shd w:val="clear" w:color="auto" w:fill="auto"/>
            <w:noWrap/>
            <w:vAlign w:val="bottom"/>
            <w:hideMark/>
          </w:tcPr>
          <w:p w14:paraId="60352F6C" w14:textId="77777777" w:rsidR="00FD5062" w:rsidRPr="00FD5062" w:rsidRDefault="00FD5062" w:rsidP="00FD5062">
            <w:pPr>
              <w:spacing w:before="0" w:after="0"/>
              <w:jc w:val="right"/>
              <w:rPr>
                <w:rFonts w:eastAsia="Times New Roman" w:cs="Arial"/>
                <w:b/>
                <w:bCs/>
                <w:sz w:val="20"/>
                <w:szCs w:val="20"/>
                <w:lang w:eastAsia="en-GB"/>
              </w:rPr>
            </w:pPr>
            <w:r w:rsidRPr="00FD5062">
              <w:rPr>
                <w:rFonts w:eastAsia="Times New Roman" w:cs="Arial"/>
                <w:b/>
                <w:bCs/>
                <w:sz w:val="20"/>
                <w:szCs w:val="20"/>
                <w:lang w:eastAsia="en-GB"/>
              </w:rPr>
              <w:t>(2,685,955)</w:t>
            </w:r>
          </w:p>
        </w:tc>
      </w:tr>
      <w:tr w:rsidR="00FD5062" w:rsidRPr="00FD5062" w14:paraId="7FB4F2F4" w14:textId="77777777" w:rsidTr="00FD5062">
        <w:trPr>
          <w:trHeight w:val="310"/>
        </w:trPr>
        <w:tc>
          <w:tcPr>
            <w:tcW w:w="6379" w:type="dxa"/>
            <w:tcBorders>
              <w:top w:val="nil"/>
              <w:left w:val="nil"/>
              <w:bottom w:val="nil"/>
              <w:right w:val="nil"/>
            </w:tcBorders>
            <w:shd w:val="clear" w:color="auto" w:fill="auto"/>
            <w:vAlign w:val="center"/>
            <w:hideMark/>
          </w:tcPr>
          <w:p w14:paraId="26D3639F" w14:textId="77777777" w:rsidR="00FD5062" w:rsidRPr="00FD5062" w:rsidRDefault="00FD5062" w:rsidP="00FD5062">
            <w:pPr>
              <w:spacing w:before="0" w:after="0"/>
              <w:rPr>
                <w:rFonts w:eastAsia="Times New Roman" w:cs="Arial"/>
                <w:b/>
                <w:bCs/>
                <w:sz w:val="20"/>
                <w:szCs w:val="20"/>
                <w:lang w:eastAsia="en-GB"/>
              </w:rPr>
            </w:pPr>
            <w:r w:rsidRPr="00FD5062">
              <w:rPr>
                <w:rFonts w:eastAsia="Times New Roman" w:cs="Arial"/>
                <w:b/>
                <w:bCs/>
                <w:sz w:val="20"/>
                <w:szCs w:val="20"/>
                <w:lang w:eastAsia="en-GB"/>
              </w:rPr>
              <w:t>Net recognised ICB expenditure for the financial year</w:t>
            </w:r>
          </w:p>
        </w:tc>
        <w:tc>
          <w:tcPr>
            <w:tcW w:w="400" w:type="dxa"/>
            <w:tcBorders>
              <w:top w:val="nil"/>
              <w:left w:val="nil"/>
              <w:bottom w:val="nil"/>
              <w:right w:val="nil"/>
            </w:tcBorders>
            <w:shd w:val="clear" w:color="auto" w:fill="auto"/>
            <w:noWrap/>
            <w:vAlign w:val="center"/>
            <w:hideMark/>
          </w:tcPr>
          <w:p w14:paraId="16A197B7" w14:textId="77777777" w:rsidR="00FD5062" w:rsidRPr="00FD5062" w:rsidRDefault="00FD5062" w:rsidP="00FD5062">
            <w:pPr>
              <w:spacing w:before="0" w:after="0"/>
              <w:rPr>
                <w:rFonts w:eastAsia="Times New Roman" w:cs="Arial"/>
                <w:b/>
                <w:bCs/>
                <w:sz w:val="20"/>
                <w:szCs w:val="20"/>
                <w:lang w:eastAsia="en-GB"/>
              </w:rPr>
            </w:pPr>
          </w:p>
        </w:tc>
        <w:tc>
          <w:tcPr>
            <w:tcW w:w="1280" w:type="dxa"/>
            <w:tcBorders>
              <w:top w:val="nil"/>
              <w:left w:val="nil"/>
              <w:bottom w:val="nil"/>
              <w:right w:val="nil"/>
            </w:tcBorders>
            <w:shd w:val="clear" w:color="auto" w:fill="auto"/>
            <w:noWrap/>
            <w:vAlign w:val="center"/>
            <w:hideMark/>
          </w:tcPr>
          <w:p w14:paraId="50460FDC" w14:textId="77777777" w:rsidR="00FD5062" w:rsidRPr="00FD5062" w:rsidRDefault="00FD5062" w:rsidP="00FD5062">
            <w:pPr>
              <w:spacing w:before="0" w:after="0"/>
              <w:jc w:val="right"/>
              <w:rPr>
                <w:rFonts w:eastAsia="Times New Roman" w:cs="Arial"/>
                <w:b/>
                <w:bCs/>
                <w:sz w:val="20"/>
                <w:szCs w:val="20"/>
                <w:lang w:eastAsia="en-GB"/>
              </w:rPr>
            </w:pPr>
            <w:r w:rsidRPr="00FD5062">
              <w:rPr>
                <w:rFonts w:eastAsia="Times New Roman" w:cs="Arial"/>
                <w:b/>
                <w:bCs/>
                <w:sz w:val="20"/>
                <w:szCs w:val="20"/>
                <w:lang w:eastAsia="en-GB"/>
              </w:rPr>
              <w:t>(2,685,955)</w:t>
            </w:r>
          </w:p>
        </w:tc>
        <w:tc>
          <w:tcPr>
            <w:tcW w:w="272" w:type="dxa"/>
            <w:tcBorders>
              <w:top w:val="nil"/>
              <w:left w:val="nil"/>
              <w:bottom w:val="nil"/>
              <w:right w:val="nil"/>
            </w:tcBorders>
            <w:shd w:val="clear" w:color="auto" w:fill="auto"/>
            <w:noWrap/>
            <w:vAlign w:val="center"/>
            <w:hideMark/>
          </w:tcPr>
          <w:p w14:paraId="2ADB5698" w14:textId="77777777" w:rsidR="00FD5062" w:rsidRPr="00FD5062" w:rsidRDefault="00FD5062" w:rsidP="00FD5062">
            <w:pPr>
              <w:spacing w:before="0" w:after="0"/>
              <w:jc w:val="right"/>
              <w:rPr>
                <w:rFonts w:eastAsia="Times New Roman" w:cs="Arial"/>
                <w:b/>
                <w:bCs/>
                <w:sz w:val="20"/>
                <w:szCs w:val="20"/>
                <w:lang w:eastAsia="en-GB"/>
              </w:rPr>
            </w:pPr>
          </w:p>
        </w:tc>
        <w:tc>
          <w:tcPr>
            <w:tcW w:w="1280" w:type="dxa"/>
            <w:tcBorders>
              <w:top w:val="nil"/>
              <w:left w:val="nil"/>
              <w:bottom w:val="nil"/>
              <w:right w:val="nil"/>
            </w:tcBorders>
            <w:shd w:val="clear" w:color="auto" w:fill="auto"/>
            <w:noWrap/>
            <w:vAlign w:val="center"/>
            <w:hideMark/>
          </w:tcPr>
          <w:p w14:paraId="3B95DFBC" w14:textId="77777777" w:rsidR="00FD5062" w:rsidRPr="00FD5062" w:rsidRDefault="00FD5062" w:rsidP="00FD5062">
            <w:pPr>
              <w:spacing w:before="0" w:after="0"/>
              <w:jc w:val="right"/>
              <w:rPr>
                <w:rFonts w:eastAsia="Times New Roman" w:cs="Arial"/>
                <w:b/>
                <w:bCs/>
                <w:sz w:val="20"/>
                <w:szCs w:val="20"/>
                <w:lang w:eastAsia="en-GB"/>
              </w:rPr>
            </w:pPr>
            <w:r w:rsidRPr="00FD5062">
              <w:rPr>
                <w:rFonts w:eastAsia="Times New Roman" w:cs="Arial"/>
                <w:b/>
                <w:bCs/>
                <w:sz w:val="20"/>
                <w:szCs w:val="20"/>
                <w:lang w:eastAsia="en-GB"/>
              </w:rPr>
              <w:t>(2,685,955)</w:t>
            </w:r>
          </w:p>
        </w:tc>
      </w:tr>
      <w:tr w:rsidR="00FD5062" w:rsidRPr="00FD5062" w14:paraId="1C5FDDAF" w14:textId="77777777" w:rsidTr="00FD5062">
        <w:trPr>
          <w:trHeight w:val="270"/>
        </w:trPr>
        <w:tc>
          <w:tcPr>
            <w:tcW w:w="6379" w:type="dxa"/>
            <w:tcBorders>
              <w:top w:val="nil"/>
              <w:left w:val="nil"/>
              <w:bottom w:val="nil"/>
              <w:right w:val="nil"/>
            </w:tcBorders>
            <w:shd w:val="clear" w:color="auto" w:fill="auto"/>
            <w:noWrap/>
            <w:vAlign w:val="bottom"/>
            <w:hideMark/>
          </w:tcPr>
          <w:p w14:paraId="5BD97BAA" w14:textId="77777777" w:rsidR="00FD5062" w:rsidRPr="00FD5062" w:rsidRDefault="00FD5062" w:rsidP="00FD5062">
            <w:pPr>
              <w:spacing w:before="0" w:after="0"/>
              <w:rPr>
                <w:rFonts w:eastAsia="Times New Roman" w:cs="Arial"/>
                <w:sz w:val="20"/>
                <w:szCs w:val="20"/>
                <w:lang w:eastAsia="en-GB"/>
              </w:rPr>
            </w:pPr>
            <w:r w:rsidRPr="00FD5062">
              <w:rPr>
                <w:rFonts w:eastAsia="Times New Roman" w:cs="Arial"/>
                <w:sz w:val="20"/>
                <w:szCs w:val="20"/>
                <w:lang w:eastAsia="en-GB"/>
              </w:rPr>
              <w:t>Net funding</w:t>
            </w:r>
          </w:p>
        </w:tc>
        <w:tc>
          <w:tcPr>
            <w:tcW w:w="400" w:type="dxa"/>
            <w:tcBorders>
              <w:top w:val="nil"/>
              <w:left w:val="nil"/>
              <w:bottom w:val="nil"/>
              <w:right w:val="nil"/>
            </w:tcBorders>
            <w:shd w:val="clear" w:color="auto" w:fill="auto"/>
            <w:noWrap/>
            <w:vAlign w:val="bottom"/>
            <w:hideMark/>
          </w:tcPr>
          <w:p w14:paraId="416A20DE" w14:textId="77777777" w:rsidR="00FD5062" w:rsidRPr="00FD5062" w:rsidRDefault="00FD5062" w:rsidP="00FD5062">
            <w:pPr>
              <w:spacing w:before="0" w:after="0"/>
              <w:rPr>
                <w:rFonts w:eastAsia="Times New Roman" w:cs="Arial"/>
                <w:sz w:val="20"/>
                <w:szCs w:val="20"/>
                <w:lang w:eastAsia="en-GB"/>
              </w:rPr>
            </w:pPr>
          </w:p>
        </w:tc>
        <w:tc>
          <w:tcPr>
            <w:tcW w:w="1280" w:type="dxa"/>
            <w:tcBorders>
              <w:top w:val="nil"/>
              <w:left w:val="nil"/>
              <w:bottom w:val="nil"/>
              <w:right w:val="nil"/>
            </w:tcBorders>
            <w:shd w:val="clear" w:color="auto" w:fill="auto"/>
            <w:noWrap/>
            <w:vAlign w:val="bottom"/>
            <w:hideMark/>
          </w:tcPr>
          <w:p w14:paraId="1F7BC502" w14:textId="77777777" w:rsidR="00FD5062" w:rsidRPr="00FD5062" w:rsidRDefault="00FD5062" w:rsidP="00FD5062">
            <w:pPr>
              <w:spacing w:before="0" w:after="0"/>
              <w:jc w:val="right"/>
              <w:rPr>
                <w:rFonts w:eastAsia="Times New Roman" w:cs="Arial"/>
                <w:sz w:val="20"/>
                <w:szCs w:val="20"/>
                <w:lang w:eastAsia="en-GB"/>
              </w:rPr>
            </w:pPr>
            <w:r w:rsidRPr="00FD5062">
              <w:rPr>
                <w:rFonts w:eastAsia="Times New Roman" w:cs="Arial"/>
                <w:sz w:val="20"/>
                <w:szCs w:val="20"/>
                <w:lang w:eastAsia="en-GB"/>
              </w:rPr>
              <w:t>2,727,957</w:t>
            </w:r>
          </w:p>
        </w:tc>
        <w:tc>
          <w:tcPr>
            <w:tcW w:w="272" w:type="dxa"/>
            <w:tcBorders>
              <w:top w:val="nil"/>
              <w:left w:val="nil"/>
              <w:bottom w:val="nil"/>
              <w:right w:val="nil"/>
            </w:tcBorders>
            <w:shd w:val="clear" w:color="auto" w:fill="auto"/>
            <w:noWrap/>
            <w:vAlign w:val="bottom"/>
            <w:hideMark/>
          </w:tcPr>
          <w:p w14:paraId="6A41A7D4" w14:textId="77777777" w:rsidR="00FD5062" w:rsidRPr="00FD5062" w:rsidRDefault="00FD5062" w:rsidP="00FD5062">
            <w:pPr>
              <w:spacing w:before="0" w:after="0"/>
              <w:jc w:val="right"/>
              <w:rPr>
                <w:rFonts w:eastAsia="Times New Roman" w:cs="Arial"/>
                <w:sz w:val="20"/>
                <w:szCs w:val="20"/>
                <w:lang w:eastAsia="en-GB"/>
              </w:rPr>
            </w:pPr>
          </w:p>
        </w:tc>
        <w:tc>
          <w:tcPr>
            <w:tcW w:w="1280" w:type="dxa"/>
            <w:tcBorders>
              <w:top w:val="nil"/>
              <w:left w:val="nil"/>
              <w:bottom w:val="nil"/>
              <w:right w:val="nil"/>
            </w:tcBorders>
            <w:shd w:val="clear" w:color="auto" w:fill="auto"/>
            <w:noWrap/>
            <w:vAlign w:val="bottom"/>
            <w:hideMark/>
          </w:tcPr>
          <w:p w14:paraId="73D06281" w14:textId="77777777" w:rsidR="00FD5062" w:rsidRPr="00FD5062" w:rsidRDefault="00FD5062" w:rsidP="00FD5062">
            <w:pPr>
              <w:spacing w:before="0" w:after="0"/>
              <w:jc w:val="right"/>
              <w:rPr>
                <w:rFonts w:eastAsia="Times New Roman" w:cs="Arial"/>
                <w:b/>
                <w:bCs/>
                <w:sz w:val="20"/>
                <w:szCs w:val="20"/>
                <w:lang w:eastAsia="en-GB"/>
              </w:rPr>
            </w:pPr>
            <w:r w:rsidRPr="00FD5062">
              <w:rPr>
                <w:rFonts w:eastAsia="Times New Roman" w:cs="Arial"/>
                <w:b/>
                <w:bCs/>
                <w:sz w:val="20"/>
                <w:szCs w:val="20"/>
                <w:lang w:eastAsia="en-GB"/>
              </w:rPr>
              <w:t>2,727,957</w:t>
            </w:r>
          </w:p>
        </w:tc>
      </w:tr>
      <w:tr w:rsidR="00FD5062" w:rsidRPr="00FD5062" w14:paraId="60DC4FFA" w14:textId="77777777" w:rsidTr="00FD5062">
        <w:trPr>
          <w:trHeight w:val="310"/>
        </w:trPr>
        <w:tc>
          <w:tcPr>
            <w:tcW w:w="6379" w:type="dxa"/>
            <w:tcBorders>
              <w:top w:val="nil"/>
              <w:left w:val="nil"/>
              <w:bottom w:val="nil"/>
              <w:right w:val="nil"/>
            </w:tcBorders>
            <w:shd w:val="clear" w:color="auto" w:fill="auto"/>
            <w:noWrap/>
            <w:vAlign w:val="center"/>
            <w:hideMark/>
          </w:tcPr>
          <w:p w14:paraId="24C84EEE" w14:textId="77777777" w:rsidR="00FD5062" w:rsidRPr="00FD5062" w:rsidRDefault="00FD5062" w:rsidP="00FD5062">
            <w:pPr>
              <w:spacing w:before="0" w:after="0"/>
              <w:rPr>
                <w:rFonts w:eastAsia="Times New Roman" w:cs="Arial"/>
                <w:b/>
                <w:bCs/>
                <w:sz w:val="20"/>
                <w:szCs w:val="20"/>
                <w:lang w:eastAsia="en-GB"/>
              </w:rPr>
            </w:pPr>
            <w:r w:rsidRPr="00FD5062">
              <w:rPr>
                <w:rFonts w:eastAsia="Times New Roman" w:cs="Arial"/>
                <w:b/>
                <w:bCs/>
                <w:sz w:val="20"/>
                <w:szCs w:val="20"/>
                <w:lang w:eastAsia="en-GB"/>
              </w:rPr>
              <w:t>Balance at 31 March 24</w:t>
            </w:r>
          </w:p>
        </w:tc>
        <w:tc>
          <w:tcPr>
            <w:tcW w:w="400" w:type="dxa"/>
            <w:tcBorders>
              <w:top w:val="nil"/>
              <w:left w:val="nil"/>
              <w:bottom w:val="nil"/>
              <w:right w:val="nil"/>
            </w:tcBorders>
            <w:shd w:val="clear" w:color="auto" w:fill="auto"/>
            <w:noWrap/>
            <w:vAlign w:val="center"/>
            <w:hideMark/>
          </w:tcPr>
          <w:p w14:paraId="3388B776" w14:textId="77777777" w:rsidR="00FD5062" w:rsidRPr="00FD5062" w:rsidRDefault="00FD5062" w:rsidP="00FD5062">
            <w:pPr>
              <w:spacing w:before="0" w:after="0"/>
              <w:rPr>
                <w:rFonts w:eastAsia="Times New Roman" w:cs="Arial"/>
                <w:b/>
                <w:bCs/>
                <w:sz w:val="20"/>
                <w:szCs w:val="20"/>
                <w:lang w:eastAsia="en-GB"/>
              </w:rPr>
            </w:pPr>
          </w:p>
        </w:tc>
        <w:tc>
          <w:tcPr>
            <w:tcW w:w="1280" w:type="dxa"/>
            <w:tcBorders>
              <w:top w:val="single" w:sz="4" w:space="0" w:color="auto"/>
              <w:left w:val="nil"/>
              <w:bottom w:val="single" w:sz="4" w:space="0" w:color="auto"/>
              <w:right w:val="nil"/>
            </w:tcBorders>
            <w:shd w:val="clear" w:color="auto" w:fill="auto"/>
            <w:noWrap/>
            <w:vAlign w:val="center"/>
            <w:hideMark/>
          </w:tcPr>
          <w:p w14:paraId="1EF2E9C9" w14:textId="77777777" w:rsidR="00FD5062" w:rsidRPr="00FD5062" w:rsidRDefault="00FD5062" w:rsidP="00FD5062">
            <w:pPr>
              <w:spacing w:before="0" w:after="0"/>
              <w:jc w:val="right"/>
              <w:rPr>
                <w:rFonts w:eastAsia="Times New Roman" w:cs="Arial"/>
                <w:b/>
                <w:bCs/>
                <w:sz w:val="20"/>
                <w:szCs w:val="20"/>
                <w:lang w:eastAsia="en-GB"/>
              </w:rPr>
            </w:pPr>
            <w:r w:rsidRPr="00FD5062">
              <w:rPr>
                <w:rFonts w:eastAsia="Times New Roman" w:cs="Arial"/>
                <w:b/>
                <w:bCs/>
                <w:sz w:val="20"/>
                <w:szCs w:val="20"/>
                <w:lang w:eastAsia="en-GB"/>
              </w:rPr>
              <w:t>(137,098)</w:t>
            </w:r>
          </w:p>
        </w:tc>
        <w:tc>
          <w:tcPr>
            <w:tcW w:w="272" w:type="dxa"/>
            <w:tcBorders>
              <w:top w:val="nil"/>
              <w:left w:val="nil"/>
              <w:bottom w:val="nil"/>
              <w:right w:val="nil"/>
            </w:tcBorders>
            <w:shd w:val="clear" w:color="auto" w:fill="auto"/>
            <w:noWrap/>
            <w:vAlign w:val="center"/>
            <w:hideMark/>
          </w:tcPr>
          <w:p w14:paraId="67FF752C" w14:textId="77777777" w:rsidR="00FD5062" w:rsidRPr="00FD5062" w:rsidRDefault="00FD5062" w:rsidP="00FD5062">
            <w:pPr>
              <w:spacing w:before="0" w:after="0"/>
              <w:jc w:val="right"/>
              <w:rPr>
                <w:rFonts w:eastAsia="Times New Roman" w:cs="Arial"/>
                <w:b/>
                <w:bCs/>
                <w:sz w:val="20"/>
                <w:szCs w:val="20"/>
                <w:lang w:eastAsia="en-GB"/>
              </w:rPr>
            </w:pPr>
          </w:p>
        </w:tc>
        <w:tc>
          <w:tcPr>
            <w:tcW w:w="1280" w:type="dxa"/>
            <w:tcBorders>
              <w:top w:val="single" w:sz="4" w:space="0" w:color="auto"/>
              <w:left w:val="nil"/>
              <w:bottom w:val="single" w:sz="4" w:space="0" w:color="auto"/>
              <w:right w:val="nil"/>
            </w:tcBorders>
            <w:shd w:val="clear" w:color="auto" w:fill="auto"/>
            <w:noWrap/>
            <w:vAlign w:val="center"/>
            <w:hideMark/>
          </w:tcPr>
          <w:p w14:paraId="4E3EF8D1" w14:textId="77777777" w:rsidR="00FD5062" w:rsidRPr="00FD5062" w:rsidRDefault="00FD5062" w:rsidP="00FD5062">
            <w:pPr>
              <w:spacing w:before="0" w:after="0"/>
              <w:jc w:val="right"/>
              <w:rPr>
                <w:rFonts w:eastAsia="Times New Roman" w:cs="Arial"/>
                <w:b/>
                <w:bCs/>
                <w:sz w:val="20"/>
                <w:szCs w:val="20"/>
                <w:lang w:eastAsia="en-GB"/>
              </w:rPr>
            </w:pPr>
            <w:r w:rsidRPr="00FD5062">
              <w:rPr>
                <w:rFonts w:eastAsia="Times New Roman" w:cs="Arial"/>
                <w:b/>
                <w:bCs/>
                <w:sz w:val="20"/>
                <w:szCs w:val="20"/>
                <w:lang w:eastAsia="en-GB"/>
              </w:rPr>
              <w:t>(137,098)</w:t>
            </w:r>
          </w:p>
        </w:tc>
      </w:tr>
      <w:tr w:rsidR="00FD5062" w:rsidRPr="00FD5062" w14:paraId="5B74FF4D" w14:textId="77777777" w:rsidTr="00FD5062">
        <w:trPr>
          <w:trHeight w:val="250"/>
        </w:trPr>
        <w:tc>
          <w:tcPr>
            <w:tcW w:w="6379" w:type="dxa"/>
            <w:tcBorders>
              <w:top w:val="nil"/>
              <w:left w:val="nil"/>
              <w:bottom w:val="nil"/>
              <w:right w:val="nil"/>
            </w:tcBorders>
            <w:shd w:val="clear" w:color="auto" w:fill="auto"/>
            <w:noWrap/>
            <w:vAlign w:val="bottom"/>
            <w:hideMark/>
          </w:tcPr>
          <w:p w14:paraId="7EF512CB" w14:textId="77777777" w:rsidR="00FD5062" w:rsidRPr="00FD5062" w:rsidRDefault="00FD5062" w:rsidP="00FD5062">
            <w:pPr>
              <w:spacing w:before="0" w:after="0"/>
              <w:jc w:val="right"/>
              <w:rPr>
                <w:rFonts w:eastAsia="Times New Roman" w:cs="Arial"/>
                <w:b/>
                <w:bCs/>
                <w:sz w:val="20"/>
                <w:szCs w:val="20"/>
                <w:lang w:eastAsia="en-GB"/>
              </w:rPr>
            </w:pPr>
          </w:p>
        </w:tc>
        <w:tc>
          <w:tcPr>
            <w:tcW w:w="400" w:type="dxa"/>
            <w:tcBorders>
              <w:top w:val="nil"/>
              <w:left w:val="nil"/>
              <w:bottom w:val="nil"/>
              <w:right w:val="nil"/>
            </w:tcBorders>
            <w:shd w:val="clear" w:color="auto" w:fill="auto"/>
            <w:noWrap/>
            <w:vAlign w:val="bottom"/>
            <w:hideMark/>
          </w:tcPr>
          <w:p w14:paraId="1ADEE1F2"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738EBF7A"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46549EDC"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375F3B5C"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r>
      <w:tr w:rsidR="00FD5062" w:rsidRPr="00FD5062" w14:paraId="766559B5" w14:textId="77777777" w:rsidTr="00FD5062">
        <w:trPr>
          <w:trHeight w:val="250"/>
        </w:trPr>
        <w:tc>
          <w:tcPr>
            <w:tcW w:w="6379" w:type="dxa"/>
            <w:tcBorders>
              <w:top w:val="nil"/>
              <w:left w:val="nil"/>
              <w:bottom w:val="nil"/>
              <w:right w:val="nil"/>
            </w:tcBorders>
            <w:shd w:val="clear" w:color="auto" w:fill="auto"/>
            <w:noWrap/>
            <w:vAlign w:val="bottom"/>
            <w:hideMark/>
          </w:tcPr>
          <w:p w14:paraId="327326BB"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400" w:type="dxa"/>
            <w:tcBorders>
              <w:top w:val="nil"/>
              <w:left w:val="nil"/>
              <w:bottom w:val="nil"/>
              <w:right w:val="nil"/>
            </w:tcBorders>
            <w:shd w:val="clear" w:color="auto" w:fill="auto"/>
            <w:noWrap/>
            <w:vAlign w:val="bottom"/>
            <w:hideMark/>
          </w:tcPr>
          <w:p w14:paraId="06A1B425"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0488AB9D"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0A2C540B"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61A0F1B3"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r>
      <w:tr w:rsidR="00FD5062" w:rsidRPr="00FD5062" w14:paraId="4F23E7F0" w14:textId="77777777" w:rsidTr="00FD5062">
        <w:trPr>
          <w:trHeight w:val="510"/>
        </w:trPr>
        <w:tc>
          <w:tcPr>
            <w:tcW w:w="6379" w:type="dxa"/>
            <w:tcBorders>
              <w:top w:val="nil"/>
              <w:left w:val="nil"/>
              <w:bottom w:val="nil"/>
              <w:right w:val="nil"/>
            </w:tcBorders>
            <w:shd w:val="clear" w:color="auto" w:fill="auto"/>
            <w:vAlign w:val="bottom"/>
            <w:hideMark/>
          </w:tcPr>
          <w:p w14:paraId="292F745C"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400" w:type="dxa"/>
            <w:tcBorders>
              <w:top w:val="nil"/>
              <w:left w:val="nil"/>
              <w:bottom w:val="nil"/>
              <w:right w:val="nil"/>
            </w:tcBorders>
            <w:shd w:val="clear" w:color="auto" w:fill="auto"/>
            <w:vAlign w:val="bottom"/>
            <w:hideMark/>
          </w:tcPr>
          <w:p w14:paraId="1C8FADCA"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vAlign w:val="bottom"/>
            <w:hideMark/>
          </w:tcPr>
          <w:p w14:paraId="4F0AD2FB" w14:textId="77777777" w:rsidR="00FD5062" w:rsidRPr="00FD5062" w:rsidRDefault="00FD5062" w:rsidP="00FD5062">
            <w:pPr>
              <w:spacing w:before="0" w:after="0"/>
              <w:jc w:val="right"/>
              <w:rPr>
                <w:rFonts w:eastAsia="Times New Roman" w:cs="Arial"/>
                <w:sz w:val="20"/>
                <w:szCs w:val="20"/>
                <w:lang w:eastAsia="en-GB"/>
              </w:rPr>
            </w:pPr>
            <w:r w:rsidRPr="00FD5062">
              <w:rPr>
                <w:rFonts w:eastAsia="Times New Roman" w:cs="Arial"/>
                <w:sz w:val="20"/>
                <w:szCs w:val="20"/>
                <w:lang w:eastAsia="en-GB"/>
              </w:rPr>
              <w:t xml:space="preserve">   General fund</w:t>
            </w:r>
          </w:p>
        </w:tc>
        <w:tc>
          <w:tcPr>
            <w:tcW w:w="272" w:type="dxa"/>
            <w:tcBorders>
              <w:top w:val="nil"/>
              <w:left w:val="nil"/>
              <w:bottom w:val="nil"/>
              <w:right w:val="nil"/>
            </w:tcBorders>
            <w:shd w:val="clear" w:color="auto" w:fill="auto"/>
            <w:vAlign w:val="bottom"/>
            <w:hideMark/>
          </w:tcPr>
          <w:p w14:paraId="6D4CD4A7" w14:textId="77777777" w:rsidR="00FD5062" w:rsidRPr="00FD5062" w:rsidRDefault="00FD5062" w:rsidP="00FD5062">
            <w:pPr>
              <w:spacing w:before="0" w:after="0"/>
              <w:jc w:val="right"/>
              <w:rPr>
                <w:rFonts w:eastAsia="Times New Roman" w:cs="Arial"/>
                <w:sz w:val="20"/>
                <w:szCs w:val="20"/>
                <w:lang w:eastAsia="en-GB"/>
              </w:rPr>
            </w:pPr>
          </w:p>
        </w:tc>
        <w:tc>
          <w:tcPr>
            <w:tcW w:w="1280" w:type="dxa"/>
            <w:tcBorders>
              <w:top w:val="nil"/>
              <w:left w:val="nil"/>
              <w:bottom w:val="nil"/>
              <w:right w:val="nil"/>
            </w:tcBorders>
            <w:shd w:val="clear" w:color="auto" w:fill="auto"/>
            <w:vAlign w:val="bottom"/>
            <w:hideMark/>
          </w:tcPr>
          <w:p w14:paraId="3786F2F8" w14:textId="77777777" w:rsidR="00FD5062" w:rsidRPr="00FD5062" w:rsidRDefault="00FD5062" w:rsidP="00FD5062">
            <w:pPr>
              <w:spacing w:before="0" w:after="0"/>
              <w:jc w:val="right"/>
              <w:rPr>
                <w:rFonts w:eastAsia="Times New Roman" w:cs="Arial"/>
                <w:sz w:val="20"/>
                <w:szCs w:val="20"/>
                <w:lang w:eastAsia="en-GB"/>
              </w:rPr>
            </w:pPr>
            <w:r w:rsidRPr="00FD5062">
              <w:rPr>
                <w:rFonts w:eastAsia="Times New Roman" w:cs="Arial"/>
                <w:sz w:val="20"/>
                <w:szCs w:val="20"/>
                <w:lang w:eastAsia="en-GB"/>
              </w:rPr>
              <w:t xml:space="preserve">   Total reserves</w:t>
            </w:r>
          </w:p>
        </w:tc>
      </w:tr>
      <w:tr w:rsidR="00FD5062" w:rsidRPr="00FD5062" w14:paraId="3256683B" w14:textId="77777777" w:rsidTr="00FD5062">
        <w:trPr>
          <w:trHeight w:val="260"/>
        </w:trPr>
        <w:tc>
          <w:tcPr>
            <w:tcW w:w="6379" w:type="dxa"/>
            <w:tcBorders>
              <w:top w:val="nil"/>
              <w:left w:val="nil"/>
              <w:bottom w:val="nil"/>
              <w:right w:val="nil"/>
            </w:tcBorders>
            <w:shd w:val="clear" w:color="auto" w:fill="auto"/>
            <w:noWrap/>
            <w:vAlign w:val="bottom"/>
            <w:hideMark/>
          </w:tcPr>
          <w:p w14:paraId="2F85C5D8" w14:textId="77777777" w:rsidR="00FD5062" w:rsidRPr="00FD5062" w:rsidRDefault="00FD5062" w:rsidP="00FD5062">
            <w:pPr>
              <w:spacing w:before="0" w:after="0"/>
              <w:jc w:val="right"/>
              <w:rPr>
                <w:rFonts w:eastAsia="Times New Roman" w:cs="Arial"/>
                <w:sz w:val="20"/>
                <w:szCs w:val="20"/>
                <w:lang w:eastAsia="en-GB"/>
              </w:rPr>
            </w:pPr>
          </w:p>
        </w:tc>
        <w:tc>
          <w:tcPr>
            <w:tcW w:w="400" w:type="dxa"/>
            <w:tcBorders>
              <w:top w:val="nil"/>
              <w:left w:val="nil"/>
              <w:bottom w:val="nil"/>
              <w:right w:val="nil"/>
            </w:tcBorders>
            <w:shd w:val="clear" w:color="auto" w:fill="auto"/>
            <w:noWrap/>
            <w:vAlign w:val="bottom"/>
            <w:hideMark/>
          </w:tcPr>
          <w:p w14:paraId="3A03B946"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3BE7890C" w14:textId="77777777" w:rsidR="00FD5062" w:rsidRPr="00FD5062" w:rsidRDefault="00FD5062" w:rsidP="00FD5062">
            <w:pPr>
              <w:spacing w:before="0" w:after="0"/>
              <w:jc w:val="right"/>
              <w:rPr>
                <w:rFonts w:eastAsia="Times New Roman" w:cs="Arial"/>
                <w:sz w:val="20"/>
                <w:szCs w:val="20"/>
                <w:lang w:eastAsia="en-GB"/>
              </w:rPr>
            </w:pPr>
            <w:r w:rsidRPr="00FD5062">
              <w:rPr>
                <w:rFonts w:eastAsia="Times New Roman" w:cs="Arial"/>
                <w:sz w:val="20"/>
                <w:szCs w:val="20"/>
                <w:lang w:eastAsia="en-GB"/>
              </w:rPr>
              <w:t>£'000</w:t>
            </w:r>
          </w:p>
        </w:tc>
        <w:tc>
          <w:tcPr>
            <w:tcW w:w="272" w:type="dxa"/>
            <w:tcBorders>
              <w:top w:val="nil"/>
              <w:left w:val="nil"/>
              <w:bottom w:val="nil"/>
              <w:right w:val="nil"/>
            </w:tcBorders>
            <w:shd w:val="clear" w:color="auto" w:fill="auto"/>
            <w:noWrap/>
            <w:vAlign w:val="bottom"/>
            <w:hideMark/>
          </w:tcPr>
          <w:p w14:paraId="3C816A4D" w14:textId="77777777" w:rsidR="00FD5062" w:rsidRPr="00FD5062" w:rsidRDefault="00FD5062" w:rsidP="00FD5062">
            <w:pPr>
              <w:spacing w:before="0" w:after="0"/>
              <w:jc w:val="right"/>
              <w:rPr>
                <w:rFonts w:eastAsia="Times New Roman" w:cs="Arial"/>
                <w:sz w:val="20"/>
                <w:szCs w:val="20"/>
                <w:lang w:eastAsia="en-GB"/>
              </w:rPr>
            </w:pPr>
          </w:p>
        </w:tc>
        <w:tc>
          <w:tcPr>
            <w:tcW w:w="1280" w:type="dxa"/>
            <w:tcBorders>
              <w:top w:val="nil"/>
              <w:left w:val="nil"/>
              <w:bottom w:val="nil"/>
              <w:right w:val="nil"/>
            </w:tcBorders>
            <w:shd w:val="clear" w:color="auto" w:fill="auto"/>
            <w:noWrap/>
            <w:vAlign w:val="bottom"/>
            <w:hideMark/>
          </w:tcPr>
          <w:p w14:paraId="4BD7D6C0" w14:textId="77777777" w:rsidR="00FD5062" w:rsidRPr="00FD5062" w:rsidRDefault="00FD5062" w:rsidP="00FD5062">
            <w:pPr>
              <w:spacing w:before="0" w:after="0"/>
              <w:jc w:val="right"/>
              <w:rPr>
                <w:rFonts w:eastAsia="Times New Roman" w:cs="Arial"/>
                <w:sz w:val="20"/>
                <w:szCs w:val="20"/>
                <w:lang w:eastAsia="en-GB"/>
              </w:rPr>
            </w:pPr>
            <w:r w:rsidRPr="00FD5062">
              <w:rPr>
                <w:rFonts w:eastAsia="Times New Roman" w:cs="Arial"/>
                <w:sz w:val="20"/>
                <w:szCs w:val="20"/>
                <w:lang w:eastAsia="en-GB"/>
              </w:rPr>
              <w:t>£'000</w:t>
            </w:r>
          </w:p>
        </w:tc>
      </w:tr>
      <w:tr w:rsidR="00FD5062" w:rsidRPr="00FD5062" w14:paraId="7B4271EC" w14:textId="77777777" w:rsidTr="00FD5062">
        <w:trPr>
          <w:trHeight w:val="120"/>
        </w:trPr>
        <w:tc>
          <w:tcPr>
            <w:tcW w:w="6379" w:type="dxa"/>
            <w:tcBorders>
              <w:top w:val="nil"/>
              <w:left w:val="nil"/>
              <w:bottom w:val="nil"/>
              <w:right w:val="nil"/>
            </w:tcBorders>
            <w:shd w:val="clear" w:color="auto" w:fill="auto"/>
            <w:noWrap/>
            <w:vAlign w:val="bottom"/>
            <w:hideMark/>
          </w:tcPr>
          <w:p w14:paraId="37E9692A" w14:textId="77777777" w:rsidR="00FD5062" w:rsidRPr="00FD5062" w:rsidRDefault="00FD5062" w:rsidP="00FD5062">
            <w:pPr>
              <w:spacing w:before="0" w:after="0"/>
              <w:jc w:val="right"/>
              <w:rPr>
                <w:rFonts w:eastAsia="Times New Roman" w:cs="Arial"/>
                <w:sz w:val="20"/>
                <w:szCs w:val="20"/>
                <w:lang w:eastAsia="en-GB"/>
              </w:rPr>
            </w:pPr>
          </w:p>
        </w:tc>
        <w:tc>
          <w:tcPr>
            <w:tcW w:w="400" w:type="dxa"/>
            <w:tcBorders>
              <w:top w:val="nil"/>
              <w:left w:val="nil"/>
              <w:bottom w:val="nil"/>
              <w:right w:val="nil"/>
            </w:tcBorders>
            <w:shd w:val="clear" w:color="auto" w:fill="auto"/>
            <w:noWrap/>
            <w:vAlign w:val="bottom"/>
            <w:hideMark/>
          </w:tcPr>
          <w:p w14:paraId="10743FE9"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56C48457"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4C15EE5F" w14:textId="77777777" w:rsidR="00FD5062" w:rsidRPr="00FD5062" w:rsidRDefault="00FD5062" w:rsidP="00FD5062">
            <w:pPr>
              <w:spacing w:before="0" w:after="0"/>
              <w:jc w:val="right"/>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00669A84" w14:textId="77777777" w:rsidR="00FD5062" w:rsidRPr="00FD5062" w:rsidRDefault="00FD5062" w:rsidP="00FD5062">
            <w:pPr>
              <w:spacing w:before="0" w:after="0"/>
              <w:jc w:val="right"/>
              <w:rPr>
                <w:rFonts w:ascii="Times New Roman" w:eastAsia="Times New Roman" w:hAnsi="Times New Roman" w:cs="Times New Roman"/>
                <w:sz w:val="20"/>
                <w:szCs w:val="20"/>
                <w:lang w:eastAsia="en-GB"/>
              </w:rPr>
            </w:pPr>
          </w:p>
        </w:tc>
      </w:tr>
      <w:tr w:rsidR="00FD5062" w:rsidRPr="00FD5062" w14:paraId="01DDA842" w14:textId="77777777" w:rsidTr="00FD5062">
        <w:trPr>
          <w:trHeight w:val="250"/>
        </w:trPr>
        <w:tc>
          <w:tcPr>
            <w:tcW w:w="6379" w:type="dxa"/>
            <w:tcBorders>
              <w:top w:val="nil"/>
              <w:left w:val="nil"/>
              <w:bottom w:val="nil"/>
              <w:right w:val="nil"/>
            </w:tcBorders>
            <w:shd w:val="clear" w:color="auto" w:fill="auto"/>
            <w:noWrap/>
            <w:vAlign w:val="bottom"/>
            <w:hideMark/>
          </w:tcPr>
          <w:p w14:paraId="3F195EE0" w14:textId="77777777" w:rsidR="00FD5062" w:rsidRPr="00FD5062" w:rsidRDefault="00FD5062" w:rsidP="00FD5062">
            <w:pPr>
              <w:spacing w:before="0" w:after="0"/>
              <w:rPr>
                <w:rFonts w:eastAsia="Times New Roman" w:cs="Arial"/>
                <w:sz w:val="20"/>
                <w:szCs w:val="20"/>
                <w:lang w:eastAsia="en-GB"/>
              </w:rPr>
            </w:pPr>
            <w:r w:rsidRPr="00FD5062">
              <w:rPr>
                <w:rFonts w:eastAsia="Times New Roman" w:cs="Arial"/>
                <w:sz w:val="20"/>
                <w:szCs w:val="20"/>
                <w:lang w:eastAsia="en-GB"/>
              </w:rPr>
              <w:t>Changes in taxpayers’ equity for 2022-23 (Jul-22 to Mar-23)</w:t>
            </w:r>
          </w:p>
        </w:tc>
        <w:tc>
          <w:tcPr>
            <w:tcW w:w="400" w:type="dxa"/>
            <w:tcBorders>
              <w:top w:val="nil"/>
              <w:left w:val="nil"/>
              <w:bottom w:val="nil"/>
              <w:right w:val="nil"/>
            </w:tcBorders>
            <w:shd w:val="clear" w:color="auto" w:fill="auto"/>
            <w:noWrap/>
            <w:vAlign w:val="bottom"/>
            <w:hideMark/>
          </w:tcPr>
          <w:p w14:paraId="4B598E11" w14:textId="77777777" w:rsidR="00FD5062" w:rsidRPr="00FD5062" w:rsidRDefault="00FD5062" w:rsidP="00FD5062">
            <w:pPr>
              <w:spacing w:before="0" w:after="0"/>
              <w:rPr>
                <w:rFonts w:eastAsia="Times New Roman" w:cs="Arial"/>
                <w:sz w:val="20"/>
                <w:szCs w:val="20"/>
                <w:lang w:eastAsia="en-GB"/>
              </w:rPr>
            </w:pPr>
          </w:p>
        </w:tc>
        <w:tc>
          <w:tcPr>
            <w:tcW w:w="1280" w:type="dxa"/>
            <w:tcBorders>
              <w:top w:val="nil"/>
              <w:left w:val="nil"/>
              <w:bottom w:val="nil"/>
              <w:right w:val="nil"/>
            </w:tcBorders>
            <w:shd w:val="clear" w:color="auto" w:fill="auto"/>
            <w:noWrap/>
            <w:vAlign w:val="bottom"/>
            <w:hideMark/>
          </w:tcPr>
          <w:p w14:paraId="45AC0215"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72D8CCA6"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022FE12A"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r>
      <w:tr w:rsidR="00FD5062" w:rsidRPr="00FD5062" w14:paraId="6475DF3A" w14:textId="77777777" w:rsidTr="00FD5062">
        <w:trPr>
          <w:trHeight w:val="250"/>
        </w:trPr>
        <w:tc>
          <w:tcPr>
            <w:tcW w:w="6379" w:type="dxa"/>
            <w:tcBorders>
              <w:top w:val="nil"/>
              <w:left w:val="nil"/>
              <w:bottom w:val="nil"/>
              <w:right w:val="nil"/>
            </w:tcBorders>
            <w:shd w:val="clear" w:color="auto" w:fill="auto"/>
            <w:noWrap/>
            <w:vAlign w:val="bottom"/>
            <w:hideMark/>
          </w:tcPr>
          <w:p w14:paraId="2F8C8E99"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400" w:type="dxa"/>
            <w:tcBorders>
              <w:top w:val="nil"/>
              <w:left w:val="nil"/>
              <w:bottom w:val="nil"/>
              <w:right w:val="nil"/>
            </w:tcBorders>
            <w:shd w:val="clear" w:color="auto" w:fill="auto"/>
            <w:noWrap/>
            <w:vAlign w:val="bottom"/>
            <w:hideMark/>
          </w:tcPr>
          <w:p w14:paraId="3E474AE9"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50119BD8"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4E948715"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330F13C3"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r>
      <w:tr w:rsidR="00FD5062" w:rsidRPr="00FD5062" w14:paraId="6C453D9A" w14:textId="77777777" w:rsidTr="00FD5062">
        <w:trPr>
          <w:trHeight w:val="260"/>
        </w:trPr>
        <w:tc>
          <w:tcPr>
            <w:tcW w:w="6379" w:type="dxa"/>
            <w:tcBorders>
              <w:top w:val="nil"/>
              <w:left w:val="nil"/>
              <w:bottom w:val="nil"/>
              <w:right w:val="nil"/>
            </w:tcBorders>
            <w:shd w:val="clear" w:color="auto" w:fill="auto"/>
            <w:noWrap/>
            <w:vAlign w:val="bottom"/>
            <w:hideMark/>
          </w:tcPr>
          <w:p w14:paraId="1901A78A" w14:textId="77777777" w:rsidR="00FD5062" w:rsidRPr="00FD5062" w:rsidRDefault="00FD5062" w:rsidP="00FD5062">
            <w:pPr>
              <w:spacing w:before="0" w:after="0"/>
              <w:rPr>
                <w:rFonts w:eastAsia="Times New Roman" w:cs="Arial"/>
                <w:b/>
                <w:bCs/>
                <w:sz w:val="20"/>
                <w:szCs w:val="20"/>
                <w:lang w:eastAsia="en-GB"/>
              </w:rPr>
            </w:pPr>
            <w:r w:rsidRPr="00FD5062">
              <w:rPr>
                <w:rFonts w:eastAsia="Times New Roman" w:cs="Arial"/>
                <w:b/>
                <w:bCs/>
                <w:sz w:val="20"/>
                <w:szCs w:val="20"/>
                <w:lang w:eastAsia="en-GB"/>
              </w:rPr>
              <w:t>Balance at 01 July 22</w:t>
            </w:r>
          </w:p>
        </w:tc>
        <w:tc>
          <w:tcPr>
            <w:tcW w:w="400" w:type="dxa"/>
            <w:tcBorders>
              <w:top w:val="nil"/>
              <w:left w:val="nil"/>
              <w:bottom w:val="nil"/>
              <w:right w:val="nil"/>
            </w:tcBorders>
            <w:shd w:val="clear" w:color="auto" w:fill="auto"/>
            <w:noWrap/>
            <w:vAlign w:val="bottom"/>
            <w:hideMark/>
          </w:tcPr>
          <w:p w14:paraId="6F850916" w14:textId="77777777" w:rsidR="00FD5062" w:rsidRPr="00FD5062" w:rsidRDefault="00FD5062" w:rsidP="00FD5062">
            <w:pPr>
              <w:spacing w:before="0" w:after="0"/>
              <w:rPr>
                <w:rFonts w:eastAsia="Times New Roman" w:cs="Arial"/>
                <w:b/>
                <w:bCs/>
                <w:sz w:val="20"/>
                <w:szCs w:val="20"/>
                <w:lang w:eastAsia="en-GB"/>
              </w:rPr>
            </w:pPr>
          </w:p>
        </w:tc>
        <w:tc>
          <w:tcPr>
            <w:tcW w:w="1280" w:type="dxa"/>
            <w:tcBorders>
              <w:top w:val="nil"/>
              <w:left w:val="nil"/>
              <w:bottom w:val="nil"/>
              <w:right w:val="nil"/>
            </w:tcBorders>
            <w:shd w:val="clear" w:color="auto" w:fill="auto"/>
            <w:noWrap/>
            <w:vAlign w:val="bottom"/>
            <w:hideMark/>
          </w:tcPr>
          <w:p w14:paraId="5DBA746C" w14:textId="77777777" w:rsidR="00FD5062" w:rsidRPr="00FD5062" w:rsidRDefault="00FD5062" w:rsidP="00FD5062">
            <w:pPr>
              <w:spacing w:before="0" w:after="0"/>
              <w:jc w:val="right"/>
              <w:rPr>
                <w:rFonts w:eastAsia="Times New Roman" w:cs="Arial"/>
                <w:sz w:val="20"/>
                <w:szCs w:val="20"/>
                <w:lang w:eastAsia="en-GB"/>
              </w:rPr>
            </w:pPr>
            <w:r w:rsidRPr="00FD5062">
              <w:rPr>
                <w:rFonts w:eastAsia="Times New Roman" w:cs="Arial"/>
                <w:sz w:val="20"/>
                <w:szCs w:val="20"/>
                <w:lang w:eastAsia="en-GB"/>
              </w:rPr>
              <w:t>-</w:t>
            </w:r>
          </w:p>
        </w:tc>
        <w:tc>
          <w:tcPr>
            <w:tcW w:w="272" w:type="dxa"/>
            <w:tcBorders>
              <w:top w:val="nil"/>
              <w:left w:val="nil"/>
              <w:bottom w:val="nil"/>
              <w:right w:val="nil"/>
            </w:tcBorders>
            <w:shd w:val="clear" w:color="auto" w:fill="auto"/>
            <w:noWrap/>
            <w:vAlign w:val="bottom"/>
            <w:hideMark/>
          </w:tcPr>
          <w:p w14:paraId="55112E92" w14:textId="77777777" w:rsidR="00FD5062" w:rsidRPr="00FD5062" w:rsidRDefault="00FD5062" w:rsidP="00FD5062">
            <w:pPr>
              <w:spacing w:before="0" w:after="0"/>
              <w:jc w:val="right"/>
              <w:rPr>
                <w:rFonts w:eastAsia="Times New Roman" w:cs="Arial"/>
                <w:sz w:val="20"/>
                <w:szCs w:val="20"/>
                <w:lang w:eastAsia="en-GB"/>
              </w:rPr>
            </w:pPr>
          </w:p>
        </w:tc>
        <w:tc>
          <w:tcPr>
            <w:tcW w:w="1280" w:type="dxa"/>
            <w:tcBorders>
              <w:top w:val="nil"/>
              <w:left w:val="nil"/>
              <w:bottom w:val="nil"/>
              <w:right w:val="nil"/>
            </w:tcBorders>
            <w:shd w:val="clear" w:color="auto" w:fill="auto"/>
            <w:noWrap/>
            <w:vAlign w:val="bottom"/>
            <w:hideMark/>
          </w:tcPr>
          <w:p w14:paraId="0F3480FE" w14:textId="77777777" w:rsidR="00FD5062" w:rsidRPr="00FD5062" w:rsidRDefault="00FD5062" w:rsidP="00FD5062">
            <w:pPr>
              <w:spacing w:before="0" w:after="0"/>
              <w:jc w:val="right"/>
              <w:rPr>
                <w:rFonts w:eastAsia="Times New Roman" w:cs="Arial"/>
                <w:b/>
                <w:bCs/>
                <w:sz w:val="20"/>
                <w:szCs w:val="20"/>
                <w:lang w:eastAsia="en-GB"/>
              </w:rPr>
            </w:pPr>
            <w:r w:rsidRPr="00FD5062">
              <w:rPr>
                <w:rFonts w:eastAsia="Times New Roman" w:cs="Arial"/>
                <w:b/>
                <w:bCs/>
                <w:sz w:val="20"/>
                <w:szCs w:val="20"/>
                <w:lang w:eastAsia="en-GB"/>
              </w:rPr>
              <w:t>-</w:t>
            </w:r>
          </w:p>
        </w:tc>
      </w:tr>
      <w:tr w:rsidR="00FD5062" w:rsidRPr="00FD5062" w14:paraId="2849ED1D" w14:textId="77777777" w:rsidTr="00FD5062">
        <w:trPr>
          <w:trHeight w:val="270"/>
        </w:trPr>
        <w:tc>
          <w:tcPr>
            <w:tcW w:w="6379" w:type="dxa"/>
            <w:tcBorders>
              <w:top w:val="nil"/>
              <w:left w:val="nil"/>
              <w:bottom w:val="nil"/>
              <w:right w:val="nil"/>
            </w:tcBorders>
            <w:shd w:val="clear" w:color="auto" w:fill="auto"/>
            <w:noWrap/>
            <w:vAlign w:val="bottom"/>
            <w:hideMark/>
          </w:tcPr>
          <w:p w14:paraId="37593907" w14:textId="77777777" w:rsidR="00FD5062" w:rsidRPr="00FD5062" w:rsidRDefault="00FD5062" w:rsidP="00FD5062">
            <w:pPr>
              <w:spacing w:before="0" w:after="0"/>
              <w:rPr>
                <w:rFonts w:eastAsia="Times New Roman" w:cs="Arial"/>
                <w:b/>
                <w:bCs/>
                <w:sz w:val="20"/>
                <w:szCs w:val="20"/>
                <w:lang w:eastAsia="en-GB"/>
              </w:rPr>
            </w:pPr>
            <w:r w:rsidRPr="00FD5062">
              <w:rPr>
                <w:rFonts w:eastAsia="Times New Roman" w:cs="Arial"/>
                <w:b/>
                <w:bCs/>
                <w:sz w:val="20"/>
                <w:szCs w:val="20"/>
                <w:lang w:eastAsia="en-GB"/>
              </w:rPr>
              <w:t>Changes in ICB taxpayers’ equity for 2022-23 (Jul-22 to Mar-23)</w:t>
            </w:r>
          </w:p>
        </w:tc>
        <w:tc>
          <w:tcPr>
            <w:tcW w:w="400" w:type="dxa"/>
            <w:tcBorders>
              <w:top w:val="nil"/>
              <w:left w:val="nil"/>
              <w:bottom w:val="nil"/>
              <w:right w:val="nil"/>
            </w:tcBorders>
            <w:shd w:val="clear" w:color="auto" w:fill="auto"/>
            <w:noWrap/>
            <w:vAlign w:val="bottom"/>
            <w:hideMark/>
          </w:tcPr>
          <w:p w14:paraId="74ED9396" w14:textId="77777777" w:rsidR="00FD5062" w:rsidRPr="00FD5062" w:rsidRDefault="00FD5062" w:rsidP="00FD5062">
            <w:pPr>
              <w:spacing w:before="0" w:after="0"/>
              <w:rPr>
                <w:rFonts w:eastAsia="Times New Roman" w:cs="Arial"/>
                <w:b/>
                <w:bCs/>
                <w:sz w:val="20"/>
                <w:szCs w:val="20"/>
                <w:lang w:eastAsia="en-GB"/>
              </w:rPr>
            </w:pPr>
          </w:p>
        </w:tc>
        <w:tc>
          <w:tcPr>
            <w:tcW w:w="1280" w:type="dxa"/>
            <w:tcBorders>
              <w:top w:val="nil"/>
              <w:left w:val="nil"/>
              <w:bottom w:val="nil"/>
              <w:right w:val="nil"/>
            </w:tcBorders>
            <w:shd w:val="clear" w:color="auto" w:fill="auto"/>
            <w:noWrap/>
            <w:vAlign w:val="bottom"/>
            <w:hideMark/>
          </w:tcPr>
          <w:p w14:paraId="5943DDB9"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1B9DE258"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1300FF2C"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r>
      <w:tr w:rsidR="00FD5062" w:rsidRPr="00FD5062" w14:paraId="70A3AEFC" w14:textId="77777777" w:rsidTr="00FD5062">
        <w:trPr>
          <w:trHeight w:val="270"/>
        </w:trPr>
        <w:tc>
          <w:tcPr>
            <w:tcW w:w="6379" w:type="dxa"/>
            <w:tcBorders>
              <w:top w:val="nil"/>
              <w:left w:val="nil"/>
              <w:bottom w:val="nil"/>
              <w:right w:val="nil"/>
            </w:tcBorders>
            <w:shd w:val="clear" w:color="auto" w:fill="auto"/>
            <w:noWrap/>
            <w:vAlign w:val="bottom"/>
            <w:hideMark/>
          </w:tcPr>
          <w:p w14:paraId="371A38DE" w14:textId="77777777" w:rsidR="00FD5062" w:rsidRPr="00FD5062" w:rsidRDefault="00FD5062" w:rsidP="00FD5062">
            <w:pPr>
              <w:spacing w:before="0" w:after="0"/>
              <w:rPr>
                <w:rFonts w:eastAsia="Times New Roman" w:cs="Arial"/>
                <w:sz w:val="20"/>
                <w:szCs w:val="20"/>
                <w:lang w:eastAsia="en-GB"/>
              </w:rPr>
            </w:pPr>
            <w:r w:rsidRPr="00FD5062">
              <w:rPr>
                <w:rFonts w:eastAsia="Times New Roman" w:cs="Arial"/>
                <w:sz w:val="20"/>
                <w:szCs w:val="20"/>
                <w:lang w:eastAsia="en-GB"/>
              </w:rPr>
              <w:t>Net operating expenditure for the financial period</w:t>
            </w:r>
          </w:p>
        </w:tc>
        <w:tc>
          <w:tcPr>
            <w:tcW w:w="400" w:type="dxa"/>
            <w:tcBorders>
              <w:top w:val="nil"/>
              <w:left w:val="nil"/>
              <w:bottom w:val="nil"/>
              <w:right w:val="nil"/>
            </w:tcBorders>
            <w:shd w:val="clear" w:color="auto" w:fill="auto"/>
            <w:noWrap/>
            <w:vAlign w:val="bottom"/>
            <w:hideMark/>
          </w:tcPr>
          <w:p w14:paraId="0404737F" w14:textId="77777777" w:rsidR="00FD5062" w:rsidRPr="00FD5062" w:rsidRDefault="00FD5062" w:rsidP="00FD5062">
            <w:pPr>
              <w:spacing w:before="0" w:after="0"/>
              <w:rPr>
                <w:rFonts w:eastAsia="Times New Roman" w:cs="Arial"/>
                <w:sz w:val="20"/>
                <w:szCs w:val="20"/>
                <w:lang w:eastAsia="en-GB"/>
              </w:rPr>
            </w:pPr>
          </w:p>
        </w:tc>
        <w:tc>
          <w:tcPr>
            <w:tcW w:w="1280" w:type="dxa"/>
            <w:tcBorders>
              <w:top w:val="nil"/>
              <w:left w:val="nil"/>
              <w:bottom w:val="nil"/>
              <w:right w:val="nil"/>
            </w:tcBorders>
            <w:shd w:val="clear" w:color="auto" w:fill="auto"/>
            <w:noWrap/>
            <w:vAlign w:val="bottom"/>
            <w:hideMark/>
          </w:tcPr>
          <w:p w14:paraId="39CF7041" w14:textId="77777777" w:rsidR="00FD5062" w:rsidRPr="00FD5062" w:rsidRDefault="00FD5062" w:rsidP="00FD5062">
            <w:pPr>
              <w:spacing w:before="0" w:after="0"/>
              <w:jc w:val="right"/>
              <w:rPr>
                <w:rFonts w:eastAsia="Times New Roman" w:cs="Arial"/>
                <w:sz w:val="20"/>
                <w:szCs w:val="20"/>
                <w:lang w:eastAsia="en-GB"/>
              </w:rPr>
            </w:pPr>
            <w:r w:rsidRPr="00FD5062">
              <w:rPr>
                <w:rFonts w:eastAsia="Times New Roman" w:cs="Arial"/>
                <w:sz w:val="20"/>
                <w:szCs w:val="20"/>
                <w:lang w:eastAsia="en-GB"/>
              </w:rPr>
              <w:t>(1,873,750)</w:t>
            </w:r>
          </w:p>
        </w:tc>
        <w:tc>
          <w:tcPr>
            <w:tcW w:w="272" w:type="dxa"/>
            <w:tcBorders>
              <w:top w:val="nil"/>
              <w:left w:val="nil"/>
              <w:bottom w:val="nil"/>
              <w:right w:val="nil"/>
            </w:tcBorders>
            <w:shd w:val="clear" w:color="auto" w:fill="auto"/>
            <w:noWrap/>
            <w:vAlign w:val="bottom"/>
            <w:hideMark/>
          </w:tcPr>
          <w:p w14:paraId="66125264" w14:textId="77777777" w:rsidR="00FD5062" w:rsidRPr="00FD5062" w:rsidRDefault="00FD5062" w:rsidP="00FD5062">
            <w:pPr>
              <w:spacing w:before="0" w:after="0"/>
              <w:jc w:val="right"/>
              <w:rPr>
                <w:rFonts w:eastAsia="Times New Roman" w:cs="Arial"/>
                <w:sz w:val="20"/>
                <w:szCs w:val="20"/>
                <w:lang w:eastAsia="en-GB"/>
              </w:rPr>
            </w:pPr>
          </w:p>
        </w:tc>
        <w:tc>
          <w:tcPr>
            <w:tcW w:w="1280" w:type="dxa"/>
            <w:tcBorders>
              <w:top w:val="nil"/>
              <w:left w:val="nil"/>
              <w:bottom w:val="nil"/>
              <w:right w:val="nil"/>
            </w:tcBorders>
            <w:shd w:val="clear" w:color="auto" w:fill="auto"/>
            <w:noWrap/>
            <w:vAlign w:val="bottom"/>
            <w:hideMark/>
          </w:tcPr>
          <w:p w14:paraId="67EFABEE" w14:textId="77777777" w:rsidR="00FD5062" w:rsidRPr="00FD5062" w:rsidRDefault="00FD5062" w:rsidP="00FD5062">
            <w:pPr>
              <w:spacing w:before="0" w:after="0"/>
              <w:jc w:val="right"/>
              <w:rPr>
                <w:rFonts w:eastAsia="Times New Roman" w:cs="Arial"/>
                <w:b/>
                <w:bCs/>
                <w:sz w:val="20"/>
                <w:szCs w:val="20"/>
                <w:lang w:eastAsia="en-GB"/>
              </w:rPr>
            </w:pPr>
            <w:r w:rsidRPr="00FD5062">
              <w:rPr>
                <w:rFonts w:eastAsia="Times New Roman" w:cs="Arial"/>
                <w:b/>
                <w:bCs/>
                <w:sz w:val="20"/>
                <w:szCs w:val="20"/>
                <w:lang w:eastAsia="en-GB"/>
              </w:rPr>
              <w:t>(1,873,750)</w:t>
            </w:r>
          </w:p>
        </w:tc>
      </w:tr>
      <w:tr w:rsidR="00FD5062" w:rsidRPr="00FD5062" w14:paraId="61645199" w14:textId="77777777" w:rsidTr="00FD5062">
        <w:trPr>
          <w:trHeight w:val="270"/>
        </w:trPr>
        <w:tc>
          <w:tcPr>
            <w:tcW w:w="6379" w:type="dxa"/>
            <w:tcBorders>
              <w:top w:val="nil"/>
              <w:left w:val="nil"/>
              <w:bottom w:val="nil"/>
              <w:right w:val="nil"/>
            </w:tcBorders>
            <w:shd w:val="clear" w:color="auto" w:fill="auto"/>
            <w:noWrap/>
            <w:vAlign w:val="bottom"/>
            <w:hideMark/>
          </w:tcPr>
          <w:p w14:paraId="527CFE78" w14:textId="77777777" w:rsidR="00FD5062" w:rsidRPr="00FD5062" w:rsidRDefault="00FD5062" w:rsidP="00FD5062">
            <w:pPr>
              <w:spacing w:before="0" w:after="0"/>
              <w:rPr>
                <w:rFonts w:eastAsia="Times New Roman" w:cs="Arial"/>
                <w:sz w:val="20"/>
                <w:szCs w:val="20"/>
                <w:lang w:eastAsia="en-GB"/>
              </w:rPr>
            </w:pPr>
            <w:r w:rsidRPr="00FD5062">
              <w:rPr>
                <w:rFonts w:eastAsia="Times New Roman" w:cs="Arial"/>
                <w:sz w:val="20"/>
                <w:szCs w:val="20"/>
                <w:lang w:eastAsia="en-GB"/>
              </w:rPr>
              <w:t>Transfers by absorption (from) other bodies</w:t>
            </w:r>
          </w:p>
        </w:tc>
        <w:tc>
          <w:tcPr>
            <w:tcW w:w="400" w:type="dxa"/>
            <w:tcBorders>
              <w:top w:val="nil"/>
              <w:left w:val="nil"/>
              <w:bottom w:val="nil"/>
              <w:right w:val="nil"/>
            </w:tcBorders>
            <w:shd w:val="clear" w:color="auto" w:fill="auto"/>
            <w:noWrap/>
            <w:vAlign w:val="bottom"/>
            <w:hideMark/>
          </w:tcPr>
          <w:p w14:paraId="203B246D" w14:textId="77777777" w:rsidR="00FD5062" w:rsidRPr="00FD5062" w:rsidRDefault="00FD5062" w:rsidP="00FD5062">
            <w:pPr>
              <w:spacing w:before="0" w:after="0"/>
              <w:rPr>
                <w:rFonts w:eastAsia="Times New Roman" w:cs="Arial"/>
                <w:sz w:val="20"/>
                <w:szCs w:val="20"/>
                <w:lang w:eastAsia="en-GB"/>
              </w:rPr>
            </w:pPr>
          </w:p>
        </w:tc>
        <w:tc>
          <w:tcPr>
            <w:tcW w:w="1280" w:type="dxa"/>
            <w:tcBorders>
              <w:top w:val="nil"/>
              <w:left w:val="nil"/>
              <w:bottom w:val="single" w:sz="4" w:space="0" w:color="auto"/>
              <w:right w:val="nil"/>
            </w:tcBorders>
            <w:shd w:val="clear" w:color="auto" w:fill="auto"/>
            <w:noWrap/>
            <w:vAlign w:val="bottom"/>
            <w:hideMark/>
          </w:tcPr>
          <w:p w14:paraId="17F1337B" w14:textId="77777777" w:rsidR="00FD5062" w:rsidRPr="00FD5062" w:rsidRDefault="00FD5062" w:rsidP="00FD5062">
            <w:pPr>
              <w:spacing w:before="0" w:after="0"/>
              <w:jc w:val="right"/>
              <w:rPr>
                <w:rFonts w:eastAsia="Times New Roman" w:cs="Arial"/>
                <w:sz w:val="20"/>
                <w:szCs w:val="20"/>
                <w:lang w:eastAsia="en-GB"/>
              </w:rPr>
            </w:pPr>
            <w:r w:rsidRPr="00FD5062">
              <w:rPr>
                <w:rFonts w:eastAsia="Times New Roman" w:cs="Arial"/>
                <w:sz w:val="20"/>
                <w:szCs w:val="20"/>
                <w:lang w:eastAsia="en-GB"/>
              </w:rPr>
              <w:t>(92,271)</w:t>
            </w:r>
          </w:p>
        </w:tc>
        <w:tc>
          <w:tcPr>
            <w:tcW w:w="272" w:type="dxa"/>
            <w:tcBorders>
              <w:top w:val="nil"/>
              <w:left w:val="nil"/>
              <w:bottom w:val="nil"/>
              <w:right w:val="nil"/>
            </w:tcBorders>
            <w:shd w:val="clear" w:color="auto" w:fill="auto"/>
            <w:noWrap/>
            <w:vAlign w:val="bottom"/>
            <w:hideMark/>
          </w:tcPr>
          <w:p w14:paraId="1B50ACE9" w14:textId="77777777" w:rsidR="00FD5062" w:rsidRPr="00FD5062" w:rsidRDefault="00FD5062" w:rsidP="00FD5062">
            <w:pPr>
              <w:spacing w:before="0" w:after="0"/>
              <w:jc w:val="right"/>
              <w:rPr>
                <w:rFonts w:eastAsia="Times New Roman" w:cs="Arial"/>
                <w:sz w:val="20"/>
                <w:szCs w:val="20"/>
                <w:lang w:eastAsia="en-GB"/>
              </w:rPr>
            </w:pPr>
          </w:p>
        </w:tc>
        <w:tc>
          <w:tcPr>
            <w:tcW w:w="1280" w:type="dxa"/>
            <w:tcBorders>
              <w:top w:val="nil"/>
              <w:left w:val="nil"/>
              <w:bottom w:val="single" w:sz="4" w:space="0" w:color="auto"/>
              <w:right w:val="nil"/>
            </w:tcBorders>
            <w:shd w:val="clear" w:color="auto" w:fill="auto"/>
            <w:noWrap/>
            <w:vAlign w:val="bottom"/>
            <w:hideMark/>
          </w:tcPr>
          <w:p w14:paraId="0106151B" w14:textId="77777777" w:rsidR="00FD5062" w:rsidRPr="00FD5062" w:rsidRDefault="00FD5062" w:rsidP="00FD5062">
            <w:pPr>
              <w:spacing w:before="0" w:after="0"/>
              <w:jc w:val="right"/>
              <w:rPr>
                <w:rFonts w:eastAsia="Times New Roman" w:cs="Arial"/>
                <w:b/>
                <w:bCs/>
                <w:sz w:val="20"/>
                <w:szCs w:val="20"/>
                <w:lang w:eastAsia="en-GB"/>
              </w:rPr>
            </w:pPr>
            <w:r w:rsidRPr="00FD5062">
              <w:rPr>
                <w:rFonts w:eastAsia="Times New Roman" w:cs="Arial"/>
                <w:b/>
                <w:bCs/>
                <w:sz w:val="20"/>
                <w:szCs w:val="20"/>
                <w:lang w:eastAsia="en-GB"/>
              </w:rPr>
              <w:t>(92,271)</w:t>
            </w:r>
          </w:p>
        </w:tc>
      </w:tr>
      <w:tr w:rsidR="00FD5062" w:rsidRPr="00FD5062" w14:paraId="2906588F" w14:textId="77777777" w:rsidTr="00FD5062">
        <w:trPr>
          <w:trHeight w:val="310"/>
        </w:trPr>
        <w:tc>
          <w:tcPr>
            <w:tcW w:w="6379" w:type="dxa"/>
            <w:tcBorders>
              <w:top w:val="nil"/>
              <w:left w:val="nil"/>
              <w:bottom w:val="nil"/>
              <w:right w:val="nil"/>
            </w:tcBorders>
            <w:shd w:val="clear" w:color="auto" w:fill="auto"/>
            <w:noWrap/>
            <w:vAlign w:val="center"/>
            <w:hideMark/>
          </w:tcPr>
          <w:p w14:paraId="609B3B8A" w14:textId="77777777" w:rsidR="00FD5062" w:rsidRPr="00FD5062" w:rsidRDefault="00FD5062" w:rsidP="00FD5062">
            <w:pPr>
              <w:spacing w:before="0" w:after="0"/>
              <w:rPr>
                <w:rFonts w:eastAsia="Times New Roman" w:cs="Arial"/>
                <w:b/>
                <w:bCs/>
                <w:sz w:val="20"/>
                <w:szCs w:val="20"/>
                <w:lang w:eastAsia="en-GB"/>
              </w:rPr>
            </w:pPr>
            <w:r w:rsidRPr="00FD5062">
              <w:rPr>
                <w:rFonts w:eastAsia="Times New Roman" w:cs="Arial"/>
                <w:b/>
                <w:bCs/>
                <w:sz w:val="20"/>
                <w:szCs w:val="20"/>
                <w:lang w:eastAsia="en-GB"/>
              </w:rPr>
              <w:t>Net recognised ICB expenditure for the financial period</w:t>
            </w:r>
          </w:p>
        </w:tc>
        <w:tc>
          <w:tcPr>
            <w:tcW w:w="400" w:type="dxa"/>
            <w:tcBorders>
              <w:top w:val="nil"/>
              <w:left w:val="nil"/>
              <w:bottom w:val="nil"/>
              <w:right w:val="nil"/>
            </w:tcBorders>
            <w:shd w:val="clear" w:color="auto" w:fill="auto"/>
            <w:noWrap/>
            <w:vAlign w:val="center"/>
            <w:hideMark/>
          </w:tcPr>
          <w:p w14:paraId="3E480416" w14:textId="77777777" w:rsidR="00FD5062" w:rsidRPr="00FD5062" w:rsidRDefault="00FD5062" w:rsidP="00FD5062">
            <w:pPr>
              <w:spacing w:before="0" w:after="0"/>
              <w:rPr>
                <w:rFonts w:eastAsia="Times New Roman" w:cs="Arial"/>
                <w:b/>
                <w:bCs/>
                <w:sz w:val="20"/>
                <w:szCs w:val="20"/>
                <w:lang w:eastAsia="en-GB"/>
              </w:rPr>
            </w:pPr>
          </w:p>
        </w:tc>
        <w:tc>
          <w:tcPr>
            <w:tcW w:w="1280" w:type="dxa"/>
            <w:tcBorders>
              <w:top w:val="nil"/>
              <w:left w:val="nil"/>
              <w:bottom w:val="nil"/>
              <w:right w:val="nil"/>
            </w:tcBorders>
            <w:shd w:val="clear" w:color="auto" w:fill="auto"/>
            <w:noWrap/>
            <w:vAlign w:val="center"/>
            <w:hideMark/>
          </w:tcPr>
          <w:p w14:paraId="6BD1897F" w14:textId="77777777" w:rsidR="00FD5062" w:rsidRPr="00FD5062" w:rsidRDefault="00FD5062" w:rsidP="00FD5062">
            <w:pPr>
              <w:spacing w:before="0" w:after="0"/>
              <w:jc w:val="right"/>
              <w:rPr>
                <w:rFonts w:eastAsia="Times New Roman" w:cs="Arial"/>
                <w:b/>
                <w:bCs/>
                <w:sz w:val="20"/>
                <w:szCs w:val="20"/>
                <w:lang w:eastAsia="en-GB"/>
              </w:rPr>
            </w:pPr>
            <w:r w:rsidRPr="00FD5062">
              <w:rPr>
                <w:rFonts w:eastAsia="Times New Roman" w:cs="Arial"/>
                <w:b/>
                <w:bCs/>
                <w:sz w:val="20"/>
                <w:szCs w:val="20"/>
                <w:lang w:eastAsia="en-GB"/>
              </w:rPr>
              <w:t>(1,966,021)</w:t>
            </w:r>
          </w:p>
        </w:tc>
        <w:tc>
          <w:tcPr>
            <w:tcW w:w="272" w:type="dxa"/>
            <w:tcBorders>
              <w:top w:val="nil"/>
              <w:left w:val="nil"/>
              <w:bottom w:val="nil"/>
              <w:right w:val="nil"/>
            </w:tcBorders>
            <w:shd w:val="clear" w:color="auto" w:fill="auto"/>
            <w:noWrap/>
            <w:vAlign w:val="center"/>
            <w:hideMark/>
          </w:tcPr>
          <w:p w14:paraId="6094AE3E" w14:textId="77777777" w:rsidR="00FD5062" w:rsidRPr="00FD5062" w:rsidRDefault="00FD5062" w:rsidP="00FD5062">
            <w:pPr>
              <w:spacing w:before="0" w:after="0"/>
              <w:jc w:val="right"/>
              <w:rPr>
                <w:rFonts w:eastAsia="Times New Roman" w:cs="Arial"/>
                <w:b/>
                <w:bCs/>
                <w:sz w:val="20"/>
                <w:szCs w:val="20"/>
                <w:lang w:eastAsia="en-GB"/>
              </w:rPr>
            </w:pPr>
          </w:p>
        </w:tc>
        <w:tc>
          <w:tcPr>
            <w:tcW w:w="1280" w:type="dxa"/>
            <w:tcBorders>
              <w:top w:val="nil"/>
              <w:left w:val="nil"/>
              <w:bottom w:val="nil"/>
              <w:right w:val="nil"/>
            </w:tcBorders>
            <w:shd w:val="clear" w:color="auto" w:fill="auto"/>
            <w:noWrap/>
            <w:vAlign w:val="center"/>
            <w:hideMark/>
          </w:tcPr>
          <w:p w14:paraId="42ED69F3" w14:textId="77777777" w:rsidR="00FD5062" w:rsidRPr="00FD5062" w:rsidRDefault="00FD5062" w:rsidP="00FD5062">
            <w:pPr>
              <w:spacing w:before="0" w:after="0"/>
              <w:jc w:val="right"/>
              <w:rPr>
                <w:rFonts w:eastAsia="Times New Roman" w:cs="Arial"/>
                <w:b/>
                <w:bCs/>
                <w:sz w:val="20"/>
                <w:szCs w:val="20"/>
                <w:lang w:eastAsia="en-GB"/>
              </w:rPr>
            </w:pPr>
            <w:r w:rsidRPr="00FD5062">
              <w:rPr>
                <w:rFonts w:eastAsia="Times New Roman" w:cs="Arial"/>
                <w:b/>
                <w:bCs/>
                <w:sz w:val="20"/>
                <w:szCs w:val="20"/>
                <w:lang w:eastAsia="en-GB"/>
              </w:rPr>
              <w:t>(1,966,021)</w:t>
            </w:r>
          </w:p>
        </w:tc>
      </w:tr>
      <w:tr w:rsidR="00FD5062" w:rsidRPr="00FD5062" w14:paraId="2687CA1E" w14:textId="77777777" w:rsidTr="00FD5062">
        <w:trPr>
          <w:trHeight w:val="270"/>
        </w:trPr>
        <w:tc>
          <w:tcPr>
            <w:tcW w:w="6379" w:type="dxa"/>
            <w:tcBorders>
              <w:top w:val="nil"/>
              <w:left w:val="nil"/>
              <w:bottom w:val="nil"/>
              <w:right w:val="nil"/>
            </w:tcBorders>
            <w:shd w:val="clear" w:color="auto" w:fill="auto"/>
            <w:noWrap/>
            <w:vAlign w:val="bottom"/>
            <w:hideMark/>
          </w:tcPr>
          <w:p w14:paraId="73803226" w14:textId="77777777" w:rsidR="00FD5062" w:rsidRPr="00FD5062" w:rsidRDefault="00FD5062" w:rsidP="00FD5062">
            <w:pPr>
              <w:spacing w:before="0" w:after="0"/>
              <w:rPr>
                <w:rFonts w:eastAsia="Times New Roman" w:cs="Arial"/>
                <w:sz w:val="20"/>
                <w:szCs w:val="20"/>
                <w:lang w:eastAsia="en-GB"/>
              </w:rPr>
            </w:pPr>
            <w:r w:rsidRPr="00FD5062">
              <w:rPr>
                <w:rFonts w:eastAsia="Times New Roman" w:cs="Arial"/>
                <w:sz w:val="20"/>
                <w:szCs w:val="20"/>
                <w:lang w:eastAsia="en-GB"/>
              </w:rPr>
              <w:t>Net funding</w:t>
            </w:r>
          </w:p>
        </w:tc>
        <w:tc>
          <w:tcPr>
            <w:tcW w:w="400" w:type="dxa"/>
            <w:tcBorders>
              <w:top w:val="nil"/>
              <w:left w:val="nil"/>
              <w:bottom w:val="nil"/>
              <w:right w:val="nil"/>
            </w:tcBorders>
            <w:shd w:val="clear" w:color="auto" w:fill="auto"/>
            <w:noWrap/>
            <w:vAlign w:val="bottom"/>
            <w:hideMark/>
          </w:tcPr>
          <w:p w14:paraId="1810D198" w14:textId="77777777" w:rsidR="00FD5062" w:rsidRPr="00FD5062" w:rsidRDefault="00FD5062" w:rsidP="00FD5062">
            <w:pPr>
              <w:spacing w:before="0" w:after="0"/>
              <w:rPr>
                <w:rFonts w:eastAsia="Times New Roman" w:cs="Arial"/>
                <w:sz w:val="20"/>
                <w:szCs w:val="20"/>
                <w:lang w:eastAsia="en-GB"/>
              </w:rPr>
            </w:pPr>
          </w:p>
        </w:tc>
        <w:tc>
          <w:tcPr>
            <w:tcW w:w="1280" w:type="dxa"/>
            <w:tcBorders>
              <w:top w:val="nil"/>
              <w:left w:val="nil"/>
              <w:bottom w:val="nil"/>
              <w:right w:val="nil"/>
            </w:tcBorders>
            <w:shd w:val="clear" w:color="auto" w:fill="auto"/>
            <w:noWrap/>
            <w:vAlign w:val="bottom"/>
            <w:hideMark/>
          </w:tcPr>
          <w:p w14:paraId="58457C60" w14:textId="77777777" w:rsidR="00FD5062" w:rsidRPr="00FD5062" w:rsidRDefault="00FD5062" w:rsidP="00FD5062">
            <w:pPr>
              <w:spacing w:before="0" w:after="0"/>
              <w:jc w:val="right"/>
              <w:rPr>
                <w:rFonts w:eastAsia="Times New Roman" w:cs="Arial"/>
                <w:sz w:val="20"/>
                <w:szCs w:val="20"/>
                <w:lang w:eastAsia="en-GB"/>
              </w:rPr>
            </w:pPr>
            <w:r w:rsidRPr="00FD5062">
              <w:rPr>
                <w:rFonts w:eastAsia="Times New Roman" w:cs="Arial"/>
                <w:sz w:val="20"/>
                <w:szCs w:val="20"/>
                <w:lang w:eastAsia="en-GB"/>
              </w:rPr>
              <w:t>1,786,921</w:t>
            </w:r>
          </w:p>
        </w:tc>
        <w:tc>
          <w:tcPr>
            <w:tcW w:w="272" w:type="dxa"/>
            <w:tcBorders>
              <w:top w:val="nil"/>
              <w:left w:val="nil"/>
              <w:bottom w:val="nil"/>
              <w:right w:val="nil"/>
            </w:tcBorders>
            <w:shd w:val="clear" w:color="auto" w:fill="auto"/>
            <w:noWrap/>
            <w:vAlign w:val="bottom"/>
            <w:hideMark/>
          </w:tcPr>
          <w:p w14:paraId="7CC145A3" w14:textId="77777777" w:rsidR="00FD5062" w:rsidRPr="00FD5062" w:rsidRDefault="00FD5062" w:rsidP="00FD5062">
            <w:pPr>
              <w:spacing w:before="0" w:after="0"/>
              <w:jc w:val="right"/>
              <w:rPr>
                <w:rFonts w:eastAsia="Times New Roman" w:cs="Arial"/>
                <w:sz w:val="20"/>
                <w:szCs w:val="20"/>
                <w:lang w:eastAsia="en-GB"/>
              </w:rPr>
            </w:pPr>
          </w:p>
        </w:tc>
        <w:tc>
          <w:tcPr>
            <w:tcW w:w="1280" w:type="dxa"/>
            <w:tcBorders>
              <w:top w:val="nil"/>
              <w:left w:val="nil"/>
              <w:bottom w:val="nil"/>
              <w:right w:val="nil"/>
            </w:tcBorders>
            <w:shd w:val="clear" w:color="auto" w:fill="auto"/>
            <w:noWrap/>
            <w:vAlign w:val="bottom"/>
            <w:hideMark/>
          </w:tcPr>
          <w:p w14:paraId="1D998B75" w14:textId="77777777" w:rsidR="00FD5062" w:rsidRPr="00FD5062" w:rsidRDefault="00FD5062" w:rsidP="00FD5062">
            <w:pPr>
              <w:spacing w:before="0" w:after="0"/>
              <w:jc w:val="right"/>
              <w:rPr>
                <w:rFonts w:eastAsia="Times New Roman" w:cs="Arial"/>
                <w:b/>
                <w:bCs/>
                <w:sz w:val="20"/>
                <w:szCs w:val="20"/>
                <w:lang w:eastAsia="en-GB"/>
              </w:rPr>
            </w:pPr>
            <w:r w:rsidRPr="00FD5062">
              <w:rPr>
                <w:rFonts w:eastAsia="Times New Roman" w:cs="Arial"/>
                <w:b/>
                <w:bCs/>
                <w:sz w:val="20"/>
                <w:szCs w:val="20"/>
                <w:lang w:eastAsia="en-GB"/>
              </w:rPr>
              <w:t>1,786,921</w:t>
            </w:r>
          </w:p>
        </w:tc>
      </w:tr>
      <w:tr w:rsidR="00FD5062" w:rsidRPr="00FD5062" w14:paraId="7DC6D9F4" w14:textId="77777777" w:rsidTr="00FD5062">
        <w:trPr>
          <w:trHeight w:val="310"/>
        </w:trPr>
        <w:tc>
          <w:tcPr>
            <w:tcW w:w="6379" w:type="dxa"/>
            <w:tcBorders>
              <w:top w:val="nil"/>
              <w:left w:val="nil"/>
              <w:bottom w:val="nil"/>
              <w:right w:val="nil"/>
            </w:tcBorders>
            <w:shd w:val="clear" w:color="auto" w:fill="auto"/>
            <w:noWrap/>
            <w:vAlign w:val="center"/>
            <w:hideMark/>
          </w:tcPr>
          <w:p w14:paraId="4261A6BB" w14:textId="77777777" w:rsidR="00FD5062" w:rsidRPr="00FD5062" w:rsidRDefault="00FD5062" w:rsidP="00FD5062">
            <w:pPr>
              <w:spacing w:before="0" w:after="0"/>
              <w:rPr>
                <w:rFonts w:eastAsia="Times New Roman" w:cs="Arial"/>
                <w:b/>
                <w:bCs/>
                <w:sz w:val="20"/>
                <w:szCs w:val="20"/>
                <w:lang w:eastAsia="en-GB"/>
              </w:rPr>
            </w:pPr>
            <w:r w:rsidRPr="00FD5062">
              <w:rPr>
                <w:rFonts w:eastAsia="Times New Roman" w:cs="Arial"/>
                <w:b/>
                <w:bCs/>
                <w:sz w:val="20"/>
                <w:szCs w:val="20"/>
                <w:lang w:eastAsia="en-GB"/>
              </w:rPr>
              <w:t>Balance at 31 March 23</w:t>
            </w:r>
          </w:p>
        </w:tc>
        <w:tc>
          <w:tcPr>
            <w:tcW w:w="400" w:type="dxa"/>
            <w:tcBorders>
              <w:top w:val="nil"/>
              <w:left w:val="nil"/>
              <w:bottom w:val="nil"/>
              <w:right w:val="nil"/>
            </w:tcBorders>
            <w:shd w:val="clear" w:color="auto" w:fill="auto"/>
            <w:noWrap/>
            <w:vAlign w:val="center"/>
            <w:hideMark/>
          </w:tcPr>
          <w:p w14:paraId="374638DD" w14:textId="77777777" w:rsidR="00FD5062" w:rsidRPr="00FD5062" w:rsidRDefault="00FD5062" w:rsidP="00FD5062">
            <w:pPr>
              <w:spacing w:before="0" w:after="0"/>
              <w:rPr>
                <w:rFonts w:eastAsia="Times New Roman" w:cs="Arial"/>
                <w:b/>
                <w:bCs/>
                <w:sz w:val="20"/>
                <w:szCs w:val="20"/>
                <w:lang w:eastAsia="en-GB"/>
              </w:rPr>
            </w:pPr>
          </w:p>
        </w:tc>
        <w:tc>
          <w:tcPr>
            <w:tcW w:w="1280" w:type="dxa"/>
            <w:tcBorders>
              <w:top w:val="single" w:sz="4" w:space="0" w:color="auto"/>
              <w:left w:val="nil"/>
              <w:bottom w:val="single" w:sz="4" w:space="0" w:color="auto"/>
              <w:right w:val="nil"/>
            </w:tcBorders>
            <w:shd w:val="clear" w:color="auto" w:fill="auto"/>
            <w:noWrap/>
            <w:vAlign w:val="center"/>
            <w:hideMark/>
          </w:tcPr>
          <w:p w14:paraId="1C004377" w14:textId="77777777" w:rsidR="00FD5062" w:rsidRPr="00FD5062" w:rsidRDefault="00FD5062" w:rsidP="00FD5062">
            <w:pPr>
              <w:spacing w:before="0" w:after="0"/>
              <w:jc w:val="right"/>
              <w:rPr>
                <w:rFonts w:eastAsia="Times New Roman" w:cs="Arial"/>
                <w:b/>
                <w:bCs/>
                <w:sz w:val="20"/>
                <w:szCs w:val="20"/>
                <w:lang w:eastAsia="en-GB"/>
              </w:rPr>
            </w:pPr>
            <w:r w:rsidRPr="00FD5062">
              <w:rPr>
                <w:rFonts w:eastAsia="Times New Roman" w:cs="Arial"/>
                <w:b/>
                <w:bCs/>
                <w:sz w:val="20"/>
                <w:szCs w:val="20"/>
                <w:lang w:eastAsia="en-GB"/>
              </w:rPr>
              <w:t>(179,100)</w:t>
            </w:r>
          </w:p>
        </w:tc>
        <w:tc>
          <w:tcPr>
            <w:tcW w:w="272" w:type="dxa"/>
            <w:tcBorders>
              <w:top w:val="nil"/>
              <w:left w:val="nil"/>
              <w:bottom w:val="nil"/>
              <w:right w:val="nil"/>
            </w:tcBorders>
            <w:shd w:val="clear" w:color="auto" w:fill="auto"/>
            <w:noWrap/>
            <w:vAlign w:val="center"/>
            <w:hideMark/>
          </w:tcPr>
          <w:p w14:paraId="5128E327" w14:textId="77777777" w:rsidR="00FD5062" w:rsidRPr="00FD5062" w:rsidRDefault="00FD5062" w:rsidP="00FD5062">
            <w:pPr>
              <w:spacing w:before="0" w:after="0"/>
              <w:jc w:val="right"/>
              <w:rPr>
                <w:rFonts w:eastAsia="Times New Roman" w:cs="Arial"/>
                <w:b/>
                <w:bCs/>
                <w:sz w:val="20"/>
                <w:szCs w:val="20"/>
                <w:lang w:eastAsia="en-GB"/>
              </w:rPr>
            </w:pPr>
          </w:p>
        </w:tc>
        <w:tc>
          <w:tcPr>
            <w:tcW w:w="1280" w:type="dxa"/>
            <w:tcBorders>
              <w:top w:val="single" w:sz="4" w:space="0" w:color="auto"/>
              <w:left w:val="nil"/>
              <w:bottom w:val="single" w:sz="4" w:space="0" w:color="auto"/>
              <w:right w:val="nil"/>
            </w:tcBorders>
            <w:shd w:val="clear" w:color="auto" w:fill="auto"/>
            <w:noWrap/>
            <w:vAlign w:val="center"/>
            <w:hideMark/>
          </w:tcPr>
          <w:p w14:paraId="289F2E7A" w14:textId="77777777" w:rsidR="00FD5062" w:rsidRPr="00FD5062" w:rsidRDefault="00FD5062" w:rsidP="00FD5062">
            <w:pPr>
              <w:spacing w:before="0" w:after="0"/>
              <w:jc w:val="right"/>
              <w:rPr>
                <w:rFonts w:eastAsia="Times New Roman" w:cs="Arial"/>
                <w:b/>
                <w:bCs/>
                <w:sz w:val="20"/>
                <w:szCs w:val="20"/>
                <w:lang w:eastAsia="en-GB"/>
              </w:rPr>
            </w:pPr>
            <w:r w:rsidRPr="00FD5062">
              <w:rPr>
                <w:rFonts w:eastAsia="Times New Roman" w:cs="Arial"/>
                <w:b/>
                <w:bCs/>
                <w:sz w:val="20"/>
                <w:szCs w:val="20"/>
                <w:lang w:eastAsia="en-GB"/>
              </w:rPr>
              <w:t>(179,100)</w:t>
            </w:r>
          </w:p>
        </w:tc>
      </w:tr>
      <w:tr w:rsidR="00FD5062" w:rsidRPr="00FD5062" w14:paraId="146026B3" w14:textId="77777777" w:rsidTr="00FD5062">
        <w:trPr>
          <w:trHeight w:val="250"/>
        </w:trPr>
        <w:tc>
          <w:tcPr>
            <w:tcW w:w="6379" w:type="dxa"/>
            <w:tcBorders>
              <w:top w:val="nil"/>
              <w:left w:val="nil"/>
              <w:bottom w:val="nil"/>
              <w:right w:val="nil"/>
            </w:tcBorders>
            <w:shd w:val="clear" w:color="auto" w:fill="auto"/>
            <w:noWrap/>
            <w:vAlign w:val="bottom"/>
            <w:hideMark/>
          </w:tcPr>
          <w:p w14:paraId="50A46B76" w14:textId="77777777" w:rsidR="00FD5062" w:rsidRPr="00FD5062" w:rsidRDefault="00FD5062" w:rsidP="00FD5062">
            <w:pPr>
              <w:spacing w:before="0" w:after="0"/>
              <w:jc w:val="right"/>
              <w:rPr>
                <w:rFonts w:eastAsia="Times New Roman" w:cs="Arial"/>
                <w:b/>
                <w:bCs/>
                <w:sz w:val="20"/>
                <w:szCs w:val="20"/>
                <w:lang w:eastAsia="en-GB"/>
              </w:rPr>
            </w:pPr>
          </w:p>
        </w:tc>
        <w:tc>
          <w:tcPr>
            <w:tcW w:w="400" w:type="dxa"/>
            <w:tcBorders>
              <w:top w:val="nil"/>
              <w:left w:val="nil"/>
              <w:bottom w:val="nil"/>
              <w:right w:val="nil"/>
            </w:tcBorders>
            <w:shd w:val="clear" w:color="auto" w:fill="auto"/>
            <w:noWrap/>
            <w:vAlign w:val="bottom"/>
            <w:hideMark/>
          </w:tcPr>
          <w:p w14:paraId="4EBB7797"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08E7C103"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3DE44BCF"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7A3D151E"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r>
      <w:tr w:rsidR="00FD5062" w:rsidRPr="00FD5062" w14:paraId="40559B49" w14:textId="77777777" w:rsidTr="00FD5062">
        <w:trPr>
          <w:trHeight w:val="250"/>
        </w:trPr>
        <w:tc>
          <w:tcPr>
            <w:tcW w:w="6379" w:type="dxa"/>
            <w:tcBorders>
              <w:top w:val="nil"/>
              <w:left w:val="nil"/>
              <w:bottom w:val="nil"/>
              <w:right w:val="nil"/>
            </w:tcBorders>
            <w:shd w:val="clear" w:color="auto" w:fill="auto"/>
            <w:noWrap/>
            <w:vAlign w:val="bottom"/>
            <w:hideMark/>
          </w:tcPr>
          <w:p w14:paraId="47B94BD0"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400" w:type="dxa"/>
            <w:tcBorders>
              <w:top w:val="nil"/>
              <w:left w:val="nil"/>
              <w:bottom w:val="nil"/>
              <w:right w:val="nil"/>
            </w:tcBorders>
            <w:shd w:val="clear" w:color="auto" w:fill="auto"/>
            <w:noWrap/>
            <w:vAlign w:val="bottom"/>
            <w:hideMark/>
          </w:tcPr>
          <w:p w14:paraId="2A9E398A"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131227D8"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3A8F5299"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27609C36"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r>
      <w:tr w:rsidR="00FD5062" w:rsidRPr="00FD5062" w14:paraId="1C8DB432" w14:textId="77777777" w:rsidTr="00FD5062">
        <w:trPr>
          <w:trHeight w:val="250"/>
        </w:trPr>
        <w:tc>
          <w:tcPr>
            <w:tcW w:w="6379" w:type="dxa"/>
            <w:tcBorders>
              <w:top w:val="nil"/>
              <w:left w:val="nil"/>
              <w:bottom w:val="nil"/>
              <w:right w:val="nil"/>
            </w:tcBorders>
            <w:shd w:val="clear" w:color="auto" w:fill="auto"/>
            <w:noWrap/>
            <w:vAlign w:val="bottom"/>
            <w:hideMark/>
          </w:tcPr>
          <w:p w14:paraId="2F3306ED" w14:textId="5C7A727F" w:rsidR="00FD5062" w:rsidRPr="00FD5062" w:rsidRDefault="00FD5062" w:rsidP="00FD5062">
            <w:pPr>
              <w:spacing w:before="0" w:after="0"/>
              <w:rPr>
                <w:rFonts w:eastAsia="Times New Roman" w:cs="Arial"/>
                <w:sz w:val="20"/>
                <w:szCs w:val="20"/>
                <w:lang w:eastAsia="en-GB"/>
              </w:rPr>
            </w:pPr>
            <w:r w:rsidRPr="00FD5062">
              <w:rPr>
                <w:rFonts w:eastAsia="Times New Roman" w:cs="Arial"/>
                <w:sz w:val="20"/>
                <w:szCs w:val="20"/>
                <w:lang w:eastAsia="en-GB"/>
              </w:rPr>
              <w:t xml:space="preserve">The notes on pages 7 to </w:t>
            </w:r>
            <w:r w:rsidR="00B00FFC">
              <w:rPr>
                <w:rFonts w:eastAsia="Times New Roman" w:cs="Arial"/>
                <w:sz w:val="20"/>
                <w:szCs w:val="20"/>
                <w:lang w:eastAsia="en-GB"/>
              </w:rPr>
              <w:t>31</w:t>
            </w:r>
            <w:r w:rsidRPr="00FD5062">
              <w:rPr>
                <w:rFonts w:eastAsia="Times New Roman" w:cs="Arial"/>
                <w:sz w:val="20"/>
                <w:szCs w:val="20"/>
                <w:lang w:eastAsia="en-GB"/>
              </w:rPr>
              <w:t xml:space="preserve"> form part of this statement</w:t>
            </w:r>
          </w:p>
        </w:tc>
        <w:tc>
          <w:tcPr>
            <w:tcW w:w="400" w:type="dxa"/>
            <w:tcBorders>
              <w:top w:val="nil"/>
              <w:left w:val="nil"/>
              <w:bottom w:val="nil"/>
              <w:right w:val="nil"/>
            </w:tcBorders>
            <w:shd w:val="clear" w:color="auto" w:fill="auto"/>
            <w:noWrap/>
            <w:vAlign w:val="bottom"/>
            <w:hideMark/>
          </w:tcPr>
          <w:p w14:paraId="539D8FE8" w14:textId="77777777" w:rsidR="00FD5062" w:rsidRPr="00FD5062" w:rsidRDefault="00FD5062" w:rsidP="00FD5062">
            <w:pPr>
              <w:spacing w:before="0" w:after="0"/>
              <w:rPr>
                <w:rFonts w:eastAsia="Times New Roman" w:cs="Arial"/>
                <w:sz w:val="20"/>
                <w:szCs w:val="20"/>
                <w:lang w:eastAsia="en-GB"/>
              </w:rPr>
            </w:pPr>
          </w:p>
        </w:tc>
        <w:tc>
          <w:tcPr>
            <w:tcW w:w="1280" w:type="dxa"/>
            <w:tcBorders>
              <w:top w:val="nil"/>
              <w:left w:val="nil"/>
              <w:bottom w:val="nil"/>
              <w:right w:val="nil"/>
            </w:tcBorders>
            <w:shd w:val="clear" w:color="auto" w:fill="auto"/>
            <w:noWrap/>
            <w:vAlign w:val="bottom"/>
            <w:hideMark/>
          </w:tcPr>
          <w:p w14:paraId="5EA6A101"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397B8884"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auto" w:fill="auto"/>
            <w:noWrap/>
            <w:vAlign w:val="bottom"/>
            <w:hideMark/>
          </w:tcPr>
          <w:p w14:paraId="53311209" w14:textId="77777777" w:rsidR="00FD5062" w:rsidRPr="00FD5062" w:rsidRDefault="00FD5062" w:rsidP="00FD5062">
            <w:pPr>
              <w:spacing w:before="0" w:after="0"/>
              <w:rPr>
                <w:rFonts w:ascii="Times New Roman" w:eastAsia="Times New Roman" w:hAnsi="Times New Roman" w:cs="Times New Roman"/>
                <w:sz w:val="20"/>
                <w:szCs w:val="20"/>
                <w:lang w:eastAsia="en-GB"/>
              </w:rPr>
            </w:pPr>
          </w:p>
        </w:tc>
      </w:tr>
    </w:tbl>
    <w:p w14:paraId="2954AB5E" w14:textId="64D89C0E" w:rsidR="00DD246C" w:rsidRDefault="00DD246C">
      <w:pPr>
        <w:spacing w:before="0" w:after="200" w:line="276" w:lineRule="auto"/>
      </w:pPr>
    </w:p>
    <w:p w14:paraId="684B655C" w14:textId="18FC7D03" w:rsidR="00970C2E" w:rsidRDefault="00970C2E">
      <w:pPr>
        <w:spacing w:before="0" w:after="200" w:line="276" w:lineRule="auto"/>
      </w:pPr>
      <w:r>
        <w:br w:type="page"/>
      </w:r>
    </w:p>
    <w:tbl>
      <w:tblPr>
        <w:tblW w:w="9875" w:type="dxa"/>
        <w:tblLook w:val="04A0" w:firstRow="1" w:lastRow="0" w:firstColumn="1" w:lastColumn="0" w:noHBand="0" w:noVBand="1"/>
      </w:tblPr>
      <w:tblGrid>
        <w:gridCol w:w="6320"/>
        <w:gridCol w:w="660"/>
        <w:gridCol w:w="1384"/>
        <w:gridCol w:w="272"/>
        <w:gridCol w:w="1239"/>
      </w:tblGrid>
      <w:tr w:rsidR="00981404" w:rsidRPr="00A579FC" w14:paraId="0AB988C6" w14:textId="77777777" w:rsidTr="00981404">
        <w:trPr>
          <w:trHeight w:val="260"/>
        </w:trPr>
        <w:tc>
          <w:tcPr>
            <w:tcW w:w="9874" w:type="dxa"/>
            <w:gridSpan w:val="5"/>
            <w:tcBorders>
              <w:top w:val="nil"/>
              <w:left w:val="nil"/>
              <w:bottom w:val="nil"/>
            </w:tcBorders>
            <w:shd w:val="clear" w:color="auto" w:fill="auto"/>
            <w:noWrap/>
            <w:vAlign w:val="bottom"/>
            <w:hideMark/>
          </w:tcPr>
          <w:p w14:paraId="280609FA" w14:textId="3B049761" w:rsidR="00981404" w:rsidRPr="00A579FC" w:rsidRDefault="00981404" w:rsidP="00A579FC">
            <w:pPr>
              <w:spacing w:before="0" w:after="0"/>
              <w:rPr>
                <w:rFonts w:eastAsia="Times New Roman" w:cs="Arial"/>
                <w:i/>
                <w:iCs/>
                <w:sz w:val="20"/>
                <w:szCs w:val="20"/>
                <w:lang w:eastAsia="en-GB"/>
              </w:rPr>
            </w:pPr>
            <w:r w:rsidRPr="00A579FC">
              <w:rPr>
                <w:rFonts w:eastAsia="Times New Roman" w:cs="Arial"/>
                <w:i/>
                <w:iCs/>
                <w:sz w:val="20"/>
                <w:szCs w:val="20"/>
                <w:lang w:eastAsia="en-GB"/>
              </w:rPr>
              <w:lastRenderedPageBreak/>
              <w:t>NHS Mid and South Essex Integrated Care Board - Statutory Accounts 2023-24</w:t>
            </w:r>
          </w:p>
        </w:tc>
      </w:tr>
      <w:tr w:rsidR="00A579FC" w:rsidRPr="00A579FC" w14:paraId="3C67DB55" w14:textId="77777777" w:rsidTr="00981404">
        <w:trPr>
          <w:trHeight w:val="260"/>
        </w:trPr>
        <w:tc>
          <w:tcPr>
            <w:tcW w:w="6320" w:type="dxa"/>
            <w:tcBorders>
              <w:top w:val="nil"/>
              <w:left w:val="nil"/>
              <w:bottom w:val="nil"/>
              <w:right w:val="nil"/>
            </w:tcBorders>
            <w:shd w:val="clear" w:color="auto" w:fill="auto"/>
            <w:noWrap/>
            <w:vAlign w:val="bottom"/>
            <w:hideMark/>
          </w:tcPr>
          <w:p w14:paraId="0AC0DC50" w14:textId="77777777" w:rsidR="00A579FC" w:rsidRPr="00A579FC" w:rsidRDefault="00A579FC" w:rsidP="00A579FC">
            <w:pPr>
              <w:spacing w:before="0" w:after="0"/>
              <w:rPr>
                <w:rFonts w:ascii="Times New Roman" w:eastAsia="Times New Roman" w:hAnsi="Times New Roman" w:cs="Times New Roman"/>
                <w:sz w:val="20"/>
                <w:szCs w:val="20"/>
                <w:lang w:eastAsia="en-GB"/>
              </w:rPr>
            </w:pPr>
          </w:p>
        </w:tc>
        <w:tc>
          <w:tcPr>
            <w:tcW w:w="660" w:type="dxa"/>
            <w:tcBorders>
              <w:top w:val="nil"/>
              <w:left w:val="nil"/>
              <w:bottom w:val="nil"/>
              <w:right w:val="nil"/>
            </w:tcBorders>
            <w:shd w:val="clear" w:color="auto" w:fill="auto"/>
            <w:noWrap/>
            <w:vAlign w:val="bottom"/>
            <w:hideMark/>
          </w:tcPr>
          <w:p w14:paraId="23D0AE60" w14:textId="77777777" w:rsidR="00A579FC" w:rsidRPr="00A579FC" w:rsidRDefault="00A579FC" w:rsidP="00A579FC">
            <w:pPr>
              <w:spacing w:before="0" w:after="0"/>
              <w:rPr>
                <w:rFonts w:ascii="Times New Roman" w:eastAsia="Times New Roman" w:hAnsi="Times New Roman" w:cs="Times New Roman"/>
                <w:sz w:val="20"/>
                <w:szCs w:val="20"/>
                <w:lang w:eastAsia="en-GB"/>
              </w:rPr>
            </w:pPr>
          </w:p>
        </w:tc>
        <w:tc>
          <w:tcPr>
            <w:tcW w:w="1384" w:type="dxa"/>
            <w:tcBorders>
              <w:top w:val="nil"/>
              <w:left w:val="nil"/>
              <w:bottom w:val="nil"/>
              <w:right w:val="nil"/>
            </w:tcBorders>
            <w:shd w:val="clear" w:color="auto" w:fill="auto"/>
            <w:noWrap/>
            <w:vAlign w:val="bottom"/>
            <w:hideMark/>
          </w:tcPr>
          <w:p w14:paraId="17BE4D07" w14:textId="77777777" w:rsidR="00A579FC" w:rsidRPr="00A579FC" w:rsidRDefault="00A579FC" w:rsidP="00A579FC">
            <w:pPr>
              <w:spacing w:before="0" w:after="0"/>
              <w:jc w:val="center"/>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000000" w:fill="FFFFFF"/>
            <w:noWrap/>
            <w:vAlign w:val="bottom"/>
            <w:hideMark/>
          </w:tcPr>
          <w:p w14:paraId="7A9DC933"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auto" w:fill="auto"/>
            <w:noWrap/>
            <w:vAlign w:val="bottom"/>
            <w:hideMark/>
          </w:tcPr>
          <w:p w14:paraId="123CAA8F" w14:textId="77777777" w:rsidR="00A579FC" w:rsidRPr="00A579FC" w:rsidRDefault="00A579FC" w:rsidP="00A579FC">
            <w:pPr>
              <w:spacing w:before="0" w:after="0"/>
              <w:rPr>
                <w:rFonts w:eastAsia="Times New Roman" w:cs="Arial"/>
                <w:sz w:val="20"/>
                <w:szCs w:val="20"/>
                <w:lang w:eastAsia="en-GB"/>
              </w:rPr>
            </w:pPr>
          </w:p>
        </w:tc>
      </w:tr>
      <w:tr w:rsidR="00A579FC" w:rsidRPr="00A579FC" w14:paraId="14ED0D6A" w14:textId="77777777" w:rsidTr="00981404">
        <w:trPr>
          <w:trHeight w:val="260"/>
        </w:trPr>
        <w:tc>
          <w:tcPr>
            <w:tcW w:w="6320" w:type="dxa"/>
            <w:tcBorders>
              <w:top w:val="nil"/>
              <w:left w:val="nil"/>
              <w:bottom w:val="nil"/>
              <w:right w:val="nil"/>
            </w:tcBorders>
            <w:shd w:val="clear" w:color="auto" w:fill="auto"/>
            <w:noWrap/>
            <w:vAlign w:val="bottom"/>
            <w:hideMark/>
          </w:tcPr>
          <w:p w14:paraId="77562C3C" w14:textId="77777777" w:rsidR="00A579FC" w:rsidRPr="00A579FC" w:rsidRDefault="00A579FC" w:rsidP="00A579FC">
            <w:pPr>
              <w:spacing w:before="0" w:after="0"/>
              <w:rPr>
                <w:rFonts w:eastAsia="Times New Roman" w:cs="Arial"/>
                <w:b/>
                <w:bCs/>
                <w:sz w:val="20"/>
                <w:szCs w:val="20"/>
                <w:lang w:eastAsia="en-GB"/>
              </w:rPr>
            </w:pPr>
            <w:r w:rsidRPr="00A579FC">
              <w:rPr>
                <w:rFonts w:eastAsia="Times New Roman" w:cs="Arial"/>
                <w:b/>
                <w:bCs/>
                <w:sz w:val="20"/>
                <w:szCs w:val="20"/>
                <w:lang w:eastAsia="en-GB"/>
              </w:rPr>
              <w:t>Statement of Cash Flows for the year ended</w:t>
            </w:r>
          </w:p>
        </w:tc>
        <w:tc>
          <w:tcPr>
            <w:tcW w:w="660" w:type="dxa"/>
            <w:tcBorders>
              <w:top w:val="nil"/>
              <w:left w:val="nil"/>
              <w:bottom w:val="nil"/>
              <w:right w:val="nil"/>
            </w:tcBorders>
            <w:shd w:val="clear" w:color="auto" w:fill="auto"/>
            <w:noWrap/>
            <w:vAlign w:val="bottom"/>
            <w:hideMark/>
          </w:tcPr>
          <w:p w14:paraId="3FEBEA44" w14:textId="77777777" w:rsidR="00A579FC" w:rsidRPr="00A579FC" w:rsidRDefault="00A579FC" w:rsidP="00A579FC">
            <w:pPr>
              <w:spacing w:before="0" w:after="0"/>
              <w:rPr>
                <w:rFonts w:eastAsia="Times New Roman" w:cs="Arial"/>
                <w:b/>
                <w:bCs/>
                <w:sz w:val="20"/>
                <w:szCs w:val="20"/>
                <w:lang w:eastAsia="en-GB"/>
              </w:rPr>
            </w:pPr>
          </w:p>
        </w:tc>
        <w:tc>
          <w:tcPr>
            <w:tcW w:w="1384" w:type="dxa"/>
            <w:tcBorders>
              <w:top w:val="nil"/>
              <w:left w:val="nil"/>
              <w:bottom w:val="nil"/>
              <w:right w:val="nil"/>
            </w:tcBorders>
            <w:shd w:val="clear" w:color="auto" w:fill="auto"/>
            <w:noWrap/>
            <w:vAlign w:val="bottom"/>
            <w:hideMark/>
          </w:tcPr>
          <w:p w14:paraId="5886FEE7" w14:textId="77777777" w:rsidR="00A579FC" w:rsidRPr="00A579FC" w:rsidRDefault="00A579FC" w:rsidP="00A579FC">
            <w:pPr>
              <w:spacing w:before="0" w:after="0"/>
              <w:jc w:val="center"/>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000000" w:fill="FFFFFF"/>
            <w:noWrap/>
            <w:vAlign w:val="bottom"/>
            <w:hideMark/>
          </w:tcPr>
          <w:p w14:paraId="4DEDD9B4"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auto" w:fill="auto"/>
            <w:noWrap/>
            <w:vAlign w:val="bottom"/>
            <w:hideMark/>
          </w:tcPr>
          <w:p w14:paraId="38C5BCE9" w14:textId="77777777" w:rsidR="00A579FC" w:rsidRPr="00A579FC" w:rsidRDefault="00A579FC" w:rsidP="00A579FC">
            <w:pPr>
              <w:spacing w:before="0" w:after="0"/>
              <w:rPr>
                <w:rFonts w:eastAsia="Times New Roman" w:cs="Arial"/>
                <w:sz w:val="20"/>
                <w:szCs w:val="20"/>
                <w:lang w:eastAsia="en-GB"/>
              </w:rPr>
            </w:pPr>
          </w:p>
        </w:tc>
      </w:tr>
      <w:tr w:rsidR="00A579FC" w:rsidRPr="00A579FC" w14:paraId="7E779E18" w14:textId="77777777" w:rsidTr="00981404">
        <w:trPr>
          <w:trHeight w:val="260"/>
        </w:trPr>
        <w:tc>
          <w:tcPr>
            <w:tcW w:w="6320" w:type="dxa"/>
            <w:tcBorders>
              <w:top w:val="nil"/>
              <w:left w:val="nil"/>
              <w:bottom w:val="nil"/>
              <w:right w:val="nil"/>
            </w:tcBorders>
            <w:shd w:val="clear" w:color="auto" w:fill="auto"/>
            <w:noWrap/>
            <w:vAlign w:val="bottom"/>
            <w:hideMark/>
          </w:tcPr>
          <w:p w14:paraId="65285C05" w14:textId="77777777" w:rsidR="00A579FC" w:rsidRPr="00A579FC" w:rsidRDefault="00A579FC" w:rsidP="00A579FC">
            <w:pPr>
              <w:spacing w:before="0" w:after="0"/>
              <w:rPr>
                <w:rFonts w:eastAsia="Times New Roman" w:cs="Arial"/>
                <w:b/>
                <w:bCs/>
                <w:sz w:val="20"/>
                <w:szCs w:val="20"/>
                <w:lang w:eastAsia="en-GB"/>
              </w:rPr>
            </w:pPr>
            <w:r w:rsidRPr="00A579FC">
              <w:rPr>
                <w:rFonts w:eastAsia="Times New Roman" w:cs="Arial"/>
                <w:b/>
                <w:bCs/>
                <w:sz w:val="20"/>
                <w:szCs w:val="20"/>
                <w:lang w:eastAsia="en-GB"/>
              </w:rPr>
              <w:t>31 March 24</w:t>
            </w:r>
          </w:p>
        </w:tc>
        <w:tc>
          <w:tcPr>
            <w:tcW w:w="660" w:type="dxa"/>
            <w:tcBorders>
              <w:top w:val="nil"/>
              <w:left w:val="nil"/>
              <w:bottom w:val="nil"/>
              <w:right w:val="nil"/>
            </w:tcBorders>
            <w:shd w:val="clear" w:color="auto" w:fill="auto"/>
            <w:noWrap/>
            <w:vAlign w:val="bottom"/>
            <w:hideMark/>
          </w:tcPr>
          <w:p w14:paraId="585F14B7" w14:textId="77777777" w:rsidR="00A579FC" w:rsidRPr="00A579FC" w:rsidRDefault="00A579FC" w:rsidP="00A579FC">
            <w:pPr>
              <w:spacing w:before="0" w:after="0"/>
              <w:rPr>
                <w:rFonts w:eastAsia="Times New Roman" w:cs="Arial"/>
                <w:b/>
                <w:bCs/>
                <w:sz w:val="20"/>
                <w:szCs w:val="20"/>
                <w:lang w:eastAsia="en-GB"/>
              </w:rPr>
            </w:pPr>
          </w:p>
        </w:tc>
        <w:tc>
          <w:tcPr>
            <w:tcW w:w="1384" w:type="dxa"/>
            <w:tcBorders>
              <w:top w:val="nil"/>
              <w:left w:val="nil"/>
              <w:bottom w:val="nil"/>
              <w:right w:val="nil"/>
            </w:tcBorders>
            <w:shd w:val="clear" w:color="auto" w:fill="auto"/>
            <w:noWrap/>
            <w:vAlign w:val="bottom"/>
            <w:hideMark/>
          </w:tcPr>
          <w:p w14:paraId="52AA95B5" w14:textId="77777777" w:rsidR="00A579FC" w:rsidRPr="00A579FC" w:rsidRDefault="00A579FC" w:rsidP="00A579FC">
            <w:pPr>
              <w:spacing w:before="0" w:after="0"/>
              <w:jc w:val="center"/>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000000" w:fill="FFFFFF"/>
            <w:noWrap/>
            <w:vAlign w:val="bottom"/>
            <w:hideMark/>
          </w:tcPr>
          <w:p w14:paraId="753E29CD"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auto" w:fill="auto"/>
            <w:noWrap/>
            <w:vAlign w:val="bottom"/>
            <w:hideMark/>
          </w:tcPr>
          <w:p w14:paraId="6CD690A3" w14:textId="77777777" w:rsidR="00A579FC" w:rsidRPr="00A579FC" w:rsidRDefault="00A579FC" w:rsidP="00A579FC">
            <w:pPr>
              <w:spacing w:before="0" w:after="0"/>
              <w:rPr>
                <w:rFonts w:eastAsia="Times New Roman" w:cs="Arial"/>
                <w:sz w:val="20"/>
                <w:szCs w:val="20"/>
                <w:lang w:eastAsia="en-GB"/>
              </w:rPr>
            </w:pPr>
          </w:p>
        </w:tc>
      </w:tr>
      <w:tr w:rsidR="00A579FC" w:rsidRPr="00A579FC" w14:paraId="5327D168" w14:textId="77777777" w:rsidTr="00981404">
        <w:trPr>
          <w:trHeight w:val="110"/>
        </w:trPr>
        <w:tc>
          <w:tcPr>
            <w:tcW w:w="6320" w:type="dxa"/>
            <w:tcBorders>
              <w:top w:val="nil"/>
              <w:left w:val="nil"/>
              <w:bottom w:val="nil"/>
              <w:right w:val="nil"/>
            </w:tcBorders>
            <w:shd w:val="clear" w:color="auto" w:fill="auto"/>
            <w:noWrap/>
            <w:vAlign w:val="bottom"/>
            <w:hideMark/>
          </w:tcPr>
          <w:p w14:paraId="4DF8F9AD" w14:textId="77777777" w:rsidR="00A579FC" w:rsidRPr="00A579FC" w:rsidRDefault="00A579FC" w:rsidP="00A579FC">
            <w:pPr>
              <w:spacing w:before="0" w:after="0"/>
              <w:rPr>
                <w:rFonts w:ascii="Times New Roman" w:eastAsia="Times New Roman" w:hAnsi="Times New Roman" w:cs="Times New Roman"/>
                <w:sz w:val="20"/>
                <w:szCs w:val="20"/>
                <w:lang w:eastAsia="en-GB"/>
              </w:rPr>
            </w:pPr>
          </w:p>
        </w:tc>
        <w:tc>
          <w:tcPr>
            <w:tcW w:w="660" w:type="dxa"/>
            <w:tcBorders>
              <w:top w:val="nil"/>
              <w:left w:val="nil"/>
              <w:bottom w:val="nil"/>
              <w:right w:val="nil"/>
            </w:tcBorders>
            <w:shd w:val="clear" w:color="auto" w:fill="auto"/>
            <w:noWrap/>
            <w:vAlign w:val="bottom"/>
            <w:hideMark/>
          </w:tcPr>
          <w:p w14:paraId="638F3E88" w14:textId="77777777" w:rsidR="00A579FC" w:rsidRPr="00A579FC" w:rsidRDefault="00A579FC" w:rsidP="00A579FC">
            <w:pPr>
              <w:spacing w:before="0" w:after="0"/>
              <w:rPr>
                <w:rFonts w:ascii="Times New Roman" w:eastAsia="Times New Roman" w:hAnsi="Times New Roman" w:cs="Times New Roman"/>
                <w:sz w:val="20"/>
                <w:szCs w:val="20"/>
                <w:lang w:eastAsia="en-GB"/>
              </w:rPr>
            </w:pPr>
          </w:p>
        </w:tc>
        <w:tc>
          <w:tcPr>
            <w:tcW w:w="1384" w:type="dxa"/>
            <w:tcBorders>
              <w:top w:val="nil"/>
              <w:left w:val="nil"/>
              <w:bottom w:val="nil"/>
              <w:right w:val="nil"/>
            </w:tcBorders>
            <w:shd w:val="clear" w:color="auto" w:fill="auto"/>
            <w:noWrap/>
            <w:vAlign w:val="bottom"/>
            <w:hideMark/>
          </w:tcPr>
          <w:p w14:paraId="095EDBB3" w14:textId="77777777" w:rsidR="00A579FC" w:rsidRPr="00A579FC" w:rsidRDefault="00A579FC" w:rsidP="00A579FC">
            <w:pPr>
              <w:spacing w:before="0" w:after="0"/>
              <w:jc w:val="center"/>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000000" w:fill="FFFFFF"/>
            <w:noWrap/>
            <w:vAlign w:val="bottom"/>
            <w:hideMark/>
          </w:tcPr>
          <w:p w14:paraId="171F11E9"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auto" w:fill="auto"/>
            <w:noWrap/>
            <w:vAlign w:val="bottom"/>
            <w:hideMark/>
          </w:tcPr>
          <w:p w14:paraId="1DFECDBF" w14:textId="77777777" w:rsidR="00A579FC" w:rsidRPr="00A579FC" w:rsidRDefault="00A579FC" w:rsidP="00A579FC">
            <w:pPr>
              <w:spacing w:before="0" w:after="0"/>
              <w:rPr>
                <w:rFonts w:eastAsia="Times New Roman" w:cs="Arial"/>
                <w:sz w:val="20"/>
                <w:szCs w:val="20"/>
                <w:lang w:eastAsia="en-GB"/>
              </w:rPr>
            </w:pPr>
          </w:p>
        </w:tc>
      </w:tr>
      <w:tr w:rsidR="00A579FC" w:rsidRPr="00A579FC" w14:paraId="3A2A0C42" w14:textId="77777777" w:rsidTr="00981404">
        <w:trPr>
          <w:trHeight w:val="520"/>
        </w:trPr>
        <w:tc>
          <w:tcPr>
            <w:tcW w:w="6320" w:type="dxa"/>
            <w:tcBorders>
              <w:top w:val="nil"/>
              <w:left w:val="nil"/>
              <w:bottom w:val="nil"/>
              <w:right w:val="nil"/>
            </w:tcBorders>
            <w:shd w:val="clear" w:color="auto" w:fill="auto"/>
            <w:noWrap/>
            <w:vAlign w:val="bottom"/>
            <w:hideMark/>
          </w:tcPr>
          <w:p w14:paraId="39996563" w14:textId="77777777" w:rsidR="00A579FC" w:rsidRPr="00A579FC" w:rsidRDefault="00A579FC" w:rsidP="00A579FC">
            <w:pPr>
              <w:spacing w:before="0" w:after="0"/>
              <w:rPr>
                <w:rFonts w:ascii="Times New Roman" w:eastAsia="Times New Roman" w:hAnsi="Times New Roman" w:cs="Times New Roman"/>
                <w:sz w:val="20"/>
                <w:szCs w:val="20"/>
                <w:lang w:eastAsia="en-GB"/>
              </w:rPr>
            </w:pPr>
          </w:p>
        </w:tc>
        <w:tc>
          <w:tcPr>
            <w:tcW w:w="660" w:type="dxa"/>
            <w:tcBorders>
              <w:top w:val="nil"/>
              <w:left w:val="nil"/>
              <w:bottom w:val="nil"/>
              <w:right w:val="nil"/>
            </w:tcBorders>
            <w:shd w:val="clear" w:color="auto" w:fill="auto"/>
            <w:noWrap/>
            <w:vAlign w:val="bottom"/>
            <w:hideMark/>
          </w:tcPr>
          <w:p w14:paraId="4CD3624D" w14:textId="77777777" w:rsidR="00A579FC" w:rsidRPr="00A579FC" w:rsidRDefault="00A579FC" w:rsidP="00A579FC">
            <w:pPr>
              <w:spacing w:before="0" w:after="0"/>
              <w:rPr>
                <w:rFonts w:ascii="Times New Roman" w:eastAsia="Times New Roman" w:hAnsi="Times New Roman" w:cs="Times New Roman"/>
                <w:sz w:val="20"/>
                <w:szCs w:val="20"/>
                <w:lang w:eastAsia="en-GB"/>
              </w:rPr>
            </w:pPr>
          </w:p>
        </w:tc>
        <w:tc>
          <w:tcPr>
            <w:tcW w:w="1384" w:type="dxa"/>
            <w:tcBorders>
              <w:top w:val="nil"/>
              <w:left w:val="nil"/>
              <w:bottom w:val="nil"/>
              <w:right w:val="nil"/>
            </w:tcBorders>
            <w:shd w:val="clear" w:color="auto" w:fill="auto"/>
            <w:vAlign w:val="bottom"/>
            <w:hideMark/>
          </w:tcPr>
          <w:p w14:paraId="646F0DEB" w14:textId="77777777" w:rsidR="00A579FC" w:rsidRPr="00A579FC" w:rsidRDefault="00A579FC" w:rsidP="00A579FC">
            <w:pPr>
              <w:spacing w:before="0" w:after="0"/>
              <w:jc w:val="right"/>
              <w:rPr>
                <w:rFonts w:eastAsia="Times New Roman" w:cs="Arial"/>
                <w:b/>
                <w:bCs/>
                <w:sz w:val="20"/>
                <w:szCs w:val="20"/>
                <w:lang w:eastAsia="en-GB"/>
              </w:rPr>
            </w:pPr>
            <w:r w:rsidRPr="00A579FC">
              <w:rPr>
                <w:rFonts w:eastAsia="Times New Roman" w:cs="Arial"/>
                <w:b/>
                <w:bCs/>
                <w:sz w:val="20"/>
                <w:szCs w:val="20"/>
                <w:lang w:eastAsia="en-GB"/>
              </w:rPr>
              <w:t>1-Apr-23 to 31-Mar-24</w:t>
            </w:r>
          </w:p>
        </w:tc>
        <w:tc>
          <w:tcPr>
            <w:tcW w:w="272" w:type="dxa"/>
            <w:tcBorders>
              <w:top w:val="nil"/>
              <w:left w:val="nil"/>
              <w:bottom w:val="nil"/>
              <w:right w:val="nil"/>
            </w:tcBorders>
            <w:shd w:val="clear" w:color="000000" w:fill="FFFFFF"/>
            <w:noWrap/>
            <w:vAlign w:val="bottom"/>
            <w:hideMark/>
          </w:tcPr>
          <w:p w14:paraId="1375EA6F" w14:textId="77777777" w:rsidR="00A579FC" w:rsidRPr="00A579FC" w:rsidRDefault="00A579FC" w:rsidP="00A579FC">
            <w:pPr>
              <w:spacing w:before="0" w:after="0"/>
              <w:jc w:val="right"/>
              <w:rPr>
                <w:rFonts w:eastAsia="Times New Roman" w:cs="Arial"/>
                <w:b/>
                <w:bCs/>
                <w:sz w:val="20"/>
                <w:szCs w:val="20"/>
                <w:lang w:eastAsia="en-GB"/>
              </w:rPr>
            </w:pPr>
            <w:r w:rsidRPr="00A579FC">
              <w:rPr>
                <w:rFonts w:eastAsia="Times New Roman" w:cs="Arial"/>
                <w:b/>
                <w:bCs/>
                <w:sz w:val="20"/>
                <w:szCs w:val="20"/>
                <w:lang w:eastAsia="en-GB"/>
              </w:rPr>
              <w:t> </w:t>
            </w:r>
          </w:p>
        </w:tc>
        <w:tc>
          <w:tcPr>
            <w:tcW w:w="1239" w:type="dxa"/>
            <w:tcBorders>
              <w:top w:val="nil"/>
              <w:left w:val="nil"/>
              <w:bottom w:val="nil"/>
              <w:right w:val="nil"/>
            </w:tcBorders>
            <w:shd w:val="clear" w:color="auto" w:fill="auto"/>
            <w:vAlign w:val="bottom"/>
            <w:hideMark/>
          </w:tcPr>
          <w:p w14:paraId="2DAF53AE"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1-Jul-22 to 31-Mar-23</w:t>
            </w:r>
          </w:p>
        </w:tc>
      </w:tr>
      <w:tr w:rsidR="00A579FC" w:rsidRPr="00A579FC" w14:paraId="421F378C" w14:textId="77777777" w:rsidTr="00981404">
        <w:trPr>
          <w:trHeight w:val="260"/>
        </w:trPr>
        <w:tc>
          <w:tcPr>
            <w:tcW w:w="6320" w:type="dxa"/>
            <w:tcBorders>
              <w:top w:val="nil"/>
              <w:left w:val="nil"/>
              <w:bottom w:val="nil"/>
              <w:right w:val="nil"/>
            </w:tcBorders>
            <w:shd w:val="clear" w:color="auto" w:fill="auto"/>
            <w:noWrap/>
            <w:vAlign w:val="bottom"/>
            <w:hideMark/>
          </w:tcPr>
          <w:p w14:paraId="7A2515D7" w14:textId="77777777" w:rsidR="00A579FC" w:rsidRPr="00A579FC" w:rsidRDefault="00A579FC" w:rsidP="00A579FC">
            <w:pPr>
              <w:spacing w:before="0" w:after="0"/>
              <w:jc w:val="right"/>
              <w:rPr>
                <w:rFonts w:eastAsia="Times New Roman" w:cs="Arial"/>
                <w:sz w:val="20"/>
                <w:szCs w:val="20"/>
                <w:lang w:eastAsia="en-GB"/>
              </w:rPr>
            </w:pPr>
          </w:p>
        </w:tc>
        <w:tc>
          <w:tcPr>
            <w:tcW w:w="660" w:type="dxa"/>
            <w:tcBorders>
              <w:top w:val="nil"/>
              <w:left w:val="nil"/>
              <w:bottom w:val="nil"/>
              <w:right w:val="nil"/>
            </w:tcBorders>
            <w:shd w:val="clear" w:color="auto" w:fill="auto"/>
            <w:noWrap/>
            <w:vAlign w:val="bottom"/>
            <w:hideMark/>
          </w:tcPr>
          <w:p w14:paraId="7BC3DF73"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Note</w:t>
            </w:r>
          </w:p>
        </w:tc>
        <w:tc>
          <w:tcPr>
            <w:tcW w:w="1384" w:type="dxa"/>
            <w:tcBorders>
              <w:top w:val="nil"/>
              <w:left w:val="nil"/>
              <w:bottom w:val="nil"/>
              <w:right w:val="nil"/>
            </w:tcBorders>
            <w:shd w:val="clear" w:color="auto" w:fill="auto"/>
            <w:noWrap/>
            <w:vAlign w:val="bottom"/>
            <w:hideMark/>
          </w:tcPr>
          <w:p w14:paraId="246032D8" w14:textId="77777777" w:rsidR="00A579FC" w:rsidRPr="00A579FC" w:rsidRDefault="00A579FC" w:rsidP="00A579FC">
            <w:pPr>
              <w:spacing w:before="0" w:after="0"/>
              <w:jc w:val="right"/>
              <w:rPr>
                <w:rFonts w:eastAsia="Times New Roman" w:cs="Arial"/>
                <w:b/>
                <w:bCs/>
                <w:sz w:val="20"/>
                <w:szCs w:val="20"/>
                <w:lang w:eastAsia="en-GB"/>
              </w:rPr>
            </w:pPr>
            <w:r w:rsidRPr="00A579FC">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bottom"/>
            <w:hideMark/>
          </w:tcPr>
          <w:p w14:paraId="198B49E2" w14:textId="77777777" w:rsidR="00A579FC" w:rsidRPr="00A579FC" w:rsidRDefault="00A579FC" w:rsidP="00A579FC">
            <w:pPr>
              <w:spacing w:before="0" w:after="0"/>
              <w:jc w:val="right"/>
              <w:rPr>
                <w:rFonts w:eastAsia="Times New Roman" w:cs="Arial"/>
                <w:b/>
                <w:bCs/>
                <w:sz w:val="20"/>
                <w:szCs w:val="20"/>
                <w:lang w:eastAsia="en-GB"/>
              </w:rPr>
            </w:pPr>
            <w:r w:rsidRPr="00A579FC">
              <w:rPr>
                <w:rFonts w:eastAsia="Times New Roman" w:cs="Arial"/>
                <w:b/>
                <w:bCs/>
                <w:sz w:val="20"/>
                <w:szCs w:val="20"/>
                <w:lang w:eastAsia="en-GB"/>
              </w:rPr>
              <w:t> </w:t>
            </w:r>
          </w:p>
        </w:tc>
        <w:tc>
          <w:tcPr>
            <w:tcW w:w="1239" w:type="dxa"/>
            <w:tcBorders>
              <w:top w:val="nil"/>
              <w:left w:val="nil"/>
              <w:bottom w:val="nil"/>
              <w:right w:val="nil"/>
            </w:tcBorders>
            <w:shd w:val="clear" w:color="auto" w:fill="auto"/>
            <w:noWrap/>
            <w:vAlign w:val="bottom"/>
            <w:hideMark/>
          </w:tcPr>
          <w:p w14:paraId="0F9E2C89"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£'000</w:t>
            </w:r>
          </w:p>
        </w:tc>
      </w:tr>
      <w:tr w:rsidR="00A579FC" w:rsidRPr="00A579FC" w14:paraId="51D09E04" w14:textId="77777777" w:rsidTr="00981404">
        <w:trPr>
          <w:trHeight w:val="260"/>
        </w:trPr>
        <w:tc>
          <w:tcPr>
            <w:tcW w:w="6320" w:type="dxa"/>
            <w:tcBorders>
              <w:top w:val="nil"/>
              <w:left w:val="nil"/>
              <w:bottom w:val="nil"/>
              <w:right w:val="nil"/>
            </w:tcBorders>
            <w:shd w:val="clear" w:color="auto" w:fill="auto"/>
            <w:noWrap/>
            <w:vAlign w:val="bottom"/>
            <w:hideMark/>
          </w:tcPr>
          <w:p w14:paraId="42A2BD0B" w14:textId="77777777" w:rsidR="00A579FC" w:rsidRPr="00A579FC" w:rsidRDefault="00A579FC" w:rsidP="00A579FC">
            <w:pPr>
              <w:spacing w:before="0" w:after="0"/>
              <w:rPr>
                <w:rFonts w:eastAsia="Times New Roman" w:cs="Arial"/>
                <w:b/>
                <w:bCs/>
                <w:sz w:val="20"/>
                <w:szCs w:val="20"/>
                <w:lang w:eastAsia="en-GB"/>
              </w:rPr>
            </w:pPr>
            <w:r w:rsidRPr="00A579FC">
              <w:rPr>
                <w:rFonts w:eastAsia="Times New Roman" w:cs="Arial"/>
                <w:b/>
                <w:bCs/>
                <w:sz w:val="20"/>
                <w:szCs w:val="20"/>
                <w:lang w:eastAsia="en-GB"/>
              </w:rPr>
              <w:t>Cash flows from operating activities</w:t>
            </w:r>
          </w:p>
        </w:tc>
        <w:tc>
          <w:tcPr>
            <w:tcW w:w="660" w:type="dxa"/>
            <w:tcBorders>
              <w:top w:val="nil"/>
              <w:left w:val="nil"/>
              <w:bottom w:val="nil"/>
              <w:right w:val="nil"/>
            </w:tcBorders>
            <w:shd w:val="clear" w:color="000000" w:fill="FFFFFF"/>
            <w:noWrap/>
            <w:vAlign w:val="bottom"/>
            <w:hideMark/>
          </w:tcPr>
          <w:p w14:paraId="783B17E6"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 </w:t>
            </w:r>
          </w:p>
        </w:tc>
        <w:tc>
          <w:tcPr>
            <w:tcW w:w="1384" w:type="dxa"/>
            <w:tcBorders>
              <w:top w:val="nil"/>
              <w:left w:val="nil"/>
              <w:bottom w:val="nil"/>
              <w:right w:val="nil"/>
            </w:tcBorders>
            <w:shd w:val="clear" w:color="000000" w:fill="FFFFFF"/>
            <w:noWrap/>
            <w:vAlign w:val="bottom"/>
            <w:hideMark/>
          </w:tcPr>
          <w:p w14:paraId="0E10C8A5"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34EE1F9C"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000000" w:fill="FFFFFF"/>
            <w:noWrap/>
            <w:vAlign w:val="bottom"/>
            <w:hideMark/>
          </w:tcPr>
          <w:p w14:paraId="2E3F69F5"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r>
      <w:tr w:rsidR="00A579FC" w:rsidRPr="00A579FC" w14:paraId="72659938" w14:textId="77777777" w:rsidTr="00981404">
        <w:trPr>
          <w:trHeight w:val="250"/>
        </w:trPr>
        <w:tc>
          <w:tcPr>
            <w:tcW w:w="6320" w:type="dxa"/>
            <w:tcBorders>
              <w:top w:val="nil"/>
              <w:left w:val="nil"/>
              <w:bottom w:val="nil"/>
              <w:right w:val="nil"/>
            </w:tcBorders>
            <w:shd w:val="clear" w:color="auto" w:fill="auto"/>
            <w:noWrap/>
            <w:vAlign w:val="bottom"/>
            <w:hideMark/>
          </w:tcPr>
          <w:p w14:paraId="4B4ADA44"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Total net expenditure for the financial year/period</w:t>
            </w:r>
          </w:p>
        </w:tc>
        <w:tc>
          <w:tcPr>
            <w:tcW w:w="660" w:type="dxa"/>
            <w:tcBorders>
              <w:top w:val="nil"/>
              <w:left w:val="nil"/>
              <w:bottom w:val="nil"/>
              <w:right w:val="nil"/>
            </w:tcBorders>
            <w:shd w:val="clear" w:color="000000" w:fill="FFFFFF"/>
            <w:noWrap/>
            <w:vAlign w:val="bottom"/>
            <w:hideMark/>
          </w:tcPr>
          <w:p w14:paraId="11A4423D"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 </w:t>
            </w:r>
          </w:p>
        </w:tc>
        <w:tc>
          <w:tcPr>
            <w:tcW w:w="1384" w:type="dxa"/>
            <w:tcBorders>
              <w:top w:val="nil"/>
              <w:left w:val="nil"/>
              <w:bottom w:val="nil"/>
              <w:right w:val="nil"/>
            </w:tcBorders>
            <w:shd w:val="clear" w:color="000000" w:fill="FFFFFF"/>
            <w:noWrap/>
            <w:vAlign w:val="bottom"/>
            <w:hideMark/>
          </w:tcPr>
          <w:p w14:paraId="658DE856"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(2,685,955)</w:t>
            </w:r>
          </w:p>
        </w:tc>
        <w:tc>
          <w:tcPr>
            <w:tcW w:w="272" w:type="dxa"/>
            <w:tcBorders>
              <w:top w:val="nil"/>
              <w:left w:val="nil"/>
              <w:bottom w:val="nil"/>
              <w:right w:val="nil"/>
            </w:tcBorders>
            <w:shd w:val="clear" w:color="000000" w:fill="FFFFFF"/>
            <w:noWrap/>
            <w:vAlign w:val="bottom"/>
            <w:hideMark/>
          </w:tcPr>
          <w:p w14:paraId="101724B4"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000000" w:fill="FFFFFF"/>
            <w:noWrap/>
            <w:vAlign w:val="bottom"/>
            <w:hideMark/>
          </w:tcPr>
          <w:p w14:paraId="62E7D1B9"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(1,873,750)</w:t>
            </w:r>
          </w:p>
        </w:tc>
      </w:tr>
      <w:tr w:rsidR="00A579FC" w:rsidRPr="00A579FC" w14:paraId="7E802C0D" w14:textId="77777777" w:rsidTr="00981404">
        <w:trPr>
          <w:trHeight w:val="250"/>
        </w:trPr>
        <w:tc>
          <w:tcPr>
            <w:tcW w:w="6320" w:type="dxa"/>
            <w:tcBorders>
              <w:top w:val="nil"/>
              <w:left w:val="nil"/>
              <w:bottom w:val="nil"/>
              <w:right w:val="nil"/>
            </w:tcBorders>
            <w:shd w:val="clear" w:color="auto" w:fill="auto"/>
            <w:noWrap/>
            <w:vAlign w:val="bottom"/>
            <w:hideMark/>
          </w:tcPr>
          <w:p w14:paraId="3EB3F294"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Depreciation and amortisation</w:t>
            </w:r>
          </w:p>
        </w:tc>
        <w:tc>
          <w:tcPr>
            <w:tcW w:w="660" w:type="dxa"/>
            <w:tcBorders>
              <w:top w:val="nil"/>
              <w:left w:val="nil"/>
              <w:bottom w:val="nil"/>
              <w:right w:val="nil"/>
            </w:tcBorders>
            <w:shd w:val="clear" w:color="000000" w:fill="FFFFFF"/>
            <w:noWrap/>
            <w:vAlign w:val="bottom"/>
            <w:hideMark/>
          </w:tcPr>
          <w:p w14:paraId="186DEDB6"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5</w:t>
            </w:r>
          </w:p>
        </w:tc>
        <w:tc>
          <w:tcPr>
            <w:tcW w:w="1384" w:type="dxa"/>
            <w:tcBorders>
              <w:top w:val="nil"/>
              <w:left w:val="nil"/>
              <w:bottom w:val="nil"/>
              <w:right w:val="nil"/>
            </w:tcBorders>
            <w:shd w:val="clear" w:color="000000" w:fill="FFFFFF"/>
            <w:noWrap/>
            <w:vAlign w:val="bottom"/>
            <w:hideMark/>
          </w:tcPr>
          <w:p w14:paraId="4C451FB4"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462</w:t>
            </w:r>
          </w:p>
        </w:tc>
        <w:tc>
          <w:tcPr>
            <w:tcW w:w="272" w:type="dxa"/>
            <w:tcBorders>
              <w:top w:val="nil"/>
              <w:left w:val="nil"/>
              <w:bottom w:val="nil"/>
              <w:right w:val="nil"/>
            </w:tcBorders>
            <w:shd w:val="clear" w:color="000000" w:fill="FFFFFF"/>
            <w:noWrap/>
            <w:vAlign w:val="bottom"/>
            <w:hideMark/>
          </w:tcPr>
          <w:p w14:paraId="12DE2C43"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000000" w:fill="FFFFFF"/>
            <w:noWrap/>
            <w:vAlign w:val="bottom"/>
            <w:hideMark/>
          </w:tcPr>
          <w:p w14:paraId="7054C115"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505</w:t>
            </w:r>
          </w:p>
        </w:tc>
      </w:tr>
      <w:tr w:rsidR="00A579FC" w:rsidRPr="00A579FC" w14:paraId="343F5E26" w14:textId="77777777" w:rsidTr="00981404">
        <w:trPr>
          <w:trHeight w:val="250"/>
        </w:trPr>
        <w:tc>
          <w:tcPr>
            <w:tcW w:w="6320" w:type="dxa"/>
            <w:tcBorders>
              <w:top w:val="nil"/>
              <w:left w:val="nil"/>
              <w:bottom w:val="nil"/>
              <w:right w:val="nil"/>
            </w:tcBorders>
            <w:shd w:val="clear" w:color="auto" w:fill="auto"/>
            <w:noWrap/>
            <w:vAlign w:val="bottom"/>
            <w:hideMark/>
          </w:tcPr>
          <w:p w14:paraId="1626DE72"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Movement due to transfer by modified absorption</w:t>
            </w:r>
          </w:p>
        </w:tc>
        <w:tc>
          <w:tcPr>
            <w:tcW w:w="660" w:type="dxa"/>
            <w:tcBorders>
              <w:top w:val="nil"/>
              <w:left w:val="nil"/>
              <w:bottom w:val="nil"/>
              <w:right w:val="nil"/>
            </w:tcBorders>
            <w:shd w:val="clear" w:color="000000" w:fill="FFFFFF"/>
            <w:noWrap/>
            <w:vAlign w:val="bottom"/>
            <w:hideMark/>
          </w:tcPr>
          <w:p w14:paraId="6C30684B"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 </w:t>
            </w:r>
          </w:p>
        </w:tc>
        <w:tc>
          <w:tcPr>
            <w:tcW w:w="1384" w:type="dxa"/>
            <w:tcBorders>
              <w:top w:val="nil"/>
              <w:left w:val="nil"/>
              <w:bottom w:val="nil"/>
              <w:right w:val="nil"/>
            </w:tcBorders>
            <w:shd w:val="clear" w:color="000000" w:fill="FFFFFF"/>
            <w:noWrap/>
            <w:vAlign w:val="bottom"/>
            <w:hideMark/>
          </w:tcPr>
          <w:p w14:paraId="181DFDE2"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51A18BA9"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000000" w:fill="FFFFFF"/>
            <w:noWrap/>
            <w:vAlign w:val="bottom"/>
            <w:hideMark/>
          </w:tcPr>
          <w:p w14:paraId="3D77B3F4"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(76,532)</w:t>
            </w:r>
          </w:p>
        </w:tc>
      </w:tr>
      <w:tr w:rsidR="00A579FC" w:rsidRPr="00A579FC" w14:paraId="4382B59C" w14:textId="77777777" w:rsidTr="00981404">
        <w:trPr>
          <w:trHeight w:val="250"/>
        </w:trPr>
        <w:tc>
          <w:tcPr>
            <w:tcW w:w="6320" w:type="dxa"/>
            <w:tcBorders>
              <w:top w:val="nil"/>
              <w:left w:val="nil"/>
              <w:bottom w:val="nil"/>
              <w:right w:val="nil"/>
            </w:tcBorders>
            <w:shd w:val="clear" w:color="auto" w:fill="auto"/>
            <w:noWrap/>
            <w:vAlign w:val="bottom"/>
            <w:hideMark/>
          </w:tcPr>
          <w:p w14:paraId="7E0BAEB8"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Other gains &amp; losses</w:t>
            </w:r>
          </w:p>
        </w:tc>
        <w:tc>
          <w:tcPr>
            <w:tcW w:w="660" w:type="dxa"/>
            <w:tcBorders>
              <w:top w:val="nil"/>
              <w:left w:val="nil"/>
              <w:bottom w:val="nil"/>
              <w:right w:val="nil"/>
            </w:tcBorders>
            <w:shd w:val="clear" w:color="000000" w:fill="FFFFFF"/>
            <w:noWrap/>
            <w:vAlign w:val="bottom"/>
            <w:hideMark/>
          </w:tcPr>
          <w:p w14:paraId="213ABDA9"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 </w:t>
            </w:r>
          </w:p>
        </w:tc>
        <w:tc>
          <w:tcPr>
            <w:tcW w:w="1384" w:type="dxa"/>
            <w:tcBorders>
              <w:top w:val="nil"/>
              <w:left w:val="nil"/>
              <w:bottom w:val="nil"/>
              <w:right w:val="nil"/>
            </w:tcBorders>
            <w:shd w:val="clear" w:color="000000" w:fill="FFFFFF"/>
            <w:noWrap/>
            <w:vAlign w:val="bottom"/>
            <w:hideMark/>
          </w:tcPr>
          <w:p w14:paraId="658AB6C3"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6</w:t>
            </w:r>
          </w:p>
        </w:tc>
        <w:tc>
          <w:tcPr>
            <w:tcW w:w="272" w:type="dxa"/>
            <w:tcBorders>
              <w:top w:val="nil"/>
              <w:left w:val="nil"/>
              <w:bottom w:val="nil"/>
              <w:right w:val="nil"/>
            </w:tcBorders>
            <w:shd w:val="clear" w:color="000000" w:fill="FFFFFF"/>
            <w:noWrap/>
            <w:vAlign w:val="bottom"/>
            <w:hideMark/>
          </w:tcPr>
          <w:p w14:paraId="159243CA"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000000" w:fill="FFFFFF"/>
            <w:noWrap/>
            <w:vAlign w:val="bottom"/>
            <w:hideMark/>
          </w:tcPr>
          <w:p w14:paraId="273F53E8"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(6)</w:t>
            </w:r>
          </w:p>
        </w:tc>
      </w:tr>
      <w:tr w:rsidR="00A579FC" w:rsidRPr="00A579FC" w14:paraId="1B15184E" w14:textId="77777777" w:rsidTr="00981404">
        <w:trPr>
          <w:trHeight w:val="250"/>
        </w:trPr>
        <w:tc>
          <w:tcPr>
            <w:tcW w:w="6320" w:type="dxa"/>
            <w:tcBorders>
              <w:top w:val="nil"/>
              <w:left w:val="nil"/>
              <w:bottom w:val="nil"/>
              <w:right w:val="nil"/>
            </w:tcBorders>
            <w:shd w:val="clear" w:color="auto" w:fill="auto"/>
            <w:noWrap/>
            <w:vAlign w:val="bottom"/>
            <w:hideMark/>
          </w:tcPr>
          <w:p w14:paraId="087E02B5"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Increase in trade &amp; other receivables</w:t>
            </w:r>
          </w:p>
        </w:tc>
        <w:tc>
          <w:tcPr>
            <w:tcW w:w="660" w:type="dxa"/>
            <w:tcBorders>
              <w:top w:val="nil"/>
              <w:left w:val="nil"/>
              <w:bottom w:val="nil"/>
              <w:right w:val="nil"/>
            </w:tcBorders>
            <w:shd w:val="clear" w:color="000000" w:fill="FFFFFF"/>
            <w:noWrap/>
            <w:vAlign w:val="bottom"/>
            <w:hideMark/>
          </w:tcPr>
          <w:p w14:paraId="653A95D8"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11</w:t>
            </w:r>
          </w:p>
        </w:tc>
        <w:tc>
          <w:tcPr>
            <w:tcW w:w="1384" w:type="dxa"/>
            <w:tcBorders>
              <w:top w:val="nil"/>
              <w:left w:val="nil"/>
              <w:bottom w:val="nil"/>
              <w:right w:val="nil"/>
            </w:tcBorders>
            <w:shd w:val="clear" w:color="000000" w:fill="FFFFFF"/>
            <w:noWrap/>
            <w:vAlign w:val="bottom"/>
            <w:hideMark/>
          </w:tcPr>
          <w:p w14:paraId="1393733C"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(8,092)</w:t>
            </w:r>
          </w:p>
        </w:tc>
        <w:tc>
          <w:tcPr>
            <w:tcW w:w="272" w:type="dxa"/>
            <w:tcBorders>
              <w:top w:val="nil"/>
              <w:left w:val="nil"/>
              <w:bottom w:val="nil"/>
              <w:right w:val="nil"/>
            </w:tcBorders>
            <w:shd w:val="clear" w:color="000000" w:fill="FFFFFF"/>
            <w:noWrap/>
            <w:vAlign w:val="bottom"/>
            <w:hideMark/>
          </w:tcPr>
          <w:p w14:paraId="1AB890A0"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000000" w:fill="FFFFFF"/>
            <w:noWrap/>
            <w:vAlign w:val="bottom"/>
            <w:hideMark/>
          </w:tcPr>
          <w:p w14:paraId="35911D12"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(9,644)</w:t>
            </w:r>
          </w:p>
        </w:tc>
      </w:tr>
      <w:tr w:rsidR="00A579FC" w:rsidRPr="00A579FC" w14:paraId="19CF4BBF" w14:textId="77777777" w:rsidTr="00981404">
        <w:trPr>
          <w:trHeight w:val="250"/>
        </w:trPr>
        <w:tc>
          <w:tcPr>
            <w:tcW w:w="6320" w:type="dxa"/>
            <w:tcBorders>
              <w:top w:val="nil"/>
              <w:left w:val="nil"/>
              <w:bottom w:val="nil"/>
              <w:right w:val="nil"/>
            </w:tcBorders>
            <w:shd w:val="clear" w:color="auto" w:fill="auto"/>
            <w:noWrap/>
            <w:vAlign w:val="bottom"/>
            <w:hideMark/>
          </w:tcPr>
          <w:p w14:paraId="135216DF"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(Decrease)/increase in trade &amp; other payables</w:t>
            </w:r>
          </w:p>
        </w:tc>
        <w:tc>
          <w:tcPr>
            <w:tcW w:w="660" w:type="dxa"/>
            <w:tcBorders>
              <w:top w:val="nil"/>
              <w:left w:val="nil"/>
              <w:bottom w:val="nil"/>
              <w:right w:val="nil"/>
            </w:tcBorders>
            <w:shd w:val="clear" w:color="000000" w:fill="FFFFFF"/>
            <w:noWrap/>
            <w:vAlign w:val="bottom"/>
            <w:hideMark/>
          </w:tcPr>
          <w:p w14:paraId="4F4414C5"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13</w:t>
            </w:r>
          </w:p>
        </w:tc>
        <w:tc>
          <w:tcPr>
            <w:tcW w:w="1384" w:type="dxa"/>
            <w:tcBorders>
              <w:top w:val="nil"/>
              <w:left w:val="nil"/>
              <w:bottom w:val="nil"/>
              <w:right w:val="nil"/>
            </w:tcBorders>
            <w:shd w:val="clear" w:color="000000" w:fill="FFFFFF"/>
            <w:noWrap/>
            <w:vAlign w:val="bottom"/>
            <w:hideMark/>
          </w:tcPr>
          <w:p w14:paraId="01DDA668"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(22,986)</w:t>
            </w:r>
          </w:p>
        </w:tc>
        <w:tc>
          <w:tcPr>
            <w:tcW w:w="272" w:type="dxa"/>
            <w:tcBorders>
              <w:top w:val="nil"/>
              <w:left w:val="nil"/>
              <w:bottom w:val="nil"/>
              <w:right w:val="nil"/>
            </w:tcBorders>
            <w:shd w:val="clear" w:color="000000" w:fill="FFFFFF"/>
            <w:noWrap/>
            <w:vAlign w:val="bottom"/>
            <w:hideMark/>
          </w:tcPr>
          <w:p w14:paraId="2F459948"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000000" w:fill="FFFFFF"/>
            <w:noWrap/>
            <w:vAlign w:val="bottom"/>
            <w:hideMark/>
          </w:tcPr>
          <w:p w14:paraId="1C162D29"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166,301</w:t>
            </w:r>
          </w:p>
        </w:tc>
      </w:tr>
      <w:tr w:rsidR="00A579FC" w:rsidRPr="00A579FC" w14:paraId="200F410B" w14:textId="77777777" w:rsidTr="00981404">
        <w:trPr>
          <w:trHeight w:val="250"/>
        </w:trPr>
        <w:tc>
          <w:tcPr>
            <w:tcW w:w="6320" w:type="dxa"/>
            <w:tcBorders>
              <w:top w:val="nil"/>
              <w:left w:val="nil"/>
              <w:bottom w:val="nil"/>
              <w:right w:val="nil"/>
            </w:tcBorders>
            <w:shd w:val="clear" w:color="auto" w:fill="auto"/>
            <w:noWrap/>
            <w:vAlign w:val="bottom"/>
            <w:hideMark/>
          </w:tcPr>
          <w:p w14:paraId="4099ADA9"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Provisions utilised</w:t>
            </w:r>
          </w:p>
        </w:tc>
        <w:tc>
          <w:tcPr>
            <w:tcW w:w="660" w:type="dxa"/>
            <w:tcBorders>
              <w:top w:val="nil"/>
              <w:left w:val="nil"/>
              <w:bottom w:val="nil"/>
              <w:right w:val="nil"/>
            </w:tcBorders>
            <w:shd w:val="clear" w:color="000000" w:fill="FFFFFF"/>
            <w:noWrap/>
            <w:vAlign w:val="bottom"/>
            <w:hideMark/>
          </w:tcPr>
          <w:p w14:paraId="62A80CFA"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15</w:t>
            </w:r>
          </w:p>
        </w:tc>
        <w:tc>
          <w:tcPr>
            <w:tcW w:w="1384" w:type="dxa"/>
            <w:tcBorders>
              <w:top w:val="nil"/>
              <w:left w:val="nil"/>
              <w:bottom w:val="nil"/>
              <w:right w:val="nil"/>
            </w:tcBorders>
            <w:shd w:val="clear" w:color="000000" w:fill="FFFFFF"/>
            <w:noWrap/>
            <w:vAlign w:val="bottom"/>
            <w:hideMark/>
          </w:tcPr>
          <w:p w14:paraId="6406B1D4"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(1,793)</w:t>
            </w:r>
          </w:p>
        </w:tc>
        <w:tc>
          <w:tcPr>
            <w:tcW w:w="272" w:type="dxa"/>
            <w:tcBorders>
              <w:top w:val="nil"/>
              <w:left w:val="nil"/>
              <w:bottom w:val="nil"/>
              <w:right w:val="nil"/>
            </w:tcBorders>
            <w:shd w:val="clear" w:color="000000" w:fill="FFFFFF"/>
            <w:noWrap/>
            <w:vAlign w:val="bottom"/>
            <w:hideMark/>
          </w:tcPr>
          <w:p w14:paraId="6FE0F824"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000000" w:fill="FFFFFF"/>
            <w:noWrap/>
            <w:vAlign w:val="bottom"/>
            <w:hideMark/>
          </w:tcPr>
          <w:p w14:paraId="249C6D06"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(254)</w:t>
            </w:r>
          </w:p>
        </w:tc>
      </w:tr>
      <w:tr w:rsidR="00A579FC" w:rsidRPr="00A579FC" w14:paraId="2AC2109B" w14:textId="77777777" w:rsidTr="00981404">
        <w:trPr>
          <w:trHeight w:val="250"/>
        </w:trPr>
        <w:tc>
          <w:tcPr>
            <w:tcW w:w="6320" w:type="dxa"/>
            <w:tcBorders>
              <w:top w:val="nil"/>
              <w:left w:val="nil"/>
              <w:bottom w:val="nil"/>
              <w:right w:val="nil"/>
            </w:tcBorders>
            <w:shd w:val="clear" w:color="auto" w:fill="auto"/>
            <w:noWrap/>
            <w:vAlign w:val="bottom"/>
            <w:hideMark/>
          </w:tcPr>
          <w:p w14:paraId="043F0FE0"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(Decrease)/increase in provisions</w:t>
            </w:r>
          </w:p>
        </w:tc>
        <w:tc>
          <w:tcPr>
            <w:tcW w:w="660" w:type="dxa"/>
            <w:tcBorders>
              <w:top w:val="nil"/>
              <w:left w:val="nil"/>
              <w:bottom w:val="nil"/>
              <w:right w:val="nil"/>
            </w:tcBorders>
            <w:shd w:val="clear" w:color="000000" w:fill="FFFFFF"/>
            <w:noWrap/>
            <w:vAlign w:val="bottom"/>
            <w:hideMark/>
          </w:tcPr>
          <w:p w14:paraId="0250C5CB"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15</w:t>
            </w:r>
          </w:p>
        </w:tc>
        <w:tc>
          <w:tcPr>
            <w:tcW w:w="1384" w:type="dxa"/>
            <w:tcBorders>
              <w:top w:val="nil"/>
              <w:left w:val="nil"/>
              <w:bottom w:val="single" w:sz="4" w:space="0" w:color="auto"/>
              <w:right w:val="nil"/>
            </w:tcBorders>
            <w:shd w:val="clear" w:color="000000" w:fill="FFFFFF"/>
            <w:noWrap/>
            <w:vAlign w:val="bottom"/>
            <w:hideMark/>
          </w:tcPr>
          <w:p w14:paraId="6FC09FCF"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(8,932)</w:t>
            </w:r>
          </w:p>
        </w:tc>
        <w:tc>
          <w:tcPr>
            <w:tcW w:w="272" w:type="dxa"/>
            <w:tcBorders>
              <w:top w:val="nil"/>
              <w:left w:val="nil"/>
              <w:bottom w:val="nil"/>
              <w:right w:val="nil"/>
            </w:tcBorders>
            <w:shd w:val="clear" w:color="000000" w:fill="FFFFFF"/>
            <w:noWrap/>
            <w:vAlign w:val="bottom"/>
            <w:hideMark/>
          </w:tcPr>
          <w:p w14:paraId="4BBFC8B4"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single" w:sz="4" w:space="0" w:color="auto"/>
              <w:right w:val="nil"/>
            </w:tcBorders>
            <w:shd w:val="clear" w:color="000000" w:fill="FFFFFF"/>
            <w:noWrap/>
            <w:vAlign w:val="bottom"/>
            <w:hideMark/>
          </w:tcPr>
          <w:p w14:paraId="17837F94"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4,043</w:t>
            </w:r>
          </w:p>
        </w:tc>
      </w:tr>
      <w:tr w:rsidR="00A579FC" w:rsidRPr="00A579FC" w14:paraId="73664C30" w14:textId="77777777" w:rsidTr="00981404">
        <w:trPr>
          <w:trHeight w:val="260"/>
        </w:trPr>
        <w:tc>
          <w:tcPr>
            <w:tcW w:w="6320" w:type="dxa"/>
            <w:tcBorders>
              <w:top w:val="nil"/>
              <w:left w:val="nil"/>
              <w:bottom w:val="nil"/>
              <w:right w:val="nil"/>
            </w:tcBorders>
            <w:shd w:val="clear" w:color="auto" w:fill="auto"/>
            <w:noWrap/>
            <w:vAlign w:val="bottom"/>
            <w:hideMark/>
          </w:tcPr>
          <w:p w14:paraId="7203DADB" w14:textId="77777777" w:rsidR="00A579FC" w:rsidRPr="00A579FC" w:rsidRDefault="00A579FC" w:rsidP="00A579FC">
            <w:pPr>
              <w:spacing w:before="0" w:after="0"/>
              <w:rPr>
                <w:rFonts w:eastAsia="Times New Roman" w:cs="Arial"/>
                <w:b/>
                <w:bCs/>
                <w:sz w:val="20"/>
                <w:szCs w:val="20"/>
                <w:lang w:eastAsia="en-GB"/>
              </w:rPr>
            </w:pPr>
            <w:r w:rsidRPr="00A579FC">
              <w:rPr>
                <w:rFonts w:eastAsia="Times New Roman" w:cs="Arial"/>
                <w:b/>
                <w:bCs/>
                <w:sz w:val="20"/>
                <w:szCs w:val="20"/>
                <w:lang w:eastAsia="en-GB"/>
              </w:rPr>
              <w:t>Net cash outflow from operating activities</w:t>
            </w:r>
          </w:p>
        </w:tc>
        <w:tc>
          <w:tcPr>
            <w:tcW w:w="660" w:type="dxa"/>
            <w:tcBorders>
              <w:top w:val="nil"/>
              <w:left w:val="nil"/>
              <w:bottom w:val="nil"/>
              <w:right w:val="nil"/>
            </w:tcBorders>
            <w:shd w:val="clear" w:color="000000" w:fill="FFFFFF"/>
            <w:noWrap/>
            <w:vAlign w:val="bottom"/>
            <w:hideMark/>
          </w:tcPr>
          <w:p w14:paraId="18EFE784"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 </w:t>
            </w:r>
          </w:p>
        </w:tc>
        <w:tc>
          <w:tcPr>
            <w:tcW w:w="1384" w:type="dxa"/>
            <w:tcBorders>
              <w:top w:val="nil"/>
              <w:left w:val="nil"/>
              <w:bottom w:val="nil"/>
              <w:right w:val="nil"/>
            </w:tcBorders>
            <w:shd w:val="clear" w:color="000000" w:fill="FFFFFF"/>
            <w:noWrap/>
            <w:vAlign w:val="bottom"/>
            <w:hideMark/>
          </w:tcPr>
          <w:p w14:paraId="4691726B" w14:textId="77777777" w:rsidR="00A579FC" w:rsidRPr="00A579FC" w:rsidRDefault="00A579FC" w:rsidP="00A579FC">
            <w:pPr>
              <w:spacing w:before="0" w:after="0"/>
              <w:jc w:val="right"/>
              <w:rPr>
                <w:rFonts w:eastAsia="Times New Roman" w:cs="Arial"/>
                <w:b/>
                <w:bCs/>
                <w:sz w:val="20"/>
                <w:szCs w:val="20"/>
                <w:lang w:eastAsia="en-GB"/>
              </w:rPr>
            </w:pPr>
            <w:r w:rsidRPr="00A579FC">
              <w:rPr>
                <w:rFonts w:eastAsia="Times New Roman" w:cs="Arial"/>
                <w:b/>
                <w:bCs/>
                <w:sz w:val="20"/>
                <w:szCs w:val="20"/>
                <w:lang w:eastAsia="en-GB"/>
              </w:rPr>
              <w:t>(2,727,290)</w:t>
            </w:r>
          </w:p>
        </w:tc>
        <w:tc>
          <w:tcPr>
            <w:tcW w:w="272" w:type="dxa"/>
            <w:tcBorders>
              <w:top w:val="nil"/>
              <w:left w:val="nil"/>
              <w:bottom w:val="nil"/>
              <w:right w:val="nil"/>
            </w:tcBorders>
            <w:shd w:val="clear" w:color="000000" w:fill="FFFFFF"/>
            <w:noWrap/>
            <w:vAlign w:val="bottom"/>
            <w:hideMark/>
          </w:tcPr>
          <w:p w14:paraId="54DF46F1" w14:textId="77777777" w:rsidR="00A579FC" w:rsidRPr="00A579FC" w:rsidRDefault="00A579FC" w:rsidP="00A579FC">
            <w:pPr>
              <w:spacing w:before="0" w:after="0"/>
              <w:rPr>
                <w:rFonts w:eastAsia="Times New Roman" w:cs="Arial"/>
                <w:b/>
                <w:bCs/>
                <w:sz w:val="20"/>
                <w:szCs w:val="20"/>
                <w:lang w:eastAsia="en-GB"/>
              </w:rPr>
            </w:pPr>
            <w:r w:rsidRPr="00A579FC">
              <w:rPr>
                <w:rFonts w:eastAsia="Times New Roman" w:cs="Arial"/>
                <w:b/>
                <w:bCs/>
                <w:sz w:val="20"/>
                <w:szCs w:val="20"/>
                <w:lang w:eastAsia="en-GB"/>
              </w:rPr>
              <w:t> </w:t>
            </w:r>
          </w:p>
        </w:tc>
        <w:tc>
          <w:tcPr>
            <w:tcW w:w="1239" w:type="dxa"/>
            <w:tcBorders>
              <w:top w:val="nil"/>
              <w:left w:val="nil"/>
              <w:bottom w:val="nil"/>
              <w:right w:val="nil"/>
            </w:tcBorders>
            <w:shd w:val="clear" w:color="000000" w:fill="FFFFFF"/>
            <w:noWrap/>
            <w:vAlign w:val="bottom"/>
            <w:hideMark/>
          </w:tcPr>
          <w:p w14:paraId="14B15DC0" w14:textId="77777777" w:rsidR="00A579FC" w:rsidRPr="00A579FC" w:rsidRDefault="00A579FC" w:rsidP="00A579FC">
            <w:pPr>
              <w:spacing w:before="0" w:after="0"/>
              <w:jc w:val="right"/>
              <w:rPr>
                <w:rFonts w:eastAsia="Times New Roman" w:cs="Arial"/>
                <w:b/>
                <w:bCs/>
                <w:sz w:val="20"/>
                <w:szCs w:val="20"/>
                <w:lang w:eastAsia="en-GB"/>
              </w:rPr>
            </w:pPr>
            <w:r w:rsidRPr="00A579FC">
              <w:rPr>
                <w:rFonts w:eastAsia="Times New Roman" w:cs="Arial"/>
                <w:b/>
                <w:bCs/>
                <w:sz w:val="20"/>
                <w:szCs w:val="20"/>
                <w:lang w:eastAsia="en-GB"/>
              </w:rPr>
              <w:t>(1,789,337)</w:t>
            </w:r>
          </w:p>
        </w:tc>
      </w:tr>
      <w:tr w:rsidR="00A579FC" w:rsidRPr="00A579FC" w14:paraId="1F2C2BB2" w14:textId="77777777" w:rsidTr="00981404">
        <w:trPr>
          <w:trHeight w:val="250"/>
        </w:trPr>
        <w:tc>
          <w:tcPr>
            <w:tcW w:w="6320" w:type="dxa"/>
            <w:tcBorders>
              <w:top w:val="nil"/>
              <w:left w:val="nil"/>
              <w:bottom w:val="nil"/>
              <w:right w:val="nil"/>
            </w:tcBorders>
            <w:shd w:val="clear" w:color="auto" w:fill="auto"/>
            <w:noWrap/>
            <w:vAlign w:val="bottom"/>
            <w:hideMark/>
          </w:tcPr>
          <w:p w14:paraId="3685CB8B" w14:textId="77777777" w:rsidR="00A579FC" w:rsidRPr="00A579FC" w:rsidRDefault="00A579FC" w:rsidP="00A579FC">
            <w:pPr>
              <w:spacing w:before="0" w:after="0"/>
              <w:jc w:val="right"/>
              <w:rPr>
                <w:rFonts w:eastAsia="Times New Roman" w:cs="Arial"/>
                <w:b/>
                <w:bCs/>
                <w:sz w:val="20"/>
                <w:szCs w:val="20"/>
                <w:lang w:eastAsia="en-GB"/>
              </w:rPr>
            </w:pPr>
          </w:p>
        </w:tc>
        <w:tc>
          <w:tcPr>
            <w:tcW w:w="660" w:type="dxa"/>
            <w:tcBorders>
              <w:top w:val="nil"/>
              <w:left w:val="nil"/>
              <w:bottom w:val="nil"/>
              <w:right w:val="nil"/>
            </w:tcBorders>
            <w:shd w:val="clear" w:color="000000" w:fill="FFFFFF"/>
            <w:noWrap/>
            <w:vAlign w:val="bottom"/>
            <w:hideMark/>
          </w:tcPr>
          <w:p w14:paraId="45DE61F2"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 </w:t>
            </w:r>
          </w:p>
        </w:tc>
        <w:tc>
          <w:tcPr>
            <w:tcW w:w="1384" w:type="dxa"/>
            <w:tcBorders>
              <w:top w:val="nil"/>
              <w:left w:val="nil"/>
              <w:bottom w:val="nil"/>
              <w:right w:val="nil"/>
            </w:tcBorders>
            <w:shd w:val="clear" w:color="000000" w:fill="FFFFFF"/>
            <w:noWrap/>
            <w:vAlign w:val="bottom"/>
            <w:hideMark/>
          </w:tcPr>
          <w:p w14:paraId="7F606191"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F8C0405"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000000" w:fill="FFFFFF"/>
            <w:noWrap/>
            <w:vAlign w:val="bottom"/>
            <w:hideMark/>
          </w:tcPr>
          <w:p w14:paraId="2982EF89"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r>
      <w:tr w:rsidR="00A579FC" w:rsidRPr="00A579FC" w14:paraId="0528A366" w14:textId="77777777" w:rsidTr="00981404">
        <w:trPr>
          <w:trHeight w:val="260"/>
        </w:trPr>
        <w:tc>
          <w:tcPr>
            <w:tcW w:w="6320" w:type="dxa"/>
            <w:tcBorders>
              <w:top w:val="nil"/>
              <w:left w:val="nil"/>
              <w:bottom w:val="nil"/>
              <w:right w:val="nil"/>
            </w:tcBorders>
            <w:shd w:val="clear" w:color="auto" w:fill="auto"/>
            <w:noWrap/>
            <w:vAlign w:val="bottom"/>
            <w:hideMark/>
          </w:tcPr>
          <w:p w14:paraId="7C9505BB" w14:textId="77777777" w:rsidR="00A579FC" w:rsidRPr="00A579FC" w:rsidRDefault="00A579FC" w:rsidP="00A579FC">
            <w:pPr>
              <w:spacing w:before="0" w:after="0"/>
              <w:rPr>
                <w:rFonts w:eastAsia="Times New Roman" w:cs="Arial"/>
                <w:b/>
                <w:bCs/>
                <w:sz w:val="20"/>
                <w:szCs w:val="20"/>
                <w:lang w:eastAsia="en-GB"/>
              </w:rPr>
            </w:pPr>
            <w:r w:rsidRPr="00A579FC">
              <w:rPr>
                <w:rFonts w:eastAsia="Times New Roman" w:cs="Arial"/>
                <w:b/>
                <w:bCs/>
                <w:sz w:val="20"/>
                <w:szCs w:val="20"/>
                <w:lang w:eastAsia="en-GB"/>
              </w:rPr>
              <w:t>Cash flows from investing activities</w:t>
            </w:r>
          </w:p>
        </w:tc>
        <w:tc>
          <w:tcPr>
            <w:tcW w:w="660" w:type="dxa"/>
            <w:tcBorders>
              <w:top w:val="nil"/>
              <w:left w:val="nil"/>
              <w:bottom w:val="nil"/>
              <w:right w:val="nil"/>
            </w:tcBorders>
            <w:shd w:val="clear" w:color="000000" w:fill="FFFFFF"/>
            <w:noWrap/>
            <w:vAlign w:val="bottom"/>
            <w:hideMark/>
          </w:tcPr>
          <w:p w14:paraId="7C09CE5E"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 </w:t>
            </w:r>
          </w:p>
        </w:tc>
        <w:tc>
          <w:tcPr>
            <w:tcW w:w="1384" w:type="dxa"/>
            <w:tcBorders>
              <w:top w:val="nil"/>
              <w:left w:val="nil"/>
              <w:bottom w:val="nil"/>
              <w:right w:val="nil"/>
            </w:tcBorders>
            <w:shd w:val="clear" w:color="000000" w:fill="FFFFFF"/>
            <w:noWrap/>
            <w:vAlign w:val="bottom"/>
            <w:hideMark/>
          </w:tcPr>
          <w:p w14:paraId="1F3EDAAC"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957A8F6"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000000" w:fill="FFFFFF"/>
            <w:noWrap/>
            <w:vAlign w:val="bottom"/>
            <w:hideMark/>
          </w:tcPr>
          <w:p w14:paraId="42F9D336"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r>
      <w:tr w:rsidR="00A579FC" w:rsidRPr="00A579FC" w14:paraId="09B88EA9" w14:textId="77777777" w:rsidTr="00981404">
        <w:trPr>
          <w:trHeight w:val="250"/>
        </w:trPr>
        <w:tc>
          <w:tcPr>
            <w:tcW w:w="6320" w:type="dxa"/>
            <w:tcBorders>
              <w:top w:val="nil"/>
              <w:left w:val="nil"/>
              <w:bottom w:val="nil"/>
              <w:right w:val="nil"/>
            </w:tcBorders>
            <w:shd w:val="clear" w:color="auto" w:fill="auto"/>
            <w:noWrap/>
            <w:vAlign w:val="bottom"/>
            <w:hideMark/>
          </w:tcPr>
          <w:p w14:paraId="03113F4C"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Interest on right-of-use leases</w:t>
            </w:r>
          </w:p>
        </w:tc>
        <w:tc>
          <w:tcPr>
            <w:tcW w:w="660" w:type="dxa"/>
            <w:tcBorders>
              <w:top w:val="nil"/>
              <w:left w:val="nil"/>
              <w:bottom w:val="nil"/>
              <w:right w:val="nil"/>
            </w:tcBorders>
            <w:shd w:val="clear" w:color="000000" w:fill="FFFFFF"/>
            <w:noWrap/>
            <w:vAlign w:val="bottom"/>
            <w:hideMark/>
          </w:tcPr>
          <w:p w14:paraId="47B605C6"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 </w:t>
            </w:r>
          </w:p>
        </w:tc>
        <w:tc>
          <w:tcPr>
            <w:tcW w:w="1384" w:type="dxa"/>
            <w:tcBorders>
              <w:top w:val="nil"/>
              <w:left w:val="nil"/>
              <w:bottom w:val="single" w:sz="4" w:space="0" w:color="auto"/>
              <w:right w:val="nil"/>
            </w:tcBorders>
            <w:shd w:val="clear" w:color="000000" w:fill="FFFFFF"/>
            <w:noWrap/>
            <w:vAlign w:val="bottom"/>
            <w:hideMark/>
          </w:tcPr>
          <w:p w14:paraId="2D085B7E"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21</w:t>
            </w:r>
          </w:p>
        </w:tc>
        <w:tc>
          <w:tcPr>
            <w:tcW w:w="272" w:type="dxa"/>
            <w:tcBorders>
              <w:top w:val="nil"/>
              <w:left w:val="nil"/>
              <w:bottom w:val="nil"/>
              <w:right w:val="nil"/>
            </w:tcBorders>
            <w:shd w:val="clear" w:color="000000" w:fill="FFFFFF"/>
            <w:noWrap/>
            <w:vAlign w:val="bottom"/>
            <w:hideMark/>
          </w:tcPr>
          <w:p w14:paraId="34AAC418"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single" w:sz="4" w:space="0" w:color="auto"/>
              <w:right w:val="nil"/>
            </w:tcBorders>
            <w:shd w:val="clear" w:color="000000" w:fill="FFFFFF"/>
            <w:noWrap/>
            <w:vAlign w:val="bottom"/>
            <w:hideMark/>
          </w:tcPr>
          <w:p w14:paraId="1631A5F6"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19</w:t>
            </w:r>
          </w:p>
        </w:tc>
      </w:tr>
      <w:tr w:rsidR="00A579FC" w:rsidRPr="00A579FC" w14:paraId="42B1FAA4" w14:textId="77777777" w:rsidTr="00981404">
        <w:trPr>
          <w:trHeight w:val="260"/>
        </w:trPr>
        <w:tc>
          <w:tcPr>
            <w:tcW w:w="6320" w:type="dxa"/>
            <w:tcBorders>
              <w:top w:val="nil"/>
              <w:left w:val="nil"/>
              <w:bottom w:val="nil"/>
              <w:right w:val="nil"/>
            </w:tcBorders>
            <w:shd w:val="clear" w:color="auto" w:fill="auto"/>
            <w:noWrap/>
            <w:vAlign w:val="bottom"/>
            <w:hideMark/>
          </w:tcPr>
          <w:p w14:paraId="08459708" w14:textId="77777777" w:rsidR="00A579FC" w:rsidRPr="00A579FC" w:rsidRDefault="00A579FC" w:rsidP="00A579FC">
            <w:pPr>
              <w:spacing w:before="0" w:after="0"/>
              <w:rPr>
                <w:rFonts w:eastAsia="Times New Roman" w:cs="Arial"/>
                <w:b/>
                <w:bCs/>
                <w:sz w:val="20"/>
                <w:szCs w:val="20"/>
                <w:lang w:eastAsia="en-GB"/>
              </w:rPr>
            </w:pPr>
            <w:r w:rsidRPr="00A579FC">
              <w:rPr>
                <w:rFonts w:eastAsia="Times New Roman" w:cs="Arial"/>
                <w:b/>
                <w:bCs/>
                <w:sz w:val="20"/>
                <w:szCs w:val="20"/>
                <w:lang w:eastAsia="en-GB"/>
              </w:rPr>
              <w:t>Net cash inflow from investing activities</w:t>
            </w:r>
          </w:p>
        </w:tc>
        <w:tc>
          <w:tcPr>
            <w:tcW w:w="660" w:type="dxa"/>
            <w:tcBorders>
              <w:top w:val="nil"/>
              <w:left w:val="nil"/>
              <w:bottom w:val="nil"/>
              <w:right w:val="nil"/>
            </w:tcBorders>
            <w:shd w:val="clear" w:color="000000" w:fill="FFFFFF"/>
            <w:noWrap/>
            <w:vAlign w:val="bottom"/>
            <w:hideMark/>
          </w:tcPr>
          <w:p w14:paraId="70BFB2C5"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 </w:t>
            </w:r>
          </w:p>
        </w:tc>
        <w:tc>
          <w:tcPr>
            <w:tcW w:w="1384" w:type="dxa"/>
            <w:tcBorders>
              <w:top w:val="nil"/>
              <w:left w:val="nil"/>
              <w:bottom w:val="nil"/>
              <w:right w:val="nil"/>
            </w:tcBorders>
            <w:shd w:val="clear" w:color="000000" w:fill="FFFFFF"/>
            <w:noWrap/>
            <w:vAlign w:val="bottom"/>
            <w:hideMark/>
          </w:tcPr>
          <w:p w14:paraId="053A177F" w14:textId="77777777" w:rsidR="00A579FC" w:rsidRPr="00A579FC" w:rsidRDefault="00A579FC" w:rsidP="00A579FC">
            <w:pPr>
              <w:spacing w:before="0" w:after="0"/>
              <w:jc w:val="right"/>
              <w:rPr>
                <w:rFonts w:eastAsia="Times New Roman" w:cs="Arial"/>
                <w:b/>
                <w:bCs/>
                <w:sz w:val="20"/>
                <w:szCs w:val="20"/>
                <w:lang w:eastAsia="en-GB"/>
              </w:rPr>
            </w:pPr>
            <w:r w:rsidRPr="00A579FC">
              <w:rPr>
                <w:rFonts w:eastAsia="Times New Roman" w:cs="Arial"/>
                <w:b/>
                <w:bCs/>
                <w:sz w:val="20"/>
                <w:szCs w:val="20"/>
                <w:lang w:eastAsia="en-GB"/>
              </w:rPr>
              <w:t>21</w:t>
            </w:r>
          </w:p>
        </w:tc>
        <w:tc>
          <w:tcPr>
            <w:tcW w:w="272" w:type="dxa"/>
            <w:tcBorders>
              <w:top w:val="nil"/>
              <w:left w:val="nil"/>
              <w:bottom w:val="nil"/>
              <w:right w:val="nil"/>
            </w:tcBorders>
            <w:shd w:val="clear" w:color="000000" w:fill="FFFFFF"/>
            <w:noWrap/>
            <w:vAlign w:val="bottom"/>
            <w:hideMark/>
          </w:tcPr>
          <w:p w14:paraId="20A41438" w14:textId="77777777" w:rsidR="00A579FC" w:rsidRPr="00A579FC" w:rsidRDefault="00A579FC" w:rsidP="00A579FC">
            <w:pPr>
              <w:spacing w:before="0" w:after="0"/>
              <w:rPr>
                <w:rFonts w:eastAsia="Times New Roman" w:cs="Arial"/>
                <w:b/>
                <w:bCs/>
                <w:sz w:val="20"/>
                <w:szCs w:val="20"/>
                <w:lang w:eastAsia="en-GB"/>
              </w:rPr>
            </w:pPr>
            <w:r w:rsidRPr="00A579FC">
              <w:rPr>
                <w:rFonts w:eastAsia="Times New Roman" w:cs="Arial"/>
                <w:b/>
                <w:bCs/>
                <w:sz w:val="20"/>
                <w:szCs w:val="20"/>
                <w:lang w:eastAsia="en-GB"/>
              </w:rPr>
              <w:t> </w:t>
            </w:r>
          </w:p>
        </w:tc>
        <w:tc>
          <w:tcPr>
            <w:tcW w:w="1239" w:type="dxa"/>
            <w:tcBorders>
              <w:top w:val="nil"/>
              <w:left w:val="nil"/>
              <w:bottom w:val="nil"/>
              <w:right w:val="nil"/>
            </w:tcBorders>
            <w:shd w:val="clear" w:color="000000" w:fill="FFFFFF"/>
            <w:noWrap/>
            <w:vAlign w:val="bottom"/>
            <w:hideMark/>
          </w:tcPr>
          <w:p w14:paraId="51A85AD8" w14:textId="77777777" w:rsidR="00A579FC" w:rsidRPr="00A579FC" w:rsidRDefault="00A579FC" w:rsidP="00A579FC">
            <w:pPr>
              <w:spacing w:before="0" w:after="0"/>
              <w:jc w:val="right"/>
              <w:rPr>
                <w:rFonts w:eastAsia="Times New Roman" w:cs="Arial"/>
                <w:b/>
                <w:bCs/>
                <w:sz w:val="20"/>
                <w:szCs w:val="20"/>
                <w:lang w:eastAsia="en-GB"/>
              </w:rPr>
            </w:pPr>
            <w:r w:rsidRPr="00A579FC">
              <w:rPr>
                <w:rFonts w:eastAsia="Times New Roman" w:cs="Arial"/>
                <w:b/>
                <w:bCs/>
                <w:sz w:val="20"/>
                <w:szCs w:val="20"/>
                <w:lang w:eastAsia="en-GB"/>
              </w:rPr>
              <w:t>19</w:t>
            </w:r>
          </w:p>
        </w:tc>
      </w:tr>
      <w:tr w:rsidR="00A579FC" w:rsidRPr="00A579FC" w14:paraId="3C49BBA2" w14:textId="77777777" w:rsidTr="00981404">
        <w:trPr>
          <w:trHeight w:val="250"/>
        </w:trPr>
        <w:tc>
          <w:tcPr>
            <w:tcW w:w="6320" w:type="dxa"/>
            <w:tcBorders>
              <w:top w:val="nil"/>
              <w:left w:val="nil"/>
              <w:bottom w:val="nil"/>
              <w:right w:val="nil"/>
            </w:tcBorders>
            <w:shd w:val="clear" w:color="auto" w:fill="auto"/>
            <w:noWrap/>
            <w:vAlign w:val="bottom"/>
            <w:hideMark/>
          </w:tcPr>
          <w:p w14:paraId="40E94E2E" w14:textId="77777777" w:rsidR="00A579FC" w:rsidRPr="00A579FC" w:rsidRDefault="00A579FC" w:rsidP="00A579FC">
            <w:pPr>
              <w:spacing w:before="0" w:after="0"/>
              <w:jc w:val="right"/>
              <w:rPr>
                <w:rFonts w:eastAsia="Times New Roman" w:cs="Arial"/>
                <w:b/>
                <w:bCs/>
                <w:sz w:val="20"/>
                <w:szCs w:val="20"/>
                <w:lang w:eastAsia="en-GB"/>
              </w:rPr>
            </w:pPr>
          </w:p>
        </w:tc>
        <w:tc>
          <w:tcPr>
            <w:tcW w:w="660" w:type="dxa"/>
            <w:tcBorders>
              <w:top w:val="nil"/>
              <w:left w:val="nil"/>
              <w:bottom w:val="nil"/>
              <w:right w:val="nil"/>
            </w:tcBorders>
            <w:shd w:val="clear" w:color="000000" w:fill="FFFFFF"/>
            <w:noWrap/>
            <w:vAlign w:val="bottom"/>
            <w:hideMark/>
          </w:tcPr>
          <w:p w14:paraId="51690411"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 </w:t>
            </w:r>
          </w:p>
        </w:tc>
        <w:tc>
          <w:tcPr>
            <w:tcW w:w="1384" w:type="dxa"/>
            <w:tcBorders>
              <w:top w:val="nil"/>
              <w:left w:val="nil"/>
              <w:bottom w:val="nil"/>
              <w:right w:val="nil"/>
            </w:tcBorders>
            <w:shd w:val="clear" w:color="000000" w:fill="FFFFFF"/>
            <w:noWrap/>
            <w:vAlign w:val="bottom"/>
            <w:hideMark/>
          </w:tcPr>
          <w:p w14:paraId="44CDD359"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731C8A3"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000000" w:fill="FFFFFF"/>
            <w:noWrap/>
            <w:vAlign w:val="bottom"/>
            <w:hideMark/>
          </w:tcPr>
          <w:p w14:paraId="3BEADDBF"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r>
      <w:tr w:rsidR="00A579FC" w:rsidRPr="00A579FC" w14:paraId="51226285" w14:textId="77777777" w:rsidTr="00981404">
        <w:trPr>
          <w:trHeight w:val="260"/>
        </w:trPr>
        <w:tc>
          <w:tcPr>
            <w:tcW w:w="6320" w:type="dxa"/>
            <w:tcBorders>
              <w:top w:val="nil"/>
              <w:left w:val="nil"/>
              <w:bottom w:val="nil"/>
              <w:right w:val="nil"/>
            </w:tcBorders>
            <w:shd w:val="clear" w:color="auto" w:fill="auto"/>
            <w:noWrap/>
            <w:vAlign w:val="bottom"/>
            <w:hideMark/>
          </w:tcPr>
          <w:p w14:paraId="73B0081F" w14:textId="77777777" w:rsidR="00A579FC" w:rsidRPr="00A579FC" w:rsidRDefault="00A579FC" w:rsidP="00A579FC">
            <w:pPr>
              <w:spacing w:before="0" w:after="0"/>
              <w:rPr>
                <w:rFonts w:eastAsia="Times New Roman" w:cs="Arial"/>
                <w:b/>
                <w:bCs/>
                <w:sz w:val="20"/>
                <w:szCs w:val="20"/>
                <w:lang w:eastAsia="en-GB"/>
              </w:rPr>
            </w:pPr>
            <w:r w:rsidRPr="00A579FC">
              <w:rPr>
                <w:rFonts w:eastAsia="Times New Roman" w:cs="Arial"/>
                <w:b/>
                <w:bCs/>
                <w:sz w:val="20"/>
                <w:szCs w:val="20"/>
                <w:lang w:eastAsia="en-GB"/>
              </w:rPr>
              <w:t>Net cash outflow before financing</w:t>
            </w:r>
          </w:p>
        </w:tc>
        <w:tc>
          <w:tcPr>
            <w:tcW w:w="660" w:type="dxa"/>
            <w:tcBorders>
              <w:top w:val="nil"/>
              <w:left w:val="nil"/>
              <w:bottom w:val="nil"/>
              <w:right w:val="nil"/>
            </w:tcBorders>
            <w:shd w:val="clear" w:color="000000" w:fill="FFFFFF"/>
            <w:noWrap/>
            <w:vAlign w:val="bottom"/>
            <w:hideMark/>
          </w:tcPr>
          <w:p w14:paraId="43347809" w14:textId="77777777" w:rsidR="00A579FC" w:rsidRPr="00A579FC" w:rsidRDefault="00A579FC" w:rsidP="00A579FC">
            <w:pPr>
              <w:spacing w:before="0" w:after="0"/>
              <w:jc w:val="center"/>
              <w:rPr>
                <w:rFonts w:eastAsia="Times New Roman" w:cs="Arial"/>
                <w:b/>
                <w:bCs/>
                <w:sz w:val="20"/>
                <w:szCs w:val="20"/>
                <w:lang w:eastAsia="en-GB"/>
              </w:rPr>
            </w:pPr>
            <w:r w:rsidRPr="00A579FC">
              <w:rPr>
                <w:rFonts w:eastAsia="Times New Roman" w:cs="Arial"/>
                <w:b/>
                <w:bCs/>
                <w:sz w:val="20"/>
                <w:szCs w:val="20"/>
                <w:lang w:eastAsia="en-GB"/>
              </w:rPr>
              <w:t> </w:t>
            </w:r>
          </w:p>
        </w:tc>
        <w:tc>
          <w:tcPr>
            <w:tcW w:w="1384" w:type="dxa"/>
            <w:tcBorders>
              <w:top w:val="nil"/>
              <w:left w:val="nil"/>
              <w:bottom w:val="nil"/>
              <w:right w:val="nil"/>
            </w:tcBorders>
            <w:shd w:val="clear" w:color="000000" w:fill="FFFFFF"/>
            <w:noWrap/>
            <w:vAlign w:val="bottom"/>
            <w:hideMark/>
          </w:tcPr>
          <w:p w14:paraId="4EEDC4F7" w14:textId="77777777" w:rsidR="00A579FC" w:rsidRPr="00A579FC" w:rsidRDefault="00A579FC" w:rsidP="00A579FC">
            <w:pPr>
              <w:spacing w:before="0" w:after="0"/>
              <w:jc w:val="right"/>
              <w:rPr>
                <w:rFonts w:eastAsia="Times New Roman" w:cs="Arial"/>
                <w:b/>
                <w:bCs/>
                <w:sz w:val="20"/>
                <w:szCs w:val="20"/>
                <w:lang w:eastAsia="en-GB"/>
              </w:rPr>
            </w:pPr>
            <w:r w:rsidRPr="00A579FC">
              <w:rPr>
                <w:rFonts w:eastAsia="Times New Roman" w:cs="Arial"/>
                <w:b/>
                <w:bCs/>
                <w:sz w:val="20"/>
                <w:szCs w:val="20"/>
                <w:lang w:eastAsia="en-GB"/>
              </w:rPr>
              <w:t>(2,727,269)</w:t>
            </w:r>
          </w:p>
        </w:tc>
        <w:tc>
          <w:tcPr>
            <w:tcW w:w="272" w:type="dxa"/>
            <w:tcBorders>
              <w:top w:val="nil"/>
              <w:left w:val="nil"/>
              <w:bottom w:val="nil"/>
              <w:right w:val="nil"/>
            </w:tcBorders>
            <w:shd w:val="clear" w:color="000000" w:fill="FFFFFF"/>
            <w:noWrap/>
            <w:vAlign w:val="bottom"/>
            <w:hideMark/>
          </w:tcPr>
          <w:p w14:paraId="12AA0D74" w14:textId="77777777" w:rsidR="00A579FC" w:rsidRPr="00A579FC" w:rsidRDefault="00A579FC" w:rsidP="00A579FC">
            <w:pPr>
              <w:spacing w:before="0" w:after="0"/>
              <w:rPr>
                <w:rFonts w:eastAsia="Times New Roman" w:cs="Arial"/>
                <w:b/>
                <w:bCs/>
                <w:sz w:val="20"/>
                <w:szCs w:val="20"/>
                <w:lang w:eastAsia="en-GB"/>
              </w:rPr>
            </w:pPr>
            <w:r w:rsidRPr="00A579FC">
              <w:rPr>
                <w:rFonts w:eastAsia="Times New Roman" w:cs="Arial"/>
                <w:b/>
                <w:bCs/>
                <w:sz w:val="20"/>
                <w:szCs w:val="20"/>
                <w:lang w:eastAsia="en-GB"/>
              </w:rPr>
              <w:t> </w:t>
            </w:r>
          </w:p>
        </w:tc>
        <w:tc>
          <w:tcPr>
            <w:tcW w:w="1239" w:type="dxa"/>
            <w:tcBorders>
              <w:top w:val="nil"/>
              <w:left w:val="nil"/>
              <w:bottom w:val="nil"/>
              <w:right w:val="nil"/>
            </w:tcBorders>
            <w:shd w:val="clear" w:color="000000" w:fill="FFFFFF"/>
            <w:noWrap/>
            <w:vAlign w:val="bottom"/>
            <w:hideMark/>
          </w:tcPr>
          <w:p w14:paraId="20D2C6D3" w14:textId="77777777" w:rsidR="00A579FC" w:rsidRPr="00A579FC" w:rsidRDefault="00A579FC" w:rsidP="00A579FC">
            <w:pPr>
              <w:spacing w:before="0" w:after="0"/>
              <w:jc w:val="right"/>
              <w:rPr>
                <w:rFonts w:eastAsia="Times New Roman" w:cs="Arial"/>
                <w:b/>
                <w:bCs/>
                <w:sz w:val="20"/>
                <w:szCs w:val="20"/>
                <w:lang w:eastAsia="en-GB"/>
              </w:rPr>
            </w:pPr>
            <w:r w:rsidRPr="00A579FC">
              <w:rPr>
                <w:rFonts w:eastAsia="Times New Roman" w:cs="Arial"/>
                <w:b/>
                <w:bCs/>
                <w:sz w:val="20"/>
                <w:szCs w:val="20"/>
                <w:lang w:eastAsia="en-GB"/>
              </w:rPr>
              <w:t>(1,789,318)</w:t>
            </w:r>
          </w:p>
        </w:tc>
      </w:tr>
      <w:tr w:rsidR="00A579FC" w:rsidRPr="00A579FC" w14:paraId="37A5621B" w14:textId="77777777" w:rsidTr="00981404">
        <w:trPr>
          <w:trHeight w:val="250"/>
        </w:trPr>
        <w:tc>
          <w:tcPr>
            <w:tcW w:w="6320" w:type="dxa"/>
            <w:tcBorders>
              <w:top w:val="nil"/>
              <w:left w:val="nil"/>
              <w:bottom w:val="nil"/>
              <w:right w:val="nil"/>
            </w:tcBorders>
            <w:shd w:val="clear" w:color="auto" w:fill="auto"/>
            <w:noWrap/>
            <w:vAlign w:val="bottom"/>
            <w:hideMark/>
          </w:tcPr>
          <w:p w14:paraId="2F2A684D" w14:textId="77777777" w:rsidR="00A579FC" w:rsidRPr="00A579FC" w:rsidRDefault="00A579FC" w:rsidP="00A579FC">
            <w:pPr>
              <w:spacing w:before="0" w:after="0"/>
              <w:jc w:val="right"/>
              <w:rPr>
                <w:rFonts w:eastAsia="Times New Roman" w:cs="Arial"/>
                <w:b/>
                <w:bCs/>
                <w:sz w:val="20"/>
                <w:szCs w:val="20"/>
                <w:lang w:eastAsia="en-GB"/>
              </w:rPr>
            </w:pPr>
          </w:p>
        </w:tc>
        <w:tc>
          <w:tcPr>
            <w:tcW w:w="660" w:type="dxa"/>
            <w:tcBorders>
              <w:top w:val="nil"/>
              <w:left w:val="nil"/>
              <w:bottom w:val="nil"/>
              <w:right w:val="nil"/>
            </w:tcBorders>
            <w:shd w:val="clear" w:color="000000" w:fill="FFFFFF"/>
            <w:noWrap/>
            <w:vAlign w:val="bottom"/>
            <w:hideMark/>
          </w:tcPr>
          <w:p w14:paraId="08F01F9A"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 </w:t>
            </w:r>
          </w:p>
        </w:tc>
        <w:tc>
          <w:tcPr>
            <w:tcW w:w="1384" w:type="dxa"/>
            <w:tcBorders>
              <w:top w:val="nil"/>
              <w:left w:val="nil"/>
              <w:bottom w:val="nil"/>
              <w:right w:val="nil"/>
            </w:tcBorders>
            <w:shd w:val="clear" w:color="000000" w:fill="FFFFFF"/>
            <w:noWrap/>
            <w:vAlign w:val="bottom"/>
            <w:hideMark/>
          </w:tcPr>
          <w:p w14:paraId="7EF91150"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341A1702"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000000" w:fill="FFFFFF"/>
            <w:noWrap/>
            <w:vAlign w:val="bottom"/>
            <w:hideMark/>
          </w:tcPr>
          <w:p w14:paraId="67F185C2"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r>
      <w:tr w:rsidR="00A579FC" w:rsidRPr="00A579FC" w14:paraId="54A960FE" w14:textId="77777777" w:rsidTr="00981404">
        <w:trPr>
          <w:trHeight w:val="260"/>
        </w:trPr>
        <w:tc>
          <w:tcPr>
            <w:tcW w:w="6320" w:type="dxa"/>
            <w:tcBorders>
              <w:top w:val="nil"/>
              <w:left w:val="nil"/>
              <w:bottom w:val="nil"/>
              <w:right w:val="nil"/>
            </w:tcBorders>
            <w:shd w:val="clear" w:color="auto" w:fill="auto"/>
            <w:noWrap/>
            <w:vAlign w:val="bottom"/>
            <w:hideMark/>
          </w:tcPr>
          <w:p w14:paraId="5EB17E99" w14:textId="77777777" w:rsidR="00A579FC" w:rsidRPr="00A579FC" w:rsidRDefault="00A579FC" w:rsidP="00A579FC">
            <w:pPr>
              <w:spacing w:before="0" w:after="0"/>
              <w:rPr>
                <w:rFonts w:eastAsia="Times New Roman" w:cs="Arial"/>
                <w:b/>
                <w:bCs/>
                <w:sz w:val="20"/>
                <w:szCs w:val="20"/>
                <w:lang w:eastAsia="en-GB"/>
              </w:rPr>
            </w:pPr>
            <w:r w:rsidRPr="00A579FC">
              <w:rPr>
                <w:rFonts w:eastAsia="Times New Roman" w:cs="Arial"/>
                <w:b/>
                <w:bCs/>
                <w:sz w:val="20"/>
                <w:szCs w:val="20"/>
                <w:lang w:eastAsia="en-GB"/>
              </w:rPr>
              <w:t>Cash flows from financing activities</w:t>
            </w:r>
          </w:p>
        </w:tc>
        <w:tc>
          <w:tcPr>
            <w:tcW w:w="660" w:type="dxa"/>
            <w:tcBorders>
              <w:top w:val="nil"/>
              <w:left w:val="nil"/>
              <w:bottom w:val="nil"/>
              <w:right w:val="nil"/>
            </w:tcBorders>
            <w:shd w:val="clear" w:color="000000" w:fill="FFFFFF"/>
            <w:noWrap/>
            <w:vAlign w:val="bottom"/>
            <w:hideMark/>
          </w:tcPr>
          <w:p w14:paraId="5A5296C9"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 </w:t>
            </w:r>
          </w:p>
        </w:tc>
        <w:tc>
          <w:tcPr>
            <w:tcW w:w="1384" w:type="dxa"/>
            <w:tcBorders>
              <w:top w:val="nil"/>
              <w:left w:val="nil"/>
              <w:bottom w:val="nil"/>
              <w:right w:val="nil"/>
            </w:tcBorders>
            <w:shd w:val="clear" w:color="000000" w:fill="FFFFFF"/>
            <w:noWrap/>
            <w:vAlign w:val="bottom"/>
            <w:hideMark/>
          </w:tcPr>
          <w:p w14:paraId="2D6F89BE"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B040701"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000000" w:fill="FFFFFF"/>
            <w:noWrap/>
            <w:vAlign w:val="bottom"/>
            <w:hideMark/>
          </w:tcPr>
          <w:p w14:paraId="548D880E"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r>
      <w:tr w:rsidR="00A579FC" w:rsidRPr="00A579FC" w14:paraId="3426542F" w14:textId="77777777" w:rsidTr="00981404">
        <w:trPr>
          <w:trHeight w:val="250"/>
        </w:trPr>
        <w:tc>
          <w:tcPr>
            <w:tcW w:w="6320" w:type="dxa"/>
            <w:tcBorders>
              <w:top w:val="nil"/>
              <w:left w:val="nil"/>
              <w:bottom w:val="nil"/>
              <w:right w:val="nil"/>
            </w:tcBorders>
            <w:shd w:val="clear" w:color="auto" w:fill="auto"/>
            <w:noWrap/>
            <w:vAlign w:val="bottom"/>
            <w:hideMark/>
          </w:tcPr>
          <w:p w14:paraId="00FADD4C"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Grant in Aid funding received</w:t>
            </w:r>
          </w:p>
        </w:tc>
        <w:tc>
          <w:tcPr>
            <w:tcW w:w="660" w:type="dxa"/>
            <w:tcBorders>
              <w:top w:val="nil"/>
              <w:left w:val="nil"/>
              <w:bottom w:val="nil"/>
              <w:right w:val="nil"/>
            </w:tcBorders>
            <w:shd w:val="clear" w:color="000000" w:fill="FFFFFF"/>
            <w:noWrap/>
            <w:vAlign w:val="bottom"/>
            <w:hideMark/>
          </w:tcPr>
          <w:p w14:paraId="33086B1A"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 </w:t>
            </w:r>
          </w:p>
        </w:tc>
        <w:tc>
          <w:tcPr>
            <w:tcW w:w="1384" w:type="dxa"/>
            <w:tcBorders>
              <w:top w:val="nil"/>
              <w:left w:val="nil"/>
              <w:bottom w:val="nil"/>
              <w:right w:val="nil"/>
            </w:tcBorders>
            <w:shd w:val="clear" w:color="000000" w:fill="FFFFFF"/>
            <w:noWrap/>
            <w:vAlign w:val="bottom"/>
            <w:hideMark/>
          </w:tcPr>
          <w:p w14:paraId="65018AA7"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2,727,957</w:t>
            </w:r>
          </w:p>
        </w:tc>
        <w:tc>
          <w:tcPr>
            <w:tcW w:w="272" w:type="dxa"/>
            <w:tcBorders>
              <w:top w:val="nil"/>
              <w:left w:val="nil"/>
              <w:bottom w:val="nil"/>
              <w:right w:val="nil"/>
            </w:tcBorders>
            <w:shd w:val="clear" w:color="000000" w:fill="FFFFFF"/>
            <w:noWrap/>
            <w:vAlign w:val="bottom"/>
            <w:hideMark/>
          </w:tcPr>
          <w:p w14:paraId="07311594"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000000" w:fill="FFFFFF"/>
            <w:noWrap/>
            <w:vAlign w:val="bottom"/>
            <w:hideMark/>
          </w:tcPr>
          <w:p w14:paraId="011595F4"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1,786,921</w:t>
            </w:r>
          </w:p>
        </w:tc>
      </w:tr>
      <w:tr w:rsidR="00A579FC" w:rsidRPr="00A579FC" w14:paraId="7916F082" w14:textId="77777777" w:rsidTr="00981404">
        <w:trPr>
          <w:trHeight w:val="250"/>
        </w:trPr>
        <w:tc>
          <w:tcPr>
            <w:tcW w:w="6320" w:type="dxa"/>
            <w:tcBorders>
              <w:top w:val="nil"/>
              <w:left w:val="nil"/>
              <w:bottom w:val="nil"/>
              <w:right w:val="nil"/>
            </w:tcBorders>
            <w:shd w:val="clear" w:color="auto" w:fill="auto"/>
            <w:noWrap/>
            <w:vAlign w:val="bottom"/>
            <w:hideMark/>
          </w:tcPr>
          <w:p w14:paraId="3D785ECD"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Repayment of lease liabilities</w:t>
            </w:r>
          </w:p>
        </w:tc>
        <w:tc>
          <w:tcPr>
            <w:tcW w:w="660" w:type="dxa"/>
            <w:tcBorders>
              <w:top w:val="nil"/>
              <w:left w:val="nil"/>
              <w:bottom w:val="nil"/>
              <w:right w:val="nil"/>
            </w:tcBorders>
            <w:shd w:val="clear" w:color="000000" w:fill="FFFFFF"/>
            <w:noWrap/>
            <w:vAlign w:val="bottom"/>
            <w:hideMark/>
          </w:tcPr>
          <w:p w14:paraId="4DD9A7A4"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 </w:t>
            </w:r>
          </w:p>
        </w:tc>
        <w:tc>
          <w:tcPr>
            <w:tcW w:w="1384" w:type="dxa"/>
            <w:tcBorders>
              <w:top w:val="nil"/>
              <w:left w:val="nil"/>
              <w:bottom w:val="single" w:sz="4" w:space="0" w:color="auto"/>
              <w:right w:val="nil"/>
            </w:tcBorders>
            <w:shd w:val="clear" w:color="000000" w:fill="FFFFFF"/>
            <w:noWrap/>
            <w:vAlign w:val="bottom"/>
            <w:hideMark/>
          </w:tcPr>
          <w:p w14:paraId="3201138C"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(403)</w:t>
            </w:r>
          </w:p>
        </w:tc>
        <w:tc>
          <w:tcPr>
            <w:tcW w:w="272" w:type="dxa"/>
            <w:tcBorders>
              <w:top w:val="nil"/>
              <w:left w:val="nil"/>
              <w:bottom w:val="nil"/>
              <w:right w:val="nil"/>
            </w:tcBorders>
            <w:shd w:val="clear" w:color="000000" w:fill="FFFFFF"/>
            <w:noWrap/>
            <w:vAlign w:val="bottom"/>
            <w:hideMark/>
          </w:tcPr>
          <w:p w14:paraId="6E57BAF2"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single" w:sz="4" w:space="0" w:color="auto"/>
              <w:right w:val="nil"/>
            </w:tcBorders>
            <w:shd w:val="clear" w:color="000000" w:fill="FFFFFF"/>
            <w:noWrap/>
            <w:vAlign w:val="bottom"/>
            <w:hideMark/>
          </w:tcPr>
          <w:p w14:paraId="36ABD4FE"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(411)</w:t>
            </w:r>
          </w:p>
        </w:tc>
      </w:tr>
      <w:tr w:rsidR="00A579FC" w:rsidRPr="00A579FC" w14:paraId="4781D502" w14:textId="77777777" w:rsidTr="00981404">
        <w:trPr>
          <w:trHeight w:val="260"/>
        </w:trPr>
        <w:tc>
          <w:tcPr>
            <w:tcW w:w="6320" w:type="dxa"/>
            <w:tcBorders>
              <w:top w:val="nil"/>
              <w:left w:val="nil"/>
              <w:bottom w:val="nil"/>
              <w:right w:val="nil"/>
            </w:tcBorders>
            <w:shd w:val="clear" w:color="auto" w:fill="auto"/>
            <w:noWrap/>
            <w:vAlign w:val="bottom"/>
            <w:hideMark/>
          </w:tcPr>
          <w:p w14:paraId="00159C13" w14:textId="77777777" w:rsidR="00A579FC" w:rsidRPr="00A579FC" w:rsidRDefault="00A579FC" w:rsidP="00A579FC">
            <w:pPr>
              <w:spacing w:before="0" w:after="0"/>
              <w:rPr>
                <w:rFonts w:eastAsia="Times New Roman" w:cs="Arial"/>
                <w:b/>
                <w:bCs/>
                <w:sz w:val="20"/>
                <w:szCs w:val="20"/>
                <w:lang w:eastAsia="en-GB"/>
              </w:rPr>
            </w:pPr>
            <w:r w:rsidRPr="00A579FC">
              <w:rPr>
                <w:rFonts w:eastAsia="Times New Roman" w:cs="Arial"/>
                <w:b/>
                <w:bCs/>
                <w:sz w:val="20"/>
                <w:szCs w:val="20"/>
                <w:lang w:eastAsia="en-GB"/>
              </w:rPr>
              <w:t>Net cash inflow from financing activities</w:t>
            </w:r>
          </w:p>
        </w:tc>
        <w:tc>
          <w:tcPr>
            <w:tcW w:w="660" w:type="dxa"/>
            <w:tcBorders>
              <w:top w:val="nil"/>
              <w:left w:val="nil"/>
              <w:bottom w:val="nil"/>
              <w:right w:val="nil"/>
            </w:tcBorders>
            <w:shd w:val="clear" w:color="000000" w:fill="FFFFFF"/>
            <w:noWrap/>
            <w:vAlign w:val="bottom"/>
            <w:hideMark/>
          </w:tcPr>
          <w:p w14:paraId="5811274B" w14:textId="77777777" w:rsidR="00A579FC" w:rsidRPr="00A579FC" w:rsidRDefault="00A579FC" w:rsidP="00A579FC">
            <w:pPr>
              <w:spacing w:before="0" w:after="0"/>
              <w:jc w:val="center"/>
              <w:rPr>
                <w:rFonts w:eastAsia="Times New Roman" w:cs="Arial"/>
                <w:b/>
                <w:bCs/>
                <w:sz w:val="20"/>
                <w:szCs w:val="20"/>
                <w:lang w:eastAsia="en-GB"/>
              </w:rPr>
            </w:pPr>
            <w:r w:rsidRPr="00A579FC">
              <w:rPr>
                <w:rFonts w:eastAsia="Times New Roman" w:cs="Arial"/>
                <w:b/>
                <w:bCs/>
                <w:sz w:val="20"/>
                <w:szCs w:val="20"/>
                <w:lang w:eastAsia="en-GB"/>
              </w:rPr>
              <w:t> </w:t>
            </w:r>
          </w:p>
        </w:tc>
        <w:tc>
          <w:tcPr>
            <w:tcW w:w="1384" w:type="dxa"/>
            <w:tcBorders>
              <w:top w:val="nil"/>
              <w:left w:val="nil"/>
              <w:bottom w:val="nil"/>
              <w:right w:val="nil"/>
            </w:tcBorders>
            <w:shd w:val="clear" w:color="000000" w:fill="FFFFFF"/>
            <w:noWrap/>
            <w:vAlign w:val="bottom"/>
            <w:hideMark/>
          </w:tcPr>
          <w:p w14:paraId="251D5066" w14:textId="77777777" w:rsidR="00A579FC" w:rsidRPr="00A579FC" w:rsidRDefault="00A579FC" w:rsidP="00A579FC">
            <w:pPr>
              <w:spacing w:before="0" w:after="0"/>
              <w:jc w:val="right"/>
              <w:rPr>
                <w:rFonts w:eastAsia="Times New Roman" w:cs="Arial"/>
                <w:b/>
                <w:bCs/>
                <w:sz w:val="20"/>
                <w:szCs w:val="20"/>
                <w:lang w:eastAsia="en-GB"/>
              </w:rPr>
            </w:pPr>
            <w:r w:rsidRPr="00A579FC">
              <w:rPr>
                <w:rFonts w:eastAsia="Times New Roman" w:cs="Arial"/>
                <w:b/>
                <w:bCs/>
                <w:sz w:val="20"/>
                <w:szCs w:val="20"/>
                <w:lang w:eastAsia="en-GB"/>
              </w:rPr>
              <w:t>2,727,554</w:t>
            </w:r>
          </w:p>
        </w:tc>
        <w:tc>
          <w:tcPr>
            <w:tcW w:w="272" w:type="dxa"/>
            <w:tcBorders>
              <w:top w:val="nil"/>
              <w:left w:val="nil"/>
              <w:bottom w:val="nil"/>
              <w:right w:val="nil"/>
            </w:tcBorders>
            <w:shd w:val="clear" w:color="000000" w:fill="FFFFFF"/>
            <w:noWrap/>
            <w:vAlign w:val="bottom"/>
            <w:hideMark/>
          </w:tcPr>
          <w:p w14:paraId="70A22C99" w14:textId="77777777" w:rsidR="00A579FC" w:rsidRPr="00A579FC" w:rsidRDefault="00A579FC" w:rsidP="00A579FC">
            <w:pPr>
              <w:spacing w:before="0" w:after="0"/>
              <w:rPr>
                <w:rFonts w:eastAsia="Times New Roman" w:cs="Arial"/>
                <w:b/>
                <w:bCs/>
                <w:sz w:val="20"/>
                <w:szCs w:val="20"/>
                <w:lang w:eastAsia="en-GB"/>
              </w:rPr>
            </w:pPr>
            <w:r w:rsidRPr="00A579FC">
              <w:rPr>
                <w:rFonts w:eastAsia="Times New Roman" w:cs="Arial"/>
                <w:b/>
                <w:bCs/>
                <w:sz w:val="20"/>
                <w:szCs w:val="20"/>
                <w:lang w:eastAsia="en-GB"/>
              </w:rPr>
              <w:t> </w:t>
            </w:r>
          </w:p>
        </w:tc>
        <w:tc>
          <w:tcPr>
            <w:tcW w:w="1239" w:type="dxa"/>
            <w:tcBorders>
              <w:top w:val="nil"/>
              <w:left w:val="nil"/>
              <w:bottom w:val="nil"/>
              <w:right w:val="nil"/>
            </w:tcBorders>
            <w:shd w:val="clear" w:color="000000" w:fill="FFFFFF"/>
            <w:noWrap/>
            <w:vAlign w:val="bottom"/>
            <w:hideMark/>
          </w:tcPr>
          <w:p w14:paraId="1895D7BB" w14:textId="77777777" w:rsidR="00A579FC" w:rsidRPr="00A579FC" w:rsidRDefault="00A579FC" w:rsidP="00A579FC">
            <w:pPr>
              <w:spacing w:before="0" w:after="0"/>
              <w:jc w:val="right"/>
              <w:rPr>
                <w:rFonts w:eastAsia="Times New Roman" w:cs="Arial"/>
                <w:b/>
                <w:bCs/>
                <w:sz w:val="20"/>
                <w:szCs w:val="20"/>
                <w:lang w:eastAsia="en-GB"/>
              </w:rPr>
            </w:pPr>
            <w:r w:rsidRPr="00A579FC">
              <w:rPr>
                <w:rFonts w:eastAsia="Times New Roman" w:cs="Arial"/>
                <w:b/>
                <w:bCs/>
                <w:sz w:val="20"/>
                <w:szCs w:val="20"/>
                <w:lang w:eastAsia="en-GB"/>
              </w:rPr>
              <w:t>1,786,510</w:t>
            </w:r>
          </w:p>
        </w:tc>
      </w:tr>
      <w:tr w:rsidR="00A579FC" w:rsidRPr="00A579FC" w14:paraId="034917BD" w14:textId="77777777" w:rsidTr="00981404">
        <w:trPr>
          <w:trHeight w:val="260"/>
        </w:trPr>
        <w:tc>
          <w:tcPr>
            <w:tcW w:w="6320" w:type="dxa"/>
            <w:tcBorders>
              <w:top w:val="nil"/>
              <w:left w:val="nil"/>
              <w:bottom w:val="nil"/>
              <w:right w:val="nil"/>
            </w:tcBorders>
            <w:shd w:val="clear" w:color="auto" w:fill="auto"/>
            <w:noWrap/>
            <w:vAlign w:val="bottom"/>
            <w:hideMark/>
          </w:tcPr>
          <w:p w14:paraId="5AD590C8" w14:textId="77777777" w:rsidR="00A579FC" w:rsidRPr="00A579FC" w:rsidRDefault="00A579FC" w:rsidP="00A579FC">
            <w:pPr>
              <w:spacing w:before="0" w:after="0"/>
              <w:jc w:val="right"/>
              <w:rPr>
                <w:rFonts w:eastAsia="Times New Roman" w:cs="Arial"/>
                <w:b/>
                <w:bCs/>
                <w:sz w:val="20"/>
                <w:szCs w:val="20"/>
                <w:lang w:eastAsia="en-GB"/>
              </w:rPr>
            </w:pPr>
          </w:p>
        </w:tc>
        <w:tc>
          <w:tcPr>
            <w:tcW w:w="660" w:type="dxa"/>
            <w:tcBorders>
              <w:top w:val="nil"/>
              <w:left w:val="nil"/>
              <w:bottom w:val="nil"/>
              <w:right w:val="nil"/>
            </w:tcBorders>
            <w:shd w:val="clear" w:color="000000" w:fill="FFFFFF"/>
            <w:noWrap/>
            <w:vAlign w:val="bottom"/>
            <w:hideMark/>
          </w:tcPr>
          <w:p w14:paraId="4E202771"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 </w:t>
            </w:r>
          </w:p>
        </w:tc>
        <w:tc>
          <w:tcPr>
            <w:tcW w:w="1384" w:type="dxa"/>
            <w:tcBorders>
              <w:top w:val="nil"/>
              <w:left w:val="nil"/>
              <w:bottom w:val="nil"/>
              <w:right w:val="nil"/>
            </w:tcBorders>
            <w:shd w:val="clear" w:color="000000" w:fill="FFFFFF"/>
            <w:noWrap/>
            <w:vAlign w:val="bottom"/>
            <w:hideMark/>
          </w:tcPr>
          <w:p w14:paraId="4295EB46"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C6FB260"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000000" w:fill="FFFFFF"/>
            <w:noWrap/>
            <w:vAlign w:val="bottom"/>
            <w:hideMark/>
          </w:tcPr>
          <w:p w14:paraId="341ACD77" w14:textId="77777777" w:rsidR="00A579FC" w:rsidRPr="00A579FC" w:rsidRDefault="00A579FC" w:rsidP="00A579FC">
            <w:pPr>
              <w:spacing w:before="0" w:after="0"/>
              <w:rPr>
                <w:rFonts w:eastAsia="Times New Roman" w:cs="Arial"/>
                <w:b/>
                <w:bCs/>
                <w:sz w:val="20"/>
                <w:szCs w:val="20"/>
                <w:lang w:eastAsia="en-GB"/>
              </w:rPr>
            </w:pPr>
            <w:r w:rsidRPr="00A579FC">
              <w:rPr>
                <w:rFonts w:eastAsia="Times New Roman" w:cs="Arial"/>
                <w:b/>
                <w:bCs/>
                <w:sz w:val="20"/>
                <w:szCs w:val="20"/>
                <w:lang w:eastAsia="en-GB"/>
              </w:rPr>
              <w:t> </w:t>
            </w:r>
          </w:p>
        </w:tc>
      </w:tr>
      <w:tr w:rsidR="00A579FC" w:rsidRPr="00A579FC" w14:paraId="3CB91E95" w14:textId="77777777" w:rsidTr="00981404">
        <w:trPr>
          <w:trHeight w:val="350"/>
        </w:trPr>
        <w:tc>
          <w:tcPr>
            <w:tcW w:w="6320" w:type="dxa"/>
            <w:tcBorders>
              <w:top w:val="nil"/>
              <w:left w:val="nil"/>
              <w:bottom w:val="nil"/>
              <w:right w:val="nil"/>
            </w:tcBorders>
            <w:shd w:val="clear" w:color="auto" w:fill="auto"/>
            <w:noWrap/>
            <w:vAlign w:val="center"/>
            <w:hideMark/>
          </w:tcPr>
          <w:p w14:paraId="26206868" w14:textId="77777777" w:rsidR="00A579FC" w:rsidRPr="00A579FC" w:rsidRDefault="00A579FC" w:rsidP="00A579FC">
            <w:pPr>
              <w:spacing w:before="0" w:after="0"/>
              <w:rPr>
                <w:rFonts w:eastAsia="Times New Roman" w:cs="Arial"/>
                <w:b/>
                <w:bCs/>
                <w:sz w:val="20"/>
                <w:szCs w:val="20"/>
                <w:lang w:eastAsia="en-GB"/>
              </w:rPr>
            </w:pPr>
            <w:r w:rsidRPr="00A579FC">
              <w:rPr>
                <w:rFonts w:eastAsia="Times New Roman" w:cs="Arial"/>
                <w:b/>
                <w:bCs/>
                <w:sz w:val="20"/>
                <w:szCs w:val="20"/>
                <w:lang w:eastAsia="en-GB"/>
              </w:rPr>
              <w:t>Net increase/(decrease) in cash &amp; cash equivalents</w:t>
            </w:r>
          </w:p>
        </w:tc>
        <w:tc>
          <w:tcPr>
            <w:tcW w:w="660" w:type="dxa"/>
            <w:tcBorders>
              <w:top w:val="nil"/>
              <w:left w:val="nil"/>
              <w:bottom w:val="nil"/>
              <w:right w:val="nil"/>
            </w:tcBorders>
            <w:shd w:val="clear" w:color="000000" w:fill="FFFFFF"/>
            <w:noWrap/>
            <w:vAlign w:val="center"/>
            <w:hideMark/>
          </w:tcPr>
          <w:p w14:paraId="445220D8"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12</w:t>
            </w:r>
          </w:p>
        </w:tc>
        <w:tc>
          <w:tcPr>
            <w:tcW w:w="1384" w:type="dxa"/>
            <w:tcBorders>
              <w:top w:val="single" w:sz="4" w:space="0" w:color="auto"/>
              <w:left w:val="nil"/>
              <w:bottom w:val="single" w:sz="4" w:space="0" w:color="auto"/>
              <w:right w:val="nil"/>
            </w:tcBorders>
            <w:shd w:val="clear" w:color="000000" w:fill="FFFFFF"/>
            <w:noWrap/>
            <w:vAlign w:val="center"/>
            <w:hideMark/>
          </w:tcPr>
          <w:p w14:paraId="1DC2DEC1" w14:textId="77777777" w:rsidR="00A579FC" w:rsidRPr="00A579FC" w:rsidRDefault="00A579FC" w:rsidP="00A579FC">
            <w:pPr>
              <w:spacing w:before="0" w:after="0"/>
              <w:jc w:val="right"/>
              <w:rPr>
                <w:rFonts w:eastAsia="Times New Roman" w:cs="Arial"/>
                <w:b/>
                <w:bCs/>
                <w:sz w:val="20"/>
                <w:szCs w:val="20"/>
                <w:lang w:eastAsia="en-GB"/>
              </w:rPr>
            </w:pPr>
            <w:r w:rsidRPr="00A579FC">
              <w:rPr>
                <w:rFonts w:eastAsia="Times New Roman" w:cs="Arial"/>
                <w:b/>
                <w:bCs/>
                <w:sz w:val="20"/>
                <w:szCs w:val="20"/>
                <w:lang w:eastAsia="en-GB"/>
              </w:rPr>
              <w:t>285</w:t>
            </w:r>
          </w:p>
        </w:tc>
        <w:tc>
          <w:tcPr>
            <w:tcW w:w="272" w:type="dxa"/>
            <w:tcBorders>
              <w:top w:val="nil"/>
              <w:left w:val="nil"/>
              <w:bottom w:val="nil"/>
              <w:right w:val="nil"/>
            </w:tcBorders>
            <w:shd w:val="clear" w:color="000000" w:fill="FFFFFF"/>
            <w:noWrap/>
            <w:vAlign w:val="center"/>
            <w:hideMark/>
          </w:tcPr>
          <w:p w14:paraId="57E8553F" w14:textId="77777777" w:rsidR="00A579FC" w:rsidRPr="00A579FC" w:rsidRDefault="00A579FC" w:rsidP="00A579FC">
            <w:pPr>
              <w:spacing w:before="0" w:after="0"/>
              <w:rPr>
                <w:rFonts w:eastAsia="Times New Roman" w:cs="Arial"/>
                <w:b/>
                <w:bCs/>
                <w:sz w:val="20"/>
                <w:szCs w:val="20"/>
                <w:lang w:eastAsia="en-GB"/>
              </w:rPr>
            </w:pPr>
            <w:r w:rsidRPr="00A579FC">
              <w:rPr>
                <w:rFonts w:eastAsia="Times New Roman" w:cs="Arial"/>
                <w:b/>
                <w:bCs/>
                <w:sz w:val="20"/>
                <w:szCs w:val="20"/>
                <w:lang w:eastAsia="en-GB"/>
              </w:rPr>
              <w:t> </w:t>
            </w:r>
          </w:p>
        </w:tc>
        <w:tc>
          <w:tcPr>
            <w:tcW w:w="1239" w:type="dxa"/>
            <w:tcBorders>
              <w:top w:val="single" w:sz="4" w:space="0" w:color="auto"/>
              <w:left w:val="nil"/>
              <w:bottom w:val="single" w:sz="4" w:space="0" w:color="auto"/>
              <w:right w:val="nil"/>
            </w:tcBorders>
            <w:shd w:val="clear" w:color="000000" w:fill="FFFFFF"/>
            <w:noWrap/>
            <w:vAlign w:val="center"/>
            <w:hideMark/>
          </w:tcPr>
          <w:p w14:paraId="071B4881" w14:textId="77777777" w:rsidR="00A579FC" w:rsidRPr="00A579FC" w:rsidRDefault="00A579FC" w:rsidP="00A579FC">
            <w:pPr>
              <w:spacing w:before="0" w:after="0"/>
              <w:jc w:val="right"/>
              <w:rPr>
                <w:rFonts w:eastAsia="Times New Roman" w:cs="Arial"/>
                <w:b/>
                <w:bCs/>
                <w:sz w:val="20"/>
                <w:szCs w:val="20"/>
                <w:lang w:eastAsia="en-GB"/>
              </w:rPr>
            </w:pPr>
            <w:r w:rsidRPr="00A579FC">
              <w:rPr>
                <w:rFonts w:eastAsia="Times New Roman" w:cs="Arial"/>
                <w:b/>
                <w:bCs/>
                <w:sz w:val="20"/>
                <w:szCs w:val="20"/>
                <w:lang w:eastAsia="en-GB"/>
              </w:rPr>
              <w:t>(2,808)</w:t>
            </w:r>
          </w:p>
        </w:tc>
      </w:tr>
      <w:tr w:rsidR="00A579FC" w:rsidRPr="00A579FC" w14:paraId="102C8C37" w14:textId="77777777" w:rsidTr="00981404">
        <w:trPr>
          <w:trHeight w:val="250"/>
        </w:trPr>
        <w:tc>
          <w:tcPr>
            <w:tcW w:w="6320" w:type="dxa"/>
            <w:tcBorders>
              <w:top w:val="nil"/>
              <w:left w:val="nil"/>
              <w:bottom w:val="nil"/>
              <w:right w:val="nil"/>
            </w:tcBorders>
            <w:shd w:val="clear" w:color="auto" w:fill="auto"/>
            <w:noWrap/>
            <w:vAlign w:val="bottom"/>
            <w:hideMark/>
          </w:tcPr>
          <w:p w14:paraId="24D709EE" w14:textId="77777777" w:rsidR="00A579FC" w:rsidRPr="00A579FC" w:rsidRDefault="00A579FC" w:rsidP="00A579FC">
            <w:pPr>
              <w:spacing w:before="0" w:after="0"/>
              <w:jc w:val="right"/>
              <w:rPr>
                <w:rFonts w:eastAsia="Times New Roman" w:cs="Arial"/>
                <w:b/>
                <w:bCs/>
                <w:sz w:val="20"/>
                <w:szCs w:val="20"/>
                <w:lang w:eastAsia="en-GB"/>
              </w:rPr>
            </w:pPr>
          </w:p>
        </w:tc>
        <w:tc>
          <w:tcPr>
            <w:tcW w:w="660" w:type="dxa"/>
            <w:tcBorders>
              <w:top w:val="nil"/>
              <w:left w:val="nil"/>
              <w:bottom w:val="nil"/>
              <w:right w:val="nil"/>
            </w:tcBorders>
            <w:shd w:val="clear" w:color="000000" w:fill="FFFFFF"/>
            <w:noWrap/>
            <w:vAlign w:val="bottom"/>
            <w:hideMark/>
          </w:tcPr>
          <w:p w14:paraId="68A4B418"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 </w:t>
            </w:r>
          </w:p>
        </w:tc>
        <w:tc>
          <w:tcPr>
            <w:tcW w:w="1384" w:type="dxa"/>
            <w:tcBorders>
              <w:top w:val="nil"/>
              <w:left w:val="nil"/>
              <w:bottom w:val="nil"/>
              <w:right w:val="nil"/>
            </w:tcBorders>
            <w:shd w:val="clear" w:color="000000" w:fill="FFFFFF"/>
            <w:noWrap/>
            <w:vAlign w:val="bottom"/>
            <w:hideMark/>
          </w:tcPr>
          <w:p w14:paraId="119DE53F"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1706445"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000000" w:fill="FFFFFF"/>
            <w:noWrap/>
            <w:vAlign w:val="bottom"/>
            <w:hideMark/>
          </w:tcPr>
          <w:p w14:paraId="7FC3A8B8"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r>
      <w:tr w:rsidR="00A579FC" w:rsidRPr="00A579FC" w14:paraId="31BD90BE" w14:textId="77777777" w:rsidTr="00981404">
        <w:trPr>
          <w:trHeight w:val="520"/>
        </w:trPr>
        <w:tc>
          <w:tcPr>
            <w:tcW w:w="6320" w:type="dxa"/>
            <w:tcBorders>
              <w:top w:val="nil"/>
              <w:left w:val="nil"/>
              <w:bottom w:val="nil"/>
              <w:right w:val="nil"/>
            </w:tcBorders>
            <w:shd w:val="clear" w:color="auto" w:fill="auto"/>
            <w:vAlign w:val="center"/>
            <w:hideMark/>
          </w:tcPr>
          <w:p w14:paraId="180BC6B7" w14:textId="77777777" w:rsidR="00A579FC" w:rsidRPr="00A579FC" w:rsidRDefault="00A579FC" w:rsidP="00A579FC">
            <w:pPr>
              <w:spacing w:before="0" w:after="0"/>
              <w:rPr>
                <w:rFonts w:eastAsia="Times New Roman" w:cs="Arial"/>
                <w:b/>
                <w:bCs/>
                <w:sz w:val="20"/>
                <w:szCs w:val="20"/>
                <w:lang w:eastAsia="en-GB"/>
              </w:rPr>
            </w:pPr>
            <w:r w:rsidRPr="00A579FC">
              <w:rPr>
                <w:rFonts w:eastAsia="Times New Roman" w:cs="Arial"/>
                <w:b/>
                <w:bCs/>
                <w:sz w:val="20"/>
                <w:szCs w:val="20"/>
                <w:lang w:eastAsia="en-GB"/>
              </w:rPr>
              <w:t>Cash &amp; cash equivalents at the beginning of the financial year/period</w:t>
            </w:r>
          </w:p>
        </w:tc>
        <w:tc>
          <w:tcPr>
            <w:tcW w:w="660" w:type="dxa"/>
            <w:tcBorders>
              <w:top w:val="nil"/>
              <w:left w:val="nil"/>
              <w:bottom w:val="nil"/>
              <w:right w:val="nil"/>
            </w:tcBorders>
            <w:shd w:val="clear" w:color="000000" w:fill="FFFFFF"/>
            <w:noWrap/>
            <w:vAlign w:val="center"/>
            <w:hideMark/>
          </w:tcPr>
          <w:p w14:paraId="16D31ED1" w14:textId="77777777" w:rsidR="00A579FC" w:rsidRPr="00A579FC" w:rsidRDefault="00A579FC" w:rsidP="00A579FC">
            <w:pPr>
              <w:spacing w:before="0" w:after="0"/>
              <w:jc w:val="center"/>
              <w:rPr>
                <w:rFonts w:eastAsia="Times New Roman" w:cs="Arial"/>
                <w:b/>
                <w:bCs/>
                <w:sz w:val="20"/>
                <w:szCs w:val="20"/>
                <w:lang w:eastAsia="en-GB"/>
              </w:rPr>
            </w:pPr>
            <w:r w:rsidRPr="00A579FC">
              <w:rPr>
                <w:rFonts w:eastAsia="Times New Roman" w:cs="Arial"/>
                <w:b/>
                <w:bCs/>
                <w:sz w:val="20"/>
                <w:szCs w:val="20"/>
                <w:lang w:eastAsia="en-GB"/>
              </w:rPr>
              <w:t> </w:t>
            </w:r>
          </w:p>
        </w:tc>
        <w:tc>
          <w:tcPr>
            <w:tcW w:w="1384" w:type="dxa"/>
            <w:tcBorders>
              <w:top w:val="nil"/>
              <w:left w:val="nil"/>
              <w:bottom w:val="nil"/>
              <w:right w:val="nil"/>
            </w:tcBorders>
            <w:shd w:val="clear" w:color="000000" w:fill="FFFFFF"/>
            <w:noWrap/>
            <w:vAlign w:val="center"/>
            <w:hideMark/>
          </w:tcPr>
          <w:p w14:paraId="3C520494"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(2,808)</w:t>
            </w:r>
          </w:p>
        </w:tc>
        <w:tc>
          <w:tcPr>
            <w:tcW w:w="272" w:type="dxa"/>
            <w:tcBorders>
              <w:top w:val="nil"/>
              <w:left w:val="nil"/>
              <w:bottom w:val="nil"/>
              <w:right w:val="nil"/>
            </w:tcBorders>
            <w:shd w:val="clear" w:color="000000" w:fill="FFFFFF"/>
            <w:noWrap/>
            <w:vAlign w:val="center"/>
            <w:hideMark/>
          </w:tcPr>
          <w:p w14:paraId="318674A3" w14:textId="77777777" w:rsidR="00A579FC" w:rsidRPr="00A579FC" w:rsidRDefault="00A579FC" w:rsidP="00A579FC">
            <w:pPr>
              <w:spacing w:before="0" w:after="0"/>
              <w:rPr>
                <w:rFonts w:eastAsia="Times New Roman" w:cs="Arial"/>
                <w:b/>
                <w:bCs/>
                <w:sz w:val="20"/>
                <w:szCs w:val="20"/>
                <w:lang w:eastAsia="en-GB"/>
              </w:rPr>
            </w:pPr>
            <w:r w:rsidRPr="00A579FC">
              <w:rPr>
                <w:rFonts w:eastAsia="Times New Roman" w:cs="Arial"/>
                <w:b/>
                <w:bCs/>
                <w:sz w:val="20"/>
                <w:szCs w:val="20"/>
                <w:lang w:eastAsia="en-GB"/>
              </w:rPr>
              <w:t> </w:t>
            </w:r>
          </w:p>
        </w:tc>
        <w:tc>
          <w:tcPr>
            <w:tcW w:w="1239" w:type="dxa"/>
            <w:tcBorders>
              <w:top w:val="nil"/>
              <w:left w:val="nil"/>
              <w:bottom w:val="nil"/>
              <w:right w:val="nil"/>
            </w:tcBorders>
            <w:shd w:val="clear" w:color="000000" w:fill="FFFFFF"/>
            <w:noWrap/>
            <w:vAlign w:val="center"/>
            <w:hideMark/>
          </w:tcPr>
          <w:p w14:paraId="0E356703" w14:textId="77777777" w:rsidR="00A579FC" w:rsidRPr="00A579FC" w:rsidRDefault="00A579FC" w:rsidP="00A579FC">
            <w:pPr>
              <w:spacing w:before="0" w:after="0"/>
              <w:jc w:val="right"/>
              <w:rPr>
                <w:rFonts w:eastAsia="Times New Roman" w:cs="Arial"/>
                <w:sz w:val="20"/>
                <w:szCs w:val="20"/>
                <w:lang w:eastAsia="en-GB"/>
              </w:rPr>
            </w:pPr>
            <w:r w:rsidRPr="00A579FC">
              <w:rPr>
                <w:rFonts w:eastAsia="Times New Roman" w:cs="Arial"/>
                <w:sz w:val="20"/>
                <w:szCs w:val="20"/>
                <w:lang w:eastAsia="en-GB"/>
              </w:rPr>
              <w:t>-</w:t>
            </w:r>
          </w:p>
        </w:tc>
      </w:tr>
      <w:tr w:rsidR="00A579FC" w:rsidRPr="00A579FC" w14:paraId="700CCDB4" w14:textId="77777777" w:rsidTr="00981404">
        <w:trPr>
          <w:trHeight w:val="520"/>
        </w:trPr>
        <w:tc>
          <w:tcPr>
            <w:tcW w:w="6320" w:type="dxa"/>
            <w:tcBorders>
              <w:top w:val="nil"/>
              <w:left w:val="nil"/>
              <w:bottom w:val="nil"/>
              <w:right w:val="nil"/>
            </w:tcBorders>
            <w:shd w:val="clear" w:color="auto" w:fill="auto"/>
            <w:vAlign w:val="center"/>
            <w:hideMark/>
          </w:tcPr>
          <w:p w14:paraId="50669AC5" w14:textId="77777777" w:rsidR="00A579FC" w:rsidRPr="00A579FC" w:rsidRDefault="00A579FC" w:rsidP="00A579FC">
            <w:pPr>
              <w:spacing w:before="0" w:after="0"/>
              <w:rPr>
                <w:rFonts w:eastAsia="Times New Roman" w:cs="Arial"/>
                <w:b/>
                <w:bCs/>
                <w:sz w:val="20"/>
                <w:szCs w:val="20"/>
                <w:lang w:eastAsia="en-GB"/>
              </w:rPr>
            </w:pPr>
            <w:r w:rsidRPr="00A579FC">
              <w:rPr>
                <w:rFonts w:eastAsia="Times New Roman" w:cs="Arial"/>
                <w:b/>
                <w:bCs/>
                <w:sz w:val="20"/>
                <w:szCs w:val="20"/>
                <w:lang w:eastAsia="en-GB"/>
              </w:rPr>
              <w:t>Cash &amp; cash equivalents (including bank overdrafts) at the end of the financial year/period</w:t>
            </w:r>
          </w:p>
        </w:tc>
        <w:tc>
          <w:tcPr>
            <w:tcW w:w="660" w:type="dxa"/>
            <w:tcBorders>
              <w:top w:val="nil"/>
              <w:left w:val="nil"/>
              <w:bottom w:val="nil"/>
              <w:right w:val="nil"/>
            </w:tcBorders>
            <w:shd w:val="clear" w:color="000000" w:fill="FFFFFF"/>
            <w:noWrap/>
            <w:vAlign w:val="center"/>
            <w:hideMark/>
          </w:tcPr>
          <w:p w14:paraId="0B4C57ED" w14:textId="77777777" w:rsidR="00A579FC" w:rsidRPr="00A579FC" w:rsidRDefault="00A579FC" w:rsidP="00A579FC">
            <w:pPr>
              <w:spacing w:before="0" w:after="0"/>
              <w:jc w:val="center"/>
              <w:rPr>
                <w:rFonts w:eastAsia="Times New Roman" w:cs="Arial"/>
                <w:b/>
                <w:bCs/>
                <w:sz w:val="20"/>
                <w:szCs w:val="20"/>
                <w:lang w:eastAsia="en-GB"/>
              </w:rPr>
            </w:pPr>
            <w:r w:rsidRPr="00A579FC">
              <w:rPr>
                <w:rFonts w:eastAsia="Times New Roman" w:cs="Arial"/>
                <w:b/>
                <w:bCs/>
                <w:sz w:val="20"/>
                <w:szCs w:val="20"/>
                <w:lang w:eastAsia="en-GB"/>
              </w:rPr>
              <w:t> </w:t>
            </w:r>
          </w:p>
        </w:tc>
        <w:tc>
          <w:tcPr>
            <w:tcW w:w="1384" w:type="dxa"/>
            <w:tcBorders>
              <w:top w:val="single" w:sz="4" w:space="0" w:color="auto"/>
              <w:left w:val="nil"/>
              <w:bottom w:val="single" w:sz="4" w:space="0" w:color="auto"/>
              <w:right w:val="nil"/>
            </w:tcBorders>
            <w:shd w:val="clear" w:color="000000" w:fill="FFFFFF"/>
            <w:noWrap/>
            <w:vAlign w:val="center"/>
            <w:hideMark/>
          </w:tcPr>
          <w:p w14:paraId="0AD5E935" w14:textId="77777777" w:rsidR="00A579FC" w:rsidRPr="00A579FC" w:rsidRDefault="00A579FC" w:rsidP="00A579FC">
            <w:pPr>
              <w:spacing w:before="0" w:after="0"/>
              <w:jc w:val="right"/>
              <w:rPr>
                <w:rFonts w:eastAsia="Times New Roman" w:cs="Arial"/>
                <w:b/>
                <w:bCs/>
                <w:sz w:val="20"/>
                <w:szCs w:val="20"/>
                <w:lang w:eastAsia="en-GB"/>
              </w:rPr>
            </w:pPr>
            <w:r w:rsidRPr="00A579FC">
              <w:rPr>
                <w:rFonts w:eastAsia="Times New Roman" w:cs="Arial"/>
                <w:b/>
                <w:bCs/>
                <w:sz w:val="20"/>
                <w:szCs w:val="20"/>
                <w:lang w:eastAsia="en-GB"/>
              </w:rPr>
              <w:t>(2,523)</w:t>
            </w:r>
          </w:p>
        </w:tc>
        <w:tc>
          <w:tcPr>
            <w:tcW w:w="272" w:type="dxa"/>
            <w:tcBorders>
              <w:top w:val="nil"/>
              <w:left w:val="nil"/>
              <w:bottom w:val="nil"/>
              <w:right w:val="nil"/>
            </w:tcBorders>
            <w:shd w:val="clear" w:color="000000" w:fill="FFFFFF"/>
            <w:noWrap/>
            <w:vAlign w:val="center"/>
            <w:hideMark/>
          </w:tcPr>
          <w:p w14:paraId="4B603C04" w14:textId="77777777" w:rsidR="00A579FC" w:rsidRPr="00A579FC" w:rsidRDefault="00A579FC" w:rsidP="00A579FC">
            <w:pPr>
              <w:spacing w:before="0" w:after="0"/>
              <w:rPr>
                <w:rFonts w:eastAsia="Times New Roman" w:cs="Arial"/>
                <w:b/>
                <w:bCs/>
                <w:sz w:val="20"/>
                <w:szCs w:val="20"/>
                <w:lang w:eastAsia="en-GB"/>
              </w:rPr>
            </w:pPr>
            <w:r w:rsidRPr="00A579FC">
              <w:rPr>
                <w:rFonts w:eastAsia="Times New Roman" w:cs="Arial"/>
                <w:b/>
                <w:bCs/>
                <w:sz w:val="20"/>
                <w:szCs w:val="20"/>
                <w:lang w:eastAsia="en-GB"/>
              </w:rPr>
              <w:t> </w:t>
            </w:r>
          </w:p>
        </w:tc>
        <w:tc>
          <w:tcPr>
            <w:tcW w:w="1239" w:type="dxa"/>
            <w:tcBorders>
              <w:top w:val="single" w:sz="4" w:space="0" w:color="auto"/>
              <w:left w:val="nil"/>
              <w:bottom w:val="single" w:sz="4" w:space="0" w:color="auto"/>
              <w:right w:val="nil"/>
            </w:tcBorders>
            <w:shd w:val="clear" w:color="000000" w:fill="FFFFFF"/>
            <w:noWrap/>
            <w:vAlign w:val="center"/>
            <w:hideMark/>
          </w:tcPr>
          <w:p w14:paraId="45EB5446" w14:textId="77777777" w:rsidR="00A579FC" w:rsidRPr="00A579FC" w:rsidRDefault="00A579FC" w:rsidP="00A579FC">
            <w:pPr>
              <w:spacing w:before="0" w:after="0"/>
              <w:jc w:val="right"/>
              <w:rPr>
                <w:rFonts w:eastAsia="Times New Roman" w:cs="Arial"/>
                <w:b/>
                <w:bCs/>
                <w:sz w:val="20"/>
                <w:szCs w:val="20"/>
                <w:lang w:eastAsia="en-GB"/>
              </w:rPr>
            </w:pPr>
            <w:r w:rsidRPr="00A579FC">
              <w:rPr>
                <w:rFonts w:eastAsia="Times New Roman" w:cs="Arial"/>
                <w:b/>
                <w:bCs/>
                <w:sz w:val="20"/>
                <w:szCs w:val="20"/>
                <w:lang w:eastAsia="en-GB"/>
              </w:rPr>
              <w:t>(2,808)</w:t>
            </w:r>
          </w:p>
        </w:tc>
      </w:tr>
      <w:tr w:rsidR="00A579FC" w:rsidRPr="00A579FC" w14:paraId="770A7D65" w14:textId="77777777" w:rsidTr="00981404">
        <w:trPr>
          <w:trHeight w:val="250"/>
        </w:trPr>
        <w:tc>
          <w:tcPr>
            <w:tcW w:w="6320" w:type="dxa"/>
            <w:tcBorders>
              <w:top w:val="nil"/>
              <w:left w:val="nil"/>
              <w:bottom w:val="nil"/>
              <w:right w:val="nil"/>
            </w:tcBorders>
            <w:shd w:val="clear" w:color="auto" w:fill="auto"/>
            <w:noWrap/>
            <w:vAlign w:val="bottom"/>
            <w:hideMark/>
          </w:tcPr>
          <w:p w14:paraId="363C6F26" w14:textId="77777777" w:rsidR="00A579FC" w:rsidRPr="00A579FC" w:rsidRDefault="00A579FC" w:rsidP="00A579FC">
            <w:pPr>
              <w:spacing w:before="0" w:after="0"/>
              <w:jc w:val="right"/>
              <w:rPr>
                <w:rFonts w:eastAsia="Times New Roman" w:cs="Arial"/>
                <w:b/>
                <w:bCs/>
                <w:sz w:val="20"/>
                <w:szCs w:val="20"/>
                <w:lang w:eastAsia="en-GB"/>
              </w:rPr>
            </w:pPr>
          </w:p>
        </w:tc>
        <w:tc>
          <w:tcPr>
            <w:tcW w:w="660" w:type="dxa"/>
            <w:tcBorders>
              <w:top w:val="nil"/>
              <w:left w:val="nil"/>
              <w:bottom w:val="nil"/>
              <w:right w:val="nil"/>
            </w:tcBorders>
            <w:shd w:val="clear" w:color="000000" w:fill="FFFFFF"/>
            <w:noWrap/>
            <w:vAlign w:val="bottom"/>
            <w:hideMark/>
          </w:tcPr>
          <w:p w14:paraId="4780C8EA" w14:textId="77777777" w:rsidR="00A579FC" w:rsidRPr="00A579FC" w:rsidRDefault="00A579FC" w:rsidP="00A579FC">
            <w:pPr>
              <w:spacing w:before="0" w:after="0"/>
              <w:jc w:val="center"/>
              <w:rPr>
                <w:rFonts w:eastAsia="Times New Roman" w:cs="Arial"/>
                <w:sz w:val="20"/>
                <w:szCs w:val="20"/>
                <w:lang w:eastAsia="en-GB"/>
              </w:rPr>
            </w:pPr>
            <w:r w:rsidRPr="00A579FC">
              <w:rPr>
                <w:rFonts w:eastAsia="Times New Roman" w:cs="Arial"/>
                <w:sz w:val="20"/>
                <w:szCs w:val="20"/>
                <w:lang w:eastAsia="en-GB"/>
              </w:rPr>
              <w:t> </w:t>
            </w:r>
          </w:p>
        </w:tc>
        <w:tc>
          <w:tcPr>
            <w:tcW w:w="1384" w:type="dxa"/>
            <w:tcBorders>
              <w:top w:val="nil"/>
              <w:left w:val="nil"/>
              <w:bottom w:val="nil"/>
              <w:right w:val="nil"/>
            </w:tcBorders>
            <w:shd w:val="clear" w:color="auto" w:fill="auto"/>
            <w:noWrap/>
            <w:vAlign w:val="bottom"/>
            <w:hideMark/>
          </w:tcPr>
          <w:p w14:paraId="32A8971E" w14:textId="77777777" w:rsidR="00A579FC" w:rsidRPr="00A579FC" w:rsidRDefault="00A579FC" w:rsidP="00A579FC">
            <w:pPr>
              <w:spacing w:before="0" w:after="0"/>
              <w:jc w:val="center"/>
              <w:rPr>
                <w:rFonts w:eastAsia="Times New Roman" w:cs="Arial"/>
                <w:sz w:val="20"/>
                <w:szCs w:val="20"/>
                <w:lang w:eastAsia="en-GB"/>
              </w:rPr>
            </w:pPr>
          </w:p>
        </w:tc>
        <w:tc>
          <w:tcPr>
            <w:tcW w:w="272" w:type="dxa"/>
            <w:tcBorders>
              <w:top w:val="nil"/>
              <w:left w:val="nil"/>
              <w:bottom w:val="nil"/>
              <w:right w:val="nil"/>
            </w:tcBorders>
            <w:shd w:val="clear" w:color="000000" w:fill="FFFFFF"/>
            <w:noWrap/>
            <w:vAlign w:val="bottom"/>
            <w:hideMark/>
          </w:tcPr>
          <w:p w14:paraId="08BA3923"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auto" w:fill="auto"/>
            <w:noWrap/>
            <w:vAlign w:val="bottom"/>
            <w:hideMark/>
          </w:tcPr>
          <w:p w14:paraId="6B2EA205" w14:textId="77777777" w:rsidR="00A579FC" w:rsidRPr="00A579FC" w:rsidRDefault="00A579FC" w:rsidP="00A579FC">
            <w:pPr>
              <w:spacing w:before="0" w:after="0"/>
              <w:rPr>
                <w:rFonts w:eastAsia="Times New Roman" w:cs="Arial"/>
                <w:sz w:val="20"/>
                <w:szCs w:val="20"/>
                <w:lang w:eastAsia="en-GB"/>
              </w:rPr>
            </w:pPr>
          </w:p>
        </w:tc>
      </w:tr>
      <w:tr w:rsidR="00A579FC" w:rsidRPr="00A579FC" w14:paraId="0FA98203" w14:textId="77777777" w:rsidTr="00981404">
        <w:trPr>
          <w:trHeight w:val="250"/>
        </w:trPr>
        <w:tc>
          <w:tcPr>
            <w:tcW w:w="6320" w:type="dxa"/>
            <w:tcBorders>
              <w:top w:val="nil"/>
              <w:left w:val="nil"/>
              <w:bottom w:val="nil"/>
              <w:right w:val="nil"/>
            </w:tcBorders>
            <w:shd w:val="clear" w:color="auto" w:fill="auto"/>
            <w:noWrap/>
            <w:vAlign w:val="bottom"/>
            <w:hideMark/>
          </w:tcPr>
          <w:p w14:paraId="687974F7" w14:textId="77777777" w:rsidR="00A579FC" w:rsidRPr="00A579FC" w:rsidRDefault="00A579FC" w:rsidP="00A579FC">
            <w:pPr>
              <w:spacing w:before="0" w:after="0"/>
              <w:rPr>
                <w:rFonts w:ascii="Times New Roman" w:eastAsia="Times New Roman" w:hAnsi="Times New Roman" w:cs="Times New Roman"/>
                <w:sz w:val="20"/>
                <w:szCs w:val="20"/>
                <w:lang w:eastAsia="en-GB"/>
              </w:rPr>
            </w:pPr>
          </w:p>
        </w:tc>
        <w:tc>
          <w:tcPr>
            <w:tcW w:w="660" w:type="dxa"/>
            <w:tcBorders>
              <w:top w:val="nil"/>
              <w:left w:val="nil"/>
              <w:bottom w:val="nil"/>
              <w:right w:val="nil"/>
            </w:tcBorders>
            <w:shd w:val="clear" w:color="auto" w:fill="auto"/>
            <w:noWrap/>
            <w:vAlign w:val="bottom"/>
            <w:hideMark/>
          </w:tcPr>
          <w:p w14:paraId="16890984" w14:textId="77777777" w:rsidR="00A579FC" w:rsidRPr="00A579FC" w:rsidRDefault="00A579FC" w:rsidP="00A579FC">
            <w:pPr>
              <w:spacing w:before="0" w:after="0"/>
              <w:rPr>
                <w:rFonts w:ascii="Times New Roman" w:eastAsia="Times New Roman" w:hAnsi="Times New Roman" w:cs="Times New Roman"/>
                <w:sz w:val="20"/>
                <w:szCs w:val="20"/>
                <w:lang w:eastAsia="en-GB"/>
              </w:rPr>
            </w:pPr>
          </w:p>
        </w:tc>
        <w:tc>
          <w:tcPr>
            <w:tcW w:w="1384" w:type="dxa"/>
            <w:tcBorders>
              <w:top w:val="nil"/>
              <w:left w:val="nil"/>
              <w:bottom w:val="nil"/>
              <w:right w:val="nil"/>
            </w:tcBorders>
            <w:shd w:val="clear" w:color="auto" w:fill="auto"/>
            <w:noWrap/>
            <w:vAlign w:val="bottom"/>
            <w:hideMark/>
          </w:tcPr>
          <w:p w14:paraId="223EC201" w14:textId="77777777" w:rsidR="00A579FC" w:rsidRPr="00A579FC" w:rsidRDefault="00A579FC" w:rsidP="00A579FC">
            <w:pPr>
              <w:spacing w:before="0" w:after="0"/>
              <w:jc w:val="center"/>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000000" w:fill="FFFFFF"/>
            <w:noWrap/>
            <w:vAlign w:val="bottom"/>
            <w:hideMark/>
          </w:tcPr>
          <w:p w14:paraId="5CA56AEA"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auto" w:fill="auto"/>
            <w:noWrap/>
            <w:vAlign w:val="bottom"/>
            <w:hideMark/>
          </w:tcPr>
          <w:p w14:paraId="510388F2" w14:textId="77777777" w:rsidR="00A579FC" w:rsidRPr="00A579FC" w:rsidRDefault="00A579FC" w:rsidP="00A579FC">
            <w:pPr>
              <w:spacing w:before="0" w:after="0"/>
              <w:rPr>
                <w:rFonts w:eastAsia="Times New Roman" w:cs="Arial"/>
                <w:sz w:val="20"/>
                <w:szCs w:val="20"/>
                <w:lang w:eastAsia="en-GB"/>
              </w:rPr>
            </w:pPr>
          </w:p>
        </w:tc>
      </w:tr>
      <w:tr w:rsidR="00A579FC" w:rsidRPr="00A579FC" w14:paraId="3291B093" w14:textId="77777777" w:rsidTr="00981404">
        <w:trPr>
          <w:trHeight w:val="250"/>
        </w:trPr>
        <w:tc>
          <w:tcPr>
            <w:tcW w:w="6320" w:type="dxa"/>
            <w:tcBorders>
              <w:top w:val="nil"/>
              <w:left w:val="nil"/>
              <w:bottom w:val="nil"/>
              <w:right w:val="nil"/>
            </w:tcBorders>
            <w:shd w:val="clear" w:color="auto" w:fill="auto"/>
            <w:noWrap/>
            <w:vAlign w:val="bottom"/>
            <w:hideMark/>
          </w:tcPr>
          <w:p w14:paraId="74ED5540" w14:textId="77777777" w:rsidR="00A579FC" w:rsidRPr="00A579FC" w:rsidRDefault="00A579FC" w:rsidP="00A579FC">
            <w:pPr>
              <w:spacing w:before="0" w:after="0"/>
              <w:rPr>
                <w:rFonts w:ascii="Times New Roman" w:eastAsia="Times New Roman" w:hAnsi="Times New Roman" w:cs="Times New Roman"/>
                <w:sz w:val="20"/>
                <w:szCs w:val="20"/>
                <w:lang w:eastAsia="en-GB"/>
              </w:rPr>
            </w:pPr>
          </w:p>
        </w:tc>
        <w:tc>
          <w:tcPr>
            <w:tcW w:w="660" w:type="dxa"/>
            <w:tcBorders>
              <w:top w:val="nil"/>
              <w:left w:val="nil"/>
              <w:bottom w:val="nil"/>
              <w:right w:val="nil"/>
            </w:tcBorders>
            <w:shd w:val="clear" w:color="auto" w:fill="auto"/>
            <w:noWrap/>
            <w:vAlign w:val="bottom"/>
            <w:hideMark/>
          </w:tcPr>
          <w:p w14:paraId="4FEC5FE0" w14:textId="77777777" w:rsidR="00A579FC" w:rsidRPr="00A579FC" w:rsidRDefault="00A579FC" w:rsidP="00A579FC">
            <w:pPr>
              <w:spacing w:before="0" w:after="0"/>
              <w:rPr>
                <w:rFonts w:ascii="Times New Roman" w:eastAsia="Times New Roman" w:hAnsi="Times New Roman" w:cs="Times New Roman"/>
                <w:sz w:val="20"/>
                <w:szCs w:val="20"/>
                <w:lang w:eastAsia="en-GB"/>
              </w:rPr>
            </w:pPr>
          </w:p>
        </w:tc>
        <w:tc>
          <w:tcPr>
            <w:tcW w:w="1384" w:type="dxa"/>
            <w:tcBorders>
              <w:top w:val="nil"/>
              <w:left w:val="nil"/>
              <w:bottom w:val="nil"/>
              <w:right w:val="nil"/>
            </w:tcBorders>
            <w:shd w:val="clear" w:color="auto" w:fill="auto"/>
            <w:noWrap/>
            <w:vAlign w:val="bottom"/>
            <w:hideMark/>
          </w:tcPr>
          <w:p w14:paraId="3A26F64F" w14:textId="77777777" w:rsidR="00A579FC" w:rsidRPr="00A579FC" w:rsidRDefault="00A579FC" w:rsidP="00A579FC">
            <w:pPr>
              <w:spacing w:before="0" w:after="0"/>
              <w:jc w:val="center"/>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000000" w:fill="FFFFFF"/>
            <w:noWrap/>
            <w:vAlign w:val="bottom"/>
            <w:hideMark/>
          </w:tcPr>
          <w:p w14:paraId="03C3F7B0"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auto" w:fill="auto"/>
            <w:noWrap/>
            <w:vAlign w:val="bottom"/>
            <w:hideMark/>
          </w:tcPr>
          <w:p w14:paraId="1001DD41" w14:textId="77777777" w:rsidR="00A579FC" w:rsidRPr="00A579FC" w:rsidRDefault="00A579FC" w:rsidP="00A579FC">
            <w:pPr>
              <w:spacing w:before="0" w:after="0"/>
              <w:rPr>
                <w:rFonts w:eastAsia="Times New Roman" w:cs="Arial"/>
                <w:sz w:val="20"/>
                <w:szCs w:val="20"/>
                <w:lang w:eastAsia="en-GB"/>
              </w:rPr>
            </w:pPr>
          </w:p>
        </w:tc>
      </w:tr>
      <w:tr w:rsidR="00A579FC" w:rsidRPr="00A579FC" w14:paraId="75E890DF" w14:textId="77777777" w:rsidTr="00981404">
        <w:trPr>
          <w:trHeight w:val="250"/>
        </w:trPr>
        <w:tc>
          <w:tcPr>
            <w:tcW w:w="6320" w:type="dxa"/>
            <w:tcBorders>
              <w:top w:val="nil"/>
              <w:left w:val="nil"/>
              <w:bottom w:val="nil"/>
              <w:right w:val="nil"/>
            </w:tcBorders>
            <w:shd w:val="clear" w:color="auto" w:fill="auto"/>
            <w:noWrap/>
            <w:vAlign w:val="bottom"/>
            <w:hideMark/>
          </w:tcPr>
          <w:p w14:paraId="1A2FC674" w14:textId="27AE95FE"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xml:space="preserve">The notes on pages 7 to </w:t>
            </w:r>
            <w:r w:rsidR="007D4A9C">
              <w:rPr>
                <w:rFonts w:eastAsia="Times New Roman" w:cs="Arial"/>
                <w:sz w:val="20"/>
                <w:szCs w:val="20"/>
                <w:lang w:eastAsia="en-GB"/>
              </w:rPr>
              <w:t>31</w:t>
            </w:r>
            <w:r w:rsidRPr="00A579FC">
              <w:rPr>
                <w:rFonts w:eastAsia="Times New Roman" w:cs="Arial"/>
                <w:sz w:val="20"/>
                <w:szCs w:val="20"/>
                <w:lang w:eastAsia="en-GB"/>
              </w:rPr>
              <w:t xml:space="preserve"> form part of this statement</w:t>
            </w:r>
          </w:p>
        </w:tc>
        <w:tc>
          <w:tcPr>
            <w:tcW w:w="660" w:type="dxa"/>
            <w:tcBorders>
              <w:top w:val="nil"/>
              <w:left w:val="nil"/>
              <w:bottom w:val="nil"/>
              <w:right w:val="nil"/>
            </w:tcBorders>
            <w:shd w:val="clear" w:color="auto" w:fill="auto"/>
            <w:noWrap/>
            <w:vAlign w:val="bottom"/>
            <w:hideMark/>
          </w:tcPr>
          <w:p w14:paraId="35DD1BD2" w14:textId="77777777" w:rsidR="00A579FC" w:rsidRPr="00A579FC" w:rsidRDefault="00A579FC" w:rsidP="00A579FC">
            <w:pPr>
              <w:spacing w:before="0" w:after="0"/>
              <w:rPr>
                <w:rFonts w:eastAsia="Times New Roman" w:cs="Arial"/>
                <w:sz w:val="20"/>
                <w:szCs w:val="20"/>
                <w:lang w:eastAsia="en-GB"/>
              </w:rPr>
            </w:pPr>
          </w:p>
        </w:tc>
        <w:tc>
          <w:tcPr>
            <w:tcW w:w="1384" w:type="dxa"/>
            <w:tcBorders>
              <w:top w:val="nil"/>
              <w:left w:val="nil"/>
              <w:bottom w:val="nil"/>
              <w:right w:val="nil"/>
            </w:tcBorders>
            <w:shd w:val="clear" w:color="auto" w:fill="auto"/>
            <w:noWrap/>
            <w:vAlign w:val="bottom"/>
            <w:hideMark/>
          </w:tcPr>
          <w:p w14:paraId="7E810C4B" w14:textId="77777777" w:rsidR="00A579FC" w:rsidRPr="00A579FC" w:rsidRDefault="00A579FC" w:rsidP="00A579FC">
            <w:pPr>
              <w:spacing w:before="0" w:after="0"/>
              <w:jc w:val="center"/>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000000" w:fill="FFFFFF"/>
            <w:noWrap/>
            <w:vAlign w:val="bottom"/>
            <w:hideMark/>
          </w:tcPr>
          <w:p w14:paraId="37C1A49D" w14:textId="77777777" w:rsidR="00A579FC" w:rsidRPr="00A579FC" w:rsidRDefault="00A579FC" w:rsidP="00A579FC">
            <w:pPr>
              <w:spacing w:before="0" w:after="0"/>
              <w:rPr>
                <w:rFonts w:eastAsia="Times New Roman" w:cs="Arial"/>
                <w:sz w:val="20"/>
                <w:szCs w:val="20"/>
                <w:lang w:eastAsia="en-GB"/>
              </w:rPr>
            </w:pPr>
            <w:r w:rsidRPr="00A579FC">
              <w:rPr>
                <w:rFonts w:eastAsia="Times New Roman" w:cs="Arial"/>
                <w:sz w:val="20"/>
                <w:szCs w:val="20"/>
                <w:lang w:eastAsia="en-GB"/>
              </w:rPr>
              <w:t> </w:t>
            </w:r>
          </w:p>
        </w:tc>
        <w:tc>
          <w:tcPr>
            <w:tcW w:w="1239" w:type="dxa"/>
            <w:tcBorders>
              <w:top w:val="nil"/>
              <w:left w:val="nil"/>
              <w:bottom w:val="nil"/>
              <w:right w:val="nil"/>
            </w:tcBorders>
            <w:shd w:val="clear" w:color="auto" w:fill="auto"/>
            <w:noWrap/>
            <w:vAlign w:val="bottom"/>
            <w:hideMark/>
          </w:tcPr>
          <w:p w14:paraId="1AD4EF2F" w14:textId="77777777" w:rsidR="00A579FC" w:rsidRPr="00A579FC" w:rsidRDefault="00A579FC" w:rsidP="00A579FC">
            <w:pPr>
              <w:spacing w:before="0" w:after="0"/>
              <w:rPr>
                <w:rFonts w:eastAsia="Times New Roman" w:cs="Arial"/>
                <w:sz w:val="20"/>
                <w:szCs w:val="20"/>
                <w:lang w:eastAsia="en-GB"/>
              </w:rPr>
            </w:pPr>
          </w:p>
        </w:tc>
      </w:tr>
    </w:tbl>
    <w:p w14:paraId="3F559E91" w14:textId="19CA5E83" w:rsidR="000B09E4" w:rsidRDefault="000B09E4" w:rsidP="00C70A7F">
      <w:pPr>
        <w:spacing w:before="0" w:after="200" w:line="276" w:lineRule="auto"/>
      </w:pPr>
    </w:p>
    <w:p w14:paraId="039880EA" w14:textId="06412D69" w:rsidR="000B09E4" w:rsidRDefault="000B09E4">
      <w:pPr>
        <w:spacing w:before="0" w:after="200" w:line="276" w:lineRule="auto"/>
      </w:pPr>
    </w:p>
    <w:p w14:paraId="21D59539" w14:textId="5B107147" w:rsidR="00335581" w:rsidRDefault="00335581">
      <w:pPr>
        <w:spacing w:before="0" w:after="200" w:line="276" w:lineRule="auto"/>
      </w:pPr>
      <w:r>
        <w:br w:type="page"/>
      </w:r>
    </w:p>
    <w:tbl>
      <w:tblPr>
        <w:tblW w:w="10490" w:type="dxa"/>
        <w:tblInd w:w="-709" w:type="dxa"/>
        <w:tblLook w:val="04A0" w:firstRow="1" w:lastRow="0" w:firstColumn="1" w:lastColumn="0" w:noHBand="0" w:noVBand="1"/>
      </w:tblPr>
      <w:tblGrid>
        <w:gridCol w:w="773"/>
        <w:gridCol w:w="9717"/>
      </w:tblGrid>
      <w:tr w:rsidR="00453C4E" w:rsidRPr="00453C4E" w14:paraId="0FC4FCCA" w14:textId="77777777" w:rsidTr="00453C4E">
        <w:trPr>
          <w:trHeight w:val="260"/>
        </w:trPr>
        <w:tc>
          <w:tcPr>
            <w:tcW w:w="10490" w:type="dxa"/>
            <w:gridSpan w:val="2"/>
            <w:tcBorders>
              <w:top w:val="nil"/>
              <w:left w:val="nil"/>
              <w:bottom w:val="nil"/>
              <w:right w:val="nil"/>
            </w:tcBorders>
            <w:shd w:val="clear" w:color="auto" w:fill="auto"/>
            <w:noWrap/>
            <w:vAlign w:val="bottom"/>
            <w:hideMark/>
          </w:tcPr>
          <w:p w14:paraId="2CC8006C" w14:textId="5C40AA7E" w:rsidR="00453C4E" w:rsidRPr="00453C4E" w:rsidRDefault="00453C4E" w:rsidP="00453C4E">
            <w:pPr>
              <w:spacing w:before="0" w:after="0"/>
              <w:rPr>
                <w:rFonts w:eastAsia="Times New Roman" w:cs="Arial"/>
                <w:i/>
                <w:iCs/>
                <w:sz w:val="20"/>
                <w:szCs w:val="20"/>
                <w:lang w:eastAsia="en-GB"/>
              </w:rPr>
            </w:pPr>
            <w:r w:rsidRPr="00453C4E">
              <w:rPr>
                <w:rFonts w:eastAsia="Times New Roman" w:cs="Arial"/>
                <w:i/>
                <w:iCs/>
                <w:sz w:val="20"/>
                <w:szCs w:val="20"/>
                <w:lang w:eastAsia="en-GB"/>
              </w:rPr>
              <w:lastRenderedPageBreak/>
              <w:t>NHS Mid and South Essex Integrated Care Board - Statutory Accounts 2023-24</w:t>
            </w:r>
          </w:p>
        </w:tc>
      </w:tr>
      <w:tr w:rsidR="00453C4E" w:rsidRPr="00453C4E" w14:paraId="55E2DFB7" w14:textId="77777777" w:rsidTr="00453C4E">
        <w:trPr>
          <w:trHeight w:val="260"/>
        </w:trPr>
        <w:tc>
          <w:tcPr>
            <w:tcW w:w="773" w:type="dxa"/>
            <w:tcBorders>
              <w:top w:val="nil"/>
              <w:left w:val="nil"/>
              <w:bottom w:val="nil"/>
              <w:right w:val="nil"/>
            </w:tcBorders>
            <w:shd w:val="clear" w:color="000000" w:fill="FFFFFF"/>
            <w:noWrap/>
            <w:hideMark/>
          </w:tcPr>
          <w:p w14:paraId="132284C9"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2E4CDDB9"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 </w:t>
            </w:r>
          </w:p>
        </w:tc>
      </w:tr>
      <w:tr w:rsidR="00453C4E" w:rsidRPr="00453C4E" w14:paraId="45D672F0" w14:textId="77777777" w:rsidTr="00453C4E">
        <w:trPr>
          <w:trHeight w:val="260"/>
        </w:trPr>
        <w:tc>
          <w:tcPr>
            <w:tcW w:w="10490" w:type="dxa"/>
            <w:gridSpan w:val="2"/>
            <w:tcBorders>
              <w:top w:val="nil"/>
              <w:left w:val="nil"/>
              <w:bottom w:val="nil"/>
              <w:right w:val="nil"/>
            </w:tcBorders>
            <w:shd w:val="clear" w:color="000000" w:fill="FFFFFF"/>
            <w:noWrap/>
            <w:hideMark/>
          </w:tcPr>
          <w:p w14:paraId="7BAD63B1"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Notes to the financial statements</w:t>
            </w:r>
          </w:p>
        </w:tc>
      </w:tr>
      <w:tr w:rsidR="00453C4E" w:rsidRPr="00453C4E" w14:paraId="4E421E4F" w14:textId="77777777" w:rsidTr="00453C4E">
        <w:trPr>
          <w:trHeight w:val="250"/>
        </w:trPr>
        <w:tc>
          <w:tcPr>
            <w:tcW w:w="773" w:type="dxa"/>
            <w:tcBorders>
              <w:top w:val="nil"/>
              <w:left w:val="nil"/>
              <w:bottom w:val="nil"/>
              <w:right w:val="nil"/>
            </w:tcBorders>
            <w:shd w:val="clear" w:color="000000" w:fill="FFFFFF"/>
            <w:noWrap/>
            <w:hideMark/>
          </w:tcPr>
          <w:p w14:paraId="4F0441EB"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7161C150"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786833C4" w14:textId="77777777" w:rsidTr="00453C4E">
        <w:trPr>
          <w:trHeight w:val="260"/>
        </w:trPr>
        <w:tc>
          <w:tcPr>
            <w:tcW w:w="773" w:type="dxa"/>
            <w:tcBorders>
              <w:top w:val="nil"/>
              <w:left w:val="nil"/>
              <w:bottom w:val="nil"/>
              <w:right w:val="nil"/>
            </w:tcBorders>
            <w:shd w:val="clear" w:color="000000" w:fill="FFFFFF"/>
            <w:noWrap/>
            <w:hideMark/>
          </w:tcPr>
          <w:p w14:paraId="5991AD77"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w:t>
            </w:r>
          </w:p>
        </w:tc>
        <w:tc>
          <w:tcPr>
            <w:tcW w:w="9717" w:type="dxa"/>
            <w:tcBorders>
              <w:top w:val="nil"/>
              <w:left w:val="nil"/>
              <w:bottom w:val="nil"/>
              <w:right w:val="nil"/>
            </w:tcBorders>
            <w:shd w:val="clear" w:color="000000" w:fill="FFFFFF"/>
            <w:hideMark/>
          </w:tcPr>
          <w:p w14:paraId="44B8963B"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Accounting Policies</w:t>
            </w:r>
          </w:p>
        </w:tc>
      </w:tr>
      <w:tr w:rsidR="00453C4E" w:rsidRPr="00453C4E" w14:paraId="19BF63E1" w14:textId="77777777" w:rsidTr="00453C4E">
        <w:trPr>
          <w:trHeight w:val="2120"/>
        </w:trPr>
        <w:tc>
          <w:tcPr>
            <w:tcW w:w="773" w:type="dxa"/>
            <w:tcBorders>
              <w:top w:val="nil"/>
              <w:left w:val="nil"/>
              <w:bottom w:val="nil"/>
              <w:right w:val="nil"/>
            </w:tcBorders>
            <w:shd w:val="clear" w:color="000000" w:fill="FFFFFF"/>
            <w:noWrap/>
            <w:hideMark/>
          </w:tcPr>
          <w:p w14:paraId="5096DA57"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vAlign w:val="center"/>
            <w:hideMark/>
          </w:tcPr>
          <w:p w14:paraId="46432A6D"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NHS England has directed that the financial statements of Integrated Care Boards (ICBs) shall meet the accounting requirements of the Group Accounting Manual issued by the Department of Health and Social Care. Consequently, the following financial statements have been prepared in accordance with the Group Accounting Manual 2023-24 issued by the Department of Health and Social Care. The accounting policies contained in the Group Accounting Manual follow International Financial Reporting Standards to the extent that they are meaningful and appropriate to Integrated Care Boards, as determined by HM Treasury, which is advised by the Financial Reporting Advisory Board.  Where the Group Accounting Manual permits a choice of accounting policy, the accounting policy which is judged to be most appropriate to the particular circumstances of the ICB for the purpose of giving a true and fair view has been selected. The particular policies adopted by the ICB are described below. They have been applied consistently in dealing with items considered material in relation to the accounts.</w:t>
            </w:r>
          </w:p>
        </w:tc>
      </w:tr>
      <w:tr w:rsidR="00453C4E" w:rsidRPr="00453C4E" w14:paraId="51E53E16" w14:textId="77777777" w:rsidTr="00453C4E">
        <w:trPr>
          <w:trHeight w:val="250"/>
        </w:trPr>
        <w:tc>
          <w:tcPr>
            <w:tcW w:w="773" w:type="dxa"/>
            <w:tcBorders>
              <w:top w:val="nil"/>
              <w:left w:val="nil"/>
              <w:bottom w:val="nil"/>
              <w:right w:val="nil"/>
            </w:tcBorders>
            <w:shd w:val="clear" w:color="000000" w:fill="FFFFFF"/>
            <w:noWrap/>
            <w:hideMark/>
          </w:tcPr>
          <w:p w14:paraId="5E675EC4"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3EAB6F9A"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65344039" w14:textId="77777777" w:rsidTr="00453C4E">
        <w:trPr>
          <w:trHeight w:val="260"/>
        </w:trPr>
        <w:tc>
          <w:tcPr>
            <w:tcW w:w="773" w:type="dxa"/>
            <w:tcBorders>
              <w:top w:val="nil"/>
              <w:left w:val="nil"/>
              <w:bottom w:val="nil"/>
              <w:right w:val="nil"/>
            </w:tcBorders>
            <w:shd w:val="clear" w:color="000000" w:fill="FFFFFF"/>
            <w:noWrap/>
            <w:hideMark/>
          </w:tcPr>
          <w:p w14:paraId="628BB558"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1.1</w:t>
            </w:r>
          </w:p>
        </w:tc>
        <w:tc>
          <w:tcPr>
            <w:tcW w:w="9717" w:type="dxa"/>
            <w:tcBorders>
              <w:top w:val="nil"/>
              <w:left w:val="nil"/>
              <w:bottom w:val="nil"/>
              <w:right w:val="nil"/>
            </w:tcBorders>
            <w:shd w:val="clear" w:color="000000" w:fill="FFFFFF"/>
            <w:hideMark/>
          </w:tcPr>
          <w:p w14:paraId="24B8EBA1"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Going Concern</w:t>
            </w:r>
          </w:p>
        </w:tc>
      </w:tr>
      <w:tr w:rsidR="00453C4E" w:rsidRPr="00453C4E" w14:paraId="755BA650" w14:textId="77777777" w:rsidTr="00453C4E">
        <w:trPr>
          <w:trHeight w:val="250"/>
        </w:trPr>
        <w:tc>
          <w:tcPr>
            <w:tcW w:w="773" w:type="dxa"/>
            <w:tcBorders>
              <w:top w:val="nil"/>
              <w:left w:val="nil"/>
              <w:bottom w:val="nil"/>
              <w:right w:val="nil"/>
            </w:tcBorders>
            <w:shd w:val="clear" w:color="000000" w:fill="FFFFFF"/>
            <w:noWrap/>
            <w:hideMark/>
          </w:tcPr>
          <w:p w14:paraId="2090C884"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6D692274"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These accounts have been prepared on a going concern basis.</w:t>
            </w:r>
          </w:p>
        </w:tc>
      </w:tr>
      <w:tr w:rsidR="00453C4E" w:rsidRPr="00453C4E" w14:paraId="4D49D777" w14:textId="77777777" w:rsidTr="00453C4E">
        <w:trPr>
          <w:trHeight w:val="500"/>
        </w:trPr>
        <w:tc>
          <w:tcPr>
            <w:tcW w:w="773" w:type="dxa"/>
            <w:tcBorders>
              <w:top w:val="nil"/>
              <w:left w:val="nil"/>
              <w:bottom w:val="nil"/>
              <w:right w:val="nil"/>
            </w:tcBorders>
            <w:shd w:val="clear" w:color="000000" w:fill="FFFFFF"/>
            <w:noWrap/>
            <w:hideMark/>
          </w:tcPr>
          <w:p w14:paraId="580833BC"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4DB5AA0F"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Public sector bodies are assumed to be a going concern where the continuation of the provision of a service in the future is anticipated, as evidenced by inclusion of financial provision for that service in published documents.</w:t>
            </w:r>
          </w:p>
        </w:tc>
      </w:tr>
      <w:tr w:rsidR="00453C4E" w:rsidRPr="00453C4E" w14:paraId="19BA59B5" w14:textId="77777777" w:rsidTr="00453C4E">
        <w:trPr>
          <w:trHeight w:val="250"/>
        </w:trPr>
        <w:tc>
          <w:tcPr>
            <w:tcW w:w="773" w:type="dxa"/>
            <w:tcBorders>
              <w:top w:val="nil"/>
              <w:left w:val="nil"/>
              <w:bottom w:val="nil"/>
              <w:right w:val="nil"/>
            </w:tcBorders>
            <w:shd w:val="clear" w:color="000000" w:fill="FFFFFF"/>
            <w:noWrap/>
            <w:hideMark/>
          </w:tcPr>
          <w:p w14:paraId="24DBDE27"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21E6438E"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The financial statements for ICBs are prepared on a Going Concern basis as they will continue to provide the services in the future.</w:t>
            </w:r>
          </w:p>
        </w:tc>
      </w:tr>
      <w:tr w:rsidR="00453C4E" w:rsidRPr="00453C4E" w14:paraId="1A854A99" w14:textId="77777777" w:rsidTr="00453C4E">
        <w:trPr>
          <w:trHeight w:val="250"/>
        </w:trPr>
        <w:tc>
          <w:tcPr>
            <w:tcW w:w="773" w:type="dxa"/>
            <w:tcBorders>
              <w:top w:val="nil"/>
              <w:left w:val="nil"/>
              <w:bottom w:val="nil"/>
              <w:right w:val="nil"/>
            </w:tcBorders>
            <w:shd w:val="clear" w:color="000000" w:fill="FFFFFF"/>
            <w:noWrap/>
            <w:hideMark/>
          </w:tcPr>
          <w:p w14:paraId="1D10344C"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11B2FC4A"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7E469B8F" w14:textId="77777777" w:rsidTr="00453C4E">
        <w:trPr>
          <w:trHeight w:val="260"/>
        </w:trPr>
        <w:tc>
          <w:tcPr>
            <w:tcW w:w="773" w:type="dxa"/>
            <w:tcBorders>
              <w:top w:val="nil"/>
              <w:left w:val="nil"/>
              <w:bottom w:val="nil"/>
              <w:right w:val="nil"/>
            </w:tcBorders>
            <w:shd w:val="clear" w:color="000000" w:fill="FFFFFF"/>
            <w:noWrap/>
            <w:hideMark/>
          </w:tcPr>
          <w:p w14:paraId="068B8D67"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1.2</w:t>
            </w:r>
          </w:p>
        </w:tc>
        <w:tc>
          <w:tcPr>
            <w:tcW w:w="9717" w:type="dxa"/>
            <w:tcBorders>
              <w:top w:val="nil"/>
              <w:left w:val="nil"/>
              <w:bottom w:val="nil"/>
              <w:right w:val="nil"/>
            </w:tcBorders>
            <w:shd w:val="clear" w:color="000000" w:fill="FFFFFF"/>
            <w:hideMark/>
          </w:tcPr>
          <w:p w14:paraId="32BC5646" w14:textId="77777777" w:rsidR="00453C4E" w:rsidRPr="00453C4E" w:rsidRDefault="00453C4E" w:rsidP="00453C4E">
            <w:pPr>
              <w:spacing w:before="0" w:after="0"/>
              <w:rPr>
                <w:rFonts w:eastAsia="Times New Roman" w:cs="Arial"/>
                <w:sz w:val="20"/>
                <w:szCs w:val="20"/>
                <w:lang w:eastAsia="en-GB"/>
              </w:rPr>
            </w:pPr>
            <w:r w:rsidRPr="00453C4E">
              <w:rPr>
                <w:rFonts w:ascii="Times New Roman" w:eastAsia="Times New Roman" w:hAnsi="Times New Roman" w:cs="Times New Roman"/>
                <w:b/>
                <w:bCs/>
                <w:sz w:val="20"/>
                <w:szCs w:val="20"/>
                <w:lang w:eastAsia="en-GB"/>
              </w:rPr>
              <w:t xml:space="preserve"> </w:t>
            </w:r>
            <w:r w:rsidRPr="00453C4E">
              <w:rPr>
                <w:rFonts w:eastAsia="Times New Roman" w:cs="Arial"/>
                <w:b/>
                <w:bCs/>
                <w:sz w:val="20"/>
                <w:szCs w:val="20"/>
                <w:lang w:eastAsia="en-GB"/>
              </w:rPr>
              <w:t>Accounting Convention</w:t>
            </w:r>
          </w:p>
        </w:tc>
      </w:tr>
      <w:tr w:rsidR="00453C4E" w:rsidRPr="00453C4E" w14:paraId="4B1B1ECC" w14:textId="77777777" w:rsidTr="00453C4E">
        <w:trPr>
          <w:trHeight w:val="500"/>
        </w:trPr>
        <w:tc>
          <w:tcPr>
            <w:tcW w:w="773" w:type="dxa"/>
            <w:tcBorders>
              <w:top w:val="nil"/>
              <w:left w:val="nil"/>
              <w:bottom w:val="nil"/>
              <w:right w:val="nil"/>
            </w:tcBorders>
            <w:shd w:val="clear" w:color="000000" w:fill="FFFFFF"/>
            <w:noWrap/>
            <w:hideMark/>
          </w:tcPr>
          <w:p w14:paraId="75CABEDF"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7E097003"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These accounts have been prepared under the historical cost convention modified to account for the revaluation of property, plant and equipment, intangible assets, inventories and certain financial assets and financial liabilities.</w:t>
            </w:r>
          </w:p>
        </w:tc>
      </w:tr>
      <w:tr w:rsidR="00453C4E" w:rsidRPr="00453C4E" w14:paraId="447C21CA" w14:textId="77777777" w:rsidTr="00453C4E">
        <w:trPr>
          <w:trHeight w:val="250"/>
        </w:trPr>
        <w:tc>
          <w:tcPr>
            <w:tcW w:w="773" w:type="dxa"/>
            <w:tcBorders>
              <w:top w:val="nil"/>
              <w:left w:val="nil"/>
              <w:bottom w:val="nil"/>
              <w:right w:val="nil"/>
            </w:tcBorders>
            <w:shd w:val="clear" w:color="000000" w:fill="FFFFFF"/>
            <w:noWrap/>
            <w:hideMark/>
          </w:tcPr>
          <w:p w14:paraId="6A794DC0"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4AA8B031"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17A6A436" w14:textId="77777777" w:rsidTr="00453C4E">
        <w:trPr>
          <w:trHeight w:val="260"/>
        </w:trPr>
        <w:tc>
          <w:tcPr>
            <w:tcW w:w="773" w:type="dxa"/>
            <w:tcBorders>
              <w:top w:val="nil"/>
              <w:left w:val="nil"/>
              <w:bottom w:val="nil"/>
              <w:right w:val="nil"/>
            </w:tcBorders>
            <w:shd w:val="clear" w:color="000000" w:fill="FFFFFF"/>
            <w:noWrap/>
            <w:hideMark/>
          </w:tcPr>
          <w:p w14:paraId="692921FD"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1.3</w:t>
            </w:r>
          </w:p>
        </w:tc>
        <w:tc>
          <w:tcPr>
            <w:tcW w:w="9717" w:type="dxa"/>
            <w:tcBorders>
              <w:top w:val="nil"/>
              <w:left w:val="nil"/>
              <w:bottom w:val="nil"/>
              <w:right w:val="nil"/>
            </w:tcBorders>
            <w:shd w:val="clear" w:color="000000" w:fill="FFFFFF"/>
            <w:hideMark/>
          </w:tcPr>
          <w:p w14:paraId="6A09DE6B"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Movement of Assets within the Department of Health and Social Care Group</w:t>
            </w:r>
          </w:p>
        </w:tc>
      </w:tr>
      <w:tr w:rsidR="00453C4E" w:rsidRPr="00453C4E" w14:paraId="57A51192" w14:textId="77777777" w:rsidTr="00453C4E">
        <w:trPr>
          <w:trHeight w:val="1580"/>
        </w:trPr>
        <w:tc>
          <w:tcPr>
            <w:tcW w:w="773" w:type="dxa"/>
            <w:tcBorders>
              <w:top w:val="nil"/>
              <w:left w:val="nil"/>
              <w:bottom w:val="nil"/>
              <w:right w:val="nil"/>
            </w:tcBorders>
            <w:shd w:val="clear" w:color="000000" w:fill="FFFFFF"/>
            <w:noWrap/>
            <w:hideMark/>
          </w:tcPr>
          <w:p w14:paraId="6EF67053"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7F400FA4" w14:textId="1F65E86F"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As Public Sector Bodies are deemed to operate under common control, business reconfigurations within the Department of Health and Social Care Group are outside the scope of IFRS 3 Business Combinations. Where functions transfer between two public sector bodies, the Department of Health and Social Care GAM requires the application of absorption accounting. Absorption accounting requires that entities account for their transactions in the period in which they took place, with no restatement of performance required when functions transfer within the public sector.  Where assets and liabilities transfer, the gain or loss resulting is recognised in the Statement of Comprehensive Net Expenditure and is disclosed separately from operating costs.</w:t>
            </w:r>
          </w:p>
        </w:tc>
      </w:tr>
      <w:tr w:rsidR="00453C4E" w:rsidRPr="00453C4E" w14:paraId="39BE24BF" w14:textId="77777777" w:rsidTr="00453C4E">
        <w:trPr>
          <w:trHeight w:val="500"/>
        </w:trPr>
        <w:tc>
          <w:tcPr>
            <w:tcW w:w="773" w:type="dxa"/>
            <w:tcBorders>
              <w:top w:val="nil"/>
              <w:left w:val="nil"/>
              <w:bottom w:val="nil"/>
              <w:right w:val="nil"/>
            </w:tcBorders>
            <w:shd w:val="clear" w:color="000000" w:fill="FFFFFF"/>
            <w:noWrap/>
            <w:hideMark/>
          </w:tcPr>
          <w:p w14:paraId="729FE5C7"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7B3EF807"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Other transfers of assets and liabilities within the Department of Health and Social Care Group are accounted for in line with IAS 20 and similarly give rise to income and expenditure entries.</w:t>
            </w:r>
          </w:p>
        </w:tc>
      </w:tr>
      <w:tr w:rsidR="00453C4E" w:rsidRPr="00453C4E" w14:paraId="2F4C9539" w14:textId="77777777" w:rsidTr="00453C4E">
        <w:trPr>
          <w:trHeight w:val="250"/>
        </w:trPr>
        <w:tc>
          <w:tcPr>
            <w:tcW w:w="773" w:type="dxa"/>
            <w:tcBorders>
              <w:top w:val="nil"/>
              <w:left w:val="nil"/>
              <w:bottom w:val="nil"/>
              <w:right w:val="nil"/>
            </w:tcBorders>
            <w:shd w:val="clear" w:color="000000" w:fill="FFFFFF"/>
            <w:noWrap/>
            <w:hideMark/>
          </w:tcPr>
          <w:p w14:paraId="4E948522"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32C449B6"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60E111CD" w14:textId="77777777" w:rsidTr="00453C4E">
        <w:trPr>
          <w:trHeight w:val="260"/>
        </w:trPr>
        <w:tc>
          <w:tcPr>
            <w:tcW w:w="773" w:type="dxa"/>
            <w:tcBorders>
              <w:top w:val="nil"/>
              <w:left w:val="nil"/>
              <w:bottom w:val="nil"/>
              <w:right w:val="nil"/>
            </w:tcBorders>
            <w:shd w:val="clear" w:color="000000" w:fill="FFFFFF"/>
            <w:noWrap/>
            <w:hideMark/>
          </w:tcPr>
          <w:p w14:paraId="280577D6"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1.4</w:t>
            </w:r>
          </w:p>
        </w:tc>
        <w:tc>
          <w:tcPr>
            <w:tcW w:w="9717" w:type="dxa"/>
            <w:tcBorders>
              <w:top w:val="nil"/>
              <w:left w:val="nil"/>
              <w:bottom w:val="nil"/>
              <w:right w:val="nil"/>
            </w:tcBorders>
            <w:shd w:val="clear" w:color="000000" w:fill="FFFFFF"/>
            <w:hideMark/>
          </w:tcPr>
          <w:p w14:paraId="74D31532"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Joint Arrangements</w:t>
            </w:r>
          </w:p>
        </w:tc>
      </w:tr>
      <w:tr w:rsidR="00453C4E" w:rsidRPr="00453C4E" w14:paraId="65266784" w14:textId="77777777" w:rsidTr="00453C4E">
        <w:trPr>
          <w:trHeight w:val="1060"/>
        </w:trPr>
        <w:tc>
          <w:tcPr>
            <w:tcW w:w="773" w:type="dxa"/>
            <w:tcBorders>
              <w:top w:val="nil"/>
              <w:left w:val="nil"/>
              <w:bottom w:val="nil"/>
              <w:right w:val="nil"/>
            </w:tcBorders>
            <w:shd w:val="clear" w:color="000000" w:fill="FFFFFF"/>
            <w:noWrap/>
            <w:hideMark/>
          </w:tcPr>
          <w:p w14:paraId="3574E261"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vAlign w:val="center"/>
            <w:hideMark/>
          </w:tcPr>
          <w:p w14:paraId="601D7535"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The ICB has not been part of any pooled budget arrangements in 2023-24. The ICB has operated Better Care Funds during 2023-24 under Section 75 agreements with Essex County Council, Southend City Council and Thurrock Council. The arrangements under which the Better Care Funds operated in 2023-24 do not constitute pooled budgets as the risks of each scheme remained with the respective commissioners. See Note 18 for further information.</w:t>
            </w:r>
          </w:p>
        </w:tc>
      </w:tr>
      <w:tr w:rsidR="00453C4E" w:rsidRPr="00453C4E" w14:paraId="4A422248" w14:textId="77777777" w:rsidTr="00453C4E">
        <w:trPr>
          <w:trHeight w:val="260"/>
        </w:trPr>
        <w:tc>
          <w:tcPr>
            <w:tcW w:w="773" w:type="dxa"/>
            <w:tcBorders>
              <w:top w:val="nil"/>
              <w:left w:val="nil"/>
              <w:bottom w:val="nil"/>
              <w:right w:val="nil"/>
            </w:tcBorders>
            <w:shd w:val="clear" w:color="000000" w:fill="FFFFFF"/>
            <w:noWrap/>
            <w:hideMark/>
          </w:tcPr>
          <w:p w14:paraId="0D5E1710"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6DA767B3" w14:textId="77777777" w:rsidR="00453C4E" w:rsidRPr="00453C4E" w:rsidRDefault="00453C4E" w:rsidP="00453C4E">
            <w:pPr>
              <w:spacing w:before="0" w:after="0"/>
              <w:rPr>
                <w:rFonts w:eastAsia="Times New Roman" w:cs="Arial"/>
                <w:b/>
                <w:bCs/>
                <w:i/>
                <w:iCs/>
                <w:color w:val="FF0000"/>
                <w:sz w:val="20"/>
                <w:szCs w:val="20"/>
                <w:lang w:eastAsia="en-GB"/>
              </w:rPr>
            </w:pPr>
            <w:r w:rsidRPr="00453C4E">
              <w:rPr>
                <w:rFonts w:eastAsia="Times New Roman" w:cs="Arial"/>
                <w:b/>
                <w:bCs/>
                <w:i/>
                <w:iCs/>
                <w:color w:val="FF0000"/>
                <w:sz w:val="20"/>
                <w:szCs w:val="20"/>
                <w:lang w:eastAsia="en-GB"/>
              </w:rPr>
              <w:t> </w:t>
            </w:r>
          </w:p>
        </w:tc>
      </w:tr>
      <w:tr w:rsidR="00453C4E" w:rsidRPr="00453C4E" w14:paraId="271382E7" w14:textId="77777777" w:rsidTr="00453C4E">
        <w:trPr>
          <w:trHeight w:val="260"/>
        </w:trPr>
        <w:tc>
          <w:tcPr>
            <w:tcW w:w="773" w:type="dxa"/>
            <w:tcBorders>
              <w:top w:val="nil"/>
              <w:left w:val="nil"/>
              <w:bottom w:val="nil"/>
              <w:right w:val="nil"/>
            </w:tcBorders>
            <w:shd w:val="clear" w:color="000000" w:fill="FFFFFF"/>
            <w:noWrap/>
            <w:hideMark/>
          </w:tcPr>
          <w:p w14:paraId="6629FF7E"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1.5</w:t>
            </w:r>
          </w:p>
        </w:tc>
        <w:tc>
          <w:tcPr>
            <w:tcW w:w="9717" w:type="dxa"/>
            <w:tcBorders>
              <w:top w:val="nil"/>
              <w:left w:val="nil"/>
              <w:bottom w:val="nil"/>
              <w:right w:val="nil"/>
            </w:tcBorders>
            <w:shd w:val="clear" w:color="000000" w:fill="FFFFFF"/>
            <w:hideMark/>
          </w:tcPr>
          <w:p w14:paraId="743B6EB8"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Operating Segments</w:t>
            </w:r>
          </w:p>
        </w:tc>
      </w:tr>
      <w:tr w:rsidR="00453C4E" w:rsidRPr="00453C4E" w14:paraId="41590219" w14:textId="77777777" w:rsidTr="00453C4E">
        <w:trPr>
          <w:trHeight w:val="250"/>
        </w:trPr>
        <w:tc>
          <w:tcPr>
            <w:tcW w:w="773" w:type="dxa"/>
            <w:tcBorders>
              <w:top w:val="nil"/>
              <w:left w:val="nil"/>
              <w:bottom w:val="nil"/>
              <w:right w:val="nil"/>
            </w:tcBorders>
            <w:shd w:val="clear" w:color="000000" w:fill="FFFFFF"/>
            <w:noWrap/>
            <w:hideMark/>
          </w:tcPr>
          <w:p w14:paraId="3291ADB6"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4E37AB0E" w14:textId="77777777" w:rsid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Income and expenditure are analysed in the Operating Segments note and are reported in line with management information used within the ICB.</w:t>
            </w:r>
          </w:p>
          <w:p w14:paraId="614FC476" w14:textId="77777777" w:rsidR="00C36B60" w:rsidRDefault="00C36B60" w:rsidP="00453C4E">
            <w:pPr>
              <w:spacing w:before="0" w:after="0"/>
              <w:rPr>
                <w:rFonts w:eastAsia="Times New Roman" w:cs="Arial"/>
                <w:sz w:val="20"/>
                <w:szCs w:val="20"/>
                <w:lang w:eastAsia="en-GB"/>
              </w:rPr>
            </w:pPr>
          </w:p>
          <w:p w14:paraId="0767BF0A" w14:textId="77777777" w:rsidR="00C36B60" w:rsidRDefault="00C36B60" w:rsidP="00453C4E">
            <w:pPr>
              <w:spacing w:before="0" w:after="0"/>
              <w:rPr>
                <w:rFonts w:eastAsia="Times New Roman" w:cs="Arial"/>
                <w:sz w:val="20"/>
                <w:szCs w:val="20"/>
                <w:lang w:eastAsia="en-GB"/>
              </w:rPr>
            </w:pPr>
          </w:p>
          <w:p w14:paraId="19C1F822" w14:textId="77777777" w:rsidR="00453C4E" w:rsidRPr="00453C4E" w:rsidRDefault="00453C4E" w:rsidP="00453C4E">
            <w:pPr>
              <w:spacing w:before="0" w:after="0"/>
              <w:rPr>
                <w:rFonts w:eastAsia="Times New Roman" w:cs="Arial"/>
                <w:sz w:val="20"/>
                <w:szCs w:val="20"/>
                <w:lang w:eastAsia="en-GB"/>
              </w:rPr>
            </w:pPr>
          </w:p>
        </w:tc>
      </w:tr>
      <w:tr w:rsidR="00453C4E" w:rsidRPr="00453C4E" w14:paraId="7B11E0A8" w14:textId="77777777" w:rsidTr="00453C4E">
        <w:trPr>
          <w:trHeight w:val="250"/>
        </w:trPr>
        <w:tc>
          <w:tcPr>
            <w:tcW w:w="773" w:type="dxa"/>
            <w:tcBorders>
              <w:top w:val="nil"/>
              <w:left w:val="nil"/>
              <w:bottom w:val="nil"/>
              <w:right w:val="nil"/>
            </w:tcBorders>
            <w:shd w:val="clear" w:color="000000" w:fill="FFFFFF"/>
            <w:noWrap/>
            <w:hideMark/>
          </w:tcPr>
          <w:p w14:paraId="0EB25971"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6B1E0E27"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5083A64B" w14:textId="77777777" w:rsidTr="00453C4E">
        <w:trPr>
          <w:trHeight w:val="260"/>
        </w:trPr>
        <w:tc>
          <w:tcPr>
            <w:tcW w:w="773" w:type="dxa"/>
            <w:tcBorders>
              <w:top w:val="nil"/>
              <w:left w:val="nil"/>
              <w:bottom w:val="nil"/>
              <w:right w:val="nil"/>
            </w:tcBorders>
            <w:shd w:val="clear" w:color="000000" w:fill="FFFFFF"/>
            <w:noWrap/>
            <w:hideMark/>
          </w:tcPr>
          <w:p w14:paraId="77E47BD9"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lastRenderedPageBreak/>
              <w:t>1.6</w:t>
            </w:r>
          </w:p>
        </w:tc>
        <w:tc>
          <w:tcPr>
            <w:tcW w:w="9717" w:type="dxa"/>
            <w:tcBorders>
              <w:top w:val="nil"/>
              <w:left w:val="nil"/>
              <w:bottom w:val="nil"/>
              <w:right w:val="nil"/>
            </w:tcBorders>
            <w:shd w:val="clear" w:color="000000" w:fill="FFFFFF"/>
            <w:hideMark/>
          </w:tcPr>
          <w:p w14:paraId="1370268D" w14:textId="77777777" w:rsidR="00453C4E" w:rsidRPr="00453C4E" w:rsidRDefault="00453C4E" w:rsidP="00453C4E">
            <w:pPr>
              <w:spacing w:before="0" w:after="0"/>
              <w:rPr>
                <w:rFonts w:eastAsia="Times New Roman" w:cs="Arial"/>
                <w:sz w:val="20"/>
                <w:szCs w:val="20"/>
                <w:lang w:eastAsia="en-GB"/>
              </w:rPr>
            </w:pPr>
            <w:r w:rsidRPr="00453C4E">
              <w:rPr>
                <w:rFonts w:ascii="Times New Roman" w:eastAsia="Times New Roman" w:hAnsi="Times New Roman" w:cs="Times New Roman"/>
                <w:b/>
                <w:bCs/>
                <w:sz w:val="20"/>
                <w:szCs w:val="20"/>
                <w:lang w:eastAsia="en-GB"/>
              </w:rPr>
              <w:t xml:space="preserve"> </w:t>
            </w:r>
            <w:r w:rsidRPr="00453C4E">
              <w:rPr>
                <w:rFonts w:eastAsia="Times New Roman" w:cs="Arial"/>
                <w:b/>
                <w:bCs/>
                <w:sz w:val="20"/>
                <w:szCs w:val="20"/>
                <w:lang w:eastAsia="en-GB"/>
              </w:rPr>
              <w:t>Revenue</w:t>
            </w:r>
          </w:p>
        </w:tc>
      </w:tr>
      <w:tr w:rsidR="00453C4E" w:rsidRPr="00453C4E" w14:paraId="5BB34AD4" w14:textId="77777777" w:rsidTr="00453C4E">
        <w:trPr>
          <w:trHeight w:val="250"/>
        </w:trPr>
        <w:tc>
          <w:tcPr>
            <w:tcW w:w="773" w:type="dxa"/>
            <w:tcBorders>
              <w:top w:val="nil"/>
              <w:left w:val="nil"/>
              <w:bottom w:val="nil"/>
              <w:right w:val="nil"/>
            </w:tcBorders>
            <w:shd w:val="clear" w:color="000000" w:fill="FFFFFF"/>
            <w:noWrap/>
            <w:hideMark/>
          </w:tcPr>
          <w:p w14:paraId="658F787D"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4C0E4D2B"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In the application of IFRS 15 a number of practical expedients offered in the Standard have been employed. These are as follows:</w:t>
            </w:r>
          </w:p>
        </w:tc>
      </w:tr>
      <w:tr w:rsidR="00453C4E" w:rsidRPr="00453C4E" w14:paraId="3BC26324" w14:textId="77777777" w:rsidTr="00453C4E">
        <w:trPr>
          <w:trHeight w:val="560"/>
        </w:trPr>
        <w:tc>
          <w:tcPr>
            <w:tcW w:w="773" w:type="dxa"/>
            <w:tcBorders>
              <w:top w:val="nil"/>
              <w:left w:val="nil"/>
              <w:bottom w:val="nil"/>
              <w:right w:val="nil"/>
            </w:tcBorders>
            <w:shd w:val="clear" w:color="000000" w:fill="FFFFFF"/>
            <w:noWrap/>
            <w:hideMark/>
          </w:tcPr>
          <w:p w14:paraId="084A898D"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2E8B943B"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As per paragraph 121 of the Standard, the ICB will not disclose information regarding performance obligations part of a contract that has an original expected duration of one year or less,</w:t>
            </w:r>
          </w:p>
        </w:tc>
      </w:tr>
      <w:tr w:rsidR="00453C4E" w:rsidRPr="00453C4E" w14:paraId="3F2664E6" w14:textId="77777777" w:rsidTr="00453C4E">
        <w:trPr>
          <w:trHeight w:val="560"/>
        </w:trPr>
        <w:tc>
          <w:tcPr>
            <w:tcW w:w="773" w:type="dxa"/>
            <w:tcBorders>
              <w:top w:val="nil"/>
              <w:left w:val="nil"/>
              <w:bottom w:val="nil"/>
              <w:right w:val="nil"/>
            </w:tcBorders>
            <w:shd w:val="clear" w:color="000000" w:fill="FFFFFF"/>
            <w:noWrap/>
            <w:hideMark/>
          </w:tcPr>
          <w:p w14:paraId="2B622F66"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70C1354B"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The ICB is to similarly not disclose information where revenue is recognised in line with the practical expedient offered in paragraph B16 of the Standard where the right to consideration corresponds directly with value of the performance completed to date.</w:t>
            </w:r>
          </w:p>
        </w:tc>
      </w:tr>
      <w:tr w:rsidR="00453C4E" w:rsidRPr="00453C4E" w14:paraId="39668A7C" w14:textId="77777777" w:rsidTr="00453C4E">
        <w:trPr>
          <w:trHeight w:val="560"/>
        </w:trPr>
        <w:tc>
          <w:tcPr>
            <w:tcW w:w="773" w:type="dxa"/>
            <w:tcBorders>
              <w:top w:val="nil"/>
              <w:left w:val="nil"/>
              <w:bottom w:val="nil"/>
              <w:right w:val="nil"/>
            </w:tcBorders>
            <w:shd w:val="clear" w:color="000000" w:fill="FFFFFF"/>
            <w:noWrap/>
            <w:hideMark/>
          </w:tcPr>
          <w:p w14:paraId="3EF99FB3"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auto" w:fill="auto"/>
            <w:hideMark/>
          </w:tcPr>
          <w:p w14:paraId="09706F32"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The FReM has mandated the exercise of the practical expedient offered in C7(a) of the Standard that requires the ICB to reflect the aggregate effect of all contracts modified before the date of initial application.</w:t>
            </w:r>
          </w:p>
        </w:tc>
      </w:tr>
      <w:tr w:rsidR="00453C4E" w:rsidRPr="00453C4E" w14:paraId="113A629F" w14:textId="77777777" w:rsidTr="00453C4E">
        <w:trPr>
          <w:trHeight w:val="530"/>
        </w:trPr>
        <w:tc>
          <w:tcPr>
            <w:tcW w:w="773" w:type="dxa"/>
            <w:tcBorders>
              <w:top w:val="nil"/>
              <w:left w:val="nil"/>
              <w:bottom w:val="nil"/>
              <w:right w:val="nil"/>
            </w:tcBorders>
            <w:shd w:val="clear" w:color="000000" w:fill="FFFFFF"/>
            <w:noWrap/>
            <w:hideMark/>
          </w:tcPr>
          <w:p w14:paraId="2DDB8F2A"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5B10091C"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The main source of funding for the ICBs is from NHS England. This is drawn down and credited to the general fund. Funding is recognised in the period in which it is received.</w:t>
            </w:r>
          </w:p>
        </w:tc>
      </w:tr>
      <w:tr w:rsidR="00453C4E" w:rsidRPr="00453C4E" w14:paraId="2C21C84F" w14:textId="77777777" w:rsidTr="00453C4E">
        <w:trPr>
          <w:trHeight w:val="560"/>
        </w:trPr>
        <w:tc>
          <w:tcPr>
            <w:tcW w:w="773" w:type="dxa"/>
            <w:tcBorders>
              <w:top w:val="nil"/>
              <w:left w:val="nil"/>
              <w:bottom w:val="nil"/>
              <w:right w:val="nil"/>
            </w:tcBorders>
            <w:shd w:val="clear" w:color="000000" w:fill="FFFFFF"/>
            <w:noWrap/>
            <w:hideMark/>
          </w:tcPr>
          <w:p w14:paraId="07E63360"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254D9389" w14:textId="27FCB126"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Revenue in respect of services provided is recognised when (or as) performance obligations are satisfied by transferring promised services to the customer and is measured at the amount of the transaction price allocated to that performance obligation.</w:t>
            </w:r>
          </w:p>
        </w:tc>
      </w:tr>
      <w:tr w:rsidR="00453C4E" w:rsidRPr="00453C4E" w14:paraId="32F2C5D6" w14:textId="77777777" w:rsidTr="00453C4E">
        <w:trPr>
          <w:trHeight w:val="290"/>
        </w:trPr>
        <w:tc>
          <w:tcPr>
            <w:tcW w:w="773" w:type="dxa"/>
            <w:tcBorders>
              <w:top w:val="nil"/>
              <w:left w:val="nil"/>
              <w:bottom w:val="nil"/>
              <w:right w:val="nil"/>
            </w:tcBorders>
            <w:shd w:val="clear" w:color="000000" w:fill="FFFFFF"/>
            <w:noWrap/>
            <w:hideMark/>
          </w:tcPr>
          <w:p w14:paraId="270E5ADD"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6CC093CB"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Where income is received for a specific performance obligation that is to be satisfied in the following year, that income is deferred.</w:t>
            </w:r>
          </w:p>
        </w:tc>
      </w:tr>
      <w:tr w:rsidR="00453C4E" w:rsidRPr="00453C4E" w14:paraId="0AD75EDE" w14:textId="77777777" w:rsidTr="00453C4E">
        <w:trPr>
          <w:trHeight w:val="280"/>
        </w:trPr>
        <w:tc>
          <w:tcPr>
            <w:tcW w:w="773" w:type="dxa"/>
            <w:tcBorders>
              <w:top w:val="nil"/>
              <w:left w:val="nil"/>
              <w:bottom w:val="nil"/>
              <w:right w:val="nil"/>
            </w:tcBorders>
            <w:shd w:val="clear" w:color="000000" w:fill="FFFFFF"/>
            <w:noWrap/>
            <w:hideMark/>
          </w:tcPr>
          <w:p w14:paraId="269C7C95"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5C6431CD"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Payment terms are standard reflecting cross government principles.</w:t>
            </w:r>
          </w:p>
        </w:tc>
      </w:tr>
      <w:tr w:rsidR="00453C4E" w:rsidRPr="00453C4E" w14:paraId="09FEB6F3" w14:textId="77777777" w:rsidTr="00453C4E">
        <w:trPr>
          <w:trHeight w:val="750"/>
        </w:trPr>
        <w:tc>
          <w:tcPr>
            <w:tcW w:w="773" w:type="dxa"/>
            <w:tcBorders>
              <w:top w:val="nil"/>
              <w:left w:val="nil"/>
              <w:bottom w:val="nil"/>
              <w:right w:val="nil"/>
            </w:tcBorders>
            <w:shd w:val="clear" w:color="000000" w:fill="FFFFFF"/>
            <w:noWrap/>
            <w:hideMark/>
          </w:tcPr>
          <w:p w14:paraId="035F1284"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7155F757"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The value of the benefit received when the ICB accesses funds from the Government’s apprenticeship service are recognised as income in accordance with IAS 20, Accounting for Government Grants. Where these funds are paid directly to an accredited training provider, non-cash income and a corresponding non-cash training expense are recognised, both equal to the cost of the training funded.</w:t>
            </w:r>
          </w:p>
        </w:tc>
      </w:tr>
      <w:tr w:rsidR="00453C4E" w:rsidRPr="00453C4E" w14:paraId="76ECA9E9" w14:textId="77777777" w:rsidTr="00453C4E">
        <w:trPr>
          <w:trHeight w:val="250"/>
        </w:trPr>
        <w:tc>
          <w:tcPr>
            <w:tcW w:w="773" w:type="dxa"/>
            <w:tcBorders>
              <w:top w:val="nil"/>
              <w:left w:val="nil"/>
              <w:bottom w:val="nil"/>
              <w:right w:val="nil"/>
            </w:tcBorders>
            <w:shd w:val="clear" w:color="000000" w:fill="FFFFFF"/>
            <w:noWrap/>
            <w:hideMark/>
          </w:tcPr>
          <w:p w14:paraId="0BBD42F3"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76BE205E"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663E6388" w14:textId="77777777" w:rsidTr="00453C4E">
        <w:trPr>
          <w:trHeight w:val="260"/>
        </w:trPr>
        <w:tc>
          <w:tcPr>
            <w:tcW w:w="773" w:type="dxa"/>
            <w:tcBorders>
              <w:top w:val="nil"/>
              <w:left w:val="nil"/>
              <w:bottom w:val="nil"/>
              <w:right w:val="nil"/>
            </w:tcBorders>
            <w:shd w:val="clear" w:color="000000" w:fill="FFFFFF"/>
            <w:noWrap/>
            <w:hideMark/>
          </w:tcPr>
          <w:p w14:paraId="703F41E8"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1.7</w:t>
            </w:r>
          </w:p>
        </w:tc>
        <w:tc>
          <w:tcPr>
            <w:tcW w:w="9717" w:type="dxa"/>
            <w:tcBorders>
              <w:top w:val="nil"/>
              <w:left w:val="nil"/>
              <w:bottom w:val="nil"/>
              <w:right w:val="nil"/>
            </w:tcBorders>
            <w:shd w:val="clear" w:color="000000" w:fill="FFFFFF"/>
            <w:hideMark/>
          </w:tcPr>
          <w:p w14:paraId="45D061A2"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Employee Benefits</w:t>
            </w:r>
          </w:p>
        </w:tc>
      </w:tr>
      <w:tr w:rsidR="00453C4E" w:rsidRPr="00453C4E" w14:paraId="14BAC7E1" w14:textId="77777777" w:rsidTr="00453C4E">
        <w:trPr>
          <w:trHeight w:val="260"/>
        </w:trPr>
        <w:tc>
          <w:tcPr>
            <w:tcW w:w="773" w:type="dxa"/>
            <w:tcBorders>
              <w:top w:val="nil"/>
              <w:left w:val="nil"/>
              <w:bottom w:val="nil"/>
              <w:right w:val="nil"/>
            </w:tcBorders>
            <w:shd w:val="clear" w:color="000000" w:fill="FFFFFF"/>
            <w:noWrap/>
            <w:hideMark/>
          </w:tcPr>
          <w:p w14:paraId="027D56E4"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1.7.1</w:t>
            </w:r>
          </w:p>
        </w:tc>
        <w:tc>
          <w:tcPr>
            <w:tcW w:w="9717" w:type="dxa"/>
            <w:tcBorders>
              <w:top w:val="nil"/>
              <w:left w:val="nil"/>
              <w:bottom w:val="nil"/>
              <w:right w:val="nil"/>
            </w:tcBorders>
            <w:shd w:val="clear" w:color="000000" w:fill="FFFFFF"/>
            <w:hideMark/>
          </w:tcPr>
          <w:p w14:paraId="1D7B0D52"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Short-term Employee Benefits</w:t>
            </w:r>
          </w:p>
        </w:tc>
      </w:tr>
      <w:tr w:rsidR="00453C4E" w:rsidRPr="00453C4E" w14:paraId="4BC28703" w14:textId="77777777" w:rsidTr="00453C4E">
        <w:trPr>
          <w:trHeight w:val="500"/>
        </w:trPr>
        <w:tc>
          <w:tcPr>
            <w:tcW w:w="773" w:type="dxa"/>
            <w:tcBorders>
              <w:top w:val="nil"/>
              <w:left w:val="nil"/>
              <w:bottom w:val="nil"/>
              <w:right w:val="nil"/>
            </w:tcBorders>
            <w:shd w:val="clear" w:color="000000" w:fill="FFFFFF"/>
            <w:noWrap/>
            <w:hideMark/>
          </w:tcPr>
          <w:p w14:paraId="5C92B8FC"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03CF88DF" w14:textId="3CAEEEED"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Salaries, wages</w:t>
            </w:r>
            <w:r w:rsidR="00CE1F26">
              <w:rPr>
                <w:rFonts w:eastAsia="Times New Roman" w:cs="Arial"/>
                <w:sz w:val="20"/>
                <w:szCs w:val="20"/>
                <w:lang w:eastAsia="en-GB"/>
              </w:rPr>
              <w:t>,</w:t>
            </w:r>
            <w:r w:rsidRPr="00453C4E">
              <w:rPr>
                <w:rFonts w:eastAsia="Times New Roman" w:cs="Arial"/>
                <w:sz w:val="20"/>
                <w:szCs w:val="20"/>
                <w:lang w:eastAsia="en-GB"/>
              </w:rPr>
              <w:t xml:space="preserve"> and employment-related payments, including payments arising from the apprenticeship levy, are recognised in the period in which the service is received from employees, including bonuses earned but not yet taken.</w:t>
            </w:r>
          </w:p>
        </w:tc>
      </w:tr>
      <w:tr w:rsidR="00453C4E" w:rsidRPr="00453C4E" w14:paraId="1628B577" w14:textId="77777777" w:rsidTr="00453C4E">
        <w:trPr>
          <w:trHeight w:val="500"/>
        </w:trPr>
        <w:tc>
          <w:tcPr>
            <w:tcW w:w="773" w:type="dxa"/>
            <w:tcBorders>
              <w:top w:val="nil"/>
              <w:left w:val="nil"/>
              <w:bottom w:val="nil"/>
              <w:right w:val="nil"/>
            </w:tcBorders>
            <w:shd w:val="clear" w:color="000000" w:fill="FFFFFF"/>
            <w:noWrap/>
            <w:hideMark/>
          </w:tcPr>
          <w:p w14:paraId="00C25A2E"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3B0A5341"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The cost of leave earned but not taken by employees at the end of the period is recognised in the financial statements to the extent that employees are permitted to carry forward leave into the following period.</w:t>
            </w:r>
          </w:p>
        </w:tc>
      </w:tr>
      <w:tr w:rsidR="00453C4E" w:rsidRPr="00453C4E" w14:paraId="5FAF44CE" w14:textId="77777777" w:rsidTr="00453C4E">
        <w:trPr>
          <w:trHeight w:val="250"/>
        </w:trPr>
        <w:tc>
          <w:tcPr>
            <w:tcW w:w="773" w:type="dxa"/>
            <w:tcBorders>
              <w:top w:val="nil"/>
              <w:left w:val="nil"/>
              <w:bottom w:val="nil"/>
              <w:right w:val="nil"/>
            </w:tcBorders>
            <w:shd w:val="clear" w:color="000000" w:fill="FFFFFF"/>
            <w:noWrap/>
            <w:hideMark/>
          </w:tcPr>
          <w:p w14:paraId="32C654CC"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7DAFE348"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547A359D" w14:textId="77777777" w:rsidTr="00453C4E">
        <w:trPr>
          <w:trHeight w:val="260"/>
        </w:trPr>
        <w:tc>
          <w:tcPr>
            <w:tcW w:w="773" w:type="dxa"/>
            <w:tcBorders>
              <w:top w:val="nil"/>
              <w:left w:val="nil"/>
              <w:bottom w:val="nil"/>
              <w:right w:val="nil"/>
            </w:tcBorders>
            <w:shd w:val="clear" w:color="000000" w:fill="FFFFFF"/>
            <w:noWrap/>
            <w:hideMark/>
          </w:tcPr>
          <w:p w14:paraId="61EF7238"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1.7.2</w:t>
            </w:r>
          </w:p>
        </w:tc>
        <w:tc>
          <w:tcPr>
            <w:tcW w:w="9717" w:type="dxa"/>
            <w:tcBorders>
              <w:top w:val="nil"/>
              <w:left w:val="nil"/>
              <w:bottom w:val="nil"/>
              <w:right w:val="nil"/>
            </w:tcBorders>
            <w:shd w:val="clear" w:color="000000" w:fill="FFFFFF"/>
            <w:hideMark/>
          </w:tcPr>
          <w:p w14:paraId="39FDB0F3"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Retirement Benefit Costs</w:t>
            </w:r>
          </w:p>
        </w:tc>
      </w:tr>
      <w:tr w:rsidR="00453C4E" w:rsidRPr="00453C4E" w14:paraId="13F7F452" w14:textId="77777777" w:rsidTr="00453C4E">
        <w:trPr>
          <w:trHeight w:val="1500"/>
        </w:trPr>
        <w:tc>
          <w:tcPr>
            <w:tcW w:w="773" w:type="dxa"/>
            <w:tcBorders>
              <w:top w:val="nil"/>
              <w:left w:val="nil"/>
              <w:bottom w:val="nil"/>
              <w:right w:val="nil"/>
            </w:tcBorders>
            <w:shd w:val="clear" w:color="000000" w:fill="FFFFFF"/>
            <w:noWrap/>
            <w:hideMark/>
          </w:tcPr>
          <w:p w14:paraId="6F67B1FB"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7823E43D"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xml:space="preserve">Past and present employees are covered by the provisions of the two NHS Pension Schemes. Details of the benefits payable and rules of the Schemes can be found on the NHS Pensions website at www.nhsbsa.nhs.uk/pensions. Both are unfunded defined benefit schemes that cover NHS employers, GP practices and other bodies, allowed under the direction of the Secretary of State for Health and Social Care in England and Wales. They are not designed to be run in a way that would enable NHS bodies to identify their share of the underlying scheme assets and liabilities. Therefore, each scheme is accounted for as if it were a defined contribution scheme: the cost to the NHS body of participating in each scheme is taken as equal to the contributions payable to that scheme for the accounting period.  </w:t>
            </w:r>
          </w:p>
        </w:tc>
      </w:tr>
      <w:tr w:rsidR="00453C4E" w:rsidRPr="00453C4E" w14:paraId="40E23C5C" w14:textId="77777777" w:rsidTr="00453C4E">
        <w:trPr>
          <w:trHeight w:val="500"/>
        </w:trPr>
        <w:tc>
          <w:tcPr>
            <w:tcW w:w="773" w:type="dxa"/>
            <w:tcBorders>
              <w:top w:val="nil"/>
              <w:left w:val="nil"/>
              <w:bottom w:val="nil"/>
              <w:right w:val="nil"/>
            </w:tcBorders>
            <w:shd w:val="clear" w:color="000000" w:fill="FFFFFF"/>
            <w:noWrap/>
            <w:hideMark/>
          </w:tcPr>
          <w:p w14:paraId="2A64A084"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716EC0AA"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For early retirements other than those due to ill health the additional pension liabilities are not funded by the scheme. The full amount of the liability for the additional costs is charged to expenditure at the time the ICB commits itself to the retirement, regardless of the method of payment.</w:t>
            </w:r>
          </w:p>
        </w:tc>
      </w:tr>
      <w:tr w:rsidR="00453C4E" w:rsidRPr="00453C4E" w14:paraId="7D72FDC8" w14:textId="77777777" w:rsidTr="00453C4E">
        <w:trPr>
          <w:trHeight w:val="250"/>
        </w:trPr>
        <w:tc>
          <w:tcPr>
            <w:tcW w:w="773" w:type="dxa"/>
            <w:tcBorders>
              <w:top w:val="nil"/>
              <w:left w:val="nil"/>
              <w:bottom w:val="nil"/>
              <w:right w:val="nil"/>
            </w:tcBorders>
            <w:shd w:val="clear" w:color="000000" w:fill="FFFFFF"/>
            <w:noWrap/>
            <w:hideMark/>
          </w:tcPr>
          <w:p w14:paraId="42325FFA"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2198C965"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The schemes are subject to a full actuarial valuation every four years and an accounting valuation every year.</w:t>
            </w:r>
          </w:p>
        </w:tc>
      </w:tr>
      <w:tr w:rsidR="00453C4E" w:rsidRPr="00453C4E" w14:paraId="20CED91F" w14:textId="77777777" w:rsidTr="00453C4E">
        <w:trPr>
          <w:trHeight w:val="250"/>
        </w:trPr>
        <w:tc>
          <w:tcPr>
            <w:tcW w:w="773" w:type="dxa"/>
            <w:tcBorders>
              <w:top w:val="nil"/>
              <w:left w:val="nil"/>
              <w:bottom w:val="nil"/>
              <w:right w:val="nil"/>
            </w:tcBorders>
            <w:shd w:val="clear" w:color="000000" w:fill="FFFFFF"/>
            <w:noWrap/>
            <w:hideMark/>
          </w:tcPr>
          <w:p w14:paraId="3F7ED68B"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7FF97A1E"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5B73FA95" w14:textId="77777777" w:rsidTr="00453C4E">
        <w:trPr>
          <w:trHeight w:val="260"/>
        </w:trPr>
        <w:tc>
          <w:tcPr>
            <w:tcW w:w="773" w:type="dxa"/>
            <w:tcBorders>
              <w:top w:val="nil"/>
              <w:left w:val="nil"/>
              <w:bottom w:val="nil"/>
              <w:right w:val="nil"/>
            </w:tcBorders>
            <w:shd w:val="clear" w:color="000000" w:fill="FFFFFF"/>
            <w:noWrap/>
            <w:hideMark/>
          </w:tcPr>
          <w:p w14:paraId="3A6C366E"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1.8</w:t>
            </w:r>
          </w:p>
        </w:tc>
        <w:tc>
          <w:tcPr>
            <w:tcW w:w="9717" w:type="dxa"/>
            <w:tcBorders>
              <w:top w:val="nil"/>
              <w:left w:val="nil"/>
              <w:bottom w:val="nil"/>
              <w:right w:val="nil"/>
            </w:tcBorders>
            <w:shd w:val="clear" w:color="000000" w:fill="FFFFFF"/>
            <w:hideMark/>
          </w:tcPr>
          <w:p w14:paraId="6470EE54"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Other Expenses</w:t>
            </w:r>
          </w:p>
        </w:tc>
      </w:tr>
      <w:tr w:rsidR="00453C4E" w:rsidRPr="00453C4E" w14:paraId="46E56A20" w14:textId="77777777" w:rsidTr="00453C4E">
        <w:trPr>
          <w:trHeight w:val="750"/>
        </w:trPr>
        <w:tc>
          <w:tcPr>
            <w:tcW w:w="773" w:type="dxa"/>
            <w:tcBorders>
              <w:top w:val="nil"/>
              <w:left w:val="nil"/>
              <w:bottom w:val="nil"/>
              <w:right w:val="nil"/>
            </w:tcBorders>
            <w:shd w:val="clear" w:color="000000" w:fill="FFFFFF"/>
            <w:noWrap/>
            <w:hideMark/>
          </w:tcPr>
          <w:p w14:paraId="0B611FD1"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44C9DDBE" w14:textId="77777777" w:rsid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xml:space="preserve">Expenditure on goods and services is recognised when, and to the extent that they have been received, and is measured at the fair value of those goods and services. Expenditure is recognised in operating expenses except where it results in the creation of a non-current asset such as property, plant and equipment. </w:t>
            </w:r>
          </w:p>
          <w:p w14:paraId="06BC2E92" w14:textId="77777777" w:rsidR="00CE1F26" w:rsidRDefault="00CE1F26" w:rsidP="00453C4E">
            <w:pPr>
              <w:spacing w:before="0" w:after="0"/>
              <w:rPr>
                <w:rFonts w:eastAsia="Times New Roman" w:cs="Arial"/>
                <w:sz w:val="20"/>
                <w:szCs w:val="20"/>
                <w:lang w:eastAsia="en-GB"/>
              </w:rPr>
            </w:pPr>
          </w:p>
          <w:p w14:paraId="21E00151" w14:textId="77777777" w:rsidR="00CE1F26" w:rsidRDefault="00CE1F26" w:rsidP="00453C4E">
            <w:pPr>
              <w:spacing w:before="0" w:after="0"/>
              <w:rPr>
                <w:rFonts w:eastAsia="Times New Roman" w:cs="Arial"/>
                <w:sz w:val="20"/>
                <w:szCs w:val="20"/>
                <w:lang w:eastAsia="en-GB"/>
              </w:rPr>
            </w:pPr>
          </w:p>
          <w:p w14:paraId="5FEE01BA" w14:textId="77777777" w:rsidR="00CE1F26" w:rsidRDefault="00CE1F26" w:rsidP="00453C4E">
            <w:pPr>
              <w:spacing w:before="0" w:after="0"/>
              <w:rPr>
                <w:rFonts w:eastAsia="Times New Roman" w:cs="Arial"/>
                <w:sz w:val="20"/>
                <w:szCs w:val="20"/>
                <w:lang w:eastAsia="en-GB"/>
              </w:rPr>
            </w:pPr>
          </w:p>
          <w:p w14:paraId="280E47CE" w14:textId="77777777" w:rsidR="00E56A42" w:rsidRPr="00453C4E" w:rsidRDefault="00E56A42" w:rsidP="00453C4E">
            <w:pPr>
              <w:spacing w:before="0" w:after="0"/>
              <w:rPr>
                <w:rFonts w:eastAsia="Times New Roman" w:cs="Arial"/>
                <w:sz w:val="20"/>
                <w:szCs w:val="20"/>
                <w:lang w:eastAsia="en-GB"/>
              </w:rPr>
            </w:pPr>
          </w:p>
        </w:tc>
      </w:tr>
      <w:tr w:rsidR="00453C4E" w:rsidRPr="00453C4E" w14:paraId="467820D6" w14:textId="77777777" w:rsidTr="00453C4E">
        <w:trPr>
          <w:trHeight w:val="250"/>
        </w:trPr>
        <w:tc>
          <w:tcPr>
            <w:tcW w:w="773" w:type="dxa"/>
            <w:tcBorders>
              <w:top w:val="nil"/>
              <w:left w:val="nil"/>
              <w:bottom w:val="nil"/>
              <w:right w:val="nil"/>
            </w:tcBorders>
            <w:shd w:val="clear" w:color="000000" w:fill="FFFFFF"/>
            <w:noWrap/>
            <w:hideMark/>
          </w:tcPr>
          <w:p w14:paraId="6A25219E"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lastRenderedPageBreak/>
              <w:t> </w:t>
            </w:r>
          </w:p>
        </w:tc>
        <w:tc>
          <w:tcPr>
            <w:tcW w:w="9717" w:type="dxa"/>
            <w:tcBorders>
              <w:top w:val="nil"/>
              <w:left w:val="nil"/>
              <w:bottom w:val="nil"/>
              <w:right w:val="nil"/>
            </w:tcBorders>
            <w:shd w:val="clear" w:color="000000" w:fill="FFFFFF"/>
            <w:hideMark/>
          </w:tcPr>
          <w:p w14:paraId="2D879BFE"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65767F78" w14:textId="77777777" w:rsidTr="00453C4E">
        <w:trPr>
          <w:trHeight w:val="260"/>
        </w:trPr>
        <w:tc>
          <w:tcPr>
            <w:tcW w:w="773" w:type="dxa"/>
            <w:tcBorders>
              <w:top w:val="nil"/>
              <w:left w:val="nil"/>
              <w:bottom w:val="nil"/>
              <w:right w:val="nil"/>
            </w:tcBorders>
            <w:shd w:val="clear" w:color="000000" w:fill="FFFFFF"/>
            <w:noWrap/>
            <w:hideMark/>
          </w:tcPr>
          <w:p w14:paraId="0990891D"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1.9</w:t>
            </w:r>
          </w:p>
        </w:tc>
        <w:tc>
          <w:tcPr>
            <w:tcW w:w="9717" w:type="dxa"/>
            <w:tcBorders>
              <w:top w:val="nil"/>
              <w:left w:val="nil"/>
              <w:bottom w:val="nil"/>
              <w:right w:val="nil"/>
            </w:tcBorders>
            <w:shd w:val="clear" w:color="000000" w:fill="FFFFFF"/>
            <w:hideMark/>
          </w:tcPr>
          <w:p w14:paraId="08E8C912"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Grants Payable</w:t>
            </w:r>
          </w:p>
        </w:tc>
      </w:tr>
      <w:tr w:rsidR="00453C4E" w:rsidRPr="00453C4E" w14:paraId="3DC5FA09" w14:textId="77777777" w:rsidTr="00453C4E">
        <w:trPr>
          <w:trHeight w:val="500"/>
        </w:trPr>
        <w:tc>
          <w:tcPr>
            <w:tcW w:w="773" w:type="dxa"/>
            <w:tcBorders>
              <w:top w:val="nil"/>
              <w:left w:val="nil"/>
              <w:bottom w:val="nil"/>
              <w:right w:val="nil"/>
            </w:tcBorders>
            <w:shd w:val="clear" w:color="000000" w:fill="FFFFFF"/>
            <w:noWrap/>
            <w:hideMark/>
          </w:tcPr>
          <w:p w14:paraId="0E0506D3"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71E3732A"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Where grant funding is not intended to be directly related to activity undertaken by a grant recipient in a specific period, the ICB recognises the expenditure in the period in which the grant is paid. All other grants are accounted for on an accruals basis.</w:t>
            </w:r>
          </w:p>
        </w:tc>
      </w:tr>
      <w:tr w:rsidR="00453C4E" w:rsidRPr="00453C4E" w14:paraId="43D20FB2" w14:textId="77777777" w:rsidTr="00453C4E">
        <w:trPr>
          <w:trHeight w:val="250"/>
        </w:trPr>
        <w:tc>
          <w:tcPr>
            <w:tcW w:w="773" w:type="dxa"/>
            <w:tcBorders>
              <w:top w:val="nil"/>
              <w:left w:val="nil"/>
              <w:bottom w:val="nil"/>
              <w:right w:val="nil"/>
            </w:tcBorders>
            <w:shd w:val="clear" w:color="000000" w:fill="FFFFFF"/>
            <w:noWrap/>
            <w:hideMark/>
          </w:tcPr>
          <w:p w14:paraId="6F15F4C6"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385C310A"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4E724666" w14:textId="77777777" w:rsidTr="00453C4E">
        <w:trPr>
          <w:trHeight w:val="260"/>
        </w:trPr>
        <w:tc>
          <w:tcPr>
            <w:tcW w:w="773" w:type="dxa"/>
            <w:tcBorders>
              <w:top w:val="nil"/>
              <w:left w:val="nil"/>
              <w:bottom w:val="nil"/>
              <w:right w:val="nil"/>
            </w:tcBorders>
            <w:shd w:val="clear" w:color="000000" w:fill="FFFFFF"/>
            <w:noWrap/>
            <w:hideMark/>
          </w:tcPr>
          <w:p w14:paraId="6CB0E8F1"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1.10</w:t>
            </w:r>
          </w:p>
        </w:tc>
        <w:tc>
          <w:tcPr>
            <w:tcW w:w="9717" w:type="dxa"/>
            <w:tcBorders>
              <w:top w:val="nil"/>
              <w:left w:val="nil"/>
              <w:bottom w:val="nil"/>
              <w:right w:val="nil"/>
            </w:tcBorders>
            <w:shd w:val="clear" w:color="000000" w:fill="FFFFFF"/>
            <w:hideMark/>
          </w:tcPr>
          <w:p w14:paraId="59E5581D"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Leases</w:t>
            </w:r>
          </w:p>
        </w:tc>
      </w:tr>
      <w:tr w:rsidR="00453C4E" w:rsidRPr="00453C4E" w14:paraId="4E203B4F" w14:textId="77777777" w:rsidTr="00453C4E">
        <w:trPr>
          <w:trHeight w:val="550"/>
        </w:trPr>
        <w:tc>
          <w:tcPr>
            <w:tcW w:w="773" w:type="dxa"/>
            <w:tcBorders>
              <w:top w:val="nil"/>
              <w:left w:val="nil"/>
              <w:bottom w:val="nil"/>
              <w:right w:val="nil"/>
            </w:tcBorders>
            <w:shd w:val="clear" w:color="000000" w:fill="FFFFFF"/>
            <w:noWrap/>
            <w:hideMark/>
          </w:tcPr>
          <w:p w14:paraId="1103862F"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4F3F655B"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xml:space="preserve">A lease is a contract, or part of a contract, that conveys the right to control the use of an asset for a period of time in exchange for consideration. </w:t>
            </w:r>
            <w:r w:rsidRPr="00453C4E">
              <w:rPr>
                <w:rFonts w:eastAsia="Times New Roman" w:cs="Arial"/>
                <w:sz w:val="20"/>
                <w:szCs w:val="20"/>
                <w:lang w:eastAsia="en-GB"/>
              </w:rPr>
              <w:br/>
              <w:t>The ICB assesses whether a contract is or contains a lease, at inception of the contract.</w:t>
            </w:r>
          </w:p>
        </w:tc>
      </w:tr>
      <w:tr w:rsidR="00453C4E" w:rsidRPr="00453C4E" w14:paraId="6B97E563" w14:textId="77777777" w:rsidTr="00453C4E">
        <w:trPr>
          <w:trHeight w:val="250"/>
        </w:trPr>
        <w:tc>
          <w:tcPr>
            <w:tcW w:w="773" w:type="dxa"/>
            <w:tcBorders>
              <w:top w:val="nil"/>
              <w:left w:val="nil"/>
              <w:bottom w:val="nil"/>
              <w:right w:val="nil"/>
            </w:tcBorders>
            <w:shd w:val="clear" w:color="000000" w:fill="FFFFFF"/>
            <w:noWrap/>
            <w:hideMark/>
          </w:tcPr>
          <w:p w14:paraId="45902B14"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46D16EE3"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22487F19" w14:textId="77777777" w:rsidTr="00453C4E">
        <w:trPr>
          <w:trHeight w:val="260"/>
        </w:trPr>
        <w:tc>
          <w:tcPr>
            <w:tcW w:w="773" w:type="dxa"/>
            <w:tcBorders>
              <w:top w:val="nil"/>
              <w:left w:val="nil"/>
              <w:bottom w:val="nil"/>
              <w:right w:val="nil"/>
            </w:tcBorders>
            <w:shd w:val="clear" w:color="000000" w:fill="FFFFFF"/>
            <w:noWrap/>
            <w:hideMark/>
          </w:tcPr>
          <w:p w14:paraId="3D47E886"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1.10.1</w:t>
            </w:r>
          </w:p>
        </w:tc>
        <w:tc>
          <w:tcPr>
            <w:tcW w:w="9717" w:type="dxa"/>
            <w:tcBorders>
              <w:top w:val="nil"/>
              <w:left w:val="nil"/>
              <w:bottom w:val="nil"/>
              <w:right w:val="nil"/>
            </w:tcBorders>
            <w:shd w:val="clear" w:color="auto" w:fill="auto"/>
            <w:hideMark/>
          </w:tcPr>
          <w:p w14:paraId="0AB02357"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The ICB as Lessee</w:t>
            </w:r>
          </w:p>
        </w:tc>
      </w:tr>
      <w:tr w:rsidR="00453C4E" w:rsidRPr="00453C4E" w14:paraId="2A68F5D2" w14:textId="77777777" w:rsidTr="00453C4E">
        <w:trPr>
          <w:trHeight w:val="250"/>
        </w:trPr>
        <w:tc>
          <w:tcPr>
            <w:tcW w:w="773" w:type="dxa"/>
            <w:tcBorders>
              <w:top w:val="nil"/>
              <w:left w:val="nil"/>
              <w:bottom w:val="nil"/>
              <w:right w:val="nil"/>
            </w:tcBorders>
            <w:shd w:val="clear" w:color="000000" w:fill="FFFFFF"/>
            <w:noWrap/>
            <w:hideMark/>
          </w:tcPr>
          <w:p w14:paraId="5240A84A"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auto" w:fill="auto"/>
            <w:hideMark/>
          </w:tcPr>
          <w:p w14:paraId="1585004B"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A right-of-use asset and a corresponding lease liability are recognised at commencement of the lease.</w:t>
            </w:r>
          </w:p>
        </w:tc>
      </w:tr>
      <w:tr w:rsidR="00453C4E" w:rsidRPr="00453C4E" w14:paraId="1B0AC501" w14:textId="77777777" w:rsidTr="00453C4E">
        <w:trPr>
          <w:trHeight w:val="550"/>
        </w:trPr>
        <w:tc>
          <w:tcPr>
            <w:tcW w:w="773" w:type="dxa"/>
            <w:tcBorders>
              <w:top w:val="nil"/>
              <w:left w:val="nil"/>
              <w:bottom w:val="nil"/>
              <w:right w:val="nil"/>
            </w:tcBorders>
            <w:shd w:val="clear" w:color="000000" w:fill="FFFFFF"/>
            <w:noWrap/>
            <w:hideMark/>
          </w:tcPr>
          <w:p w14:paraId="17AB3216"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1DAD43B2"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The lease liability is initially measured at the present value of the future lease payments, discounted by using the rate implicit in the lease. If this rate cannot be readily determined, the prescribed HM Treasury discount rates are used as the incremental borrowing rate to discount future lease payments.</w:t>
            </w:r>
          </w:p>
        </w:tc>
      </w:tr>
      <w:tr w:rsidR="00453C4E" w:rsidRPr="00453C4E" w14:paraId="4148E4D1" w14:textId="77777777" w:rsidTr="00453C4E">
        <w:trPr>
          <w:trHeight w:val="560"/>
        </w:trPr>
        <w:tc>
          <w:tcPr>
            <w:tcW w:w="773" w:type="dxa"/>
            <w:tcBorders>
              <w:top w:val="nil"/>
              <w:left w:val="nil"/>
              <w:bottom w:val="nil"/>
              <w:right w:val="nil"/>
            </w:tcBorders>
            <w:shd w:val="clear" w:color="000000" w:fill="FFFFFF"/>
            <w:noWrap/>
            <w:hideMark/>
          </w:tcPr>
          <w:p w14:paraId="073479D4"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033271EB" w14:textId="664CBB6D"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The long-term HM Treasury incremental borrowing rate of 3.51% is applied for leases commencing, transitioning</w:t>
            </w:r>
            <w:r w:rsidR="002D05CB">
              <w:rPr>
                <w:rFonts w:eastAsia="Times New Roman" w:cs="Arial"/>
                <w:sz w:val="20"/>
                <w:szCs w:val="20"/>
                <w:lang w:eastAsia="en-GB"/>
              </w:rPr>
              <w:t>,</w:t>
            </w:r>
            <w:r w:rsidRPr="00453C4E">
              <w:rPr>
                <w:rFonts w:eastAsia="Times New Roman" w:cs="Arial"/>
                <w:sz w:val="20"/>
                <w:szCs w:val="20"/>
                <w:lang w:eastAsia="en-GB"/>
              </w:rPr>
              <w:t xml:space="preserve"> or being remeasured in the 2023 calendar year; and 4.72% to new leases commencing in 2024 under IFRS 16.</w:t>
            </w:r>
          </w:p>
        </w:tc>
      </w:tr>
      <w:tr w:rsidR="00453C4E" w:rsidRPr="00453C4E" w14:paraId="4FD17FA2" w14:textId="77777777" w:rsidTr="00453C4E">
        <w:trPr>
          <w:trHeight w:val="1610"/>
        </w:trPr>
        <w:tc>
          <w:tcPr>
            <w:tcW w:w="773" w:type="dxa"/>
            <w:tcBorders>
              <w:top w:val="nil"/>
              <w:left w:val="nil"/>
              <w:bottom w:val="nil"/>
              <w:right w:val="nil"/>
            </w:tcBorders>
            <w:shd w:val="clear" w:color="000000" w:fill="FFFFFF"/>
            <w:noWrap/>
            <w:hideMark/>
          </w:tcPr>
          <w:p w14:paraId="247EF25B"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35246207"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Lease payments included in the measurement of the lease liability comprise</w:t>
            </w:r>
            <w:r w:rsidRPr="00453C4E">
              <w:rPr>
                <w:rFonts w:eastAsia="Times New Roman" w:cs="Arial"/>
                <w:sz w:val="20"/>
                <w:szCs w:val="20"/>
                <w:lang w:eastAsia="en-GB"/>
              </w:rPr>
              <w:br/>
              <w:t>- Fixed payments;</w:t>
            </w:r>
            <w:r w:rsidRPr="00453C4E">
              <w:rPr>
                <w:rFonts w:eastAsia="Times New Roman" w:cs="Arial"/>
                <w:sz w:val="20"/>
                <w:szCs w:val="20"/>
                <w:lang w:eastAsia="en-GB"/>
              </w:rPr>
              <w:br/>
              <w:t xml:space="preserve">- Variable lease payments dependent on an index or rate, initially measured using the index or rate at commencement; </w:t>
            </w:r>
            <w:r w:rsidRPr="00453C4E">
              <w:rPr>
                <w:rFonts w:eastAsia="Times New Roman" w:cs="Arial"/>
                <w:sz w:val="20"/>
                <w:szCs w:val="20"/>
                <w:lang w:eastAsia="en-GB"/>
              </w:rPr>
              <w:br/>
              <w:t>- The amount expected to be payable under residual value guarantees;</w:t>
            </w:r>
            <w:r w:rsidRPr="00453C4E">
              <w:rPr>
                <w:rFonts w:eastAsia="Times New Roman" w:cs="Arial"/>
                <w:sz w:val="20"/>
                <w:szCs w:val="20"/>
                <w:lang w:eastAsia="en-GB"/>
              </w:rPr>
              <w:br/>
              <w:t>- The exercise price of purchase options, if it is reasonably certain the option will be exercised; and</w:t>
            </w:r>
            <w:r w:rsidRPr="00453C4E">
              <w:rPr>
                <w:rFonts w:eastAsia="Times New Roman" w:cs="Arial"/>
                <w:sz w:val="20"/>
                <w:szCs w:val="20"/>
                <w:lang w:eastAsia="en-GB"/>
              </w:rPr>
              <w:br/>
              <w:t xml:space="preserve">- Payments of penalties for terminating the lease, if the lease term reflects the exercise of an option to terminate the lease. </w:t>
            </w:r>
          </w:p>
        </w:tc>
      </w:tr>
      <w:tr w:rsidR="00453C4E" w:rsidRPr="00453C4E" w14:paraId="595C2B7C" w14:textId="77777777" w:rsidTr="00453C4E">
        <w:trPr>
          <w:trHeight w:val="600"/>
        </w:trPr>
        <w:tc>
          <w:tcPr>
            <w:tcW w:w="773" w:type="dxa"/>
            <w:tcBorders>
              <w:top w:val="nil"/>
              <w:left w:val="nil"/>
              <w:bottom w:val="nil"/>
              <w:right w:val="nil"/>
            </w:tcBorders>
            <w:shd w:val="clear" w:color="000000" w:fill="FFFFFF"/>
            <w:noWrap/>
            <w:hideMark/>
          </w:tcPr>
          <w:p w14:paraId="331A4291"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117890EA"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Variable rents that do not depend on an index or rate are not included in the measurement of the lease liability and are recognised as an expense in the period in which the event or condition that triggers those payments occurs.</w:t>
            </w:r>
          </w:p>
        </w:tc>
      </w:tr>
      <w:tr w:rsidR="00453C4E" w:rsidRPr="00453C4E" w14:paraId="2BB2B046" w14:textId="77777777" w:rsidTr="00453C4E">
        <w:trPr>
          <w:trHeight w:val="865"/>
        </w:trPr>
        <w:tc>
          <w:tcPr>
            <w:tcW w:w="773" w:type="dxa"/>
            <w:tcBorders>
              <w:top w:val="nil"/>
              <w:left w:val="nil"/>
              <w:bottom w:val="nil"/>
              <w:right w:val="nil"/>
            </w:tcBorders>
            <w:shd w:val="clear" w:color="000000" w:fill="FFFFFF"/>
            <w:noWrap/>
            <w:hideMark/>
          </w:tcPr>
          <w:p w14:paraId="3FFD2304"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6D352AAA"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The lease liability is subsequently measured by increasing the carrying amount for interest incurred using the effective interest method and decreasing the carrying amount to reflect the lease payments made. The lease liability is remeasured, with a corresponding adjustment to the right-of-use asset, to reflect any reassessment of or modification made to the lease.</w:t>
            </w:r>
          </w:p>
        </w:tc>
      </w:tr>
      <w:tr w:rsidR="00453C4E" w:rsidRPr="00453C4E" w14:paraId="330AA1AB" w14:textId="77777777" w:rsidTr="00453C4E">
        <w:trPr>
          <w:trHeight w:val="750"/>
        </w:trPr>
        <w:tc>
          <w:tcPr>
            <w:tcW w:w="773" w:type="dxa"/>
            <w:tcBorders>
              <w:top w:val="nil"/>
              <w:left w:val="nil"/>
              <w:bottom w:val="nil"/>
              <w:right w:val="nil"/>
            </w:tcBorders>
            <w:shd w:val="clear" w:color="000000" w:fill="FFFFFF"/>
            <w:noWrap/>
            <w:hideMark/>
          </w:tcPr>
          <w:p w14:paraId="0121324B"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719317F2"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The right-of-use asset is initially measured at an amount equal to the initial lease liability adjusted for any lease prepayments or incentives, initial direct costs or an estimate of any dismantling, removal or restoring costs relating to either restoring the location of the asset or restoring the underlying asset itself, unless costs are incurred to produce inventories.</w:t>
            </w:r>
          </w:p>
        </w:tc>
      </w:tr>
      <w:tr w:rsidR="00453C4E" w:rsidRPr="00453C4E" w14:paraId="64308B22" w14:textId="77777777" w:rsidTr="00453C4E">
        <w:trPr>
          <w:trHeight w:val="560"/>
        </w:trPr>
        <w:tc>
          <w:tcPr>
            <w:tcW w:w="773" w:type="dxa"/>
            <w:tcBorders>
              <w:top w:val="nil"/>
              <w:left w:val="nil"/>
              <w:bottom w:val="nil"/>
              <w:right w:val="nil"/>
            </w:tcBorders>
            <w:shd w:val="clear" w:color="000000" w:fill="FFFFFF"/>
            <w:noWrap/>
            <w:hideMark/>
          </w:tcPr>
          <w:p w14:paraId="39E8DACA"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351E3DAB"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The subsequent measurement of the right-of-use asset is consistent with the principles for subsequent measurement of property, plant and equipment. Accordingly, right-of-use assets that are held for their service potential and are in use are subsequently measured at their current value in existing use.</w:t>
            </w:r>
          </w:p>
        </w:tc>
      </w:tr>
      <w:tr w:rsidR="00453C4E" w:rsidRPr="00453C4E" w14:paraId="0A66F9EE" w14:textId="77777777" w:rsidTr="00453C4E">
        <w:trPr>
          <w:trHeight w:val="550"/>
        </w:trPr>
        <w:tc>
          <w:tcPr>
            <w:tcW w:w="773" w:type="dxa"/>
            <w:tcBorders>
              <w:top w:val="nil"/>
              <w:left w:val="nil"/>
              <w:bottom w:val="nil"/>
              <w:right w:val="nil"/>
            </w:tcBorders>
            <w:shd w:val="clear" w:color="000000" w:fill="FFFFFF"/>
            <w:noWrap/>
            <w:hideMark/>
          </w:tcPr>
          <w:p w14:paraId="3556722A"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506694CA"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xml:space="preserve">Right-of-use assets for leases that are low value or short term and for which current value in use is not expected to fluctuate significantly due to changes in market prices and conditions are valued at depreciated historical cost as a proxy for current value in existing use. </w:t>
            </w:r>
          </w:p>
        </w:tc>
      </w:tr>
      <w:tr w:rsidR="00453C4E" w:rsidRPr="00453C4E" w14:paraId="47022127" w14:textId="77777777" w:rsidTr="00453C4E">
        <w:trPr>
          <w:trHeight w:val="840"/>
        </w:trPr>
        <w:tc>
          <w:tcPr>
            <w:tcW w:w="773" w:type="dxa"/>
            <w:tcBorders>
              <w:top w:val="nil"/>
              <w:left w:val="nil"/>
              <w:bottom w:val="nil"/>
              <w:right w:val="nil"/>
            </w:tcBorders>
            <w:shd w:val="clear" w:color="000000" w:fill="FFFFFF"/>
            <w:noWrap/>
            <w:hideMark/>
          </w:tcPr>
          <w:p w14:paraId="2B8ECC32"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203C5E80"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Other than leases for assets under construction and investment property, the right-of-use asset is subsequently depreciated on a straight-line basis over the shorter of the lease term or the useful life of the underlying asset. The right-of-use asset is tested for impairment if there are any indicators of impairment and impairment losses are accounted for as described in the ‘Depreciation, amortisation and impairments’ policy.</w:t>
            </w:r>
          </w:p>
        </w:tc>
      </w:tr>
      <w:tr w:rsidR="00453C4E" w:rsidRPr="00453C4E" w14:paraId="6EA9F79C" w14:textId="77777777" w:rsidTr="00453C4E">
        <w:trPr>
          <w:trHeight w:val="530"/>
        </w:trPr>
        <w:tc>
          <w:tcPr>
            <w:tcW w:w="773" w:type="dxa"/>
            <w:tcBorders>
              <w:top w:val="nil"/>
              <w:left w:val="nil"/>
              <w:bottom w:val="nil"/>
              <w:right w:val="nil"/>
            </w:tcBorders>
            <w:shd w:val="clear" w:color="000000" w:fill="FFFFFF"/>
            <w:noWrap/>
            <w:hideMark/>
          </w:tcPr>
          <w:p w14:paraId="37BEA80A"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28415D6D"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xml:space="preserve">Peppercorn leases are defined as leases for which the consideration paid is nil or nominal (that is, significantly below market value). Peppercorn leases are in the scope of IFRS 16 if they meet the definition of a lease in all aspects apart from containing consideration. </w:t>
            </w:r>
          </w:p>
        </w:tc>
      </w:tr>
      <w:tr w:rsidR="00453C4E" w:rsidRPr="00453C4E" w14:paraId="29A2036E" w14:textId="77777777" w:rsidTr="00453C4E">
        <w:trPr>
          <w:trHeight w:val="830"/>
        </w:trPr>
        <w:tc>
          <w:tcPr>
            <w:tcW w:w="773" w:type="dxa"/>
            <w:tcBorders>
              <w:top w:val="nil"/>
              <w:left w:val="nil"/>
              <w:bottom w:val="nil"/>
              <w:right w:val="nil"/>
            </w:tcBorders>
            <w:shd w:val="clear" w:color="000000" w:fill="FFFFFF"/>
            <w:noWrap/>
            <w:hideMark/>
          </w:tcPr>
          <w:p w14:paraId="098D13C9"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043CC018"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For peppercorn leases a right-of-use asset is recognised and initially measured at current value in existing use. The lease liability is measured in accordance with the above policy. Any difference between the carrying amount of the right-of-use asset and the lease liability is recognised as income as required by IAS 20 as interpreted by the FReM.</w:t>
            </w:r>
          </w:p>
        </w:tc>
      </w:tr>
      <w:tr w:rsidR="00453C4E" w:rsidRPr="00453C4E" w14:paraId="2333E0DB" w14:textId="77777777" w:rsidTr="00453C4E">
        <w:trPr>
          <w:trHeight w:val="500"/>
        </w:trPr>
        <w:tc>
          <w:tcPr>
            <w:tcW w:w="773" w:type="dxa"/>
            <w:tcBorders>
              <w:top w:val="nil"/>
              <w:left w:val="nil"/>
              <w:bottom w:val="nil"/>
              <w:right w:val="nil"/>
            </w:tcBorders>
            <w:shd w:val="clear" w:color="000000" w:fill="FFFFFF"/>
            <w:noWrap/>
            <w:hideMark/>
          </w:tcPr>
          <w:p w14:paraId="476A5AF8"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lastRenderedPageBreak/>
              <w:t> </w:t>
            </w:r>
          </w:p>
        </w:tc>
        <w:tc>
          <w:tcPr>
            <w:tcW w:w="9717" w:type="dxa"/>
            <w:tcBorders>
              <w:top w:val="nil"/>
              <w:left w:val="nil"/>
              <w:bottom w:val="nil"/>
              <w:right w:val="nil"/>
            </w:tcBorders>
            <w:shd w:val="clear" w:color="000000" w:fill="FFFFFF"/>
            <w:hideMark/>
          </w:tcPr>
          <w:p w14:paraId="5630A4EC"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Leases of low value assets (value when new less than £5,000) and short-term leases of 12 months or less are recognised as an expense on a straight-line basis over the term of the lease.</w:t>
            </w:r>
          </w:p>
        </w:tc>
      </w:tr>
      <w:tr w:rsidR="00453C4E" w:rsidRPr="00453C4E" w14:paraId="540D070E" w14:textId="77777777" w:rsidTr="00453C4E">
        <w:trPr>
          <w:trHeight w:val="250"/>
        </w:trPr>
        <w:tc>
          <w:tcPr>
            <w:tcW w:w="773" w:type="dxa"/>
            <w:tcBorders>
              <w:top w:val="nil"/>
              <w:left w:val="nil"/>
              <w:bottom w:val="nil"/>
              <w:right w:val="nil"/>
            </w:tcBorders>
            <w:shd w:val="clear" w:color="000000" w:fill="FFFFFF"/>
            <w:noWrap/>
            <w:hideMark/>
          </w:tcPr>
          <w:p w14:paraId="1845F359"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4E95633D"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23AD8578" w14:textId="77777777" w:rsidTr="00453C4E">
        <w:trPr>
          <w:trHeight w:val="260"/>
        </w:trPr>
        <w:tc>
          <w:tcPr>
            <w:tcW w:w="773" w:type="dxa"/>
            <w:tcBorders>
              <w:top w:val="nil"/>
              <w:left w:val="nil"/>
              <w:bottom w:val="nil"/>
              <w:right w:val="nil"/>
            </w:tcBorders>
            <w:shd w:val="clear" w:color="000000" w:fill="FFFFFF"/>
            <w:noWrap/>
            <w:hideMark/>
          </w:tcPr>
          <w:p w14:paraId="12D49382"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1.11</w:t>
            </w:r>
          </w:p>
        </w:tc>
        <w:tc>
          <w:tcPr>
            <w:tcW w:w="9717" w:type="dxa"/>
            <w:tcBorders>
              <w:top w:val="nil"/>
              <w:left w:val="nil"/>
              <w:bottom w:val="nil"/>
              <w:right w:val="nil"/>
            </w:tcBorders>
            <w:shd w:val="clear" w:color="000000" w:fill="FFFFFF"/>
            <w:hideMark/>
          </w:tcPr>
          <w:p w14:paraId="002B9987"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Cash &amp; Cash Equivalents</w:t>
            </w:r>
          </w:p>
        </w:tc>
      </w:tr>
      <w:tr w:rsidR="00453C4E" w:rsidRPr="00453C4E" w14:paraId="11D7C1A4" w14:textId="77777777" w:rsidTr="00453C4E">
        <w:trPr>
          <w:trHeight w:val="750"/>
        </w:trPr>
        <w:tc>
          <w:tcPr>
            <w:tcW w:w="773" w:type="dxa"/>
            <w:tcBorders>
              <w:top w:val="nil"/>
              <w:left w:val="nil"/>
              <w:bottom w:val="nil"/>
              <w:right w:val="nil"/>
            </w:tcBorders>
            <w:shd w:val="clear" w:color="000000" w:fill="FFFFFF"/>
            <w:noWrap/>
            <w:hideMark/>
          </w:tcPr>
          <w:p w14:paraId="52E613A0"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5F8BD0D7"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Cash is cash in hand and deposits with any financial institution repayable without penalty on notice of not more than 24 hours. Cash equivalents are investments that mature in 3 months or less from the date of acquisition and that are readily convertible to known amounts of cash with insignificant risk of change in value.</w:t>
            </w:r>
          </w:p>
        </w:tc>
      </w:tr>
      <w:tr w:rsidR="00453C4E" w:rsidRPr="00453C4E" w14:paraId="6B76FB18" w14:textId="77777777" w:rsidTr="00453C4E">
        <w:trPr>
          <w:trHeight w:val="250"/>
        </w:trPr>
        <w:tc>
          <w:tcPr>
            <w:tcW w:w="773" w:type="dxa"/>
            <w:tcBorders>
              <w:top w:val="nil"/>
              <w:left w:val="nil"/>
              <w:bottom w:val="nil"/>
              <w:right w:val="nil"/>
            </w:tcBorders>
            <w:shd w:val="clear" w:color="000000" w:fill="FFFFFF"/>
            <w:noWrap/>
            <w:hideMark/>
          </w:tcPr>
          <w:p w14:paraId="1D2C7BE2"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noWrap/>
            <w:hideMark/>
          </w:tcPr>
          <w:p w14:paraId="4E9955A2"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In the Statement of Cash Flows, cash and cash equivalents are shown net of book overdrafts, due to outstanding payments due to clear after year-end.</w:t>
            </w:r>
          </w:p>
        </w:tc>
      </w:tr>
      <w:tr w:rsidR="00453C4E" w:rsidRPr="00453C4E" w14:paraId="777FB9F4" w14:textId="77777777" w:rsidTr="00453C4E">
        <w:trPr>
          <w:trHeight w:val="250"/>
        </w:trPr>
        <w:tc>
          <w:tcPr>
            <w:tcW w:w="773" w:type="dxa"/>
            <w:tcBorders>
              <w:top w:val="nil"/>
              <w:left w:val="nil"/>
              <w:bottom w:val="nil"/>
              <w:right w:val="nil"/>
            </w:tcBorders>
            <w:shd w:val="clear" w:color="000000" w:fill="FFFFFF"/>
            <w:noWrap/>
            <w:hideMark/>
          </w:tcPr>
          <w:p w14:paraId="4E8BC05A"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625F279E"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06E983A0" w14:textId="77777777" w:rsidTr="00453C4E">
        <w:trPr>
          <w:trHeight w:val="260"/>
        </w:trPr>
        <w:tc>
          <w:tcPr>
            <w:tcW w:w="773" w:type="dxa"/>
            <w:tcBorders>
              <w:top w:val="nil"/>
              <w:left w:val="nil"/>
              <w:bottom w:val="nil"/>
              <w:right w:val="nil"/>
            </w:tcBorders>
            <w:shd w:val="clear" w:color="000000" w:fill="FFFFFF"/>
            <w:noWrap/>
            <w:hideMark/>
          </w:tcPr>
          <w:p w14:paraId="7A0DB282"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1.12</w:t>
            </w:r>
          </w:p>
        </w:tc>
        <w:tc>
          <w:tcPr>
            <w:tcW w:w="9717" w:type="dxa"/>
            <w:tcBorders>
              <w:top w:val="nil"/>
              <w:left w:val="nil"/>
              <w:bottom w:val="nil"/>
              <w:right w:val="nil"/>
            </w:tcBorders>
            <w:shd w:val="clear" w:color="000000" w:fill="FFFFFF"/>
            <w:hideMark/>
          </w:tcPr>
          <w:p w14:paraId="7A862294"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Provisions</w:t>
            </w:r>
          </w:p>
        </w:tc>
      </w:tr>
      <w:tr w:rsidR="00453C4E" w:rsidRPr="00453C4E" w14:paraId="4B5AE193" w14:textId="77777777" w:rsidTr="00453C4E">
        <w:trPr>
          <w:trHeight w:val="860"/>
        </w:trPr>
        <w:tc>
          <w:tcPr>
            <w:tcW w:w="773" w:type="dxa"/>
            <w:tcBorders>
              <w:top w:val="nil"/>
              <w:left w:val="nil"/>
              <w:bottom w:val="nil"/>
              <w:right w:val="nil"/>
            </w:tcBorders>
            <w:shd w:val="clear" w:color="000000" w:fill="FFFFFF"/>
            <w:noWrap/>
            <w:hideMark/>
          </w:tcPr>
          <w:p w14:paraId="476B4E57"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vAlign w:val="center"/>
            <w:hideMark/>
          </w:tcPr>
          <w:p w14:paraId="7AA948CD"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xml:space="preserve">Provisions are recognised when the ICB has a present legal or constructive obligation as a result of a past event, it is probable that the ICB will be required to settle the obligation, and a reliable estimate can be made of the amount of the obligation. The amount recognised as a provision is the best estimate of the expenditure required to settle the obligation at the end of the reporting period, taking into account the risks and uncertainties. </w:t>
            </w:r>
          </w:p>
        </w:tc>
      </w:tr>
      <w:tr w:rsidR="00453C4E" w:rsidRPr="00453C4E" w14:paraId="2EEBF374" w14:textId="77777777" w:rsidTr="00453C4E">
        <w:trPr>
          <w:trHeight w:val="1060"/>
        </w:trPr>
        <w:tc>
          <w:tcPr>
            <w:tcW w:w="773" w:type="dxa"/>
            <w:tcBorders>
              <w:top w:val="nil"/>
              <w:left w:val="nil"/>
              <w:bottom w:val="nil"/>
              <w:right w:val="nil"/>
            </w:tcBorders>
            <w:shd w:val="clear" w:color="000000" w:fill="FFFFFF"/>
            <w:noWrap/>
            <w:hideMark/>
          </w:tcPr>
          <w:p w14:paraId="788C9D0A"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45718444"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A restructuring provision is recognised when the ICB has developed a detailed formal plan for the restructuring and has raised a valid expectation in those affected that it will carry out the restructuring by starting to implement the plan or announcing its main features to those affected by it. The measurement of a restructuring provision includes only the direct expenditures arising from the restructuring, which are those amounts that are both necessarily entailed by the restructuring and not associated with on-going activities of the entity.</w:t>
            </w:r>
          </w:p>
        </w:tc>
      </w:tr>
      <w:tr w:rsidR="00453C4E" w:rsidRPr="00453C4E" w14:paraId="08186E4F" w14:textId="77777777" w:rsidTr="00453C4E">
        <w:trPr>
          <w:trHeight w:val="250"/>
        </w:trPr>
        <w:tc>
          <w:tcPr>
            <w:tcW w:w="773" w:type="dxa"/>
            <w:tcBorders>
              <w:top w:val="nil"/>
              <w:left w:val="nil"/>
              <w:bottom w:val="nil"/>
              <w:right w:val="nil"/>
            </w:tcBorders>
            <w:shd w:val="clear" w:color="000000" w:fill="FFFFFF"/>
            <w:noWrap/>
            <w:hideMark/>
          </w:tcPr>
          <w:p w14:paraId="2CE77F4F"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480BCF31"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59E7BCF5" w14:textId="77777777" w:rsidTr="00453C4E">
        <w:trPr>
          <w:trHeight w:val="260"/>
        </w:trPr>
        <w:tc>
          <w:tcPr>
            <w:tcW w:w="773" w:type="dxa"/>
            <w:tcBorders>
              <w:top w:val="nil"/>
              <w:left w:val="nil"/>
              <w:bottom w:val="nil"/>
              <w:right w:val="nil"/>
            </w:tcBorders>
            <w:shd w:val="clear" w:color="000000" w:fill="FFFFFF"/>
            <w:noWrap/>
            <w:hideMark/>
          </w:tcPr>
          <w:p w14:paraId="2C4C8892"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1.13</w:t>
            </w:r>
          </w:p>
        </w:tc>
        <w:tc>
          <w:tcPr>
            <w:tcW w:w="9717" w:type="dxa"/>
            <w:tcBorders>
              <w:top w:val="nil"/>
              <w:left w:val="nil"/>
              <w:bottom w:val="nil"/>
              <w:right w:val="nil"/>
            </w:tcBorders>
            <w:shd w:val="clear" w:color="000000" w:fill="FFFFFF"/>
            <w:hideMark/>
          </w:tcPr>
          <w:p w14:paraId="0F20018A"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Clinical Negligence Costs</w:t>
            </w:r>
          </w:p>
        </w:tc>
      </w:tr>
      <w:tr w:rsidR="00453C4E" w:rsidRPr="00453C4E" w14:paraId="46A2F030" w14:textId="77777777" w:rsidTr="00453C4E">
        <w:trPr>
          <w:trHeight w:val="750"/>
        </w:trPr>
        <w:tc>
          <w:tcPr>
            <w:tcW w:w="773" w:type="dxa"/>
            <w:tcBorders>
              <w:top w:val="nil"/>
              <w:left w:val="nil"/>
              <w:bottom w:val="nil"/>
              <w:right w:val="nil"/>
            </w:tcBorders>
            <w:shd w:val="clear" w:color="000000" w:fill="FFFFFF"/>
            <w:noWrap/>
            <w:hideMark/>
          </w:tcPr>
          <w:p w14:paraId="2A48FB31"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4CD947C3"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NHS Resolution operates a risk pooling scheme under which the ICB pays an annual contribution to NHS Resolution, which in return settles all clinical negligence claims. The contribution is charged to expenditure. Although NHS Resolution is administratively responsible for all clinical negligence cases, the legal liability remains with ICB.</w:t>
            </w:r>
          </w:p>
        </w:tc>
      </w:tr>
      <w:tr w:rsidR="00453C4E" w:rsidRPr="00453C4E" w14:paraId="0196E216" w14:textId="77777777" w:rsidTr="00453C4E">
        <w:trPr>
          <w:trHeight w:val="250"/>
        </w:trPr>
        <w:tc>
          <w:tcPr>
            <w:tcW w:w="773" w:type="dxa"/>
            <w:tcBorders>
              <w:top w:val="nil"/>
              <w:left w:val="nil"/>
              <w:bottom w:val="nil"/>
              <w:right w:val="nil"/>
            </w:tcBorders>
            <w:shd w:val="clear" w:color="000000" w:fill="FFFFFF"/>
            <w:noWrap/>
            <w:hideMark/>
          </w:tcPr>
          <w:p w14:paraId="73E52DF0"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3A203B7C"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7A437FE3" w14:textId="77777777" w:rsidTr="00453C4E">
        <w:trPr>
          <w:trHeight w:val="260"/>
        </w:trPr>
        <w:tc>
          <w:tcPr>
            <w:tcW w:w="773" w:type="dxa"/>
            <w:tcBorders>
              <w:top w:val="nil"/>
              <w:left w:val="nil"/>
              <w:bottom w:val="nil"/>
              <w:right w:val="nil"/>
            </w:tcBorders>
            <w:shd w:val="clear" w:color="000000" w:fill="FFFFFF"/>
            <w:noWrap/>
            <w:hideMark/>
          </w:tcPr>
          <w:p w14:paraId="146C17E6"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1.14</w:t>
            </w:r>
          </w:p>
        </w:tc>
        <w:tc>
          <w:tcPr>
            <w:tcW w:w="9717" w:type="dxa"/>
            <w:tcBorders>
              <w:top w:val="nil"/>
              <w:left w:val="nil"/>
              <w:bottom w:val="nil"/>
              <w:right w:val="nil"/>
            </w:tcBorders>
            <w:shd w:val="clear" w:color="000000" w:fill="FFFFFF"/>
            <w:hideMark/>
          </w:tcPr>
          <w:p w14:paraId="11DD84FC"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Non-clinical Risk Pooling</w:t>
            </w:r>
          </w:p>
        </w:tc>
      </w:tr>
      <w:tr w:rsidR="00453C4E" w:rsidRPr="00453C4E" w14:paraId="399692FF" w14:textId="77777777" w:rsidTr="00453C4E">
        <w:trPr>
          <w:trHeight w:val="800"/>
        </w:trPr>
        <w:tc>
          <w:tcPr>
            <w:tcW w:w="773" w:type="dxa"/>
            <w:tcBorders>
              <w:top w:val="nil"/>
              <w:left w:val="nil"/>
              <w:bottom w:val="nil"/>
              <w:right w:val="nil"/>
            </w:tcBorders>
            <w:shd w:val="clear" w:color="000000" w:fill="FFFFFF"/>
            <w:noWrap/>
            <w:hideMark/>
          </w:tcPr>
          <w:p w14:paraId="0A8E22D6"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09DB3540"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The ICB participates in the Property Expenses Scheme and the Liabilities to Third Parties Scheme. Both are risk pooling schemes under which the ICB pays an annual contribution to the NHS Resolution and, in return, receives assistance with the costs of claims arising. The annual membership contributions, and any excesses payable in respect of particular claims are charged to operating expenses as and when they become due.</w:t>
            </w:r>
          </w:p>
        </w:tc>
      </w:tr>
      <w:tr w:rsidR="00453C4E" w:rsidRPr="00453C4E" w14:paraId="357FA9E7" w14:textId="77777777" w:rsidTr="00453C4E">
        <w:trPr>
          <w:trHeight w:val="250"/>
        </w:trPr>
        <w:tc>
          <w:tcPr>
            <w:tcW w:w="773" w:type="dxa"/>
            <w:tcBorders>
              <w:top w:val="nil"/>
              <w:left w:val="nil"/>
              <w:bottom w:val="nil"/>
              <w:right w:val="nil"/>
            </w:tcBorders>
            <w:shd w:val="clear" w:color="000000" w:fill="FFFFFF"/>
            <w:noWrap/>
            <w:hideMark/>
          </w:tcPr>
          <w:p w14:paraId="609203B2"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5CA4B34E"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0F8C9C78" w14:textId="77777777" w:rsidTr="00453C4E">
        <w:trPr>
          <w:trHeight w:val="260"/>
        </w:trPr>
        <w:tc>
          <w:tcPr>
            <w:tcW w:w="773" w:type="dxa"/>
            <w:tcBorders>
              <w:top w:val="nil"/>
              <w:left w:val="nil"/>
              <w:bottom w:val="nil"/>
              <w:right w:val="nil"/>
            </w:tcBorders>
            <w:shd w:val="clear" w:color="000000" w:fill="FFFFFF"/>
            <w:noWrap/>
            <w:hideMark/>
          </w:tcPr>
          <w:p w14:paraId="7DA5D257"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1.15</w:t>
            </w:r>
          </w:p>
        </w:tc>
        <w:tc>
          <w:tcPr>
            <w:tcW w:w="9717" w:type="dxa"/>
            <w:tcBorders>
              <w:top w:val="nil"/>
              <w:left w:val="nil"/>
              <w:bottom w:val="nil"/>
              <w:right w:val="nil"/>
            </w:tcBorders>
            <w:shd w:val="clear" w:color="000000" w:fill="FFFFFF"/>
            <w:hideMark/>
          </w:tcPr>
          <w:p w14:paraId="5D834220"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Financial Assets</w:t>
            </w:r>
          </w:p>
        </w:tc>
      </w:tr>
      <w:tr w:rsidR="00453C4E" w:rsidRPr="00453C4E" w14:paraId="7FA9C8CF" w14:textId="77777777" w:rsidTr="00453C4E">
        <w:trPr>
          <w:trHeight w:val="500"/>
        </w:trPr>
        <w:tc>
          <w:tcPr>
            <w:tcW w:w="773" w:type="dxa"/>
            <w:tcBorders>
              <w:top w:val="nil"/>
              <w:left w:val="nil"/>
              <w:bottom w:val="nil"/>
              <w:right w:val="nil"/>
            </w:tcBorders>
            <w:shd w:val="clear" w:color="000000" w:fill="FFFFFF"/>
            <w:noWrap/>
            <w:hideMark/>
          </w:tcPr>
          <w:p w14:paraId="205B6F14"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6EC110AE"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Financial assets are recognised when the ICB becomes party to the financial instrument contract or, in the case of trade receivables, when the goods or services have been delivered. Financial assets are derecognised when the contractual rights have expired or the asset has been transferred.</w:t>
            </w:r>
          </w:p>
        </w:tc>
      </w:tr>
      <w:tr w:rsidR="00453C4E" w:rsidRPr="00453C4E" w14:paraId="63B7248F" w14:textId="77777777" w:rsidTr="00453C4E">
        <w:trPr>
          <w:trHeight w:val="250"/>
        </w:trPr>
        <w:tc>
          <w:tcPr>
            <w:tcW w:w="773" w:type="dxa"/>
            <w:tcBorders>
              <w:top w:val="nil"/>
              <w:left w:val="nil"/>
              <w:bottom w:val="nil"/>
              <w:right w:val="nil"/>
            </w:tcBorders>
            <w:shd w:val="clear" w:color="000000" w:fill="FFFFFF"/>
            <w:noWrap/>
            <w:hideMark/>
          </w:tcPr>
          <w:p w14:paraId="2F89B917"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518E85FD"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Financial assets are classified into the following categories:</w:t>
            </w:r>
          </w:p>
        </w:tc>
      </w:tr>
      <w:tr w:rsidR="00453C4E" w:rsidRPr="00453C4E" w14:paraId="231CBE23" w14:textId="77777777" w:rsidTr="00453C4E">
        <w:trPr>
          <w:trHeight w:val="260"/>
        </w:trPr>
        <w:tc>
          <w:tcPr>
            <w:tcW w:w="773" w:type="dxa"/>
            <w:tcBorders>
              <w:top w:val="nil"/>
              <w:left w:val="nil"/>
              <w:bottom w:val="nil"/>
              <w:right w:val="nil"/>
            </w:tcBorders>
            <w:shd w:val="clear" w:color="000000" w:fill="FFFFFF"/>
            <w:noWrap/>
            <w:hideMark/>
          </w:tcPr>
          <w:p w14:paraId="04026023"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6A2EDE8D"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w:t>
            </w:r>
            <w:r w:rsidRPr="00453C4E">
              <w:rPr>
                <w:rFonts w:ascii="Times New Roman" w:eastAsia="Times New Roman" w:hAnsi="Times New Roman" w:cs="Times New Roman"/>
                <w:sz w:val="20"/>
                <w:szCs w:val="20"/>
                <w:lang w:eastAsia="en-GB"/>
              </w:rPr>
              <w:t xml:space="preserve">                </w:t>
            </w:r>
            <w:r w:rsidRPr="00453C4E">
              <w:rPr>
                <w:rFonts w:eastAsia="Times New Roman" w:cs="Arial"/>
                <w:sz w:val="20"/>
                <w:szCs w:val="20"/>
                <w:lang w:eastAsia="en-GB"/>
              </w:rPr>
              <w:t>Financial assets at amortised cost;</w:t>
            </w:r>
          </w:p>
        </w:tc>
      </w:tr>
      <w:tr w:rsidR="00453C4E" w:rsidRPr="00453C4E" w14:paraId="636A6F96" w14:textId="77777777" w:rsidTr="00453C4E">
        <w:trPr>
          <w:trHeight w:val="250"/>
        </w:trPr>
        <w:tc>
          <w:tcPr>
            <w:tcW w:w="773" w:type="dxa"/>
            <w:tcBorders>
              <w:top w:val="nil"/>
              <w:left w:val="nil"/>
              <w:bottom w:val="nil"/>
              <w:right w:val="nil"/>
            </w:tcBorders>
            <w:shd w:val="clear" w:color="000000" w:fill="FFFFFF"/>
            <w:noWrap/>
            <w:hideMark/>
          </w:tcPr>
          <w:p w14:paraId="20B7024F"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27E05004" w14:textId="6212C1FB"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Financial assets at fair value through other comprehensive income and;</w:t>
            </w:r>
          </w:p>
        </w:tc>
      </w:tr>
      <w:tr w:rsidR="00453C4E" w:rsidRPr="00453C4E" w14:paraId="553EFEBD" w14:textId="77777777" w:rsidTr="00453C4E">
        <w:trPr>
          <w:trHeight w:val="260"/>
        </w:trPr>
        <w:tc>
          <w:tcPr>
            <w:tcW w:w="773" w:type="dxa"/>
            <w:tcBorders>
              <w:top w:val="nil"/>
              <w:left w:val="nil"/>
              <w:bottom w:val="nil"/>
              <w:right w:val="nil"/>
            </w:tcBorders>
            <w:shd w:val="clear" w:color="000000" w:fill="FFFFFF"/>
            <w:noWrap/>
            <w:hideMark/>
          </w:tcPr>
          <w:p w14:paraId="0547A7EF"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29023885"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w:t>
            </w:r>
            <w:r w:rsidRPr="00453C4E">
              <w:rPr>
                <w:rFonts w:ascii="Times New Roman" w:eastAsia="Times New Roman" w:hAnsi="Times New Roman" w:cs="Times New Roman"/>
                <w:sz w:val="20"/>
                <w:szCs w:val="20"/>
                <w:lang w:eastAsia="en-GB"/>
              </w:rPr>
              <w:t xml:space="preserve">                </w:t>
            </w:r>
            <w:r w:rsidRPr="00453C4E">
              <w:rPr>
                <w:rFonts w:eastAsia="Times New Roman" w:cs="Arial"/>
                <w:sz w:val="20"/>
                <w:szCs w:val="20"/>
                <w:lang w:eastAsia="en-GB"/>
              </w:rPr>
              <w:t>Financial assets at fair value through profit and loss.</w:t>
            </w:r>
          </w:p>
        </w:tc>
      </w:tr>
      <w:tr w:rsidR="00453C4E" w:rsidRPr="00453C4E" w14:paraId="738C6205" w14:textId="77777777" w:rsidTr="00453C4E">
        <w:trPr>
          <w:trHeight w:val="550"/>
        </w:trPr>
        <w:tc>
          <w:tcPr>
            <w:tcW w:w="773" w:type="dxa"/>
            <w:tcBorders>
              <w:top w:val="nil"/>
              <w:left w:val="nil"/>
              <w:bottom w:val="nil"/>
              <w:right w:val="nil"/>
            </w:tcBorders>
            <w:shd w:val="clear" w:color="000000" w:fill="FFFFFF"/>
            <w:noWrap/>
            <w:hideMark/>
          </w:tcPr>
          <w:p w14:paraId="6CBF69E1"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064DD90C"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The classification is determined by the cash flow and business model characteristics of the financial assets, as set out in IFRS 9, and is determined at the time of initial recognition.</w:t>
            </w:r>
          </w:p>
        </w:tc>
      </w:tr>
      <w:tr w:rsidR="00453C4E" w:rsidRPr="00453C4E" w14:paraId="7310F748" w14:textId="77777777" w:rsidTr="00453C4E">
        <w:trPr>
          <w:trHeight w:val="250"/>
        </w:trPr>
        <w:tc>
          <w:tcPr>
            <w:tcW w:w="773" w:type="dxa"/>
            <w:tcBorders>
              <w:top w:val="nil"/>
              <w:left w:val="nil"/>
              <w:bottom w:val="nil"/>
              <w:right w:val="nil"/>
            </w:tcBorders>
            <w:shd w:val="clear" w:color="000000" w:fill="FFFFFF"/>
            <w:noWrap/>
            <w:hideMark/>
          </w:tcPr>
          <w:p w14:paraId="6B9950A6"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73B7F3CD"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31BE951B" w14:textId="77777777" w:rsidTr="00453C4E">
        <w:trPr>
          <w:trHeight w:val="260"/>
        </w:trPr>
        <w:tc>
          <w:tcPr>
            <w:tcW w:w="773" w:type="dxa"/>
            <w:tcBorders>
              <w:top w:val="nil"/>
              <w:left w:val="nil"/>
              <w:bottom w:val="nil"/>
              <w:right w:val="nil"/>
            </w:tcBorders>
            <w:shd w:val="clear" w:color="000000" w:fill="FFFFFF"/>
            <w:noWrap/>
            <w:hideMark/>
          </w:tcPr>
          <w:p w14:paraId="6CEB7014"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1.15.1</w:t>
            </w:r>
          </w:p>
        </w:tc>
        <w:tc>
          <w:tcPr>
            <w:tcW w:w="9717" w:type="dxa"/>
            <w:tcBorders>
              <w:top w:val="nil"/>
              <w:left w:val="nil"/>
              <w:bottom w:val="nil"/>
              <w:right w:val="nil"/>
            </w:tcBorders>
            <w:shd w:val="clear" w:color="000000" w:fill="FFFFFF"/>
            <w:hideMark/>
          </w:tcPr>
          <w:p w14:paraId="1F3790E6"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Financial Assets at Amortised Cost</w:t>
            </w:r>
          </w:p>
        </w:tc>
      </w:tr>
      <w:tr w:rsidR="00453C4E" w:rsidRPr="00453C4E" w14:paraId="6258E964" w14:textId="77777777" w:rsidTr="00453C4E">
        <w:trPr>
          <w:trHeight w:val="1260"/>
        </w:trPr>
        <w:tc>
          <w:tcPr>
            <w:tcW w:w="773" w:type="dxa"/>
            <w:tcBorders>
              <w:top w:val="nil"/>
              <w:left w:val="nil"/>
              <w:bottom w:val="nil"/>
              <w:right w:val="nil"/>
            </w:tcBorders>
            <w:shd w:val="clear" w:color="000000" w:fill="FFFFFF"/>
            <w:noWrap/>
            <w:hideMark/>
          </w:tcPr>
          <w:p w14:paraId="776B0692"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vAlign w:val="center"/>
            <w:hideMark/>
          </w:tcPr>
          <w:p w14:paraId="5FE8001B" w14:textId="04B2FFFA"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xml:space="preserve">Financial assets measured at amortised cost are those held within a business model whose objective is achieved by collecting contractual cash flows and where the cash flows are solely payments of principal and interest. This includes most trade receivables and other simple debt instruments. </w:t>
            </w:r>
            <w:r w:rsidRPr="00453C4E">
              <w:rPr>
                <w:rFonts w:eastAsia="Times New Roman" w:cs="Arial"/>
                <w:b/>
                <w:bCs/>
                <w:i/>
                <w:iCs/>
                <w:sz w:val="20"/>
                <w:szCs w:val="20"/>
                <w:lang w:eastAsia="en-GB"/>
              </w:rPr>
              <w:t xml:space="preserve"> </w:t>
            </w:r>
            <w:r w:rsidRPr="00453C4E">
              <w:rPr>
                <w:rFonts w:eastAsia="Times New Roman" w:cs="Arial"/>
                <w:sz w:val="20"/>
                <w:szCs w:val="20"/>
                <w:lang w:eastAsia="en-GB"/>
              </w:rPr>
              <w:t>After initial recognition these financial assets are measured at amortised cost using the effective interest method less any impairment.  The effective interest rate is the rate that exactly discounts estimated future cash receipts through the life of the financial asset to the gross carrying amount of the financial asset.</w:t>
            </w:r>
          </w:p>
        </w:tc>
      </w:tr>
      <w:tr w:rsidR="00453C4E" w:rsidRPr="00453C4E" w14:paraId="6A0D11FA" w14:textId="77777777" w:rsidTr="00453C4E">
        <w:trPr>
          <w:trHeight w:val="260"/>
        </w:trPr>
        <w:tc>
          <w:tcPr>
            <w:tcW w:w="773" w:type="dxa"/>
            <w:tcBorders>
              <w:top w:val="nil"/>
              <w:left w:val="nil"/>
              <w:bottom w:val="nil"/>
              <w:right w:val="nil"/>
            </w:tcBorders>
            <w:shd w:val="clear" w:color="000000" w:fill="FFFFFF"/>
            <w:noWrap/>
            <w:hideMark/>
          </w:tcPr>
          <w:p w14:paraId="07FE9C84"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lastRenderedPageBreak/>
              <w:t>1.16</w:t>
            </w:r>
          </w:p>
        </w:tc>
        <w:tc>
          <w:tcPr>
            <w:tcW w:w="9717" w:type="dxa"/>
            <w:tcBorders>
              <w:top w:val="nil"/>
              <w:left w:val="nil"/>
              <w:bottom w:val="nil"/>
              <w:right w:val="nil"/>
            </w:tcBorders>
            <w:shd w:val="clear" w:color="000000" w:fill="FFFFFF"/>
            <w:hideMark/>
          </w:tcPr>
          <w:p w14:paraId="4DC718BE"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Financial Liabilities</w:t>
            </w:r>
          </w:p>
        </w:tc>
      </w:tr>
      <w:tr w:rsidR="00453C4E" w:rsidRPr="00453C4E" w14:paraId="2263DD2E" w14:textId="77777777" w:rsidTr="00453C4E">
        <w:trPr>
          <w:trHeight w:val="800"/>
        </w:trPr>
        <w:tc>
          <w:tcPr>
            <w:tcW w:w="773" w:type="dxa"/>
            <w:tcBorders>
              <w:top w:val="nil"/>
              <w:left w:val="nil"/>
              <w:bottom w:val="nil"/>
              <w:right w:val="nil"/>
            </w:tcBorders>
            <w:shd w:val="clear" w:color="000000" w:fill="FFFFFF"/>
            <w:noWrap/>
            <w:hideMark/>
          </w:tcPr>
          <w:p w14:paraId="1277A5AD"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131B8902"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Financial liabilities are recognised on the statement of financial position when the ICB becomes party to the contractual provisions of the financial instrument or, in the case of trade payables, when the goods or services have been received. Financial liabilities are de-recognised when the liability has been discharged, that is, the liability has been paid or has expired.</w:t>
            </w:r>
          </w:p>
        </w:tc>
      </w:tr>
      <w:tr w:rsidR="00453C4E" w:rsidRPr="00453C4E" w14:paraId="0D70F694" w14:textId="77777777" w:rsidTr="00453C4E">
        <w:trPr>
          <w:trHeight w:val="250"/>
        </w:trPr>
        <w:tc>
          <w:tcPr>
            <w:tcW w:w="773" w:type="dxa"/>
            <w:tcBorders>
              <w:top w:val="nil"/>
              <w:left w:val="nil"/>
              <w:bottom w:val="nil"/>
              <w:right w:val="nil"/>
            </w:tcBorders>
            <w:shd w:val="clear" w:color="000000" w:fill="FFFFFF"/>
            <w:noWrap/>
            <w:hideMark/>
          </w:tcPr>
          <w:p w14:paraId="6C29042D"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7C9223B6"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475275D8" w14:textId="77777777" w:rsidTr="00453C4E">
        <w:trPr>
          <w:trHeight w:val="260"/>
        </w:trPr>
        <w:tc>
          <w:tcPr>
            <w:tcW w:w="773" w:type="dxa"/>
            <w:tcBorders>
              <w:top w:val="nil"/>
              <w:left w:val="nil"/>
              <w:bottom w:val="nil"/>
              <w:right w:val="nil"/>
            </w:tcBorders>
            <w:shd w:val="clear" w:color="000000" w:fill="FFFFFF"/>
            <w:noWrap/>
            <w:hideMark/>
          </w:tcPr>
          <w:p w14:paraId="41B0502D"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1.17</w:t>
            </w:r>
          </w:p>
        </w:tc>
        <w:tc>
          <w:tcPr>
            <w:tcW w:w="9717" w:type="dxa"/>
            <w:tcBorders>
              <w:top w:val="nil"/>
              <w:left w:val="nil"/>
              <w:bottom w:val="nil"/>
              <w:right w:val="nil"/>
            </w:tcBorders>
            <w:shd w:val="clear" w:color="000000" w:fill="FFFFFF"/>
            <w:hideMark/>
          </w:tcPr>
          <w:p w14:paraId="2400A1F8"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Value Added Tax</w:t>
            </w:r>
          </w:p>
        </w:tc>
      </w:tr>
      <w:tr w:rsidR="00453C4E" w:rsidRPr="00453C4E" w14:paraId="40631A42" w14:textId="77777777" w:rsidTr="00453C4E">
        <w:trPr>
          <w:trHeight w:val="750"/>
        </w:trPr>
        <w:tc>
          <w:tcPr>
            <w:tcW w:w="773" w:type="dxa"/>
            <w:tcBorders>
              <w:top w:val="nil"/>
              <w:left w:val="nil"/>
              <w:bottom w:val="nil"/>
              <w:right w:val="nil"/>
            </w:tcBorders>
            <w:shd w:val="clear" w:color="000000" w:fill="FFFFFF"/>
            <w:noWrap/>
            <w:hideMark/>
          </w:tcPr>
          <w:p w14:paraId="417FB5A3"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5B6803B5"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Most of the activities of the ICB are outside the scope of VAT and, in general, output tax does not apply and input tax on purchases is not recoverable. Irrecoverable VAT is charged to the relevant expenditure category or included in the capitalised purchase cost of fixed assets. Where output tax is charged or input VAT is recoverable, the amounts are stated net of VAT.</w:t>
            </w:r>
          </w:p>
        </w:tc>
      </w:tr>
      <w:tr w:rsidR="00453C4E" w:rsidRPr="00453C4E" w14:paraId="73CFB8B9" w14:textId="77777777" w:rsidTr="00453C4E">
        <w:trPr>
          <w:trHeight w:val="250"/>
        </w:trPr>
        <w:tc>
          <w:tcPr>
            <w:tcW w:w="773" w:type="dxa"/>
            <w:tcBorders>
              <w:top w:val="nil"/>
              <w:left w:val="nil"/>
              <w:bottom w:val="nil"/>
              <w:right w:val="nil"/>
            </w:tcBorders>
            <w:shd w:val="clear" w:color="000000" w:fill="FFFFFF"/>
            <w:noWrap/>
            <w:hideMark/>
          </w:tcPr>
          <w:p w14:paraId="34F33835"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71C0281C"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25B144C8" w14:textId="77777777" w:rsidTr="00453C4E">
        <w:trPr>
          <w:trHeight w:val="260"/>
        </w:trPr>
        <w:tc>
          <w:tcPr>
            <w:tcW w:w="773" w:type="dxa"/>
            <w:tcBorders>
              <w:top w:val="nil"/>
              <w:left w:val="nil"/>
              <w:bottom w:val="nil"/>
              <w:right w:val="nil"/>
            </w:tcBorders>
            <w:shd w:val="clear" w:color="000000" w:fill="FFFFFF"/>
            <w:noWrap/>
            <w:hideMark/>
          </w:tcPr>
          <w:p w14:paraId="02EE8979"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1.18</w:t>
            </w:r>
          </w:p>
        </w:tc>
        <w:tc>
          <w:tcPr>
            <w:tcW w:w="9717" w:type="dxa"/>
            <w:tcBorders>
              <w:top w:val="nil"/>
              <w:left w:val="nil"/>
              <w:bottom w:val="nil"/>
              <w:right w:val="nil"/>
            </w:tcBorders>
            <w:shd w:val="clear" w:color="000000" w:fill="FFFFFF"/>
            <w:hideMark/>
          </w:tcPr>
          <w:p w14:paraId="141C889A"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Foreign Currencies</w:t>
            </w:r>
          </w:p>
        </w:tc>
      </w:tr>
      <w:tr w:rsidR="00453C4E" w:rsidRPr="00453C4E" w14:paraId="1019CEEF" w14:textId="77777777" w:rsidTr="00453C4E">
        <w:trPr>
          <w:trHeight w:val="1000"/>
        </w:trPr>
        <w:tc>
          <w:tcPr>
            <w:tcW w:w="773" w:type="dxa"/>
            <w:tcBorders>
              <w:top w:val="nil"/>
              <w:left w:val="nil"/>
              <w:bottom w:val="nil"/>
              <w:right w:val="nil"/>
            </w:tcBorders>
            <w:shd w:val="clear" w:color="000000" w:fill="FFFFFF"/>
            <w:noWrap/>
            <w:hideMark/>
          </w:tcPr>
          <w:p w14:paraId="1CA8660E"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035FDFD0"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The ICB’s functional currency and presentational currency is pounds sterling and amounts are presented in thousands of pounds unless expressly stated otherwise. Transactions denominated in a foreign currency are translated into sterling at the exchange rate ruling on the dates of the transactions. At the end of the reporting period, monetary items denominated in foreign currencies are retranslated at the spot exchange rate on 31 March. Resulting exchange gains and losses for either of these are recognised in the ICB’s surplus/deficit in the period in which they arise.</w:t>
            </w:r>
          </w:p>
        </w:tc>
      </w:tr>
      <w:tr w:rsidR="00453C4E" w:rsidRPr="00453C4E" w14:paraId="5C809217" w14:textId="77777777" w:rsidTr="00453C4E">
        <w:trPr>
          <w:trHeight w:val="250"/>
        </w:trPr>
        <w:tc>
          <w:tcPr>
            <w:tcW w:w="773" w:type="dxa"/>
            <w:tcBorders>
              <w:top w:val="nil"/>
              <w:left w:val="nil"/>
              <w:bottom w:val="nil"/>
              <w:right w:val="nil"/>
            </w:tcBorders>
            <w:shd w:val="clear" w:color="000000" w:fill="FFFFFF"/>
            <w:noWrap/>
            <w:hideMark/>
          </w:tcPr>
          <w:p w14:paraId="49246C48"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155AEE9C"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1388D3D7" w14:textId="77777777" w:rsidTr="00453C4E">
        <w:trPr>
          <w:trHeight w:val="260"/>
        </w:trPr>
        <w:tc>
          <w:tcPr>
            <w:tcW w:w="773" w:type="dxa"/>
            <w:tcBorders>
              <w:top w:val="nil"/>
              <w:left w:val="nil"/>
              <w:bottom w:val="nil"/>
              <w:right w:val="nil"/>
            </w:tcBorders>
            <w:shd w:val="clear" w:color="000000" w:fill="FFFFFF"/>
            <w:noWrap/>
            <w:hideMark/>
          </w:tcPr>
          <w:p w14:paraId="4B7157C5"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1.19</w:t>
            </w:r>
          </w:p>
        </w:tc>
        <w:tc>
          <w:tcPr>
            <w:tcW w:w="9717" w:type="dxa"/>
            <w:tcBorders>
              <w:top w:val="nil"/>
              <w:left w:val="nil"/>
              <w:bottom w:val="nil"/>
              <w:right w:val="nil"/>
            </w:tcBorders>
            <w:shd w:val="clear" w:color="000000" w:fill="FFFFFF"/>
            <w:hideMark/>
          </w:tcPr>
          <w:p w14:paraId="5640EB1E"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Losses &amp; Special Payments</w:t>
            </w:r>
          </w:p>
        </w:tc>
      </w:tr>
      <w:tr w:rsidR="00453C4E" w:rsidRPr="00453C4E" w14:paraId="28F4F655" w14:textId="77777777" w:rsidTr="00453C4E">
        <w:trPr>
          <w:trHeight w:val="780"/>
        </w:trPr>
        <w:tc>
          <w:tcPr>
            <w:tcW w:w="773" w:type="dxa"/>
            <w:tcBorders>
              <w:top w:val="nil"/>
              <w:left w:val="nil"/>
              <w:bottom w:val="nil"/>
              <w:right w:val="nil"/>
            </w:tcBorders>
            <w:shd w:val="clear" w:color="000000" w:fill="FFFFFF"/>
            <w:noWrap/>
            <w:hideMark/>
          </w:tcPr>
          <w:p w14:paraId="03338ED7"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6BFB7644"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Losses and special payments are items that Parliament would not have contemplated when it agreed funds for the health service or passed legislation. By their nature they are items that ideally should not arise. They are therefore subject to special control procedures compared with the generality of payments. They are divided into different categories, which govern the way that individual cases are handled.</w:t>
            </w:r>
          </w:p>
        </w:tc>
      </w:tr>
      <w:tr w:rsidR="00453C4E" w:rsidRPr="00453C4E" w14:paraId="447E000F" w14:textId="77777777" w:rsidTr="00453C4E">
        <w:trPr>
          <w:trHeight w:val="710"/>
        </w:trPr>
        <w:tc>
          <w:tcPr>
            <w:tcW w:w="773" w:type="dxa"/>
            <w:tcBorders>
              <w:top w:val="nil"/>
              <w:left w:val="nil"/>
              <w:bottom w:val="nil"/>
              <w:right w:val="nil"/>
            </w:tcBorders>
            <w:shd w:val="clear" w:color="000000" w:fill="FFFFFF"/>
            <w:noWrap/>
            <w:hideMark/>
          </w:tcPr>
          <w:p w14:paraId="589AED60"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vAlign w:val="center"/>
            <w:hideMark/>
          </w:tcPr>
          <w:p w14:paraId="4A915530"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Losses and special payments are charged to the relevant functional headings in expenditure on an accruals basis, including losses which would have been made good through insurance cover, had the ICB not been bearing its own risks (with insurance premiums then being included as normal revenue expenditure).</w:t>
            </w:r>
          </w:p>
        </w:tc>
      </w:tr>
      <w:tr w:rsidR="00453C4E" w:rsidRPr="00453C4E" w14:paraId="06720685" w14:textId="77777777" w:rsidTr="00453C4E">
        <w:trPr>
          <w:trHeight w:val="250"/>
        </w:trPr>
        <w:tc>
          <w:tcPr>
            <w:tcW w:w="773" w:type="dxa"/>
            <w:tcBorders>
              <w:top w:val="nil"/>
              <w:left w:val="nil"/>
              <w:bottom w:val="nil"/>
              <w:right w:val="nil"/>
            </w:tcBorders>
            <w:shd w:val="clear" w:color="000000" w:fill="FFFFFF"/>
            <w:noWrap/>
            <w:hideMark/>
          </w:tcPr>
          <w:p w14:paraId="30D50F53"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78B9AEC0"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6E61F3F4" w14:textId="77777777" w:rsidTr="00453C4E">
        <w:trPr>
          <w:trHeight w:val="260"/>
        </w:trPr>
        <w:tc>
          <w:tcPr>
            <w:tcW w:w="773" w:type="dxa"/>
            <w:tcBorders>
              <w:top w:val="nil"/>
              <w:left w:val="nil"/>
              <w:bottom w:val="nil"/>
              <w:right w:val="nil"/>
            </w:tcBorders>
            <w:shd w:val="clear" w:color="000000" w:fill="FFFFFF"/>
            <w:noWrap/>
            <w:hideMark/>
          </w:tcPr>
          <w:p w14:paraId="5F70DF13"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1.20</w:t>
            </w:r>
          </w:p>
        </w:tc>
        <w:tc>
          <w:tcPr>
            <w:tcW w:w="9717" w:type="dxa"/>
            <w:tcBorders>
              <w:top w:val="nil"/>
              <w:left w:val="nil"/>
              <w:bottom w:val="nil"/>
              <w:right w:val="nil"/>
            </w:tcBorders>
            <w:shd w:val="clear" w:color="000000" w:fill="FFFFFF"/>
            <w:hideMark/>
          </w:tcPr>
          <w:p w14:paraId="082AD60A"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Critical Accounting Judgements and Key Sources of Estimation Uncertainty</w:t>
            </w:r>
          </w:p>
        </w:tc>
      </w:tr>
      <w:tr w:rsidR="00453C4E" w:rsidRPr="00453C4E" w14:paraId="09DCB8DB" w14:textId="77777777" w:rsidTr="00453C4E">
        <w:trPr>
          <w:trHeight w:val="500"/>
        </w:trPr>
        <w:tc>
          <w:tcPr>
            <w:tcW w:w="773" w:type="dxa"/>
            <w:tcBorders>
              <w:top w:val="nil"/>
              <w:left w:val="nil"/>
              <w:bottom w:val="nil"/>
              <w:right w:val="nil"/>
            </w:tcBorders>
            <w:shd w:val="clear" w:color="000000" w:fill="FFFFFF"/>
            <w:noWrap/>
            <w:hideMark/>
          </w:tcPr>
          <w:p w14:paraId="3ED8CBEE"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1E143FB5"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In the application of the ICB's accounting policies, management is required to make various judgements, estimates and assumptions.  These are regularly reviewed.</w:t>
            </w:r>
          </w:p>
        </w:tc>
      </w:tr>
      <w:tr w:rsidR="00453C4E" w:rsidRPr="00453C4E" w14:paraId="5FEAD9D9" w14:textId="77777777" w:rsidTr="00453C4E">
        <w:trPr>
          <w:trHeight w:val="250"/>
        </w:trPr>
        <w:tc>
          <w:tcPr>
            <w:tcW w:w="773" w:type="dxa"/>
            <w:tcBorders>
              <w:top w:val="nil"/>
              <w:left w:val="nil"/>
              <w:bottom w:val="nil"/>
              <w:right w:val="nil"/>
            </w:tcBorders>
            <w:shd w:val="clear" w:color="000000" w:fill="FFFFFF"/>
            <w:noWrap/>
            <w:hideMark/>
          </w:tcPr>
          <w:p w14:paraId="73AC6294"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374EAA5F"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7AEE0969" w14:textId="77777777" w:rsidTr="00453C4E">
        <w:trPr>
          <w:trHeight w:val="260"/>
        </w:trPr>
        <w:tc>
          <w:tcPr>
            <w:tcW w:w="773" w:type="dxa"/>
            <w:tcBorders>
              <w:top w:val="nil"/>
              <w:left w:val="nil"/>
              <w:bottom w:val="nil"/>
              <w:right w:val="nil"/>
            </w:tcBorders>
            <w:shd w:val="clear" w:color="000000" w:fill="FFFFFF"/>
            <w:noWrap/>
            <w:hideMark/>
          </w:tcPr>
          <w:p w14:paraId="4FB443C8"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1.20.1</w:t>
            </w:r>
          </w:p>
        </w:tc>
        <w:tc>
          <w:tcPr>
            <w:tcW w:w="9717" w:type="dxa"/>
            <w:tcBorders>
              <w:top w:val="nil"/>
              <w:left w:val="nil"/>
              <w:bottom w:val="nil"/>
              <w:right w:val="nil"/>
            </w:tcBorders>
            <w:shd w:val="clear" w:color="000000" w:fill="FFFFFF"/>
            <w:hideMark/>
          </w:tcPr>
          <w:p w14:paraId="5199235A"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Critical Accounting Judgements in Applying Accounting Policies</w:t>
            </w:r>
          </w:p>
        </w:tc>
      </w:tr>
      <w:tr w:rsidR="00453C4E" w:rsidRPr="00453C4E" w14:paraId="15EF2BFF" w14:textId="77777777" w:rsidTr="00453C4E">
        <w:trPr>
          <w:trHeight w:val="500"/>
        </w:trPr>
        <w:tc>
          <w:tcPr>
            <w:tcW w:w="773" w:type="dxa"/>
            <w:tcBorders>
              <w:top w:val="nil"/>
              <w:left w:val="nil"/>
              <w:bottom w:val="nil"/>
              <w:right w:val="nil"/>
            </w:tcBorders>
            <w:shd w:val="clear" w:color="000000" w:fill="FFFFFF"/>
            <w:noWrap/>
            <w:hideMark/>
          </w:tcPr>
          <w:p w14:paraId="18EBF98F"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vAlign w:val="bottom"/>
            <w:hideMark/>
          </w:tcPr>
          <w:p w14:paraId="2FD19288"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xml:space="preserve">The following are the judgements, apart from those involving estimations, that management has made in the process of applying the ICB's accounting policies and that have the most significant effect on the amounts recognised in the financial statements. </w:t>
            </w:r>
          </w:p>
        </w:tc>
      </w:tr>
      <w:tr w:rsidR="00453C4E" w:rsidRPr="00453C4E" w14:paraId="616A397F" w14:textId="77777777" w:rsidTr="00453C4E">
        <w:trPr>
          <w:trHeight w:val="800"/>
        </w:trPr>
        <w:tc>
          <w:tcPr>
            <w:tcW w:w="773" w:type="dxa"/>
            <w:tcBorders>
              <w:top w:val="nil"/>
              <w:left w:val="nil"/>
              <w:bottom w:val="nil"/>
              <w:right w:val="nil"/>
            </w:tcBorders>
            <w:shd w:val="clear" w:color="000000" w:fill="FFFFFF"/>
            <w:noWrap/>
            <w:hideMark/>
          </w:tcPr>
          <w:p w14:paraId="13779F25"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vAlign w:val="center"/>
            <w:hideMark/>
          </w:tcPr>
          <w:p w14:paraId="6F21092F" w14:textId="4FEE5155"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The ICB has operated Better Care Funds with Essex County Council, Southend City Council and Thurrock Council during 2023-24, under section 75 agreements. These arrangement</w:t>
            </w:r>
            <w:r w:rsidR="000A311D">
              <w:rPr>
                <w:rFonts w:eastAsia="Times New Roman" w:cs="Arial"/>
                <w:sz w:val="20"/>
                <w:szCs w:val="20"/>
                <w:lang w:eastAsia="en-GB"/>
              </w:rPr>
              <w:t>s</w:t>
            </w:r>
            <w:r w:rsidRPr="00453C4E">
              <w:rPr>
                <w:rFonts w:eastAsia="Times New Roman" w:cs="Arial"/>
                <w:sz w:val="20"/>
                <w:szCs w:val="20"/>
                <w:lang w:eastAsia="en-GB"/>
              </w:rPr>
              <w:t xml:space="preserve"> ha</w:t>
            </w:r>
            <w:r w:rsidR="00F96F19">
              <w:rPr>
                <w:rFonts w:eastAsia="Times New Roman" w:cs="Arial"/>
                <w:sz w:val="20"/>
                <w:szCs w:val="20"/>
                <w:lang w:eastAsia="en-GB"/>
              </w:rPr>
              <w:t>ve</w:t>
            </w:r>
            <w:r w:rsidRPr="00453C4E">
              <w:rPr>
                <w:rFonts w:eastAsia="Times New Roman" w:cs="Arial"/>
                <w:sz w:val="20"/>
                <w:szCs w:val="20"/>
                <w:lang w:eastAsia="en-GB"/>
              </w:rPr>
              <w:t xml:space="preserve"> been reviewed and all parties have agreed these do not constitute pooled budgets, as the risks of each scheme have remained with the respective commissioner. See Note 18 for further information.</w:t>
            </w:r>
          </w:p>
        </w:tc>
      </w:tr>
      <w:tr w:rsidR="00453C4E" w:rsidRPr="00453C4E" w14:paraId="4E24713C" w14:textId="77777777" w:rsidTr="00453C4E">
        <w:trPr>
          <w:trHeight w:val="250"/>
        </w:trPr>
        <w:tc>
          <w:tcPr>
            <w:tcW w:w="773" w:type="dxa"/>
            <w:tcBorders>
              <w:top w:val="nil"/>
              <w:left w:val="nil"/>
              <w:bottom w:val="nil"/>
              <w:right w:val="nil"/>
            </w:tcBorders>
            <w:shd w:val="clear" w:color="000000" w:fill="FFFFFF"/>
            <w:noWrap/>
            <w:hideMark/>
          </w:tcPr>
          <w:p w14:paraId="432CACDB"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23F020BB"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7913A321" w14:textId="77777777" w:rsidTr="00453C4E">
        <w:trPr>
          <w:trHeight w:val="260"/>
        </w:trPr>
        <w:tc>
          <w:tcPr>
            <w:tcW w:w="773" w:type="dxa"/>
            <w:tcBorders>
              <w:top w:val="nil"/>
              <w:left w:val="nil"/>
              <w:bottom w:val="nil"/>
              <w:right w:val="nil"/>
            </w:tcBorders>
            <w:shd w:val="clear" w:color="000000" w:fill="FFFFFF"/>
            <w:noWrap/>
            <w:hideMark/>
          </w:tcPr>
          <w:p w14:paraId="6718F9B0"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1.20.2</w:t>
            </w:r>
          </w:p>
        </w:tc>
        <w:tc>
          <w:tcPr>
            <w:tcW w:w="9717" w:type="dxa"/>
            <w:tcBorders>
              <w:top w:val="nil"/>
              <w:left w:val="nil"/>
              <w:bottom w:val="nil"/>
              <w:right w:val="nil"/>
            </w:tcBorders>
            <w:shd w:val="clear" w:color="000000" w:fill="FFFFFF"/>
            <w:hideMark/>
          </w:tcPr>
          <w:p w14:paraId="442FCE8C"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Sources of Estimation Uncertainty</w:t>
            </w:r>
          </w:p>
        </w:tc>
      </w:tr>
      <w:tr w:rsidR="00453C4E" w:rsidRPr="00453C4E" w14:paraId="595BA47D" w14:textId="77777777" w:rsidTr="00453C4E">
        <w:trPr>
          <w:trHeight w:val="520"/>
        </w:trPr>
        <w:tc>
          <w:tcPr>
            <w:tcW w:w="773" w:type="dxa"/>
            <w:tcBorders>
              <w:top w:val="nil"/>
              <w:left w:val="nil"/>
              <w:bottom w:val="nil"/>
              <w:right w:val="nil"/>
            </w:tcBorders>
            <w:shd w:val="clear" w:color="000000" w:fill="FFFFFF"/>
            <w:noWrap/>
            <w:hideMark/>
          </w:tcPr>
          <w:p w14:paraId="016613C4"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vAlign w:val="center"/>
            <w:hideMark/>
          </w:tcPr>
          <w:p w14:paraId="4410F389"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The following are assumptions about the future and other major sources of estimation uncertainty that have a significant risk of resulting in a material adjustment to the carrying amounts of assets and liabilities within the next financial year.</w:t>
            </w:r>
          </w:p>
        </w:tc>
      </w:tr>
      <w:tr w:rsidR="00453C4E" w:rsidRPr="00453C4E" w14:paraId="2BF574C5" w14:textId="77777777" w:rsidTr="00453C4E">
        <w:trPr>
          <w:trHeight w:val="780"/>
        </w:trPr>
        <w:tc>
          <w:tcPr>
            <w:tcW w:w="773" w:type="dxa"/>
            <w:tcBorders>
              <w:top w:val="nil"/>
              <w:left w:val="nil"/>
              <w:bottom w:val="nil"/>
              <w:right w:val="nil"/>
            </w:tcBorders>
            <w:shd w:val="clear" w:color="000000" w:fill="FFFFFF"/>
            <w:noWrap/>
            <w:hideMark/>
          </w:tcPr>
          <w:p w14:paraId="2BC22CEC"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vAlign w:val="center"/>
            <w:hideMark/>
          </w:tcPr>
          <w:p w14:paraId="53422796"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Prescribing Creditor - The charges are a combination of Prescription Pricing Authority reporting currently having a time lag of two months which generates the main proportion of the balance and the time lag of the cash advance payments for prescribed drugs. The accrual is based on the estimated balance for 2023-24 that will be payable in 2024-25.</w:t>
            </w:r>
          </w:p>
        </w:tc>
      </w:tr>
      <w:tr w:rsidR="00453C4E" w:rsidRPr="00453C4E" w14:paraId="1B79F3AD" w14:textId="77777777" w:rsidTr="00453C4E">
        <w:trPr>
          <w:trHeight w:val="250"/>
        </w:trPr>
        <w:tc>
          <w:tcPr>
            <w:tcW w:w="773" w:type="dxa"/>
            <w:tcBorders>
              <w:top w:val="nil"/>
              <w:left w:val="nil"/>
              <w:bottom w:val="nil"/>
              <w:right w:val="nil"/>
            </w:tcBorders>
            <w:shd w:val="clear" w:color="000000" w:fill="FFFFFF"/>
            <w:noWrap/>
            <w:hideMark/>
          </w:tcPr>
          <w:p w14:paraId="028D63CA"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 </w:t>
            </w:r>
          </w:p>
        </w:tc>
        <w:tc>
          <w:tcPr>
            <w:tcW w:w="9717" w:type="dxa"/>
            <w:tcBorders>
              <w:top w:val="nil"/>
              <w:left w:val="nil"/>
              <w:bottom w:val="nil"/>
              <w:right w:val="nil"/>
            </w:tcBorders>
            <w:shd w:val="clear" w:color="000000" w:fill="FFFFFF"/>
            <w:hideMark/>
          </w:tcPr>
          <w:p w14:paraId="0539F508"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w:t>
            </w:r>
          </w:p>
        </w:tc>
      </w:tr>
      <w:tr w:rsidR="00453C4E" w:rsidRPr="00453C4E" w14:paraId="37A53CF3" w14:textId="77777777" w:rsidTr="00453C4E">
        <w:trPr>
          <w:trHeight w:val="260"/>
        </w:trPr>
        <w:tc>
          <w:tcPr>
            <w:tcW w:w="773" w:type="dxa"/>
            <w:tcBorders>
              <w:top w:val="nil"/>
              <w:left w:val="nil"/>
              <w:bottom w:val="nil"/>
              <w:right w:val="nil"/>
            </w:tcBorders>
            <w:shd w:val="clear" w:color="auto" w:fill="auto"/>
            <w:noWrap/>
            <w:hideMark/>
          </w:tcPr>
          <w:p w14:paraId="3085EE0F" w14:textId="77777777" w:rsidR="00453C4E" w:rsidRPr="00453C4E" w:rsidRDefault="00453C4E" w:rsidP="00453C4E">
            <w:pPr>
              <w:spacing w:before="0" w:after="0"/>
              <w:jc w:val="right"/>
              <w:rPr>
                <w:rFonts w:eastAsia="Times New Roman" w:cs="Arial"/>
                <w:sz w:val="20"/>
                <w:szCs w:val="20"/>
                <w:lang w:eastAsia="en-GB"/>
              </w:rPr>
            </w:pPr>
            <w:r w:rsidRPr="00453C4E">
              <w:rPr>
                <w:rFonts w:eastAsia="Times New Roman" w:cs="Arial"/>
                <w:sz w:val="20"/>
                <w:szCs w:val="20"/>
                <w:lang w:eastAsia="en-GB"/>
              </w:rPr>
              <w:t>1.21</w:t>
            </w:r>
          </w:p>
        </w:tc>
        <w:tc>
          <w:tcPr>
            <w:tcW w:w="9717" w:type="dxa"/>
            <w:tcBorders>
              <w:top w:val="nil"/>
              <w:left w:val="nil"/>
              <w:bottom w:val="nil"/>
              <w:right w:val="nil"/>
            </w:tcBorders>
            <w:shd w:val="clear" w:color="auto" w:fill="auto"/>
            <w:hideMark/>
          </w:tcPr>
          <w:p w14:paraId="1D0A8536" w14:textId="77777777" w:rsidR="00453C4E" w:rsidRPr="00453C4E" w:rsidRDefault="00453C4E" w:rsidP="00453C4E">
            <w:pPr>
              <w:spacing w:before="0" w:after="0"/>
              <w:rPr>
                <w:rFonts w:eastAsia="Times New Roman" w:cs="Arial"/>
                <w:b/>
                <w:bCs/>
                <w:sz w:val="20"/>
                <w:szCs w:val="20"/>
                <w:lang w:eastAsia="en-GB"/>
              </w:rPr>
            </w:pPr>
            <w:r w:rsidRPr="00453C4E">
              <w:rPr>
                <w:rFonts w:eastAsia="Times New Roman" w:cs="Arial"/>
                <w:b/>
                <w:bCs/>
                <w:sz w:val="20"/>
                <w:szCs w:val="20"/>
                <w:lang w:eastAsia="en-GB"/>
              </w:rPr>
              <w:t>New and Revised IFRS Standards In Issue but Not Yet Effective</w:t>
            </w:r>
          </w:p>
        </w:tc>
      </w:tr>
      <w:tr w:rsidR="00453C4E" w:rsidRPr="00453C4E" w14:paraId="185A58EC" w14:textId="77777777" w:rsidTr="00453C4E">
        <w:trPr>
          <w:trHeight w:val="500"/>
        </w:trPr>
        <w:tc>
          <w:tcPr>
            <w:tcW w:w="773" w:type="dxa"/>
            <w:tcBorders>
              <w:top w:val="nil"/>
              <w:left w:val="nil"/>
              <w:bottom w:val="nil"/>
              <w:right w:val="nil"/>
            </w:tcBorders>
            <w:shd w:val="clear" w:color="auto" w:fill="auto"/>
            <w:noWrap/>
            <w:hideMark/>
          </w:tcPr>
          <w:p w14:paraId="59200DAE" w14:textId="77777777" w:rsidR="00453C4E" w:rsidRPr="00453C4E" w:rsidRDefault="00453C4E" w:rsidP="00453C4E">
            <w:pPr>
              <w:spacing w:before="0" w:after="0"/>
              <w:rPr>
                <w:rFonts w:eastAsia="Times New Roman" w:cs="Arial"/>
                <w:b/>
                <w:bCs/>
                <w:sz w:val="20"/>
                <w:szCs w:val="20"/>
                <w:lang w:eastAsia="en-GB"/>
              </w:rPr>
            </w:pPr>
          </w:p>
        </w:tc>
        <w:tc>
          <w:tcPr>
            <w:tcW w:w="9717" w:type="dxa"/>
            <w:tcBorders>
              <w:top w:val="nil"/>
              <w:left w:val="nil"/>
              <w:bottom w:val="nil"/>
              <w:right w:val="nil"/>
            </w:tcBorders>
            <w:shd w:val="clear" w:color="auto" w:fill="auto"/>
            <w:hideMark/>
          </w:tcPr>
          <w:p w14:paraId="3DB9B4D0"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IFRS 14 Regulatory Deferral Accounts – Not UK-endorsed. Applies to first time adopters of IFRS after 1 January 2016. Therefore, not applicable to DHSC group bodies.</w:t>
            </w:r>
          </w:p>
        </w:tc>
      </w:tr>
      <w:tr w:rsidR="00453C4E" w:rsidRPr="00453C4E" w14:paraId="5099D601" w14:textId="77777777" w:rsidTr="00453C4E">
        <w:trPr>
          <w:trHeight w:val="500"/>
        </w:trPr>
        <w:tc>
          <w:tcPr>
            <w:tcW w:w="773" w:type="dxa"/>
            <w:tcBorders>
              <w:top w:val="nil"/>
              <w:left w:val="nil"/>
              <w:bottom w:val="nil"/>
              <w:right w:val="nil"/>
            </w:tcBorders>
            <w:shd w:val="clear" w:color="auto" w:fill="auto"/>
            <w:noWrap/>
            <w:hideMark/>
          </w:tcPr>
          <w:p w14:paraId="5D12028A" w14:textId="77777777" w:rsidR="00453C4E" w:rsidRPr="00453C4E" w:rsidRDefault="00453C4E" w:rsidP="00453C4E">
            <w:pPr>
              <w:spacing w:before="0" w:after="0"/>
              <w:rPr>
                <w:rFonts w:eastAsia="Times New Roman" w:cs="Arial"/>
                <w:sz w:val="20"/>
                <w:szCs w:val="20"/>
                <w:lang w:eastAsia="en-GB"/>
              </w:rPr>
            </w:pPr>
          </w:p>
        </w:tc>
        <w:tc>
          <w:tcPr>
            <w:tcW w:w="9717" w:type="dxa"/>
            <w:tcBorders>
              <w:top w:val="nil"/>
              <w:left w:val="nil"/>
              <w:bottom w:val="nil"/>
              <w:right w:val="nil"/>
            </w:tcBorders>
            <w:shd w:val="clear" w:color="auto" w:fill="auto"/>
            <w:hideMark/>
          </w:tcPr>
          <w:p w14:paraId="16F859CD"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IFRS 17 Insurance Contracts – Application required for accounting periods beginning on or after 1 January 2021. Standard is not yet adopted by the FReM which is expected to be April 2025: early adoption is not therefore permitted.</w:t>
            </w:r>
          </w:p>
        </w:tc>
      </w:tr>
      <w:tr w:rsidR="00453C4E" w:rsidRPr="00453C4E" w14:paraId="12F8E154" w14:textId="77777777" w:rsidTr="00453C4E">
        <w:trPr>
          <w:trHeight w:val="400"/>
        </w:trPr>
        <w:tc>
          <w:tcPr>
            <w:tcW w:w="773" w:type="dxa"/>
            <w:tcBorders>
              <w:top w:val="nil"/>
              <w:left w:val="nil"/>
              <w:bottom w:val="nil"/>
              <w:right w:val="nil"/>
            </w:tcBorders>
            <w:shd w:val="clear" w:color="auto" w:fill="auto"/>
            <w:noWrap/>
            <w:hideMark/>
          </w:tcPr>
          <w:p w14:paraId="38B3B79C" w14:textId="77777777" w:rsidR="00453C4E" w:rsidRPr="00453C4E" w:rsidRDefault="00453C4E" w:rsidP="00453C4E">
            <w:pPr>
              <w:spacing w:before="0" w:after="0"/>
              <w:rPr>
                <w:rFonts w:eastAsia="Times New Roman" w:cs="Arial"/>
                <w:sz w:val="20"/>
                <w:szCs w:val="20"/>
                <w:lang w:eastAsia="en-GB"/>
              </w:rPr>
            </w:pPr>
          </w:p>
        </w:tc>
        <w:tc>
          <w:tcPr>
            <w:tcW w:w="9717" w:type="dxa"/>
            <w:tcBorders>
              <w:top w:val="nil"/>
              <w:left w:val="nil"/>
              <w:bottom w:val="nil"/>
              <w:right w:val="nil"/>
            </w:tcBorders>
            <w:shd w:val="clear" w:color="auto" w:fill="auto"/>
            <w:vAlign w:val="center"/>
            <w:hideMark/>
          </w:tcPr>
          <w:p w14:paraId="6197ADF1" w14:textId="77777777" w:rsidR="00453C4E" w:rsidRPr="00453C4E" w:rsidRDefault="00453C4E" w:rsidP="00453C4E">
            <w:pPr>
              <w:spacing w:before="0" w:after="0"/>
              <w:rPr>
                <w:rFonts w:eastAsia="Times New Roman" w:cs="Arial"/>
                <w:color w:val="000000"/>
                <w:sz w:val="20"/>
                <w:szCs w:val="20"/>
                <w:lang w:eastAsia="en-GB"/>
              </w:rPr>
            </w:pPr>
            <w:r w:rsidRPr="00453C4E">
              <w:rPr>
                <w:rFonts w:eastAsia="Times New Roman" w:cs="Arial"/>
                <w:color w:val="000000"/>
                <w:sz w:val="20"/>
                <w:szCs w:val="20"/>
                <w:lang w:eastAsia="en-GB"/>
              </w:rPr>
              <w:t>The ICB does not anticipate any significant impact from the above Standards, that have not yet been adopted.</w:t>
            </w:r>
          </w:p>
        </w:tc>
      </w:tr>
      <w:tr w:rsidR="00453C4E" w:rsidRPr="00453C4E" w14:paraId="73A23B73" w14:textId="77777777" w:rsidTr="00453C4E">
        <w:trPr>
          <w:trHeight w:val="580"/>
        </w:trPr>
        <w:tc>
          <w:tcPr>
            <w:tcW w:w="773" w:type="dxa"/>
            <w:tcBorders>
              <w:top w:val="nil"/>
              <w:left w:val="nil"/>
              <w:bottom w:val="nil"/>
              <w:right w:val="nil"/>
            </w:tcBorders>
            <w:shd w:val="clear" w:color="auto" w:fill="auto"/>
            <w:noWrap/>
            <w:hideMark/>
          </w:tcPr>
          <w:p w14:paraId="70E900C5" w14:textId="77777777" w:rsidR="00453C4E" w:rsidRPr="00453C4E" w:rsidRDefault="00453C4E" w:rsidP="00453C4E">
            <w:pPr>
              <w:spacing w:before="0" w:after="0"/>
              <w:rPr>
                <w:rFonts w:eastAsia="Times New Roman" w:cs="Arial"/>
                <w:color w:val="000000"/>
                <w:sz w:val="20"/>
                <w:szCs w:val="20"/>
                <w:lang w:eastAsia="en-GB"/>
              </w:rPr>
            </w:pPr>
          </w:p>
        </w:tc>
        <w:tc>
          <w:tcPr>
            <w:tcW w:w="9717" w:type="dxa"/>
            <w:tcBorders>
              <w:top w:val="nil"/>
              <w:left w:val="nil"/>
              <w:bottom w:val="nil"/>
              <w:right w:val="nil"/>
            </w:tcBorders>
            <w:shd w:val="clear" w:color="auto" w:fill="auto"/>
            <w:hideMark/>
          </w:tcPr>
          <w:p w14:paraId="35CF7AAE" w14:textId="77777777" w:rsidR="00453C4E" w:rsidRPr="00453C4E" w:rsidRDefault="00453C4E" w:rsidP="00453C4E">
            <w:pPr>
              <w:spacing w:before="0" w:after="0"/>
              <w:rPr>
                <w:rFonts w:eastAsia="Times New Roman" w:cs="Arial"/>
                <w:sz w:val="20"/>
                <w:szCs w:val="20"/>
                <w:lang w:eastAsia="en-GB"/>
              </w:rPr>
            </w:pPr>
            <w:r w:rsidRPr="00453C4E">
              <w:rPr>
                <w:rFonts w:eastAsia="Times New Roman" w:cs="Arial"/>
                <w:sz w:val="20"/>
                <w:szCs w:val="20"/>
                <w:lang w:eastAsia="en-GB"/>
              </w:rPr>
              <w:t>● IFRS 18 was issued in April 2024 and applies to periods beginning on or after 1 January 2027. The standard has not yet been adopted by FRAB for inclusion within the FREM and therefore it is not yet possible to confirm how this will impact on our accounts in the future.</w:t>
            </w:r>
          </w:p>
        </w:tc>
      </w:tr>
    </w:tbl>
    <w:p w14:paraId="20D68B15" w14:textId="4233F240" w:rsidR="006A4BC0" w:rsidRDefault="006A4BC0" w:rsidP="00C70A7F">
      <w:pPr>
        <w:spacing w:before="0" w:after="200" w:line="276" w:lineRule="auto"/>
      </w:pPr>
    </w:p>
    <w:p w14:paraId="5DE1552B" w14:textId="77777777" w:rsidR="006A4BC0" w:rsidRDefault="006A4BC0">
      <w:pPr>
        <w:spacing w:before="0" w:after="200" w:line="276" w:lineRule="auto"/>
      </w:pPr>
      <w:r>
        <w:br w:type="page"/>
      </w:r>
    </w:p>
    <w:tbl>
      <w:tblPr>
        <w:tblW w:w="10495" w:type="dxa"/>
        <w:tblLook w:val="04A0" w:firstRow="1" w:lastRow="0" w:firstColumn="1" w:lastColumn="0" w:noHBand="0" w:noVBand="1"/>
      </w:tblPr>
      <w:tblGrid>
        <w:gridCol w:w="2977"/>
        <w:gridCol w:w="949"/>
        <w:gridCol w:w="1603"/>
        <w:gridCol w:w="272"/>
        <w:gridCol w:w="1383"/>
        <w:gridCol w:w="272"/>
        <w:gridCol w:w="1294"/>
        <w:gridCol w:w="11"/>
        <w:gridCol w:w="261"/>
        <w:gridCol w:w="11"/>
        <w:gridCol w:w="1229"/>
        <w:gridCol w:w="11"/>
        <w:gridCol w:w="211"/>
        <w:gridCol w:w="11"/>
      </w:tblGrid>
      <w:tr w:rsidR="008470B1" w:rsidRPr="006A4BC0" w14:paraId="441FBF72" w14:textId="77777777" w:rsidTr="005900F9">
        <w:trPr>
          <w:gridAfter w:val="3"/>
          <w:wAfter w:w="233" w:type="dxa"/>
          <w:trHeight w:val="260"/>
        </w:trPr>
        <w:tc>
          <w:tcPr>
            <w:tcW w:w="10262" w:type="dxa"/>
            <w:gridSpan w:val="11"/>
            <w:tcBorders>
              <w:top w:val="nil"/>
              <w:left w:val="nil"/>
              <w:bottom w:val="nil"/>
              <w:right w:val="nil"/>
            </w:tcBorders>
            <w:shd w:val="clear" w:color="auto" w:fill="auto"/>
            <w:noWrap/>
            <w:vAlign w:val="bottom"/>
            <w:hideMark/>
          </w:tcPr>
          <w:p w14:paraId="21F4B711" w14:textId="0CEB6021" w:rsidR="008470B1" w:rsidRPr="006A4BC0" w:rsidRDefault="008470B1" w:rsidP="006A4BC0">
            <w:pPr>
              <w:spacing w:before="0" w:after="0"/>
              <w:rPr>
                <w:rFonts w:eastAsia="Times New Roman" w:cs="Arial"/>
                <w:i/>
                <w:iCs/>
                <w:sz w:val="20"/>
                <w:szCs w:val="20"/>
                <w:lang w:eastAsia="en-GB"/>
              </w:rPr>
            </w:pPr>
            <w:r w:rsidRPr="006A4BC0">
              <w:rPr>
                <w:rFonts w:eastAsia="Times New Roman" w:cs="Arial"/>
                <w:i/>
                <w:iCs/>
                <w:sz w:val="20"/>
                <w:szCs w:val="20"/>
                <w:lang w:eastAsia="en-GB"/>
              </w:rPr>
              <w:lastRenderedPageBreak/>
              <w:t>NHS Mid and South Essex Integrated Care Board - Statutory Accounts 2023-24</w:t>
            </w:r>
          </w:p>
        </w:tc>
      </w:tr>
      <w:tr w:rsidR="006A4BC0" w:rsidRPr="006A4BC0" w14:paraId="18686CA8" w14:textId="77777777" w:rsidTr="008470B1">
        <w:trPr>
          <w:gridAfter w:val="3"/>
          <w:wAfter w:w="233" w:type="dxa"/>
          <w:trHeight w:val="260"/>
        </w:trPr>
        <w:tc>
          <w:tcPr>
            <w:tcW w:w="2977" w:type="dxa"/>
            <w:tcBorders>
              <w:top w:val="nil"/>
              <w:left w:val="nil"/>
              <w:bottom w:val="nil"/>
              <w:right w:val="nil"/>
            </w:tcBorders>
            <w:shd w:val="clear" w:color="000000" w:fill="FFFFFF"/>
            <w:noWrap/>
            <w:vAlign w:val="bottom"/>
            <w:hideMark/>
          </w:tcPr>
          <w:p w14:paraId="11006211"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949" w:type="dxa"/>
            <w:tcBorders>
              <w:top w:val="nil"/>
              <w:left w:val="nil"/>
              <w:bottom w:val="nil"/>
              <w:right w:val="nil"/>
            </w:tcBorders>
            <w:shd w:val="clear" w:color="000000" w:fill="FFFFFF"/>
            <w:noWrap/>
            <w:vAlign w:val="bottom"/>
            <w:hideMark/>
          </w:tcPr>
          <w:p w14:paraId="56BEDDFF"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603" w:type="dxa"/>
            <w:tcBorders>
              <w:top w:val="nil"/>
              <w:left w:val="nil"/>
              <w:bottom w:val="nil"/>
              <w:right w:val="nil"/>
            </w:tcBorders>
            <w:shd w:val="clear" w:color="000000" w:fill="FFFFFF"/>
            <w:noWrap/>
            <w:vAlign w:val="bottom"/>
            <w:hideMark/>
          </w:tcPr>
          <w:p w14:paraId="735765D6"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AEAB9A6"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nil"/>
              <w:left w:val="nil"/>
              <w:bottom w:val="nil"/>
              <w:right w:val="nil"/>
            </w:tcBorders>
            <w:shd w:val="clear" w:color="000000" w:fill="FFFFFF"/>
            <w:noWrap/>
            <w:vAlign w:val="bottom"/>
            <w:hideMark/>
          </w:tcPr>
          <w:p w14:paraId="19E11FB3"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C89DC62"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94" w:type="dxa"/>
            <w:tcBorders>
              <w:top w:val="nil"/>
              <w:left w:val="nil"/>
              <w:bottom w:val="nil"/>
              <w:right w:val="nil"/>
            </w:tcBorders>
            <w:shd w:val="clear" w:color="000000" w:fill="FFFFFF"/>
            <w:noWrap/>
            <w:vAlign w:val="bottom"/>
            <w:hideMark/>
          </w:tcPr>
          <w:p w14:paraId="7FD88AF1"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31573CC2"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40" w:type="dxa"/>
            <w:gridSpan w:val="2"/>
            <w:tcBorders>
              <w:top w:val="nil"/>
              <w:left w:val="nil"/>
              <w:bottom w:val="nil"/>
              <w:right w:val="nil"/>
            </w:tcBorders>
            <w:shd w:val="clear" w:color="000000" w:fill="FFFFFF"/>
            <w:noWrap/>
            <w:vAlign w:val="bottom"/>
            <w:hideMark/>
          </w:tcPr>
          <w:p w14:paraId="7AC2A608" w14:textId="77777777" w:rsidR="006A4BC0" w:rsidRPr="006A4BC0" w:rsidRDefault="006A4BC0" w:rsidP="006A4BC0">
            <w:pPr>
              <w:spacing w:before="0" w:after="0"/>
              <w:rPr>
                <w:rFonts w:eastAsia="Times New Roman" w:cs="Arial"/>
                <w:b/>
                <w:bCs/>
                <w:sz w:val="20"/>
                <w:szCs w:val="20"/>
                <w:lang w:eastAsia="en-GB"/>
              </w:rPr>
            </w:pPr>
            <w:r w:rsidRPr="006A4BC0">
              <w:rPr>
                <w:rFonts w:eastAsia="Times New Roman" w:cs="Arial"/>
                <w:b/>
                <w:bCs/>
                <w:sz w:val="20"/>
                <w:szCs w:val="20"/>
                <w:lang w:eastAsia="en-GB"/>
              </w:rPr>
              <w:t> </w:t>
            </w:r>
          </w:p>
        </w:tc>
      </w:tr>
      <w:tr w:rsidR="006A4BC0" w:rsidRPr="006A4BC0" w14:paraId="49D79BBF" w14:textId="77777777" w:rsidTr="008470B1">
        <w:trPr>
          <w:gridAfter w:val="3"/>
          <w:wAfter w:w="233" w:type="dxa"/>
          <w:trHeight w:val="260"/>
        </w:trPr>
        <w:tc>
          <w:tcPr>
            <w:tcW w:w="2977" w:type="dxa"/>
            <w:tcBorders>
              <w:top w:val="nil"/>
              <w:left w:val="nil"/>
              <w:bottom w:val="nil"/>
              <w:right w:val="nil"/>
            </w:tcBorders>
            <w:shd w:val="clear" w:color="000000" w:fill="FFFFFF"/>
            <w:noWrap/>
            <w:vAlign w:val="bottom"/>
            <w:hideMark/>
          </w:tcPr>
          <w:p w14:paraId="791D244C" w14:textId="77777777" w:rsidR="006A4BC0" w:rsidRPr="006A4BC0" w:rsidRDefault="006A4BC0" w:rsidP="006A4BC0">
            <w:pPr>
              <w:spacing w:before="0" w:after="0"/>
              <w:rPr>
                <w:rFonts w:eastAsia="Times New Roman" w:cs="Arial"/>
                <w:b/>
                <w:bCs/>
                <w:sz w:val="20"/>
                <w:szCs w:val="20"/>
                <w:lang w:eastAsia="en-GB"/>
              </w:rPr>
            </w:pPr>
            <w:r w:rsidRPr="006A4BC0">
              <w:rPr>
                <w:rFonts w:eastAsia="Times New Roman" w:cs="Arial"/>
                <w:b/>
                <w:bCs/>
                <w:sz w:val="20"/>
                <w:szCs w:val="20"/>
                <w:lang w:eastAsia="en-GB"/>
              </w:rPr>
              <w:t>2 Operating Revenue</w:t>
            </w:r>
          </w:p>
        </w:tc>
        <w:tc>
          <w:tcPr>
            <w:tcW w:w="949" w:type="dxa"/>
            <w:tcBorders>
              <w:top w:val="nil"/>
              <w:left w:val="nil"/>
              <w:bottom w:val="nil"/>
              <w:right w:val="nil"/>
            </w:tcBorders>
            <w:shd w:val="clear" w:color="000000" w:fill="FFFFFF"/>
            <w:noWrap/>
            <w:vAlign w:val="bottom"/>
            <w:hideMark/>
          </w:tcPr>
          <w:p w14:paraId="6E066B72" w14:textId="77777777" w:rsidR="006A4BC0" w:rsidRPr="006A4BC0" w:rsidRDefault="006A4BC0" w:rsidP="006A4BC0">
            <w:pPr>
              <w:spacing w:before="0" w:after="0"/>
              <w:rPr>
                <w:rFonts w:eastAsia="Times New Roman" w:cs="Arial"/>
                <w:b/>
                <w:bCs/>
                <w:sz w:val="20"/>
                <w:szCs w:val="20"/>
                <w:lang w:eastAsia="en-GB"/>
              </w:rPr>
            </w:pPr>
            <w:r w:rsidRPr="006A4BC0">
              <w:rPr>
                <w:rFonts w:eastAsia="Times New Roman" w:cs="Arial"/>
                <w:b/>
                <w:bCs/>
                <w:sz w:val="20"/>
                <w:szCs w:val="20"/>
                <w:lang w:eastAsia="en-GB"/>
              </w:rPr>
              <w:t> </w:t>
            </w:r>
          </w:p>
        </w:tc>
        <w:tc>
          <w:tcPr>
            <w:tcW w:w="1603" w:type="dxa"/>
            <w:tcBorders>
              <w:top w:val="nil"/>
              <w:left w:val="nil"/>
              <w:bottom w:val="nil"/>
              <w:right w:val="nil"/>
            </w:tcBorders>
            <w:shd w:val="clear" w:color="000000" w:fill="FFFFFF"/>
            <w:noWrap/>
            <w:vAlign w:val="bottom"/>
            <w:hideMark/>
          </w:tcPr>
          <w:p w14:paraId="0754EDBA"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030AF0B"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nil"/>
              <w:left w:val="nil"/>
              <w:bottom w:val="nil"/>
              <w:right w:val="nil"/>
            </w:tcBorders>
            <w:shd w:val="clear" w:color="000000" w:fill="FFFFFF"/>
            <w:noWrap/>
            <w:vAlign w:val="bottom"/>
            <w:hideMark/>
          </w:tcPr>
          <w:p w14:paraId="46B814DC"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1F0509ED"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94" w:type="dxa"/>
            <w:tcBorders>
              <w:top w:val="nil"/>
              <w:left w:val="nil"/>
              <w:bottom w:val="nil"/>
              <w:right w:val="nil"/>
            </w:tcBorders>
            <w:shd w:val="clear" w:color="000000" w:fill="FFFFFF"/>
            <w:noWrap/>
            <w:vAlign w:val="bottom"/>
            <w:hideMark/>
          </w:tcPr>
          <w:p w14:paraId="1F5A7FF3"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6DEB3F41"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40" w:type="dxa"/>
            <w:gridSpan w:val="2"/>
            <w:tcBorders>
              <w:top w:val="nil"/>
              <w:left w:val="nil"/>
              <w:bottom w:val="nil"/>
              <w:right w:val="nil"/>
            </w:tcBorders>
            <w:shd w:val="clear" w:color="000000" w:fill="FFFFFF"/>
            <w:noWrap/>
            <w:vAlign w:val="bottom"/>
            <w:hideMark/>
          </w:tcPr>
          <w:p w14:paraId="74E6805E"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r>
      <w:tr w:rsidR="006A4BC0" w:rsidRPr="006A4BC0" w14:paraId="2DFA0169" w14:textId="77777777" w:rsidTr="008470B1">
        <w:trPr>
          <w:gridAfter w:val="3"/>
          <w:wAfter w:w="233" w:type="dxa"/>
          <w:trHeight w:val="110"/>
        </w:trPr>
        <w:tc>
          <w:tcPr>
            <w:tcW w:w="2977" w:type="dxa"/>
            <w:tcBorders>
              <w:top w:val="nil"/>
              <w:left w:val="nil"/>
              <w:bottom w:val="nil"/>
              <w:right w:val="nil"/>
            </w:tcBorders>
            <w:shd w:val="clear" w:color="000000" w:fill="FFFFFF"/>
            <w:noWrap/>
            <w:vAlign w:val="bottom"/>
            <w:hideMark/>
          </w:tcPr>
          <w:p w14:paraId="6F7EC321" w14:textId="77777777" w:rsidR="006A4BC0" w:rsidRPr="006A4BC0" w:rsidRDefault="006A4BC0" w:rsidP="006A4BC0">
            <w:pPr>
              <w:spacing w:before="0" w:after="0"/>
              <w:rPr>
                <w:rFonts w:eastAsia="Times New Roman" w:cs="Arial"/>
                <w:b/>
                <w:bCs/>
                <w:sz w:val="20"/>
                <w:szCs w:val="20"/>
                <w:lang w:eastAsia="en-GB"/>
              </w:rPr>
            </w:pPr>
            <w:r w:rsidRPr="006A4BC0">
              <w:rPr>
                <w:rFonts w:eastAsia="Times New Roman" w:cs="Arial"/>
                <w:b/>
                <w:bCs/>
                <w:sz w:val="20"/>
                <w:szCs w:val="20"/>
                <w:lang w:eastAsia="en-GB"/>
              </w:rPr>
              <w:t> </w:t>
            </w:r>
          </w:p>
        </w:tc>
        <w:tc>
          <w:tcPr>
            <w:tcW w:w="949" w:type="dxa"/>
            <w:tcBorders>
              <w:top w:val="nil"/>
              <w:left w:val="nil"/>
              <w:bottom w:val="nil"/>
              <w:right w:val="nil"/>
            </w:tcBorders>
            <w:shd w:val="clear" w:color="000000" w:fill="FFFFFF"/>
            <w:noWrap/>
            <w:vAlign w:val="bottom"/>
            <w:hideMark/>
          </w:tcPr>
          <w:p w14:paraId="6D10B389" w14:textId="77777777" w:rsidR="006A4BC0" w:rsidRPr="006A4BC0" w:rsidRDefault="006A4BC0" w:rsidP="006A4BC0">
            <w:pPr>
              <w:spacing w:before="0" w:after="0"/>
              <w:rPr>
                <w:rFonts w:eastAsia="Times New Roman" w:cs="Arial"/>
                <w:b/>
                <w:bCs/>
                <w:sz w:val="20"/>
                <w:szCs w:val="20"/>
                <w:lang w:eastAsia="en-GB"/>
              </w:rPr>
            </w:pPr>
            <w:r w:rsidRPr="006A4BC0">
              <w:rPr>
                <w:rFonts w:eastAsia="Times New Roman" w:cs="Arial"/>
                <w:b/>
                <w:bCs/>
                <w:sz w:val="20"/>
                <w:szCs w:val="20"/>
                <w:lang w:eastAsia="en-GB"/>
              </w:rPr>
              <w:t> </w:t>
            </w:r>
          </w:p>
        </w:tc>
        <w:tc>
          <w:tcPr>
            <w:tcW w:w="1603" w:type="dxa"/>
            <w:tcBorders>
              <w:top w:val="nil"/>
              <w:left w:val="nil"/>
              <w:bottom w:val="nil"/>
              <w:right w:val="nil"/>
            </w:tcBorders>
            <w:shd w:val="clear" w:color="000000" w:fill="FFFFFF"/>
            <w:noWrap/>
            <w:vAlign w:val="bottom"/>
            <w:hideMark/>
          </w:tcPr>
          <w:p w14:paraId="34C47400"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FA2E6C2"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nil"/>
              <w:left w:val="nil"/>
              <w:bottom w:val="nil"/>
              <w:right w:val="nil"/>
            </w:tcBorders>
            <w:shd w:val="clear" w:color="000000" w:fill="FFFFFF"/>
            <w:noWrap/>
            <w:vAlign w:val="bottom"/>
            <w:hideMark/>
          </w:tcPr>
          <w:p w14:paraId="577B9A9C"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3BE72F82"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94" w:type="dxa"/>
            <w:tcBorders>
              <w:top w:val="nil"/>
              <w:left w:val="nil"/>
              <w:bottom w:val="nil"/>
              <w:right w:val="nil"/>
            </w:tcBorders>
            <w:shd w:val="clear" w:color="000000" w:fill="FFFFFF"/>
            <w:noWrap/>
            <w:vAlign w:val="bottom"/>
            <w:hideMark/>
          </w:tcPr>
          <w:p w14:paraId="2F166A17"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09F0C25C"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40" w:type="dxa"/>
            <w:gridSpan w:val="2"/>
            <w:tcBorders>
              <w:top w:val="nil"/>
              <w:left w:val="nil"/>
              <w:bottom w:val="nil"/>
              <w:right w:val="nil"/>
            </w:tcBorders>
            <w:shd w:val="clear" w:color="000000" w:fill="FFFFFF"/>
            <w:noWrap/>
            <w:vAlign w:val="bottom"/>
            <w:hideMark/>
          </w:tcPr>
          <w:p w14:paraId="745CFA44"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r>
      <w:tr w:rsidR="006A4BC0" w:rsidRPr="006A4BC0" w14:paraId="55756C01" w14:textId="77777777" w:rsidTr="008470B1">
        <w:trPr>
          <w:gridAfter w:val="3"/>
          <w:wAfter w:w="233" w:type="dxa"/>
          <w:trHeight w:val="520"/>
        </w:trPr>
        <w:tc>
          <w:tcPr>
            <w:tcW w:w="2977" w:type="dxa"/>
            <w:tcBorders>
              <w:top w:val="nil"/>
              <w:left w:val="nil"/>
              <w:bottom w:val="nil"/>
              <w:right w:val="nil"/>
            </w:tcBorders>
            <w:shd w:val="clear" w:color="000000" w:fill="FFFFFF"/>
            <w:noWrap/>
            <w:vAlign w:val="bottom"/>
            <w:hideMark/>
          </w:tcPr>
          <w:p w14:paraId="6B14D29D" w14:textId="77777777" w:rsidR="006A4BC0" w:rsidRPr="006A4BC0" w:rsidRDefault="006A4BC0" w:rsidP="006A4BC0">
            <w:pPr>
              <w:spacing w:before="0" w:after="0"/>
              <w:jc w:val="center"/>
              <w:rPr>
                <w:rFonts w:eastAsia="Times New Roman" w:cs="Arial"/>
                <w:b/>
                <w:bCs/>
                <w:sz w:val="20"/>
                <w:szCs w:val="20"/>
                <w:lang w:eastAsia="en-GB"/>
              </w:rPr>
            </w:pPr>
            <w:r w:rsidRPr="006A4BC0">
              <w:rPr>
                <w:rFonts w:eastAsia="Times New Roman" w:cs="Arial"/>
                <w:b/>
                <w:bCs/>
                <w:sz w:val="20"/>
                <w:szCs w:val="20"/>
                <w:lang w:eastAsia="en-GB"/>
              </w:rPr>
              <w:t> </w:t>
            </w:r>
          </w:p>
        </w:tc>
        <w:tc>
          <w:tcPr>
            <w:tcW w:w="949" w:type="dxa"/>
            <w:tcBorders>
              <w:top w:val="nil"/>
              <w:left w:val="nil"/>
              <w:bottom w:val="nil"/>
              <w:right w:val="nil"/>
            </w:tcBorders>
            <w:shd w:val="clear" w:color="000000" w:fill="FFFFFF"/>
            <w:noWrap/>
            <w:vAlign w:val="bottom"/>
            <w:hideMark/>
          </w:tcPr>
          <w:p w14:paraId="18E0B717" w14:textId="77777777" w:rsidR="006A4BC0" w:rsidRPr="006A4BC0" w:rsidRDefault="006A4BC0" w:rsidP="006A4BC0">
            <w:pPr>
              <w:spacing w:before="0" w:after="0"/>
              <w:jc w:val="center"/>
              <w:rPr>
                <w:rFonts w:eastAsia="Times New Roman" w:cs="Arial"/>
                <w:b/>
                <w:bCs/>
                <w:sz w:val="20"/>
                <w:szCs w:val="20"/>
                <w:lang w:eastAsia="en-GB"/>
              </w:rPr>
            </w:pPr>
            <w:r w:rsidRPr="006A4BC0">
              <w:rPr>
                <w:rFonts w:eastAsia="Times New Roman" w:cs="Arial"/>
                <w:b/>
                <w:bCs/>
                <w:sz w:val="20"/>
                <w:szCs w:val="20"/>
                <w:lang w:eastAsia="en-GB"/>
              </w:rPr>
              <w:t> </w:t>
            </w:r>
          </w:p>
        </w:tc>
        <w:tc>
          <w:tcPr>
            <w:tcW w:w="1603" w:type="dxa"/>
            <w:tcBorders>
              <w:top w:val="nil"/>
              <w:left w:val="nil"/>
              <w:bottom w:val="nil"/>
              <w:right w:val="nil"/>
            </w:tcBorders>
            <w:shd w:val="clear" w:color="000000" w:fill="FFFFFF"/>
            <w:noWrap/>
            <w:vAlign w:val="bottom"/>
            <w:hideMark/>
          </w:tcPr>
          <w:p w14:paraId="7FDCB01D" w14:textId="77777777" w:rsidR="006A4BC0" w:rsidRPr="006A4BC0" w:rsidRDefault="006A4BC0" w:rsidP="006A4BC0">
            <w:pPr>
              <w:spacing w:before="0" w:after="0"/>
              <w:jc w:val="center"/>
              <w:rPr>
                <w:rFonts w:eastAsia="Times New Roman" w:cs="Arial"/>
                <w:b/>
                <w:bCs/>
                <w:sz w:val="20"/>
                <w:szCs w:val="20"/>
                <w:lang w:eastAsia="en-GB"/>
              </w:rPr>
            </w:pPr>
            <w:r w:rsidRPr="006A4BC0">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505D42AB" w14:textId="77777777" w:rsidR="006A4BC0" w:rsidRPr="006A4BC0" w:rsidRDefault="006A4BC0" w:rsidP="006A4BC0">
            <w:pPr>
              <w:spacing w:before="0" w:after="0"/>
              <w:jc w:val="center"/>
              <w:rPr>
                <w:rFonts w:eastAsia="Times New Roman" w:cs="Arial"/>
                <w:b/>
                <w:bCs/>
                <w:sz w:val="20"/>
                <w:szCs w:val="20"/>
                <w:lang w:eastAsia="en-GB"/>
              </w:rPr>
            </w:pPr>
            <w:r w:rsidRPr="006A4BC0">
              <w:rPr>
                <w:rFonts w:eastAsia="Times New Roman" w:cs="Arial"/>
                <w:b/>
                <w:bCs/>
                <w:sz w:val="20"/>
                <w:szCs w:val="20"/>
                <w:lang w:eastAsia="en-GB"/>
              </w:rPr>
              <w:t> </w:t>
            </w:r>
          </w:p>
        </w:tc>
        <w:tc>
          <w:tcPr>
            <w:tcW w:w="1383" w:type="dxa"/>
            <w:tcBorders>
              <w:top w:val="nil"/>
              <w:left w:val="nil"/>
              <w:bottom w:val="nil"/>
              <w:right w:val="nil"/>
            </w:tcBorders>
            <w:shd w:val="clear" w:color="000000" w:fill="FFFFFF"/>
            <w:noWrap/>
            <w:vAlign w:val="bottom"/>
            <w:hideMark/>
          </w:tcPr>
          <w:p w14:paraId="24D376F6" w14:textId="77777777" w:rsidR="006A4BC0" w:rsidRPr="006A4BC0" w:rsidRDefault="006A4BC0" w:rsidP="006A4BC0">
            <w:pPr>
              <w:spacing w:before="0" w:after="0"/>
              <w:jc w:val="center"/>
              <w:rPr>
                <w:rFonts w:eastAsia="Times New Roman" w:cs="Arial"/>
                <w:b/>
                <w:bCs/>
                <w:sz w:val="20"/>
                <w:szCs w:val="20"/>
                <w:lang w:eastAsia="en-GB"/>
              </w:rPr>
            </w:pPr>
            <w:r w:rsidRPr="006A4BC0">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5F8770DD" w14:textId="77777777" w:rsidR="006A4BC0" w:rsidRPr="006A4BC0" w:rsidRDefault="006A4BC0" w:rsidP="006A4BC0">
            <w:pPr>
              <w:spacing w:before="0" w:after="0"/>
              <w:jc w:val="center"/>
              <w:rPr>
                <w:rFonts w:eastAsia="Times New Roman" w:cs="Arial"/>
                <w:b/>
                <w:bCs/>
                <w:sz w:val="20"/>
                <w:szCs w:val="20"/>
                <w:lang w:eastAsia="en-GB"/>
              </w:rPr>
            </w:pPr>
            <w:r w:rsidRPr="006A4BC0">
              <w:rPr>
                <w:rFonts w:eastAsia="Times New Roman" w:cs="Arial"/>
                <w:b/>
                <w:bCs/>
                <w:sz w:val="20"/>
                <w:szCs w:val="20"/>
                <w:lang w:eastAsia="en-GB"/>
              </w:rPr>
              <w:t> </w:t>
            </w:r>
          </w:p>
        </w:tc>
        <w:tc>
          <w:tcPr>
            <w:tcW w:w="1294" w:type="dxa"/>
            <w:tcBorders>
              <w:top w:val="nil"/>
              <w:left w:val="nil"/>
              <w:bottom w:val="nil"/>
              <w:right w:val="nil"/>
            </w:tcBorders>
            <w:shd w:val="clear" w:color="000000" w:fill="FFFFFF"/>
            <w:vAlign w:val="bottom"/>
            <w:hideMark/>
          </w:tcPr>
          <w:p w14:paraId="6A01C2A6"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1-Apr-23 to 31-Mar-24</w:t>
            </w:r>
          </w:p>
        </w:tc>
        <w:tc>
          <w:tcPr>
            <w:tcW w:w="272" w:type="dxa"/>
            <w:gridSpan w:val="2"/>
            <w:tcBorders>
              <w:top w:val="nil"/>
              <w:left w:val="nil"/>
              <w:bottom w:val="nil"/>
              <w:right w:val="nil"/>
            </w:tcBorders>
            <w:shd w:val="clear" w:color="000000" w:fill="FFFFFF"/>
            <w:vAlign w:val="bottom"/>
            <w:hideMark/>
          </w:tcPr>
          <w:p w14:paraId="60953784"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 </w:t>
            </w:r>
          </w:p>
        </w:tc>
        <w:tc>
          <w:tcPr>
            <w:tcW w:w="1240" w:type="dxa"/>
            <w:gridSpan w:val="2"/>
            <w:tcBorders>
              <w:top w:val="nil"/>
              <w:left w:val="nil"/>
              <w:bottom w:val="nil"/>
              <w:right w:val="nil"/>
            </w:tcBorders>
            <w:shd w:val="clear" w:color="000000" w:fill="FFFFFF"/>
            <w:vAlign w:val="bottom"/>
            <w:hideMark/>
          </w:tcPr>
          <w:p w14:paraId="577F9B4B"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1-Jul-22 to 31-Mar-23</w:t>
            </w:r>
          </w:p>
        </w:tc>
      </w:tr>
      <w:tr w:rsidR="006A4BC0" w:rsidRPr="006A4BC0" w14:paraId="080A7FC8" w14:textId="77777777" w:rsidTr="008470B1">
        <w:trPr>
          <w:gridAfter w:val="3"/>
          <w:wAfter w:w="233" w:type="dxa"/>
          <w:trHeight w:val="260"/>
        </w:trPr>
        <w:tc>
          <w:tcPr>
            <w:tcW w:w="2977" w:type="dxa"/>
            <w:tcBorders>
              <w:top w:val="nil"/>
              <w:left w:val="nil"/>
              <w:bottom w:val="nil"/>
              <w:right w:val="nil"/>
            </w:tcBorders>
            <w:shd w:val="clear" w:color="000000" w:fill="FFFFFF"/>
            <w:noWrap/>
            <w:vAlign w:val="bottom"/>
            <w:hideMark/>
          </w:tcPr>
          <w:p w14:paraId="14BD4173" w14:textId="77777777" w:rsidR="006A4BC0" w:rsidRPr="006A4BC0" w:rsidRDefault="006A4BC0" w:rsidP="006A4BC0">
            <w:pPr>
              <w:spacing w:before="0" w:after="0"/>
              <w:jc w:val="center"/>
              <w:rPr>
                <w:rFonts w:eastAsia="Times New Roman" w:cs="Arial"/>
                <w:b/>
                <w:bCs/>
                <w:sz w:val="20"/>
                <w:szCs w:val="20"/>
                <w:lang w:eastAsia="en-GB"/>
              </w:rPr>
            </w:pPr>
            <w:r w:rsidRPr="006A4BC0">
              <w:rPr>
                <w:rFonts w:eastAsia="Times New Roman" w:cs="Arial"/>
                <w:b/>
                <w:bCs/>
                <w:sz w:val="20"/>
                <w:szCs w:val="20"/>
                <w:lang w:eastAsia="en-GB"/>
              </w:rPr>
              <w:t> </w:t>
            </w:r>
          </w:p>
        </w:tc>
        <w:tc>
          <w:tcPr>
            <w:tcW w:w="949" w:type="dxa"/>
            <w:tcBorders>
              <w:top w:val="nil"/>
              <w:left w:val="nil"/>
              <w:bottom w:val="nil"/>
              <w:right w:val="nil"/>
            </w:tcBorders>
            <w:shd w:val="clear" w:color="000000" w:fill="FFFFFF"/>
            <w:noWrap/>
            <w:vAlign w:val="bottom"/>
            <w:hideMark/>
          </w:tcPr>
          <w:p w14:paraId="3B849F83" w14:textId="77777777" w:rsidR="006A4BC0" w:rsidRPr="006A4BC0" w:rsidRDefault="006A4BC0" w:rsidP="006A4BC0">
            <w:pPr>
              <w:spacing w:before="0" w:after="0"/>
              <w:jc w:val="center"/>
              <w:rPr>
                <w:rFonts w:eastAsia="Times New Roman" w:cs="Arial"/>
                <w:b/>
                <w:bCs/>
                <w:sz w:val="20"/>
                <w:szCs w:val="20"/>
                <w:lang w:eastAsia="en-GB"/>
              </w:rPr>
            </w:pPr>
            <w:r w:rsidRPr="006A4BC0">
              <w:rPr>
                <w:rFonts w:eastAsia="Times New Roman" w:cs="Arial"/>
                <w:b/>
                <w:bCs/>
                <w:sz w:val="20"/>
                <w:szCs w:val="20"/>
                <w:lang w:eastAsia="en-GB"/>
              </w:rPr>
              <w:t> </w:t>
            </w:r>
          </w:p>
        </w:tc>
        <w:tc>
          <w:tcPr>
            <w:tcW w:w="1603" w:type="dxa"/>
            <w:tcBorders>
              <w:top w:val="nil"/>
              <w:left w:val="nil"/>
              <w:bottom w:val="nil"/>
              <w:right w:val="nil"/>
            </w:tcBorders>
            <w:shd w:val="clear" w:color="000000" w:fill="FFFFFF"/>
            <w:noWrap/>
            <w:vAlign w:val="bottom"/>
            <w:hideMark/>
          </w:tcPr>
          <w:p w14:paraId="69E82A0C" w14:textId="77777777" w:rsidR="006A4BC0" w:rsidRPr="006A4BC0" w:rsidRDefault="006A4BC0" w:rsidP="006A4BC0">
            <w:pPr>
              <w:spacing w:before="0" w:after="0"/>
              <w:jc w:val="center"/>
              <w:rPr>
                <w:rFonts w:eastAsia="Times New Roman" w:cs="Arial"/>
                <w:b/>
                <w:bCs/>
                <w:sz w:val="20"/>
                <w:szCs w:val="20"/>
                <w:lang w:eastAsia="en-GB"/>
              </w:rPr>
            </w:pPr>
            <w:r w:rsidRPr="006A4BC0">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0AA1F6D0" w14:textId="77777777" w:rsidR="006A4BC0" w:rsidRPr="006A4BC0" w:rsidRDefault="006A4BC0" w:rsidP="006A4BC0">
            <w:pPr>
              <w:spacing w:before="0" w:after="0"/>
              <w:jc w:val="center"/>
              <w:rPr>
                <w:rFonts w:eastAsia="Times New Roman" w:cs="Arial"/>
                <w:b/>
                <w:bCs/>
                <w:sz w:val="20"/>
                <w:szCs w:val="20"/>
                <w:lang w:eastAsia="en-GB"/>
              </w:rPr>
            </w:pPr>
            <w:r w:rsidRPr="006A4BC0">
              <w:rPr>
                <w:rFonts w:eastAsia="Times New Roman" w:cs="Arial"/>
                <w:b/>
                <w:bCs/>
                <w:sz w:val="20"/>
                <w:szCs w:val="20"/>
                <w:lang w:eastAsia="en-GB"/>
              </w:rPr>
              <w:t> </w:t>
            </w:r>
          </w:p>
        </w:tc>
        <w:tc>
          <w:tcPr>
            <w:tcW w:w="1383" w:type="dxa"/>
            <w:tcBorders>
              <w:top w:val="nil"/>
              <w:left w:val="nil"/>
              <w:bottom w:val="nil"/>
              <w:right w:val="nil"/>
            </w:tcBorders>
            <w:shd w:val="clear" w:color="000000" w:fill="FFFFFF"/>
            <w:noWrap/>
            <w:vAlign w:val="bottom"/>
            <w:hideMark/>
          </w:tcPr>
          <w:p w14:paraId="028644FC" w14:textId="77777777" w:rsidR="006A4BC0" w:rsidRPr="006A4BC0" w:rsidRDefault="006A4BC0" w:rsidP="006A4BC0">
            <w:pPr>
              <w:spacing w:before="0" w:after="0"/>
              <w:jc w:val="center"/>
              <w:rPr>
                <w:rFonts w:eastAsia="Times New Roman" w:cs="Arial"/>
                <w:b/>
                <w:bCs/>
                <w:sz w:val="20"/>
                <w:szCs w:val="20"/>
                <w:lang w:eastAsia="en-GB"/>
              </w:rPr>
            </w:pPr>
            <w:r w:rsidRPr="006A4BC0">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74112C98" w14:textId="77777777" w:rsidR="006A4BC0" w:rsidRPr="006A4BC0" w:rsidRDefault="006A4BC0" w:rsidP="006A4BC0">
            <w:pPr>
              <w:spacing w:before="0" w:after="0"/>
              <w:jc w:val="center"/>
              <w:rPr>
                <w:rFonts w:eastAsia="Times New Roman" w:cs="Arial"/>
                <w:b/>
                <w:bCs/>
                <w:sz w:val="20"/>
                <w:szCs w:val="20"/>
                <w:lang w:eastAsia="en-GB"/>
              </w:rPr>
            </w:pPr>
            <w:r w:rsidRPr="006A4BC0">
              <w:rPr>
                <w:rFonts w:eastAsia="Times New Roman" w:cs="Arial"/>
                <w:b/>
                <w:bCs/>
                <w:sz w:val="20"/>
                <w:szCs w:val="20"/>
                <w:lang w:eastAsia="en-GB"/>
              </w:rPr>
              <w:t> </w:t>
            </w:r>
          </w:p>
        </w:tc>
        <w:tc>
          <w:tcPr>
            <w:tcW w:w="1294" w:type="dxa"/>
            <w:tcBorders>
              <w:top w:val="nil"/>
              <w:left w:val="nil"/>
              <w:bottom w:val="nil"/>
              <w:right w:val="nil"/>
            </w:tcBorders>
            <w:shd w:val="clear" w:color="000000" w:fill="FFFFFF"/>
            <w:vAlign w:val="bottom"/>
            <w:hideMark/>
          </w:tcPr>
          <w:p w14:paraId="51E8B423"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(1 Year)</w:t>
            </w:r>
          </w:p>
        </w:tc>
        <w:tc>
          <w:tcPr>
            <w:tcW w:w="272" w:type="dxa"/>
            <w:gridSpan w:val="2"/>
            <w:tcBorders>
              <w:top w:val="nil"/>
              <w:left w:val="nil"/>
              <w:bottom w:val="nil"/>
              <w:right w:val="nil"/>
            </w:tcBorders>
            <w:shd w:val="clear" w:color="000000" w:fill="FFFFFF"/>
            <w:noWrap/>
            <w:vAlign w:val="bottom"/>
            <w:hideMark/>
          </w:tcPr>
          <w:p w14:paraId="6753894A"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 </w:t>
            </w:r>
          </w:p>
        </w:tc>
        <w:tc>
          <w:tcPr>
            <w:tcW w:w="1240" w:type="dxa"/>
            <w:gridSpan w:val="2"/>
            <w:tcBorders>
              <w:top w:val="nil"/>
              <w:left w:val="nil"/>
              <w:bottom w:val="nil"/>
              <w:right w:val="nil"/>
            </w:tcBorders>
            <w:shd w:val="clear" w:color="000000" w:fill="FFFFFF"/>
            <w:vAlign w:val="bottom"/>
            <w:hideMark/>
          </w:tcPr>
          <w:p w14:paraId="0AC6CF47"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(9 Months)</w:t>
            </w:r>
          </w:p>
        </w:tc>
      </w:tr>
      <w:tr w:rsidR="006A4BC0" w:rsidRPr="006A4BC0" w14:paraId="2965238F" w14:textId="77777777" w:rsidTr="008470B1">
        <w:trPr>
          <w:gridAfter w:val="3"/>
          <w:wAfter w:w="233" w:type="dxa"/>
          <w:trHeight w:val="260"/>
        </w:trPr>
        <w:tc>
          <w:tcPr>
            <w:tcW w:w="2977" w:type="dxa"/>
            <w:tcBorders>
              <w:top w:val="nil"/>
              <w:left w:val="nil"/>
              <w:bottom w:val="nil"/>
              <w:right w:val="nil"/>
            </w:tcBorders>
            <w:shd w:val="clear" w:color="000000" w:fill="FFFFFF"/>
            <w:noWrap/>
            <w:vAlign w:val="bottom"/>
            <w:hideMark/>
          </w:tcPr>
          <w:p w14:paraId="15D4DCD9" w14:textId="77777777" w:rsidR="006A4BC0" w:rsidRPr="006A4BC0" w:rsidRDefault="006A4BC0" w:rsidP="006A4BC0">
            <w:pPr>
              <w:spacing w:before="0" w:after="0"/>
              <w:jc w:val="center"/>
              <w:rPr>
                <w:rFonts w:eastAsia="Times New Roman" w:cs="Arial"/>
                <w:b/>
                <w:bCs/>
                <w:sz w:val="20"/>
                <w:szCs w:val="20"/>
                <w:lang w:eastAsia="en-GB"/>
              </w:rPr>
            </w:pPr>
            <w:r w:rsidRPr="006A4BC0">
              <w:rPr>
                <w:rFonts w:eastAsia="Times New Roman" w:cs="Arial"/>
                <w:b/>
                <w:bCs/>
                <w:sz w:val="20"/>
                <w:szCs w:val="20"/>
                <w:lang w:eastAsia="en-GB"/>
              </w:rPr>
              <w:t> </w:t>
            </w:r>
          </w:p>
        </w:tc>
        <w:tc>
          <w:tcPr>
            <w:tcW w:w="949" w:type="dxa"/>
            <w:tcBorders>
              <w:top w:val="nil"/>
              <w:left w:val="nil"/>
              <w:bottom w:val="nil"/>
              <w:right w:val="nil"/>
            </w:tcBorders>
            <w:shd w:val="clear" w:color="000000" w:fill="FFFFFF"/>
            <w:noWrap/>
            <w:vAlign w:val="bottom"/>
            <w:hideMark/>
          </w:tcPr>
          <w:p w14:paraId="2229255C" w14:textId="77777777" w:rsidR="006A4BC0" w:rsidRPr="006A4BC0" w:rsidRDefault="006A4BC0" w:rsidP="006A4BC0">
            <w:pPr>
              <w:spacing w:before="0" w:after="0"/>
              <w:jc w:val="center"/>
              <w:rPr>
                <w:rFonts w:eastAsia="Times New Roman" w:cs="Arial"/>
                <w:b/>
                <w:bCs/>
                <w:sz w:val="20"/>
                <w:szCs w:val="20"/>
                <w:lang w:eastAsia="en-GB"/>
              </w:rPr>
            </w:pPr>
            <w:r w:rsidRPr="006A4BC0">
              <w:rPr>
                <w:rFonts w:eastAsia="Times New Roman" w:cs="Arial"/>
                <w:b/>
                <w:bCs/>
                <w:sz w:val="20"/>
                <w:szCs w:val="20"/>
                <w:lang w:eastAsia="en-GB"/>
              </w:rPr>
              <w:t> </w:t>
            </w:r>
          </w:p>
        </w:tc>
        <w:tc>
          <w:tcPr>
            <w:tcW w:w="1603" w:type="dxa"/>
            <w:tcBorders>
              <w:top w:val="nil"/>
              <w:left w:val="nil"/>
              <w:bottom w:val="nil"/>
              <w:right w:val="nil"/>
            </w:tcBorders>
            <w:shd w:val="clear" w:color="000000" w:fill="FFFFFF"/>
            <w:noWrap/>
            <w:vAlign w:val="bottom"/>
            <w:hideMark/>
          </w:tcPr>
          <w:p w14:paraId="1F8AFA90" w14:textId="77777777" w:rsidR="006A4BC0" w:rsidRPr="006A4BC0" w:rsidRDefault="006A4BC0" w:rsidP="006A4BC0">
            <w:pPr>
              <w:spacing w:before="0" w:after="0"/>
              <w:jc w:val="center"/>
              <w:rPr>
                <w:rFonts w:eastAsia="Times New Roman" w:cs="Arial"/>
                <w:b/>
                <w:bCs/>
                <w:sz w:val="20"/>
                <w:szCs w:val="20"/>
                <w:lang w:eastAsia="en-GB"/>
              </w:rPr>
            </w:pPr>
            <w:r w:rsidRPr="006A4BC0">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31BB2C5F" w14:textId="77777777" w:rsidR="006A4BC0" w:rsidRPr="006A4BC0" w:rsidRDefault="006A4BC0" w:rsidP="006A4BC0">
            <w:pPr>
              <w:spacing w:before="0" w:after="0"/>
              <w:jc w:val="center"/>
              <w:rPr>
                <w:rFonts w:eastAsia="Times New Roman" w:cs="Arial"/>
                <w:b/>
                <w:bCs/>
                <w:sz w:val="20"/>
                <w:szCs w:val="20"/>
                <w:lang w:eastAsia="en-GB"/>
              </w:rPr>
            </w:pPr>
            <w:r w:rsidRPr="006A4BC0">
              <w:rPr>
                <w:rFonts w:eastAsia="Times New Roman" w:cs="Arial"/>
                <w:b/>
                <w:bCs/>
                <w:sz w:val="20"/>
                <w:szCs w:val="20"/>
                <w:lang w:eastAsia="en-GB"/>
              </w:rPr>
              <w:t> </w:t>
            </w:r>
          </w:p>
        </w:tc>
        <w:tc>
          <w:tcPr>
            <w:tcW w:w="1383" w:type="dxa"/>
            <w:tcBorders>
              <w:top w:val="nil"/>
              <w:left w:val="nil"/>
              <w:bottom w:val="nil"/>
              <w:right w:val="nil"/>
            </w:tcBorders>
            <w:shd w:val="clear" w:color="000000" w:fill="FFFFFF"/>
            <w:noWrap/>
            <w:vAlign w:val="bottom"/>
            <w:hideMark/>
          </w:tcPr>
          <w:p w14:paraId="74A20BFB" w14:textId="77777777" w:rsidR="006A4BC0" w:rsidRPr="006A4BC0" w:rsidRDefault="006A4BC0" w:rsidP="006A4BC0">
            <w:pPr>
              <w:spacing w:before="0" w:after="0"/>
              <w:jc w:val="center"/>
              <w:rPr>
                <w:rFonts w:eastAsia="Times New Roman" w:cs="Arial"/>
                <w:b/>
                <w:bCs/>
                <w:sz w:val="20"/>
                <w:szCs w:val="20"/>
                <w:lang w:eastAsia="en-GB"/>
              </w:rPr>
            </w:pPr>
            <w:r w:rsidRPr="006A4BC0">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07B2835D" w14:textId="77777777" w:rsidR="006A4BC0" w:rsidRPr="006A4BC0" w:rsidRDefault="006A4BC0" w:rsidP="006A4BC0">
            <w:pPr>
              <w:spacing w:before="0" w:after="0"/>
              <w:jc w:val="center"/>
              <w:rPr>
                <w:rFonts w:eastAsia="Times New Roman" w:cs="Arial"/>
                <w:b/>
                <w:bCs/>
                <w:sz w:val="20"/>
                <w:szCs w:val="20"/>
                <w:lang w:eastAsia="en-GB"/>
              </w:rPr>
            </w:pPr>
            <w:r w:rsidRPr="006A4BC0">
              <w:rPr>
                <w:rFonts w:eastAsia="Times New Roman" w:cs="Arial"/>
                <w:b/>
                <w:bCs/>
                <w:sz w:val="20"/>
                <w:szCs w:val="20"/>
                <w:lang w:eastAsia="en-GB"/>
              </w:rPr>
              <w:t> </w:t>
            </w:r>
          </w:p>
        </w:tc>
        <w:tc>
          <w:tcPr>
            <w:tcW w:w="1294" w:type="dxa"/>
            <w:tcBorders>
              <w:top w:val="nil"/>
              <w:left w:val="nil"/>
              <w:bottom w:val="nil"/>
              <w:right w:val="nil"/>
            </w:tcBorders>
            <w:shd w:val="clear" w:color="000000" w:fill="FFFFFF"/>
            <w:noWrap/>
            <w:vAlign w:val="bottom"/>
            <w:hideMark/>
          </w:tcPr>
          <w:p w14:paraId="66663EE8"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£'000</w:t>
            </w:r>
          </w:p>
        </w:tc>
        <w:tc>
          <w:tcPr>
            <w:tcW w:w="272" w:type="dxa"/>
            <w:gridSpan w:val="2"/>
            <w:tcBorders>
              <w:top w:val="nil"/>
              <w:left w:val="nil"/>
              <w:bottom w:val="nil"/>
              <w:right w:val="nil"/>
            </w:tcBorders>
            <w:shd w:val="clear" w:color="000000" w:fill="FFFFFF"/>
            <w:noWrap/>
            <w:vAlign w:val="bottom"/>
            <w:hideMark/>
          </w:tcPr>
          <w:p w14:paraId="7B8825FD"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 </w:t>
            </w:r>
          </w:p>
        </w:tc>
        <w:tc>
          <w:tcPr>
            <w:tcW w:w="1240" w:type="dxa"/>
            <w:gridSpan w:val="2"/>
            <w:tcBorders>
              <w:top w:val="nil"/>
              <w:left w:val="nil"/>
              <w:bottom w:val="nil"/>
              <w:right w:val="nil"/>
            </w:tcBorders>
            <w:shd w:val="clear" w:color="000000" w:fill="FFFFFF"/>
            <w:noWrap/>
            <w:vAlign w:val="bottom"/>
            <w:hideMark/>
          </w:tcPr>
          <w:p w14:paraId="312667B4"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£'000</w:t>
            </w:r>
          </w:p>
        </w:tc>
      </w:tr>
      <w:tr w:rsidR="006A4BC0" w:rsidRPr="006A4BC0" w14:paraId="0DDC0BDA" w14:textId="77777777" w:rsidTr="008470B1">
        <w:trPr>
          <w:gridAfter w:val="3"/>
          <w:wAfter w:w="233" w:type="dxa"/>
          <w:trHeight w:val="120"/>
        </w:trPr>
        <w:tc>
          <w:tcPr>
            <w:tcW w:w="2977" w:type="dxa"/>
            <w:tcBorders>
              <w:top w:val="nil"/>
              <w:left w:val="nil"/>
              <w:bottom w:val="nil"/>
              <w:right w:val="nil"/>
            </w:tcBorders>
            <w:shd w:val="clear" w:color="000000" w:fill="FFFFFF"/>
            <w:noWrap/>
            <w:vAlign w:val="bottom"/>
            <w:hideMark/>
          </w:tcPr>
          <w:p w14:paraId="2811DD26"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949" w:type="dxa"/>
            <w:tcBorders>
              <w:top w:val="nil"/>
              <w:left w:val="nil"/>
              <w:bottom w:val="nil"/>
              <w:right w:val="nil"/>
            </w:tcBorders>
            <w:shd w:val="clear" w:color="000000" w:fill="FFFFFF"/>
            <w:noWrap/>
            <w:vAlign w:val="bottom"/>
            <w:hideMark/>
          </w:tcPr>
          <w:p w14:paraId="505DB71F"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603" w:type="dxa"/>
            <w:tcBorders>
              <w:top w:val="nil"/>
              <w:left w:val="nil"/>
              <w:bottom w:val="nil"/>
              <w:right w:val="nil"/>
            </w:tcBorders>
            <w:shd w:val="clear" w:color="000000" w:fill="FFFFFF"/>
            <w:noWrap/>
            <w:vAlign w:val="bottom"/>
            <w:hideMark/>
          </w:tcPr>
          <w:p w14:paraId="36470292"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D3A5A80"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nil"/>
              <w:left w:val="nil"/>
              <w:bottom w:val="nil"/>
              <w:right w:val="nil"/>
            </w:tcBorders>
            <w:shd w:val="clear" w:color="000000" w:fill="FFFFFF"/>
            <w:noWrap/>
            <w:vAlign w:val="bottom"/>
            <w:hideMark/>
          </w:tcPr>
          <w:p w14:paraId="22AEDAEF"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911D506"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94" w:type="dxa"/>
            <w:tcBorders>
              <w:top w:val="nil"/>
              <w:left w:val="nil"/>
              <w:bottom w:val="nil"/>
              <w:right w:val="nil"/>
            </w:tcBorders>
            <w:shd w:val="clear" w:color="000000" w:fill="FFFFFF"/>
            <w:noWrap/>
            <w:vAlign w:val="bottom"/>
            <w:hideMark/>
          </w:tcPr>
          <w:p w14:paraId="2C26049F" w14:textId="77777777" w:rsidR="006A4BC0" w:rsidRPr="006A4BC0" w:rsidRDefault="006A4BC0" w:rsidP="006A4BC0">
            <w:pPr>
              <w:spacing w:before="0" w:after="0"/>
              <w:rPr>
                <w:rFonts w:eastAsia="Times New Roman" w:cs="Arial"/>
                <w:b/>
                <w:bCs/>
                <w:sz w:val="20"/>
                <w:szCs w:val="20"/>
                <w:lang w:eastAsia="en-GB"/>
              </w:rPr>
            </w:pPr>
            <w:r w:rsidRPr="006A4BC0">
              <w:rPr>
                <w:rFonts w:eastAsia="Times New Roman" w:cs="Arial"/>
                <w:b/>
                <w:bCs/>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498C1F81"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40" w:type="dxa"/>
            <w:gridSpan w:val="2"/>
            <w:tcBorders>
              <w:top w:val="nil"/>
              <w:left w:val="nil"/>
              <w:bottom w:val="nil"/>
              <w:right w:val="nil"/>
            </w:tcBorders>
            <w:shd w:val="clear" w:color="000000" w:fill="FFFFFF"/>
            <w:noWrap/>
            <w:vAlign w:val="bottom"/>
            <w:hideMark/>
          </w:tcPr>
          <w:p w14:paraId="1FA1663E"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r>
      <w:tr w:rsidR="00F76B2B" w:rsidRPr="006A4BC0" w14:paraId="55F897B9" w14:textId="77777777" w:rsidTr="00180FAB">
        <w:trPr>
          <w:gridAfter w:val="2"/>
          <w:wAfter w:w="222" w:type="dxa"/>
          <w:trHeight w:val="260"/>
        </w:trPr>
        <w:tc>
          <w:tcPr>
            <w:tcW w:w="5529" w:type="dxa"/>
            <w:gridSpan w:val="3"/>
            <w:tcBorders>
              <w:top w:val="nil"/>
              <w:left w:val="nil"/>
              <w:bottom w:val="nil"/>
              <w:right w:val="nil"/>
            </w:tcBorders>
            <w:shd w:val="clear" w:color="000000" w:fill="FFFFFF"/>
            <w:noWrap/>
            <w:vAlign w:val="bottom"/>
            <w:hideMark/>
          </w:tcPr>
          <w:p w14:paraId="43E92518" w14:textId="0466B928" w:rsidR="00F76B2B" w:rsidRPr="006A4BC0" w:rsidRDefault="00F76B2B" w:rsidP="006A4BC0">
            <w:pPr>
              <w:spacing w:before="0" w:after="0"/>
              <w:rPr>
                <w:rFonts w:eastAsia="Times New Roman" w:cs="Arial"/>
                <w:b/>
                <w:bCs/>
                <w:sz w:val="20"/>
                <w:szCs w:val="20"/>
                <w:lang w:eastAsia="en-GB"/>
              </w:rPr>
            </w:pPr>
            <w:r w:rsidRPr="006A4BC0">
              <w:rPr>
                <w:rFonts w:eastAsia="Times New Roman" w:cs="Arial"/>
                <w:b/>
                <w:bCs/>
                <w:sz w:val="20"/>
                <w:szCs w:val="20"/>
                <w:lang w:eastAsia="en-GB"/>
              </w:rPr>
              <w:t>Income from sale of goods and services (contracts)</w:t>
            </w:r>
          </w:p>
        </w:tc>
        <w:tc>
          <w:tcPr>
            <w:tcW w:w="272" w:type="dxa"/>
            <w:tcBorders>
              <w:top w:val="nil"/>
              <w:left w:val="nil"/>
              <w:bottom w:val="nil"/>
              <w:right w:val="nil"/>
            </w:tcBorders>
            <w:shd w:val="clear" w:color="000000" w:fill="FFFFFF"/>
            <w:noWrap/>
            <w:vAlign w:val="bottom"/>
            <w:hideMark/>
          </w:tcPr>
          <w:p w14:paraId="6240D731" w14:textId="77777777" w:rsidR="00F76B2B" w:rsidRPr="006A4BC0" w:rsidRDefault="00F76B2B"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nil"/>
              <w:left w:val="nil"/>
              <w:bottom w:val="nil"/>
              <w:right w:val="nil"/>
            </w:tcBorders>
            <w:shd w:val="clear" w:color="000000" w:fill="FFFFFF"/>
            <w:noWrap/>
            <w:vAlign w:val="bottom"/>
            <w:hideMark/>
          </w:tcPr>
          <w:p w14:paraId="6C8C6BF5" w14:textId="77777777" w:rsidR="00F76B2B" w:rsidRPr="006A4BC0" w:rsidRDefault="00F76B2B"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2168B31" w14:textId="77777777" w:rsidR="00F76B2B" w:rsidRPr="006A4BC0" w:rsidRDefault="00F76B2B"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305" w:type="dxa"/>
            <w:gridSpan w:val="2"/>
            <w:tcBorders>
              <w:top w:val="nil"/>
              <w:left w:val="nil"/>
              <w:bottom w:val="nil"/>
              <w:right w:val="nil"/>
            </w:tcBorders>
            <w:shd w:val="clear" w:color="000000" w:fill="FFFFFF"/>
            <w:noWrap/>
            <w:vAlign w:val="bottom"/>
            <w:hideMark/>
          </w:tcPr>
          <w:p w14:paraId="15E6B3F1" w14:textId="77777777" w:rsidR="00F76B2B" w:rsidRPr="006A4BC0" w:rsidRDefault="00F76B2B"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4E91CF8F" w14:textId="77777777" w:rsidR="00F76B2B" w:rsidRPr="006A4BC0" w:rsidRDefault="00F76B2B"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40" w:type="dxa"/>
            <w:gridSpan w:val="2"/>
            <w:tcBorders>
              <w:top w:val="nil"/>
              <w:left w:val="nil"/>
              <w:bottom w:val="nil"/>
              <w:right w:val="nil"/>
            </w:tcBorders>
            <w:shd w:val="clear" w:color="000000" w:fill="FFFFFF"/>
            <w:noWrap/>
            <w:vAlign w:val="bottom"/>
            <w:hideMark/>
          </w:tcPr>
          <w:p w14:paraId="4AD484D4" w14:textId="77777777" w:rsidR="00F76B2B" w:rsidRPr="006A4BC0" w:rsidRDefault="00F76B2B"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r>
      <w:tr w:rsidR="00F76B2B" w:rsidRPr="006A4BC0" w14:paraId="460F0123" w14:textId="77777777" w:rsidTr="004B340A">
        <w:trPr>
          <w:gridAfter w:val="3"/>
          <w:wAfter w:w="233" w:type="dxa"/>
          <w:trHeight w:val="260"/>
        </w:trPr>
        <w:tc>
          <w:tcPr>
            <w:tcW w:w="3926" w:type="dxa"/>
            <w:gridSpan w:val="2"/>
            <w:tcBorders>
              <w:top w:val="nil"/>
              <w:left w:val="nil"/>
              <w:bottom w:val="nil"/>
              <w:right w:val="nil"/>
            </w:tcBorders>
            <w:shd w:val="clear" w:color="000000" w:fill="FFFFFF"/>
            <w:noWrap/>
            <w:vAlign w:val="bottom"/>
            <w:hideMark/>
          </w:tcPr>
          <w:p w14:paraId="32B16CB8" w14:textId="4E5D1542" w:rsidR="00F76B2B" w:rsidRPr="006A4BC0" w:rsidRDefault="00F76B2B" w:rsidP="006A4BC0">
            <w:pPr>
              <w:spacing w:before="0" w:after="0"/>
              <w:rPr>
                <w:rFonts w:eastAsia="Times New Roman" w:cs="Arial"/>
                <w:sz w:val="20"/>
                <w:szCs w:val="20"/>
                <w:lang w:eastAsia="en-GB"/>
              </w:rPr>
            </w:pPr>
            <w:r w:rsidRPr="006A4BC0">
              <w:rPr>
                <w:rFonts w:eastAsia="Times New Roman" w:cs="Arial"/>
                <w:sz w:val="20"/>
                <w:szCs w:val="20"/>
                <w:lang w:eastAsia="en-GB"/>
              </w:rPr>
              <w:t>Education, training and research</w:t>
            </w:r>
          </w:p>
        </w:tc>
        <w:tc>
          <w:tcPr>
            <w:tcW w:w="1603" w:type="dxa"/>
            <w:tcBorders>
              <w:top w:val="nil"/>
              <w:left w:val="nil"/>
              <w:bottom w:val="nil"/>
              <w:right w:val="nil"/>
            </w:tcBorders>
            <w:shd w:val="clear" w:color="000000" w:fill="FFFFFF"/>
            <w:noWrap/>
            <w:vAlign w:val="bottom"/>
            <w:hideMark/>
          </w:tcPr>
          <w:p w14:paraId="5BA48F0E" w14:textId="77777777" w:rsidR="00F76B2B" w:rsidRPr="006A4BC0" w:rsidRDefault="00F76B2B"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310FF7A" w14:textId="77777777" w:rsidR="00F76B2B" w:rsidRPr="006A4BC0" w:rsidRDefault="00F76B2B"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nil"/>
              <w:left w:val="nil"/>
              <w:bottom w:val="nil"/>
              <w:right w:val="nil"/>
            </w:tcBorders>
            <w:shd w:val="clear" w:color="000000" w:fill="FFFFFF"/>
            <w:noWrap/>
            <w:vAlign w:val="bottom"/>
            <w:hideMark/>
          </w:tcPr>
          <w:p w14:paraId="4E25BAAB" w14:textId="77777777" w:rsidR="00F76B2B" w:rsidRPr="006A4BC0" w:rsidRDefault="00F76B2B"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187719AD" w14:textId="77777777" w:rsidR="00F76B2B" w:rsidRPr="006A4BC0" w:rsidRDefault="00F76B2B"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94" w:type="dxa"/>
            <w:tcBorders>
              <w:top w:val="nil"/>
              <w:left w:val="nil"/>
              <w:bottom w:val="nil"/>
              <w:right w:val="nil"/>
            </w:tcBorders>
            <w:shd w:val="clear" w:color="000000" w:fill="FFFFFF"/>
            <w:noWrap/>
            <w:vAlign w:val="bottom"/>
            <w:hideMark/>
          </w:tcPr>
          <w:p w14:paraId="2C20B660" w14:textId="77777777" w:rsidR="00F76B2B" w:rsidRPr="006A4BC0" w:rsidRDefault="00F76B2B"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7E014103" w14:textId="77777777" w:rsidR="00F76B2B" w:rsidRPr="006A4BC0" w:rsidRDefault="00F76B2B" w:rsidP="006A4BC0">
            <w:pPr>
              <w:spacing w:before="0" w:after="0"/>
              <w:rPr>
                <w:rFonts w:eastAsia="Times New Roman" w:cs="Arial"/>
                <w:b/>
                <w:bCs/>
                <w:sz w:val="20"/>
                <w:szCs w:val="20"/>
                <w:lang w:eastAsia="en-GB"/>
              </w:rPr>
            </w:pPr>
            <w:r w:rsidRPr="006A4BC0">
              <w:rPr>
                <w:rFonts w:eastAsia="Times New Roman" w:cs="Arial"/>
                <w:b/>
                <w:bCs/>
                <w:sz w:val="20"/>
                <w:szCs w:val="20"/>
                <w:lang w:eastAsia="en-GB"/>
              </w:rPr>
              <w:t> </w:t>
            </w:r>
          </w:p>
        </w:tc>
        <w:tc>
          <w:tcPr>
            <w:tcW w:w="1240" w:type="dxa"/>
            <w:gridSpan w:val="2"/>
            <w:tcBorders>
              <w:top w:val="nil"/>
              <w:left w:val="nil"/>
              <w:bottom w:val="nil"/>
              <w:right w:val="nil"/>
            </w:tcBorders>
            <w:shd w:val="clear" w:color="000000" w:fill="FFFFFF"/>
            <w:noWrap/>
            <w:vAlign w:val="bottom"/>
            <w:hideMark/>
          </w:tcPr>
          <w:p w14:paraId="1127FC84" w14:textId="77777777" w:rsidR="00F76B2B" w:rsidRPr="006A4BC0" w:rsidRDefault="00F76B2B"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8,309</w:t>
            </w:r>
          </w:p>
        </w:tc>
      </w:tr>
      <w:tr w:rsidR="00005A15" w:rsidRPr="006A4BC0" w14:paraId="5C3F9757" w14:textId="77777777" w:rsidTr="008470B1">
        <w:trPr>
          <w:gridAfter w:val="2"/>
          <w:wAfter w:w="222" w:type="dxa"/>
          <w:trHeight w:val="260"/>
        </w:trPr>
        <w:tc>
          <w:tcPr>
            <w:tcW w:w="3926" w:type="dxa"/>
            <w:gridSpan w:val="2"/>
            <w:tcBorders>
              <w:top w:val="nil"/>
              <w:left w:val="nil"/>
              <w:bottom w:val="nil"/>
              <w:right w:val="nil"/>
            </w:tcBorders>
            <w:shd w:val="clear" w:color="000000" w:fill="FFFFFF"/>
            <w:noWrap/>
            <w:vAlign w:val="bottom"/>
            <w:hideMark/>
          </w:tcPr>
          <w:p w14:paraId="48AB637F"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Non-patient care services to other bodies</w:t>
            </w:r>
          </w:p>
        </w:tc>
        <w:tc>
          <w:tcPr>
            <w:tcW w:w="1603" w:type="dxa"/>
            <w:tcBorders>
              <w:top w:val="nil"/>
              <w:left w:val="nil"/>
              <w:bottom w:val="nil"/>
              <w:right w:val="nil"/>
            </w:tcBorders>
            <w:shd w:val="clear" w:color="000000" w:fill="FFFFFF"/>
            <w:noWrap/>
            <w:vAlign w:val="bottom"/>
            <w:hideMark/>
          </w:tcPr>
          <w:p w14:paraId="7214D96C"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4E5FFB8"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nil"/>
              <w:left w:val="nil"/>
              <w:bottom w:val="nil"/>
              <w:right w:val="nil"/>
            </w:tcBorders>
            <w:shd w:val="clear" w:color="000000" w:fill="FFFFFF"/>
            <w:noWrap/>
            <w:vAlign w:val="bottom"/>
            <w:hideMark/>
          </w:tcPr>
          <w:p w14:paraId="268FF682"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BF0A9B2"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305" w:type="dxa"/>
            <w:gridSpan w:val="2"/>
            <w:tcBorders>
              <w:top w:val="nil"/>
              <w:left w:val="nil"/>
              <w:bottom w:val="nil"/>
              <w:right w:val="nil"/>
            </w:tcBorders>
            <w:shd w:val="clear" w:color="000000" w:fill="FFFFFF"/>
            <w:noWrap/>
            <w:vAlign w:val="bottom"/>
            <w:hideMark/>
          </w:tcPr>
          <w:p w14:paraId="5AAB1503"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9,961</w:t>
            </w:r>
          </w:p>
        </w:tc>
        <w:tc>
          <w:tcPr>
            <w:tcW w:w="272" w:type="dxa"/>
            <w:gridSpan w:val="2"/>
            <w:tcBorders>
              <w:top w:val="nil"/>
              <w:left w:val="nil"/>
              <w:bottom w:val="nil"/>
              <w:right w:val="nil"/>
            </w:tcBorders>
            <w:shd w:val="clear" w:color="000000" w:fill="FFFFFF"/>
            <w:noWrap/>
            <w:vAlign w:val="bottom"/>
            <w:hideMark/>
          </w:tcPr>
          <w:p w14:paraId="7051FDF6" w14:textId="77777777" w:rsidR="006A4BC0" w:rsidRPr="006A4BC0" w:rsidRDefault="006A4BC0" w:rsidP="006A4BC0">
            <w:pPr>
              <w:spacing w:before="0" w:after="0"/>
              <w:rPr>
                <w:rFonts w:eastAsia="Times New Roman" w:cs="Arial"/>
                <w:b/>
                <w:bCs/>
                <w:sz w:val="20"/>
                <w:szCs w:val="20"/>
                <w:lang w:eastAsia="en-GB"/>
              </w:rPr>
            </w:pPr>
            <w:r w:rsidRPr="006A4BC0">
              <w:rPr>
                <w:rFonts w:eastAsia="Times New Roman" w:cs="Arial"/>
                <w:b/>
                <w:bCs/>
                <w:sz w:val="20"/>
                <w:szCs w:val="20"/>
                <w:lang w:eastAsia="en-GB"/>
              </w:rPr>
              <w:t> </w:t>
            </w:r>
          </w:p>
        </w:tc>
        <w:tc>
          <w:tcPr>
            <w:tcW w:w="1240" w:type="dxa"/>
            <w:gridSpan w:val="2"/>
            <w:tcBorders>
              <w:top w:val="nil"/>
              <w:left w:val="nil"/>
              <w:bottom w:val="nil"/>
              <w:right w:val="nil"/>
            </w:tcBorders>
            <w:shd w:val="clear" w:color="000000" w:fill="FFFFFF"/>
            <w:noWrap/>
            <w:vAlign w:val="bottom"/>
            <w:hideMark/>
          </w:tcPr>
          <w:p w14:paraId="1488B976"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915</w:t>
            </w:r>
          </w:p>
        </w:tc>
      </w:tr>
      <w:tr w:rsidR="006A4BC0" w:rsidRPr="006A4BC0" w14:paraId="53A0E5EE" w14:textId="77777777" w:rsidTr="008470B1">
        <w:trPr>
          <w:gridAfter w:val="3"/>
          <w:wAfter w:w="233" w:type="dxa"/>
          <w:trHeight w:val="260"/>
        </w:trPr>
        <w:tc>
          <w:tcPr>
            <w:tcW w:w="2977" w:type="dxa"/>
            <w:tcBorders>
              <w:top w:val="nil"/>
              <w:left w:val="nil"/>
              <w:bottom w:val="nil"/>
              <w:right w:val="nil"/>
            </w:tcBorders>
            <w:shd w:val="clear" w:color="000000" w:fill="FFFFFF"/>
            <w:noWrap/>
            <w:vAlign w:val="bottom"/>
            <w:hideMark/>
          </w:tcPr>
          <w:p w14:paraId="0E9DDCA5"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Prescription fees and charges*</w:t>
            </w:r>
          </w:p>
        </w:tc>
        <w:tc>
          <w:tcPr>
            <w:tcW w:w="949" w:type="dxa"/>
            <w:tcBorders>
              <w:top w:val="nil"/>
              <w:left w:val="nil"/>
              <w:bottom w:val="nil"/>
              <w:right w:val="nil"/>
            </w:tcBorders>
            <w:shd w:val="clear" w:color="000000" w:fill="FFFFFF"/>
            <w:noWrap/>
            <w:vAlign w:val="bottom"/>
            <w:hideMark/>
          </w:tcPr>
          <w:p w14:paraId="592658F7"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603" w:type="dxa"/>
            <w:tcBorders>
              <w:top w:val="nil"/>
              <w:left w:val="nil"/>
              <w:bottom w:val="nil"/>
              <w:right w:val="nil"/>
            </w:tcBorders>
            <w:shd w:val="clear" w:color="000000" w:fill="FFFFFF"/>
            <w:noWrap/>
            <w:vAlign w:val="bottom"/>
            <w:hideMark/>
          </w:tcPr>
          <w:p w14:paraId="2F2FF052"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D23458A"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nil"/>
              <w:left w:val="nil"/>
              <w:bottom w:val="nil"/>
              <w:right w:val="nil"/>
            </w:tcBorders>
            <w:shd w:val="clear" w:color="000000" w:fill="FFFFFF"/>
            <w:noWrap/>
            <w:vAlign w:val="bottom"/>
            <w:hideMark/>
          </w:tcPr>
          <w:p w14:paraId="2D2FB17A"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19B84FD8"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94" w:type="dxa"/>
            <w:tcBorders>
              <w:top w:val="nil"/>
              <w:left w:val="nil"/>
              <w:bottom w:val="nil"/>
              <w:right w:val="nil"/>
            </w:tcBorders>
            <w:shd w:val="clear" w:color="000000" w:fill="FFFFFF"/>
            <w:noWrap/>
            <w:vAlign w:val="bottom"/>
            <w:hideMark/>
          </w:tcPr>
          <w:p w14:paraId="4EDBBFA0"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13,131</w:t>
            </w:r>
          </w:p>
        </w:tc>
        <w:tc>
          <w:tcPr>
            <w:tcW w:w="272" w:type="dxa"/>
            <w:gridSpan w:val="2"/>
            <w:tcBorders>
              <w:top w:val="nil"/>
              <w:left w:val="nil"/>
              <w:bottom w:val="nil"/>
              <w:right w:val="nil"/>
            </w:tcBorders>
            <w:shd w:val="clear" w:color="000000" w:fill="FFFFFF"/>
            <w:noWrap/>
            <w:vAlign w:val="bottom"/>
            <w:hideMark/>
          </w:tcPr>
          <w:p w14:paraId="5F5332C4" w14:textId="77777777" w:rsidR="006A4BC0" w:rsidRPr="006A4BC0" w:rsidRDefault="006A4BC0" w:rsidP="006A4BC0">
            <w:pPr>
              <w:spacing w:before="0" w:after="0"/>
              <w:rPr>
                <w:rFonts w:eastAsia="Times New Roman" w:cs="Arial"/>
                <w:b/>
                <w:bCs/>
                <w:sz w:val="20"/>
                <w:szCs w:val="20"/>
                <w:lang w:eastAsia="en-GB"/>
              </w:rPr>
            </w:pPr>
            <w:r w:rsidRPr="006A4BC0">
              <w:rPr>
                <w:rFonts w:eastAsia="Times New Roman" w:cs="Arial"/>
                <w:b/>
                <w:bCs/>
                <w:sz w:val="20"/>
                <w:szCs w:val="20"/>
                <w:lang w:eastAsia="en-GB"/>
              </w:rPr>
              <w:t> </w:t>
            </w:r>
          </w:p>
        </w:tc>
        <w:tc>
          <w:tcPr>
            <w:tcW w:w="1240" w:type="dxa"/>
            <w:gridSpan w:val="2"/>
            <w:tcBorders>
              <w:top w:val="nil"/>
              <w:left w:val="nil"/>
              <w:bottom w:val="nil"/>
              <w:right w:val="nil"/>
            </w:tcBorders>
            <w:shd w:val="clear" w:color="000000" w:fill="FFFFFF"/>
            <w:noWrap/>
            <w:vAlign w:val="bottom"/>
            <w:hideMark/>
          </w:tcPr>
          <w:p w14:paraId="15CF7AA6"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w:t>
            </w:r>
          </w:p>
        </w:tc>
      </w:tr>
      <w:tr w:rsidR="006A4BC0" w:rsidRPr="006A4BC0" w14:paraId="5E0D7780" w14:textId="77777777" w:rsidTr="008470B1">
        <w:trPr>
          <w:gridAfter w:val="3"/>
          <w:wAfter w:w="233" w:type="dxa"/>
          <w:trHeight w:val="260"/>
        </w:trPr>
        <w:tc>
          <w:tcPr>
            <w:tcW w:w="2977" w:type="dxa"/>
            <w:tcBorders>
              <w:top w:val="nil"/>
              <w:left w:val="nil"/>
              <w:bottom w:val="nil"/>
              <w:right w:val="nil"/>
            </w:tcBorders>
            <w:shd w:val="clear" w:color="000000" w:fill="FFFFFF"/>
            <w:noWrap/>
            <w:vAlign w:val="bottom"/>
            <w:hideMark/>
          </w:tcPr>
          <w:p w14:paraId="5EA1BB11"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Dental fees and charges*</w:t>
            </w:r>
          </w:p>
        </w:tc>
        <w:tc>
          <w:tcPr>
            <w:tcW w:w="949" w:type="dxa"/>
            <w:tcBorders>
              <w:top w:val="nil"/>
              <w:left w:val="nil"/>
              <w:bottom w:val="nil"/>
              <w:right w:val="nil"/>
            </w:tcBorders>
            <w:shd w:val="clear" w:color="000000" w:fill="FFFFFF"/>
            <w:noWrap/>
            <w:vAlign w:val="bottom"/>
            <w:hideMark/>
          </w:tcPr>
          <w:p w14:paraId="7D9272AF"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603" w:type="dxa"/>
            <w:tcBorders>
              <w:top w:val="nil"/>
              <w:left w:val="nil"/>
              <w:bottom w:val="nil"/>
              <w:right w:val="nil"/>
            </w:tcBorders>
            <w:shd w:val="clear" w:color="000000" w:fill="FFFFFF"/>
            <w:noWrap/>
            <w:vAlign w:val="bottom"/>
            <w:hideMark/>
          </w:tcPr>
          <w:p w14:paraId="764698E9"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D650DDF"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nil"/>
              <w:left w:val="nil"/>
              <w:bottom w:val="nil"/>
              <w:right w:val="nil"/>
            </w:tcBorders>
            <w:shd w:val="clear" w:color="000000" w:fill="FFFFFF"/>
            <w:noWrap/>
            <w:vAlign w:val="bottom"/>
            <w:hideMark/>
          </w:tcPr>
          <w:p w14:paraId="78D1D4C9"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4DD2CBD"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94" w:type="dxa"/>
            <w:tcBorders>
              <w:top w:val="nil"/>
              <w:left w:val="nil"/>
              <w:bottom w:val="nil"/>
              <w:right w:val="nil"/>
            </w:tcBorders>
            <w:shd w:val="clear" w:color="000000" w:fill="FFFFFF"/>
            <w:noWrap/>
            <w:vAlign w:val="bottom"/>
            <w:hideMark/>
          </w:tcPr>
          <w:p w14:paraId="540A231A"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19,978</w:t>
            </w:r>
          </w:p>
        </w:tc>
        <w:tc>
          <w:tcPr>
            <w:tcW w:w="272" w:type="dxa"/>
            <w:gridSpan w:val="2"/>
            <w:tcBorders>
              <w:top w:val="nil"/>
              <w:left w:val="nil"/>
              <w:bottom w:val="nil"/>
              <w:right w:val="nil"/>
            </w:tcBorders>
            <w:shd w:val="clear" w:color="000000" w:fill="FFFFFF"/>
            <w:noWrap/>
            <w:vAlign w:val="bottom"/>
            <w:hideMark/>
          </w:tcPr>
          <w:p w14:paraId="23F1917C" w14:textId="77777777" w:rsidR="006A4BC0" w:rsidRPr="006A4BC0" w:rsidRDefault="006A4BC0" w:rsidP="006A4BC0">
            <w:pPr>
              <w:spacing w:before="0" w:after="0"/>
              <w:rPr>
                <w:rFonts w:eastAsia="Times New Roman" w:cs="Arial"/>
                <w:b/>
                <w:bCs/>
                <w:sz w:val="20"/>
                <w:szCs w:val="20"/>
                <w:lang w:eastAsia="en-GB"/>
              </w:rPr>
            </w:pPr>
            <w:r w:rsidRPr="006A4BC0">
              <w:rPr>
                <w:rFonts w:eastAsia="Times New Roman" w:cs="Arial"/>
                <w:b/>
                <w:bCs/>
                <w:sz w:val="20"/>
                <w:szCs w:val="20"/>
                <w:lang w:eastAsia="en-GB"/>
              </w:rPr>
              <w:t> </w:t>
            </w:r>
          </w:p>
        </w:tc>
        <w:tc>
          <w:tcPr>
            <w:tcW w:w="1240" w:type="dxa"/>
            <w:gridSpan w:val="2"/>
            <w:tcBorders>
              <w:top w:val="nil"/>
              <w:left w:val="nil"/>
              <w:bottom w:val="nil"/>
              <w:right w:val="nil"/>
            </w:tcBorders>
            <w:shd w:val="clear" w:color="000000" w:fill="FFFFFF"/>
            <w:noWrap/>
            <w:vAlign w:val="bottom"/>
            <w:hideMark/>
          </w:tcPr>
          <w:p w14:paraId="05671140"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w:t>
            </w:r>
          </w:p>
        </w:tc>
      </w:tr>
      <w:tr w:rsidR="006A4BC0" w:rsidRPr="006A4BC0" w14:paraId="4FA4E91B" w14:textId="77777777" w:rsidTr="008470B1">
        <w:trPr>
          <w:gridAfter w:val="3"/>
          <w:wAfter w:w="233" w:type="dxa"/>
          <w:trHeight w:val="260"/>
        </w:trPr>
        <w:tc>
          <w:tcPr>
            <w:tcW w:w="2977" w:type="dxa"/>
            <w:tcBorders>
              <w:top w:val="nil"/>
              <w:left w:val="nil"/>
              <w:bottom w:val="nil"/>
              <w:right w:val="nil"/>
            </w:tcBorders>
            <w:shd w:val="clear" w:color="000000" w:fill="FFFFFF"/>
            <w:noWrap/>
            <w:vAlign w:val="bottom"/>
            <w:hideMark/>
          </w:tcPr>
          <w:p w14:paraId="45AE4CA1"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Other contract income</w:t>
            </w:r>
          </w:p>
        </w:tc>
        <w:tc>
          <w:tcPr>
            <w:tcW w:w="949" w:type="dxa"/>
            <w:tcBorders>
              <w:top w:val="nil"/>
              <w:left w:val="nil"/>
              <w:bottom w:val="nil"/>
              <w:right w:val="nil"/>
            </w:tcBorders>
            <w:shd w:val="clear" w:color="000000" w:fill="FFFFFF"/>
            <w:noWrap/>
            <w:vAlign w:val="bottom"/>
            <w:hideMark/>
          </w:tcPr>
          <w:p w14:paraId="4ABEA23E"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603" w:type="dxa"/>
            <w:tcBorders>
              <w:top w:val="nil"/>
              <w:left w:val="nil"/>
              <w:bottom w:val="nil"/>
              <w:right w:val="nil"/>
            </w:tcBorders>
            <w:shd w:val="clear" w:color="000000" w:fill="FFFFFF"/>
            <w:noWrap/>
            <w:vAlign w:val="bottom"/>
            <w:hideMark/>
          </w:tcPr>
          <w:p w14:paraId="0E62F1A1"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4DC5D72"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nil"/>
              <w:left w:val="nil"/>
              <w:bottom w:val="nil"/>
              <w:right w:val="nil"/>
            </w:tcBorders>
            <w:shd w:val="clear" w:color="000000" w:fill="FFFFFF"/>
            <w:noWrap/>
            <w:vAlign w:val="bottom"/>
            <w:hideMark/>
          </w:tcPr>
          <w:p w14:paraId="14F99B7C"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6CE98F2"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94" w:type="dxa"/>
            <w:tcBorders>
              <w:top w:val="nil"/>
              <w:left w:val="nil"/>
              <w:bottom w:val="nil"/>
              <w:right w:val="nil"/>
            </w:tcBorders>
            <w:shd w:val="clear" w:color="000000" w:fill="FFFFFF"/>
            <w:noWrap/>
            <w:vAlign w:val="bottom"/>
            <w:hideMark/>
          </w:tcPr>
          <w:p w14:paraId="7ECE5EE4"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4,494</w:t>
            </w:r>
          </w:p>
        </w:tc>
        <w:tc>
          <w:tcPr>
            <w:tcW w:w="272" w:type="dxa"/>
            <w:gridSpan w:val="2"/>
            <w:tcBorders>
              <w:top w:val="nil"/>
              <w:left w:val="nil"/>
              <w:bottom w:val="nil"/>
              <w:right w:val="nil"/>
            </w:tcBorders>
            <w:shd w:val="clear" w:color="000000" w:fill="FFFFFF"/>
            <w:noWrap/>
            <w:vAlign w:val="bottom"/>
            <w:hideMark/>
          </w:tcPr>
          <w:p w14:paraId="4E1B4F02" w14:textId="77777777" w:rsidR="006A4BC0" w:rsidRPr="006A4BC0" w:rsidRDefault="006A4BC0" w:rsidP="006A4BC0">
            <w:pPr>
              <w:spacing w:before="0" w:after="0"/>
              <w:rPr>
                <w:rFonts w:eastAsia="Times New Roman" w:cs="Arial"/>
                <w:b/>
                <w:bCs/>
                <w:sz w:val="20"/>
                <w:szCs w:val="20"/>
                <w:lang w:eastAsia="en-GB"/>
              </w:rPr>
            </w:pPr>
            <w:r w:rsidRPr="006A4BC0">
              <w:rPr>
                <w:rFonts w:eastAsia="Times New Roman" w:cs="Arial"/>
                <w:b/>
                <w:bCs/>
                <w:sz w:val="20"/>
                <w:szCs w:val="20"/>
                <w:lang w:eastAsia="en-GB"/>
              </w:rPr>
              <w:t> </w:t>
            </w:r>
          </w:p>
        </w:tc>
        <w:tc>
          <w:tcPr>
            <w:tcW w:w="1240" w:type="dxa"/>
            <w:gridSpan w:val="2"/>
            <w:tcBorders>
              <w:top w:val="nil"/>
              <w:left w:val="nil"/>
              <w:bottom w:val="nil"/>
              <w:right w:val="nil"/>
            </w:tcBorders>
            <w:shd w:val="clear" w:color="000000" w:fill="FFFFFF"/>
            <w:noWrap/>
            <w:vAlign w:val="bottom"/>
            <w:hideMark/>
          </w:tcPr>
          <w:p w14:paraId="08B2D513"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1,162</w:t>
            </w:r>
          </w:p>
        </w:tc>
      </w:tr>
      <w:tr w:rsidR="00F76B2B" w:rsidRPr="006A4BC0" w14:paraId="5ADE9E24" w14:textId="77777777" w:rsidTr="003941DD">
        <w:trPr>
          <w:gridAfter w:val="2"/>
          <w:wAfter w:w="222" w:type="dxa"/>
          <w:trHeight w:val="260"/>
        </w:trPr>
        <w:tc>
          <w:tcPr>
            <w:tcW w:w="5529" w:type="dxa"/>
            <w:gridSpan w:val="3"/>
            <w:tcBorders>
              <w:top w:val="nil"/>
              <w:left w:val="nil"/>
              <w:bottom w:val="nil"/>
              <w:right w:val="nil"/>
            </w:tcBorders>
            <w:shd w:val="clear" w:color="000000" w:fill="FFFFFF"/>
            <w:noWrap/>
            <w:vAlign w:val="bottom"/>
            <w:hideMark/>
          </w:tcPr>
          <w:p w14:paraId="1444F745" w14:textId="4376A6AD" w:rsidR="00F76B2B" w:rsidRPr="006A4BC0" w:rsidRDefault="00F76B2B" w:rsidP="006A4BC0">
            <w:pPr>
              <w:spacing w:before="0" w:after="0"/>
              <w:rPr>
                <w:rFonts w:eastAsia="Times New Roman" w:cs="Arial"/>
                <w:b/>
                <w:bCs/>
                <w:sz w:val="20"/>
                <w:szCs w:val="20"/>
                <w:lang w:eastAsia="en-GB"/>
              </w:rPr>
            </w:pPr>
            <w:r w:rsidRPr="006A4BC0">
              <w:rPr>
                <w:rFonts w:eastAsia="Times New Roman" w:cs="Arial"/>
                <w:b/>
                <w:bCs/>
                <w:sz w:val="20"/>
                <w:szCs w:val="20"/>
                <w:lang w:eastAsia="en-GB"/>
              </w:rPr>
              <w:t>Total income from sale of goods and services</w:t>
            </w:r>
          </w:p>
        </w:tc>
        <w:tc>
          <w:tcPr>
            <w:tcW w:w="272" w:type="dxa"/>
            <w:tcBorders>
              <w:top w:val="nil"/>
              <w:left w:val="nil"/>
              <w:bottom w:val="nil"/>
              <w:right w:val="nil"/>
            </w:tcBorders>
            <w:shd w:val="clear" w:color="000000" w:fill="FFFFFF"/>
            <w:noWrap/>
            <w:vAlign w:val="bottom"/>
            <w:hideMark/>
          </w:tcPr>
          <w:p w14:paraId="34CECAF0" w14:textId="77777777" w:rsidR="00F76B2B" w:rsidRPr="006A4BC0" w:rsidRDefault="00F76B2B"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nil"/>
              <w:left w:val="nil"/>
              <w:bottom w:val="nil"/>
              <w:right w:val="nil"/>
            </w:tcBorders>
            <w:shd w:val="clear" w:color="000000" w:fill="FFFFFF"/>
            <w:noWrap/>
            <w:vAlign w:val="bottom"/>
            <w:hideMark/>
          </w:tcPr>
          <w:p w14:paraId="7C4C2DDA" w14:textId="77777777" w:rsidR="00F76B2B" w:rsidRPr="006A4BC0" w:rsidRDefault="00F76B2B"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11880E24" w14:textId="77777777" w:rsidR="00F76B2B" w:rsidRPr="006A4BC0" w:rsidRDefault="00F76B2B"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305" w:type="dxa"/>
            <w:gridSpan w:val="2"/>
            <w:tcBorders>
              <w:top w:val="single" w:sz="4" w:space="0" w:color="auto"/>
              <w:left w:val="nil"/>
              <w:bottom w:val="single" w:sz="4" w:space="0" w:color="auto"/>
              <w:right w:val="nil"/>
            </w:tcBorders>
            <w:shd w:val="clear" w:color="000000" w:fill="FFFFFF"/>
            <w:noWrap/>
            <w:vAlign w:val="bottom"/>
            <w:hideMark/>
          </w:tcPr>
          <w:p w14:paraId="2B933DFE" w14:textId="77777777" w:rsidR="00F76B2B" w:rsidRPr="006A4BC0" w:rsidRDefault="00F76B2B"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47,564</w:t>
            </w:r>
          </w:p>
        </w:tc>
        <w:tc>
          <w:tcPr>
            <w:tcW w:w="272" w:type="dxa"/>
            <w:gridSpan w:val="2"/>
            <w:tcBorders>
              <w:top w:val="nil"/>
              <w:left w:val="nil"/>
              <w:bottom w:val="nil"/>
              <w:right w:val="nil"/>
            </w:tcBorders>
            <w:shd w:val="clear" w:color="000000" w:fill="FFFFFF"/>
            <w:noWrap/>
            <w:vAlign w:val="bottom"/>
            <w:hideMark/>
          </w:tcPr>
          <w:p w14:paraId="4ABDF49E" w14:textId="77777777" w:rsidR="00F76B2B" w:rsidRPr="006A4BC0" w:rsidRDefault="00F76B2B"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40" w:type="dxa"/>
            <w:gridSpan w:val="2"/>
            <w:tcBorders>
              <w:top w:val="single" w:sz="4" w:space="0" w:color="auto"/>
              <w:left w:val="nil"/>
              <w:bottom w:val="single" w:sz="4" w:space="0" w:color="auto"/>
              <w:right w:val="nil"/>
            </w:tcBorders>
            <w:shd w:val="clear" w:color="000000" w:fill="FFFFFF"/>
            <w:noWrap/>
            <w:vAlign w:val="bottom"/>
            <w:hideMark/>
          </w:tcPr>
          <w:p w14:paraId="745E25D7" w14:textId="77777777" w:rsidR="00F76B2B" w:rsidRPr="006A4BC0" w:rsidRDefault="00F76B2B"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10,386</w:t>
            </w:r>
          </w:p>
        </w:tc>
      </w:tr>
      <w:tr w:rsidR="006A4BC0" w:rsidRPr="006A4BC0" w14:paraId="73698446" w14:textId="77777777" w:rsidTr="008470B1">
        <w:trPr>
          <w:gridAfter w:val="3"/>
          <w:wAfter w:w="233" w:type="dxa"/>
          <w:trHeight w:val="270"/>
        </w:trPr>
        <w:tc>
          <w:tcPr>
            <w:tcW w:w="2977" w:type="dxa"/>
            <w:tcBorders>
              <w:top w:val="nil"/>
              <w:left w:val="nil"/>
              <w:bottom w:val="nil"/>
              <w:right w:val="nil"/>
            </w:tcBorders>
            <w:shd w:val="clear" w:color="000000" w:fill="FFFFFF"/>
            <w:noWrap/>
            <w:vAlign w:val="bottom"/>
            <w:hideMark/>
          </w:tcPr>
          <w:p w14:paraId="2965C0CB"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949" w:type="dxa"/>
            <w:tcBorders>
              <w:top w:val="nil"/>
              <w:left w:val="nil"/>
              <w:bottom w:val="nil"/>
              <w:right w:val="nil"/>
            </w:tcBorders>
            <w:shd w:val="clear" w:color="000000" w:fill="FFFFFF"/>
            <w:noWrap/>
            <w:vAlign w:val="bottom"/>
            <w:hideMark/>
          </w:tcPr>
          <w:p w14:paraId="3FA1ECEF"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603" w:type="dxa"/>
            <w:tcBorders>
              <w:top w:val="nil"/>
              <w:left w:val="nil"/>
              <w:bottom w:val="nil"/>
              <w:right w:val="nil"/>
            </w:tcBorders>
            <w:shd w:val="clear" w:color="000000" w:fill="FFFFFF"/>
            <w:noWrap/>
            <w:vAlign w:val="bottom"/>
            <w:hideMark/>
          </w:tcPr>
          <w:p w14:paraId="420B67B6"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A96979E"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nil"/>
              <w:left w:val="nil"/>
              <w:bottom w:val="nil"/>
              <w:right w:val="nil"/>
            </w:tcBorders>
            <w:shd w:val="clear" w:color="000000" w:fill="FFFFFF"/>
            <w:noWrap/>
            <w:vAlign w:val="bottom"/>
            <w:hideMark/>
          </w:tcPr>
          <w:p w14:paraId="0E4374D3"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CE56FC2"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94" w:type="dxa"/>
            <w:tcBorders>
              <w:top w:val="nil"/>
              <w:left w:val="nil"/>
              <w:bottom w:val="nil"/>
              <w:right w:val="nil"/>
            </w:tcBorders>
            <w:shd w:val="clear" w:color="000000" w:fill="FFFFFF"/>
            <w:noWrap/>
            <w:vAlign w:val="bottom"/>
            <w:hideMark/>
          </w:tcPr>
          <w:p w14:paraId="18FD4CA8" w14:textId="77777777" w:rsidR="006A4BC0" w:rsidRPr="006A4BC0" w:rsidRDefault="006A4BC0" w:rsidP="006A4BC0">
            <w:pPr>
              <w:spacing w:before="0" w:after="0"/>
              <w:rPr>
                <w:rFonts w:eastAsia="Times New Roman" w:cs="Arial"/>
                <w:b/>
                <w:bCs/>
                <w:sz w:val="20"/>
                <w:szCs w:val="20"/>
                <w:lang w:eastAsia="en-GB"/>
              </w:rPr>
            </w:pPr>
            <w:r w:rsidRPr="006A4BC0">
              <w:rPr>
                <w:rFonts w:eastAsia="Times New Roman" w:cs="Arial"/>
                <w:b/>
                <w:bCs/>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48728114"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40" w:type="dxa"/>
            <w:gridSpan w:val="2"/>
            <w:tcBorders>
              <w:top w:val="nil"/>
              <w:left w:val="nil"/>
              <w:bottom w:val="nil"/>
              <w:right w:val="nil"/>
            </w:tcBorders>
            <w:shd w:val="clear" w:color="000000" w:fill="FFFFFF"/>
            <w:noWrap/>
            <w:vAlign w:val="bottom"/>
            <w:hideMark/>
          </w:tcPr>
          <w:p w14:paraId="6BCEB102"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r>
      <w:tr w:rsidR="006A4BC0" w:rsidRPr="006A4BC0" w14:paraId="0CA6DBBD" w14:textId="77777777" w:rsidTr="008470B1">
        <w:trPr>
          <w:gridAfter w:val="3"/>
          <w:wAfter w:w="233" w:type="dxa"/>
          <w:trHeight w:val="260"/>
        </w:trPr>
        <w:tc>
          <w:tcPr>
            <w:tcW w:w="2977" w:type="dxa"/>
            <w:tcBorders>
              <w:top w:val="nil"/>
              <w:left w:val="nil"/>
              <w:bottom w:val="nil"/>
              <w:right w:val="nil"/>
            </w:tcBorders>
            <w:shd w:val="clear" w:color="000000" w:fill="FFFFFF"/>
            <w:noWrap/>
            <w:vAlign w:val="bottom"/>
            <w:hideMark/>
          </w:tcPr>
          <w:p w14:paraId="320456A9" w14:textId="77777777" w:rsidR="006A4BC0" w:rsidRPr="006A4BC0" w:rsidRDefault="006A4BC0" w:rsidP="006A4BC0">
            <w:pPr>
              <w:spacing w:before="0" w:after="0"/>
              <w:rPr>
                <w:rFonts w:eastAsia="Times New Roman" w:cs="Arial"/>
                <w:b/>
                <w:bCs/>
                <w:sz w:val="20"/>
                <w:szCs w:val="20"/>
                <w:lang w:eastAsia="en-GB"/>
              </w:rPr>
            </w:pPr>
            <w:r w:rsidRPr="006A4BC0">
              <w:rPr>
                <w:rFonts w:eastAsia="Times New Roman" w:cs="Arial"/>
                <w:b/>
                <w:bCs/>
                <w:sz w:val="20"/>
                <w:szCs w:val="20"/>
                <w:lang w:eastAsia="en-GB"/>
              </w:rPr>
              <w:t>Total operating income</w:t>
            </w:r>
          </w:p>
        </w:tc>
        <w:tc>
          <w:tcPr>
            <w:tcW w:w="949" w:type="dxa"/>
            <w:tcBorders>
              <w:top w:val="nil"/>
              <w:left w:val="nil"/>
              <w:bottom w:val="nil"/>
              <w:right w:val="nil"/>
            </w:tcBorders>
            <w:shd w:val="clear" w:color="000000" w:fill="FFFFFF"/>
            <w:noWrap/>
            <w:vAlign w:val="bottom"/>
            <w:hideMark/>
          </w:tcPr>
          <w:p w14:paraId="6B7D5427"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603" w:type="dxa"/>
            <w:tcBorders>
              <w:top w:val="nil"/>
              <w:left w:val="nil"/>
              <w:bottom w:val="nil"/>
              <w:right w:val="nil"/>
            </w:tcBorders>
            <w:shd w:val="clear" w:color="000000" w:fill="FFFFFF"/>
            <w:noWrap/>
            <w:vAlign w:val="bottom"/>
            <w:hideMark/>
          </w:tcPr>
          <w:p w14:paraId="4212564D"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485A4CF"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nil"/>
              <w:left w:val="nil"/>
              <w:bottom w:val="nil"/>
              <w:right w:val="nil"/>
            </w:tcBorders>
            <w:shd w:val="clear" w:color="000000" w:fill="FFFFFF"/>
            <w:noWrap/>
            <w:vAlign w:val="bottom"/>
            <w:hideMark/>
          </w:tcPr>
          <w:p w14:paraId="26107510"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067B4D0"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94" w:type="dxa"/>
            <w:tcBorders>
              <w:top w:val="single" w:sz="4" w:space="0" w:color="auto"/>
              <w:left w:val="nil"/>
              <w:bottom w:val="single" w:sz="4" w:space="0" w:color="auto"/>
              <w:right w:val="nil"/>
            </w:tcBorders>
            <w:shd w:val="clear" w:color="000000" w:fill="FFFFFF"/>
            <w:noWrap/>
            <w:vAlign w:val="bottom"/>
            <w:hideMark/>
          </w:tcPr>
          <w:p w14:paraId="05906CC7"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47,564</w:t>
            </w:r>
          </w:p>
        </w:tc>
        <w:tc>
          <w:tcPr>
            <w:tcW w:w="272" w:type="dxa"/>
            <w:gridSpan w:val="2"/>
            <w:tcBorders>
              <w:top w:val="nil"/>
              <w:left w:val="nil"/>
              <w:bottom w:val="nil"/>
              <w:right w:val="nil"/>
            </w:tcBorders>
            <w:shd w:val="clear" w:color="000000" w:fill="FFFFFF"/>
            <w:noWrap/>
            <w:vAlign w:val="bottom"/>
            <w:hideMark/>
          </w:tcPr>
          <w:p w14:paraId="10A9C046"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40" w:type="dxa"/>
            <w:gridSpan w:val="2"/>
            <w:tcBorders>
              <w:top w:val="single" w:sz="4" w:space="0" w:color="auto"/>
              <w:left w:val="nil"/>
              <w:bottom w:val="single" w:sz="4" w:space="0" w:color="auto"/>
              <w:right w:val="nil"/>
            </w:tcBorders>
            <w:shd w:val="clear" w:color="000000" w:fill="FFFFFF"/>
            <w:noWrap/>
            <w:vAlign w:val="bottom"/>
            <w:hideMark/>
          </w:tcPr>
          <w:p w14:paraId="5B41F6D3"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10,386</w:t>
            </w:r>
          </w:p>
        </w:tc>
      </w:tr>
      <w:tr w:rsidR="006A4BC0" w:rsidRPr="006A4BC0" w14:paraId="48DB4BE9" w14:textId="77777777" w:rsidTr="008470B1">
        <w:trPr>
          <w:gridAfter w:val="3"/>
          <w:wAfter w:w="233" w:type="dxa"/>
          <w:trHeight w:val="260"/>
        </w:trPr>
        <w:tc>
          <w:tcPr>
            <w:tcW w:w="2977" w:type="dxa"/>
            <w:tcBorders>
              <w:top w:val="nil"/>
              <w:left w:val="nil"/>
              <w:bottom w:val="nil"/>
              <w:right w:val="nil"/>
            </w:tcBorders>
            <w:shd w:val="clear" w:color="000000" w:fill="FFFFFF"/>
            <w:noWrap/>
            <w:vAlign w:val="bottom"/>
            <w:hideMark/>
          </w:tcPr>
          <w:p w14:paraId="7848A864"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949" w:type="dxa"/>
            <w:tcBorders>
              <w:top w:val="nil"/>
              <w:left w:val="nil"/>
              <w:bottom w:val="nil"/>
              <w:right w:val="nil"/>
            </w:tcBorders>
            <w:shd w:val="clear" w:color="000000" w:fill="FFFFFF"/>
            <w:noWrap/>
            <w:vAlign w:val="bottom"/>
            <w:hideMark/>
          </w:tcPr>
          <w:p w14:paraId="1670F027"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603" w:type="dxa"/>
            <w:tcBorders>
              <w:top w:val="nil"/>
              <w:left w:val="nil"/>
              <w:bottom w:val="nil"/>
              <w:right w:val="nil"/>
            </w:tcBorders>
            <w:shd w:val="clear" w:color="000000" w:fill="FFFFFF"/>
            <w:noWrap/>
            <w:vAlign w:val="bottom"/>
            <w:hideMark/>
          </w:tcPr>
          <w:p w14:paraId="05B9CA55"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393E144"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nil"/>
              <w:left w:val="nil"/>
              <w:bottom w:val="nil"/>
              <w:right w:val="nil"/>
            </w:tcBorders>
            <w:shd w:val="clear" w:color="000000" w:fill="FFFFFF"/>
            <w:noWrap/>
            <w:vAlign w:val="bottom"/>
            <w:hideMark/>
          </w:tcPr>
          <w:p w14:paraId="1B35C4FF"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8D33590"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94" w:type="dxa"/>
            <w:tcBorders>
              <w:top w:val="nil"/>
              <w:left w:val="nil"/>
              <w:bottom w:val="nil"/>
              <w:right w:val="nil"/>
            </w:tcBorders>
            <w:shd w:val="clear" w:color="000000" w:fill="FFFFFF"/>
            <w:noWrap/>
            <w:vAlign w:val="bottom"/>
            <w:hideMark/>
          </w:tcPr>
          <w:p w14:paraId="59BAC7BA"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6D8D127E"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40" w:type="dxa"/>
            <w:gridSpan w:val="2"/>
            <w:tcBorders>
              <w:top w:val="nil"/>
              <w:left w:val="nil"/>
              <w:bottom w:val="nil"/>
              <w:right w:val="nil"/>
            </w:tcBorders>
            <w:shd w:val="clear" w:color="000000" w:fill="FFFFFF"/>
            <w:noWrap/>
            <w:vAlign w:val="bottom"/>
            <w:hideMark/>
          </w:tcPr>
          <w:p w14:paraId="580B6981"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r>
      <w:tr w:rsidR="006A4BC0" w:rsidRPr="006A4BC0" w14:paraId="21862493" w14:textId="77777777" w:rsidTr="008470B1">
        <w:trPr>
          <w:gridAfter w:val="3"/>
          <w:wAfter w:w="233" w:type="dxa"/>
          <w:trHeight w:val="517"/>
        </w:trPr>
        <w:tc>
          <w:tcPr>
            <w:tcW w:w="10262" w:type="dxa"/>
            <w:gridSpan w:val="11"/>
            <w:vMerge w:val="restart"/>
            <w:tcBorders>
              <w:top w:val="nil"/>
              <w:left w:val="nil"/>
              <w:bottom w:val="nil"/>
              <w:right w:val="nil"/>
            </w:tcBorders>
            <w:shd w:val="clear" w:color="000000" w:fill="FFFFFF"/>
            <w:vAlign w:val="center"/>
            <w:hideMark/>
          </w:tcPr>
          <w:p w14:paraId="1FFBFF84"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The budget for the commissioning of Dental and Pharmacy services was delegated to the ICB in 2023-24.</w:t>
            </w:r>
          </w:p>
        </w:tc>
      </w:tr>
      <w:tr w:rsidR="006A4BC0" w:rsidRPr="006A4BC0" w14:paraId="10AD7461" w14:textId="77777777" w:rsidTr="008470B1">
        <w:trPr>
          <w:gridAfter w:val="1"/>
          <w:wAfter w:w="11" w:type="dxa"/>
          <w:trHeight w:val="260"/>
        </w:trPr>
        <w:tc>
          <w:tcPr>
            <w:tcW w:w="10262" w:type="dxa"/>
            <w:gridSpan w:val="11"/>
            <w:vMerge/>
            <w:tcBorders>
              <w:top w:val="nil"/>
              <w:left w:val="nil"/>
              <w:bottom w:val="nil"/>
              <w:right w:val="nil"/>
            </w:tcBorders>
            <w:vAlign w:val="center"/>
            <w:hideMark/>
          </w:tcPr>
          <w:p w14:paraId="3235E907" w14:textId="77777777" w:rsidR="006A4BC0" w:rsidRPr="006A4BC0" w:rsidRDefault="006A4BC0" w:rsidP="006A4BC0">
            <w:pPr>
              <w:spacing w:before="0" w:after="0"/>
              <w:rPr>
                <w:rFonts w:eastAsia="Times New Roman" w:cs="Arial"/>
                <w:sz w:val="20"/>
                <w:szCs w:val="20"/>
                <w:lang w:eastAsia="en-GB"/>
              </w:rPr>
            </w:pPr>
          </w:p>
        </w:tc>
        <w:tc>
          <w:tcPr>
            <w:tcW w:w="222" w:type="dxa"/>
            <w:gridSpan w:val="2"/>
            <w:tcBorders>
              <w:top w:val="nil"/>
              <w:left w:val="nil"/>
              <w:bottom w:val="nil"/>
              <w:right w:val="nil"/>
            </w:tcBorders>
            <w:shd w:val="clear" w:color="auto" w:fill="auto"/>
            <w:noWrap/>
            <w:vAlign w:val="bottom"/>
            <w:hideMark/>
          </w:tcPr>
          <w:p w14:paraId="59399246" w14:textId="77777777" w:rsidR="006A4BC0" w:rsidRPr="006A4BC0" w:rsidRDefault="006A4BC0" w:rsidP="006A4BC0">
            <w:pPr>
              <w:spacing w:before="0" w:after="0"/>
              <w:rPr>
                <w:rFonts w:eastAsia="Times New Roman" w:cs="Arial"/>
                <w:sz w:val="20"/>
                <w:szCs w:val="20"/>
                <w:lang w:eastAsia="en-GB"/>
              </w:rPr>
            </w:pPr>
          </w:p>
        </w:tc>
      </w:tr>
      <w:tr w:rsidR="006A4BC0" w:rsidRPr="006A4BC0" w14:paraId="115B713B" w14:textId="77777777" w:rsidTr="008470B1">
        <w:trPr>
          <w:gridAfter w:val="1"/>
          <w:wAfter w:w="11" w:type="dxa"/>
          <w:trHeight w:val="260"/>
        </w:trPr>
        <w:tc>
          <w:tcPr>
            <w:tcW w:w="2977" w:type="dxa"/>
            <w:tcBorders>
              <w:top w:val="nil"/>
              <w:left w:val="nil"/>
              <w:bottom w:val="nil"/>
              <w:right w:val="nil"/>
            </w:tcBorders>
            <w:shd w:val="clear" w:color="000000" w:fill="FFFFFF"/>
            <w:noWrap/>
            <w:vAlign w:val="bottom"/>
            <w:hideMark/>
          </w:tcPr>
          <w:p w14:paraId="695664C2"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949" w:type="dxa"/>
            <w:tcBorders>
              <w:top w:val="nil"/>
              <w:left w:val="nil"/>
              <w:bottom w:val="nil"/>
              <w:right w:val="nil"/>
            </w:tcBorders>
            <w:shd w:val="clear" w:color="000000" w:fill="FFFFFF"/>
            <w:noWrap/>
            <w:vAlign w:val="bottom"/>
            <w:hideMark/>
          </w:tcPr>
          <w:p w14:paraId="3264572B"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1603" w:type="dxa"/>
            <w:tcBorders>
              <w:top w:val="nil"/>
              <w:left w:val="nil"/>
              <w:bottom w:val="nil"/>
              <w:right w:val="nil"/>
            </w:tcBorders>
            <w:shd w:val="clear" w:color="000000" w:fill="FFFFFF"/>
            <w:noWrap/>
            <w:vAlign w:val="bottom"/>
            <w:hideMark/>
          </w:tcPr>
          <w:p w14:paraId="4E70EDA7"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D5A021F"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nil"/>
              <w:left w:val="nil"/>
              <w:bottom w:val="nil"/>
              <w:right w:val="nil"/>
            </w:tcBorders>
            <w:shd w:val="clear" w:color="000000" w:fill="FFFFFF"/>
            <w:noWrap/>
            <w:vAlign w:val="bottom"/>
            <w:hideMark/>
          </w:tcPr>
          <w:p w14:paraId="61105306"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A4DFF5F"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1294" w:type="dxa"/>
            <w:tcBorders>
              <w:top w:val="nil"/>
              <w:left w:val="nil"/>
              <w:bottom w:val="nil"/>
              <w:right w:val="nil"/>
            </w:tcBorders>
            <w:shd w:val="clear" w:color="000000" w:fill="FFFFFF"/>
            <w:noWrap/>
            <w:vAlign w:val="bottom"/>
            <w:hideMark/>
          </w:tcPr>
          <w:p w14:paraId="2D4AB275"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25AD0F44"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1240" w:type="dxa"/>
            <w:gridSpan w:val="2"/>
            <w:tcBorders>
              <w:top w:val="nil"/>
              <w:left w:val="nil"/>
              <w:bottom w:val="nil"/>
              <w:right w:val="nil"/>
            </w:tcBorders>
            <w:shd w:val="clear" w:color="000000" w:fill="FFFFFF"/>
            <w:noWrap/>
            <w:vAlign w:val="bottom"/>
            <w:hideMark/>
          </w:tcPr>
          <w:p w14:paraId="7B2F7898"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222" w:type="dxa"/>
            <w:gridSpan w:val="2"/>
            <w:vAlign w:val="center"/>
            <w:hideMark/>
          </w:tcPr>
          <w:p w14:paraId="673257B4" w14:textId="77777777" w:rsidR="006A4BC0" w:rsidRPr="006A4BC0" w:rsidRDefault="006A4BC0" w:rsidP="006A4BC0">
            <w:pPr>
              <w:spacing w:before="0" w:after="0"/>
              <w:rPr>
                <w:rFonts w:ascii="Times New Roman" w:eastAsia="Times New Roman" w:hAnsi="Times New Roman" w:cs="Times New Roman"/>
                <w:sz w:val="20"/>
                <w:szCs w:val="20"/>
                <w:lang w:eastAsia="en-GB"/>
              </w:rPr>
            </w:pPr>
          </w:p>
        </w:tc>
      </w:tr>
      <w:tr w:rsidR="006A4BC0" w:rsidRPr="006A4BC0" w14:paraId="55FE0D5E" w14:textId="77777777" w:rsidTr="008470B1">
        <w:trPr>
          <w:gridAfter w:val="1"/>
          <w:wAfter w:w="11" w:type="dxa"/>
          <w:trHeight w:val="260"/>
        </w:trPr>
        <w:tc>
          <w:tcPr>
            <w:tcW w:w="2977" w:type="dxa"/>
            <w:tcBorders>
              <w:top w:val="nil"/>
              <w:left w:val="nil"/>
              <w:bottom w:val="nil"/>
              <w:right w:val="nil"/>
            </w:tcBorders>
            <w:shd w:val="clear" w:color="000000" w:fill="FFFFFF"/>
            <w:noWrap/>
            <w:vAlign w:val="bottom"/>
            <w:hideMark/>
          </w:tcPr>
          <w:p w14:paraId="7C1399EE"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949" w:type="dxa"/>
            <w:tcBorders>
              <w:top w:val="nil"/>
              <w:left w:val="nil"/>
              <w:bottom w:val="nil"/>
              <w:right w:val="nil"/>
            </w:tcBorders>
            <w:shd w:val="clear" w:color="000000" w:fill="FFFFFF"/>
            <w:noWrap/>
            <w:vAlign w:val="bottom"/>
            <w:hideMark/>
          </w:tcPr>
          <w:p w14:paraId="170533D4"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1603" w:type="dxa"/>
            <w:tcBorders>
              <w:top w:val="nil"/>
              <w:left w:val="nil"/>
              <w:bottom w:val="nil"/>
              <w:right w:val="nil"/>
            </w:tcBorders>
            <w:shd w:val="clear" w:color="000000" w:fill="FFFFFF"/>
            <w:noWrap/>
            <w:vAlign w:val="bottom"/>
            <w:hideMark/>
          </w:tcPr>
          <w:p w14:paraId="3DA202F0"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B579080"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nil"/>
              <w:left w:val="nil"/>
              <w:bottom w:val="nil"/>
              <w:right w:val="nil"/>
            </w:tcBorders>
            <w:shd w:val="clear" w:color="000000" w:fill="FFFFFF"/>
            <w:noWrap/>
            <w:vAlign w:val="bottom"/>
            <w:hideMark/>
          </w:tcPr>
          <w:p w14:paraId="394F33C6"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E821264"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1294" w:type="dxa"/>
            <w:tcBorders>
              <w:top w:val="nil"/>
              <w:left w:val="nil"/>
              <w:bottom w:val="nil"/>
              <w:right w:val="nil"/>
            </w:tcBorders>
            <w:shd w:val="clear" w:color="000000" w:fill="FFFFFF"/>
            <w:noWrap/>
            <w:vAlign w:val="bottom"/>
            <w:hideMark/>
          </w:tcPr>
          <w:p w14:paraId="4F08498A"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0BFA0A5A"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1240" w:type="dxa"/>
            <w:gridSpan w:val="2"/>
            <w:tcBorders>
              <w:top w:val="nil"/>
              <w:left w:val="nil"/>
              <w:bottom w:val="nil"/>
              <w:right w:val="nil"/>
            </w:tcBorders>
            <w:shd w:val="clear" w:color="000000" w:fill="FFFFFF"/>
            <w:noWrap/>
            <w:vAlign w:val="bottom"/>
            <w:hideMark/>
          </w:tcPr>
          <w:p w14:paraId="126BE2A9"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222" w:type="dxa"/>
            <w:gridSpan w:val="2"/>
            <w:vAlign w:val="center"/>
            <w:hideMark/>
          </w:tcPr>
          <w:p w14:paraId="4FE31734" w14:textId="77777777" w:rsidR="006A4BC0" w:rsidRPr="006A4BC0" w:rsidRDefault="006A4BC0" w:rsidP="006A4BC0">
            <w:pPr>
              <w:spacing w:before="0" w:after="0"/>
              <w:rPr>
                <w:rFonts w:ascii="Times New Roman" w:eastAsia="Times New Roman" w:hAnsi="Times New Roman" w:cs="Times New Roman"/>
                <w:sz w:val="20"/>
                <w:szCs w:val="20"/>
                <w:lang w:eastAsia="en-GB"/>
              </w:rPr>
            </w:pPr>
          </w:p>
        </w:tc>
      </w:tr>
      <w:tr w:rsidR="008470B1" w:rsidRPr="006A4BC0" w14:paraId="65879995" w14:textId="77777777" w:rsidTr="009A24AA">
        <w:trPr>
          <w:trHeight w:val="260"/>
        </w:trPr>
        <w:tc>
          <w:tcPr>
            <w:tcW w:w="10273" w:type="dxa"/>
            <w:gridSpan w:val="12"/>
            <w:tcBorders>
              <w:top w:val="nil"/>
              <w:left w:val="nil"/>
              <w:bottom w:val="nil"/>
              <w:right w:val="nil"/>
            </w:tcBorders>
            <w:shd w:val="clear" w:color="000000" w:fill="FFFFFF"/>
            <w:noWrap/>
            <w:vAlign w:val="bottom"/>
            <w:hideMark/>
          </w:tcPr>
          <w:p w14:paraId="4312D04D" w14:textId="5F574B86" w:rsidR="008470B1" w:rsidRPr="008470B1" w:rsidRDefault="008470B1" w:rsidP="006A4BC0">
            <w:pPr>
              <w:spacing w:before="0" w:after="0"/>
              <w:rPr>
                <w:rFonts w:eastAsia="Times New Roman" w:cs="Arial"/>
                <w:b/>
                <w:bCs/>
                <w:sz w:val="20"/>
                <w:szCs w:val="20"/>
                <w:lang w:eastAsia="en-GB"/>
              </w:rPr>
            </w:pPr>
            <w:r w:rsidRPr="006A4BC0">
              <w:rPr>
                <w:rFonts w:eastAsia="Times New Roman" w:cs="Arial"/>
                <w:b/>
                <w:bCs/>
                <w:sz w:val="20"/>
                <w:szCs w:val="20"/>
                <w:lang w:eastAsia="en-GB"/>
              </w:rPr>
              <w:t>3 Disaggregation of Income - Income from Sale of Goods and Services (contracts)</w:t>
            </w:r>
          </w:p>
          <w:p w14:paraId="54D04B9C" w14:textId="3F4B33E6" w:rsidR="008470B1" w:rsidRPr="006A4BC0" w:rsidRDefault="008470B1" w:rsidP="006A4BC0">
            <w:pPr>
              <w:spacing w:before="0" w:after="0"/>
              <w:rPr>
                <w:rFonts w:eastAsia="Times New Roman" w:cs="Arial"/>
                <w:sz w:val="20"/>
                <w:szCs w:val="20"/>
                <w:lang w:eastAsia="en-GB"/>
              </w:rPr>
            </w:pPr>
            <w:r w:rsidRPr="006A4BC0">
              <w:rPr>
                <w:rFonts w:eastAsia="Times New Roman" w:cs="Arial"/>
                <w:sz w:val="20"/>
                <w:szCs w:val="20"/>
                <w:lang w:eastAsia="en-GB"/>
              </w:rPr>
              <w:t> </w:t>
            </w:r>
          </w:p>
          <w:p w14:paraId="7755CCBF" w14:textId="11070179" w:rsidR="008470B1" w:rsidRPr="006A4BC0" w:rsidRDefault="008470B1"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22" w:type="dxa"/>
            <w:gridSpan w:val="2"/>
            <w:vAlign w:val="center"/>
            <w:hideMark/>
          </w:tcPr>
          <w:p w14:paraId="319CC03C" w14:textId="77777777" w:rsidR="008470B1" w:rsidRPr="006A4BC0" w:rsidRDefault="008470B1" w:rsidP="006A4BC0">
            <w:pPr>
              <w:spacing w:before="0" w:after="0"/>
              <w:rPr>
                <w:rFonts w:ascii="Times New Roman" w:eastAsia="Times New Roman" w:hAnsi="Times New Roman" w:cs="Times New Roman"/>
                <w:sz w:val="20"/>
                <w:szCs w:val="20"/>
                <w:lang w:eastAsia="en-GB"/>
              </w:rPr>
            </w:pPr>
          </w:p>
        </w:tc>
      </w:tr>
      <w:tr w:rsidR="006A4BC0" w:rsidRPr="006A4BC0" w14:paraId="194A09A4" w14:textId="77777777" w:rsidTr="008470B1">
        <w:trPr>
          <w:gridAfter w:val="1"/>
          <w:wAfter w:w="11" w:type="dxa"/>
          <w:trHeight w:val="120"/>
        </w:trPr>
        <w:tc>
          <w:tcPr>
            <w:tcW w:w="2977" w:type="dxa"/>
            <w:tcBorders>
              <w:top w:val="nil"/>
              <w:left w:val="nil"/>
              <w:bottom w:val="nil"/>
              <w:right w:val="nil"/>
            </w:tcBorders>
            <w:shd w:val="clear" w:color="000000" w:fill="FFFFFF"/>
            <w:noWrap/>
            <w:vAlign w:val="bottom"/>
            <w:hideMark/>
          </w:tcPr>
          <w:p w14:paraId="1E1BD687"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949" w:type="dxa"/>
            <w:tcBorders>
              <w:top w:val="nil"/>
              <w:left w:val="nil"/>
              <w:bottom w:val="nil"/>
              <w:right w:val="nil"/>
            </w:tcBorders>
            <w:shd w:val="clear" w:color="000000" w:fill="FFFFFF"/>
            <w:noWrap/>
            <w:vAlign w:val="bottom"/>
            <w:hideMark/>
          </w:tcPr>
          <w:p w14:paraId="2D01B403"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1603" w:type="dxa"/>
            <w:tcBorders>
              <w:top w:val="nil"/>
              <w:left w:val="nil"/>
              <w:bottom w:val="nil"/>
              <w:right w:val="nil"/>
            </w:tcBorders>
            <w:shd w:val="clear" w:color="000000" w:fill="FFFFFF"/>
            <w:noWrap/>
            <w:vAlign w:val="bottom"/>
            <w:hideMark/>
          </w:tcPr>
          <w:p w14:paraId="3563AF0E"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C3F8F5E"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nil"/>
              <w:left w:val="nil"/>
              <w:bottom w:val="nil"/>
              <w:right w:val="nil"/>
            </w:tcBorders>
            <w:shd w:val="clear" w:color="000000" w:fill="FFFFFF"/>
            <w:noWrap/>
            <w:vAlign w:val="bottom"/>
            <w:hideMark/>
          </w:tcPr>
          <w:p w14:paraId="3D6BD67A"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D0FCB2D"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1294" w:type="dxa"/>
            <w:tcBorders>
              <w:top w:val="nil"/>
              <w:left w:val="nil"/>
              <w:bottom w:val="nil"/>
              <w:right w:val="nil"/>
            </w:tcBorders>
            <w:shd w:val="clear" w:color="000000" w:fill="FFFFFF"/>
            <w:noWrap/>
            <w:vAlign w:val="bottom"/>
            <w:hideMark/>
          </w:tcPr>
          <w:p w14:paraId="11F27AC8"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1E5D00D5"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1240" w:type="dxa"/>
            <w:gridSpan w:val="2"/>
            <w:tcBorders>
              <w:top w:val="nil"/>
              <w:left w:val="nil"/>
              <w:bottom w:val="nil"/>
              <w:right w:val="nil"/>
            </w:tcBorders>
            <w:shd w:val="clear" w:color="000000" w:fill="FFFFFF"/>
            <w:noWrap/>
            <w:vAlign w:val="bottom"/>
            <w:hideMark/>
          </w:tcPr>
          <w:p w14:paraId="70F5AB5D"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22" w:type="dxa"/>
            <w:gridSpan w:val="2"/>
            <w:vAlign w:val="center"/>
            <w:hideMark/>
          </w:tcPr>
          <w:p w14:paraId="1BBC13A3" w14:textId="77777777" w:rsidR="006A4BC0" w:rsidRPr="006A4BC0" w:rsidRDefault="006A4BC0" w:rsidP="006A4BC0">
            <w:pPr>
              <w:spacing w:before="0" w:after="0"/>
              <w:rPr>
                <w:rFonts w:ascii="Times New Roman" w:eastAsia="Times New Roman" w:hAnsi="Times New Roman" w:cs="Times New Roman"/>
                <w:sz w:val="20"/>
                <w:szCs w:val="20"/>
                <w:lang w:eastAsia="en-GB"/>
              </w:rPr>
            </w:pPr>
          </w:p>
        </w:tc>
      </w:tr>
      <w:tr w:rsidR="006A4BC0" w:rsidRPr="006A4BC0" w14:paraId="52D7C52E" w14:textId="77777777" w:rsidTr="008470B1">
        <w:trPr>
          <w:gridAfter w:val="1"/>
          <w:wAfter w:w="11" w:type="dxa"/>
          <w:trHeight w:val="1040"/>
        </w:trPr>
        <w:tc>
          <w:tcPr>
            <w:tcW w:w="2977" w:type="dxa"/>
            <w:tcBorders>
              <w:top w:val="nil"/>
              <w:left w:val="nil"/>
              <w:bottom w:val="nil"/>
              <w:right w:val="nil"/>
            </w:tcBorders>
            <w:shd w:val="clear" w:color="000000" w:fill="FFFFFF"/>
            <w:vAlign w:val="center"/>
            <w:hideMark/>
          </w:tcPr>
          <w:p w14:paraId="48609F9C" w14:textId="77777777" w:rsidR="006A4BC0" w:rsidRPr="006A4BC0" w:rsidRDefault="006A4BC0" w:rsidP="006A4BC0">
            <w:pPr>
              <w:spacing w:before="0" w:after="0"/>
              <w:jc w:val="center"/>
              <w:rPr>
                <w:rFonts w:eastAsia="Times New Roman" w:cs="Arial"/>
                <w:sz w:val="20"/>
                <w:szCs w:val="20"/>
                <w:lang w:eastAsia="en-GB"/>
              </w:rPr>
            </w:pPr>
            <w:r w:rsidRPr="006A4BC0">
              <w:rPr>
                <w:rFonts w:eastAsia="Times New Roman" w:cs="Arial"/>
                <w:sz w:val="20"/>
                <w:szCs w:val="20"/>
                <w:lang w:eastAsia="en-GB"/>
              </w:rPr>
              <w:t> </w:t>
            </w:r>
          </w:p>
        </w:tc>
        <w:tc>
          <w:tcPr>
            <w:tcW w:w="949" w:type="dxa"/>
            <w:tcBorders>
              <w:top w:val="nil"/>
              <w:left w:val="nil"/>
              <w:bottom w:val="nil"/>
              <w:right w:val="nil"/>
            </w:tcBorders>
            <w:shd w:val="clear" w:color="000000" w:fill="FFFFFF"/>
            <w:vAlign w:val="center"/>
            <w:hideMark/>
          </w:tcPr>
          <w:p w14:paraId="3DD80501"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 </w:t>
            </w:r>
          </w:p>
        </w:tc>
        <w:tc>
          <w:tcPr>
            <w:tcW w:w="1603" w:type="dxa"/>
            <w:tcBorders>
              <w:top w:val="nil"/>
              <w:left w:val="nil"/>
              <w:bottom w:val="nil"/>
              <w:right w:val="nil"/>
            </w:tcBorders>
            <w:shd w:val="clear" w:color="000000" w:fill="FFFFFF"/>
            <w:vAlign w:val="center"/>
            <w:hideMark/>
          </w:tcPr>
          <w:p w14:paraId="2344CF55"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Non-patient care services to other bodies</w:t>
            </w:r>
          </w:p>
        </w:tc>
        <w:tc>
          <w:tcPr>
            <w:tcW w:w="272" w:type="dxa"/>
            <w:tcBorders>
              <w:top w:val="nil"/>
              <w:left w:val="nil"/>
              <w:bottom w:val="nil"/>
              <w:right w:val="nil"/>
            </w:tcBorders>
            <w:shd w:val="clear" w:color="000000" w:fill="FFFFFF"/>
            <w:vAlign w:val="center"/>
            <w:hideMark/>
          </w:tcPr>
          <w:p w14:paraId="21D2ACCC"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 </w:t>
            </w:r>
          </w:p>
        </w:tc>
        <w:tc>
          <w:tcPr>
            <w:tcW w:w="1383" w:type="dxa"/>
            <w:tcBorders>
              <w:top w:val="nil"/>
              <w:left w:val="nil"/>
              <w:bottom w:val="nil"/>
              <w:right w:val="nil"/>
            </w:tcBorders>
            <w:shd w:val="clear" w:color="000000" w:fill="FFFFFF"/>
            <w:vAlign w:val="center"/>
            <w:hideMark/>
          </w:tcPr>
          <w:p w14:paraId="2A3BDB70"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Prescription fees and charges</w:t>
            </w:r>
          </w:p>
        </w:tc>
        <w:tc>
          <w:tcPr>
            <w:tcW w:w="272" w:type="dxa"/>
            <w:tcBorders>
              <w:top w:val="nil"/>
              <w:left w:val="nil"/>
              <w:bottom w:val="nil"/>
              <w:right w:val="nil"/>
            </w:tcBorders>
            <w:shd w:val="clear" w:color="000000" w:fill="FFFFFF"/>
            <w:vAlign w:val="center"/>
            <w:hideMark/>
          </w:tcPr>
          <w:p w14:paraId="555E1C8C"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 </w:t>
            </w:r>
          </w:p>
        </w:tc>
        <w:tc>
          <w:tcPr>
            <w:tcW w:w="1294" w:type="dxa"/>
            <w:tcBorders>
              <w:top w:val="nil"/>
              <w:left w:val="nil"/>
              <w:bottom w:val="nil"/>
              <w:right w:val="nil"/>
            </w:tcBorders>
            <w:shd w:val="clear" w:color="000000" w:fill="FFFFFF"/>
            <w:vAlign w:val="center"/>
            <w:hideMark/>
          </w:tcPr>
          <w:p w14:paraId="1679FDEE"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Dental fees and charges</w:t>
            </w:r>
          </w:p>
        </w:tc>
        <w:tc>
          <w:tcPr>
            <w:tcW w:w="272" w:type="dxa"/>
            <w:gridSpan w:val="2"/>
            <w:tcBorders>
              <w:top w:val="nil"/>
              <w:left w:val="nil"/>
              <w:bottom w:val="nil"/>
              <w:right w:val="nil"/>
            </w:tcBorders>
            <w:shd w:val="clear" w:color="000000" w:fill="FFFFFF"/>
            <w:vAlign w:val="center"/>
            <w:hideMark/>
          </w:tcPr>
          <w:p w14:paraId="610F497C"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 </w:t>
            </w:r>
          </w:p>
        </w:tc>
        <w:tc>
          <w:tcPr>
            <w:tcW w:w="1240" w:type="dxa"/>
            <w:gridSpan w:val="2"/>
            <w:tcBorders>
              <w:top w:val="nil"/>
              <w:left w:val="nil"/>
              <w:bottom w:val="nil"/>
              <w:right w:val="nil"/>
            </w:tcBorders>
            <w:shd w:val="clear" w:color="000000" w:fill="FFFFFF"/>
            <w:vAlign w:val="center"/>
            <w:hideMark/>
          </w:tcPr>
          <w:p w14:paraId="2282F277"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Other contract income</w:t>
            </w:r>
          </w:p>
        </w:tc>
        <w:tc>
          <w:tcPr>
            <w:tcW w:w="222" w:type="dxa"/>
            <w:gridSpan w:val="2"/>
            <w:vAlign w:val="center"/>
            <w:hideMark/>
          </w:tcPr>
          <w:p w14:paraId="149C7F99" w14:textId="77777777" w:rsidR="006A4BC0" w:rsidRPr="006A4BC0" w:rsidRDefault="006A4BC0" w:rsidP="006A4BC0">
            <w:pPr>
              <w:spacing w:before="0" w:after="0"/>
              <w:rPr>
                <w:rFonts w:ascii="Times New Roman" w:eastAsia="Times New Roman" w:hAnsi="Times New Roman" w:cs="Times New Roman"/>
                <w:sz w:val="20"/>
                <w:szCs w:val="20"/>
                <w:lang w:eastAsia="en-GB"/>
              </w:rPr>
            </w:pPr>
          </w:p>
        </w:tc>
      </w:tr>
      <w:tr w:rsidR="006A4BC0" w:rsidRPr="006A4BC0" w14:paraId="3D62BA26" w14:textId="77777777" w:rsidTr="008470B1">
        <w:trPr>
          <w:gridAfter w:val="1"/>
          <w:wAfter w:w="11" w:type="dxa"/>
          <w:trHeight w:val="260"/>
        </w:trPr>
        <w:tc>
          <w:tcPr>
            <w:tcW w:w="2977" w:type="dxa"/>
            <w:tcBorders>
              <w:top w:val="nil"/>
              <w:left w:val="nil"/>
              <w:bottom w:val="nil"/>
              <w:right w:val="nil"/>
            </w:tcBorders>
            <w:shd w:val="clear" w:color="000000" w:fill="FFFFFF"/>
            <w:noWrap/>
            <w:vAlign w:val="center"/>
            <w:hideMark/>
          </w:tcPr>
          <w:p w14:paraId="3AB4632F"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949" w:type="dxa"/>
            <w:tcBorders>
              <w:top w:val="nil"/>
              <w:left w:val="nil"/>
              <w:bottom w:val="nil"/>
              <w:right w:val="nil"/>
            </w:tcBorders>
            <w:shd w:val="clear" w:color="000000" w:fill="FFFFFF"/>
            <w:vAlign w:val="center"/>
            <w:hideMark/>
          </w:tcPr>
          <w:p w14:paraId="354DC403"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 </w:t>
            </w:r>
          </w:p>
        </w:tc>
        <w:tc>
          <w:tcPr>
            <w:tcW w:w="1603" w:type="dxa"/>
            <w:tcBorders>
              <w:top w:val="nil"/>
              <w:left w:val="nil"/>
              <w:bottom w:val="nil"/>
              <w:right w:val="nil"/>
            </w:tcBorders>
            <w:shd w:val="clear" w:color="000000" w:fill="FFFFFF"/>
            <w:noWrap/>
            <w:vAlign w:val="center"/>
            <w:hideMark/>
          </w:tcPr>
          <w:p w14:paraId="03657AF0"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center"/>
            <w:hideMark/>
          </w:tcPr>
          <w:p w14:paraId="672A067A"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 </w:t>
            </w:r>
          </w:p>
        </w:tc>
        <w:tc>
          <w:tcPr>
            <w:tcW w:w="1383" w:type="dxa"/>
            <w:tcBorders>
              <w:top w:val="nil"/>
              <w:left w:val="nil"/>
              <w:bottom w:val="nil"/>
              <w:right w:val="nil"/>
            </w:tcBorders>
            <w:shd w:val="clear" w:color="000000" w:fill="FFFFFF"/>
            <w:noWrap/>
            <w:vAlign w:val="center"/>
            <w:hideMark/>
          </w:tcPr>
          <w:p w14:paraId="5247667D"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center"/>
            <w:hideMark/>
          </w:tcPr>
          <w:p w14:paraId="1833A008"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 </w:t>
            </w:r>
          </w:p>
        </w:tc>
        <w:tc>
          <w:tcPr>
            <w:tcW w:w="1294" w:type="dxa"/>
            <w:tcBorders>
              <w:top w:val="nil"/>
              <w:left w:val="nil"/>
              <w:bottom w:val="nil"/>
              <w:right w:val="nil"/>
            </w:tcBorders>
            <w:shd w:val="clear" w:color="000000" w:fill="FFFFFF"/>
            <w:noWrap/>
            <w:vAlign w:val="center"/>
            <w:hideMark/>
          </w:tcPr>
          <w:p w14:paraId="0F8F057C"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£'000</w:t>
            </w:r>
          </w:p>
        </w:tc>
        <w:tc>
          <w:tcPr>
            <w:tcW w:w="272" w:type="dxa"/>
            <w:gridSpan w:val="2"/>
            <w:tcBorders>
              <w:top w:val="nil"/>
              <w:left w:val="nil"/>
              <w:bottom w:val="nil"/>
              <w:right w:val="nil"/>
            </w:tcBorders>
            <w:shd w:val="clear" w:color="000000" w:fill="FFFFFF"/>
            <w:noWrap/>
            <w:vAlign w:val="center"/>
            <w:hideMark/>
          </w:tcPr>
          <w:p w14:paraId="7CD230D2"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 </w:t>
            </w:r>
          </w:p>
        </w:tc>
        <w:tc>
          <w:tcPr>
            <w:tcW w:w="1240" w:type="dxa"/>
            <w:gridSpan w:val="2"/>
            <w:tcBorders>
              <w:top w:val="nil"/>
              <w:left w:val="nil"/>
              <w:bottom w:val="nil"/>
              <w:right w:val="nil"/>
            </w:tcBorders>
            <w:shd w:val="clear" w:color="000000" w:fill="FFFFFF"/>
            <w:noWrap/>
            <w:vAlign w:val="center"/>
            <w:hideMark/>
          </w:tcPr>
          <w:p w14:paraId="26A7F322"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£'000</w:t>
            </w:r>
          </w:p>
        </w:tc>
        <w:tc>
          <w:tcPr>
            <w:tcW w:w="222" w:type="dxa"/>
            <w:gridSpan w:val="2"/>
            <w:vAlign w:val="center"/>
            <w:hideMark/>
          </w:tcPr>
          <w:p w14:paraId="14272929" w14:textId="77777777" w:rsidR="006A4BC0" w:rsidRPr="006A4BC0" w:rsidRDefault="006A4BC0" w:rsidP="006A4BC0">
            <w:pPr>
              <w:spacing w:before="0" w:after="0"/>
              <w:rPr>
                <w:rFonts w:ascii="Times New Roman" w:eastAsia="Times New Roman" w:hAnsi="Times New Roman" w:cs="Times New Roman"/>
                <w:sz w:val="20"/>
                <w:szCs w:val="20"/>
                <w:lang w:eastAsia="en-GB"/>
              </w:rPr>
            </w:pPr>
          </w:p>
        </w:tc>
      </w:tr>
      <w:tr w:rsidR="006A4BC0" w:rsidRPr="006A4BC0" w14:paraId="73CEE670" w14:textId="77777777" w:rsidTr="008470B1">
        <w:trPr>
          <w:gridAfter w:val="1"/>
          <w:wAfter w:w="11" w:type="dxa"/>
          <w:trHeight w:val="260"/>
        </w:trPr>
        <w:tc>
          <w:tcPr>
            <w:tcW w:w="2977" w:type="dxa"/>
            <w:tcBorders>
              <w:top w:val="nil"/>
              <w:left w:val="nil"/>
              <w:bottom w:val="nil"/>
              <w:right w:val="nil"/>
            </w:tcBorders>
            <w:shd w:val="clear" w:color="000000" w:fill="FFFFFF"/>
            <w:noWrap/>
            <w:vAlign w:val="center"/>
            <w:hideMark/>
          </w:tcPr>
          <w:p w14:paraId="0F8C1CBF" w14:textId="77777777" w:rsidR="006A4BC0" w:rsidRPr="006A4BC0" w:rsidRDefault="006A4BC0" w:rsidP="006A4BC0">
            <w:pPr>
              <w:spacing w:before="0" w:after="0"/>
              <w:rPr>
                <w:rFonts w:eastAsia="Times New Roman" w:cs="Arial"/>
                <w:b/>
                <w:bCs/>
                <w:sz w:val="20"/>
                <w:szCs w:val="20"/>
                <w:lang w:eastAsia="en-GB"/>
              </w:rPr>
            </w:pPr>
            <w:r w:rsidRPr="006A4BC0">
              <w:rPr>
                <w:rFonts w:eastAsia="Times New Roman" w:cs="Arial"/>
                <w:b/>
                <w:bCs/>
                <w:sz w:val="20"/>
                <w:szCs w:val="20"/>
                <w:lang w:eastAsia="en-GB"/>
              </w:rPr>
              <w:t>Source of revenue</w:t>
            </w:r>
          </w:p>
        </w:tc>
        <w:tc>
          <w:tcPr>
            <w:tcW w:w="949" w:type="dxa"/>
            <w:tcBorders>
              <w:top w:val="nil"/>
              <w:left w:val="nil"/>
              <w:bottom w:val="nil"/>
              <w:right w:val="nil"/>
            </w:tcBorders>
            <w:shd w:val="clear" w:color="000000" w:fill="FFFFFF"/>
            <w:vAlign w:val="center"/>
            <w:hideMark/>
          </w:tcPr>
          <w:p w14:paraId="0D37962B"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 </w:t>
            </w:r>
          </w:p>
        </w:tc>
        <w:tc>
          <w:tcPr>
            <w:tcW w:w="1603" w:type="dxa"/>
            <w:tcBorders>
              <w:top w:val="nil"/>
              <w:left w:val="nil"/>
              <w:bottom w:val="nil"/>
              <w:right w:val="nil"/>
            </w:tcBorders>
            <w:shd w:val="clear" w:color="000000" w:fill="FFFFFF"/>
            <w:noWrap/>
            <w:vAlign w:val="center"/>
            <w:hideMark/>
          </w:tcPr>
          <w:p w14:paraId="2888ADBD" w14:textId="77777777" w:rsidR="006A4BC0" w:rsidRPr="006A4BC0" w:rsidRDefault="006A4BC0" w:rsidP="006A4BC0">
            <w:pPr>
              <w:spacing w:before="0" w:after="0"/>
              <w:rPr>
                <w:rFonts w:eastAsia="Times New Roman" w:cs="Arial"/>
                <w:b/>
                <w:bCs/>
                <w:color w:val="FF0000"/>
                <w:sz w:val="20"/>
                <w:szCs w:val="20"/>
                <w:lang w:eastAsia="en-GB"/>
              </w:rPr>
            </w:pPr>
            <w:r w:rsidRPr="006A4BC0">
              <w:rPr>
                <w:rFonts w:eastAsia="Times New Roman" w:cs="Arial"/>
                <w:b/>
                <w:bCs/>
                <w:color w:val="FF0000"/>
                <w:sz w:val="20"/>
                <w:szCs w:val="20"/>
                <w:lang w:eastAsia="en-GB"/>
              </w:rPr>
              <w:t> </w:t>
            </w:r>
          </w:p>
        </w:tc>
        <w:tc>
          <w:tcPr>
            <w:tcW w:w="272" w:type="dxa"/>
            <w:tcBorders>
              <w:top w:val="nil"/>
              <w:left w:val="nil"/>
              <w:bottom w:val="nil"/>
              <w:right w:val="nil"/>
            </w:tcBorders>
            <w:shd w:val="clear" w:color="000000" w:fill="FFFFFF"/>
            <w:noWrap/>
            <w:vAlign w:val="center"/>
            <w:hideMark/>
          </w:tcPr>
          <w:p w14:paraId="1E7DF564" w14:textId="77777777" w:rsidR="006A4BC0" w:rsidRPr="006A4BC0" w:rsidRDefault="006A4BC0" w:rsidP="006A4BC0">
            <w:pPr>
              <w:spacing w:before="0" w:after="0"/>
              <w:rPr>
                <w:rFonts w:eastAsia="Times New Roman" w:cs="Arial"/>
                <w:b/>
                <w:bCs/>
                <w:color w:val="FF0000"/>
                <w:sz w:val="20"/>
                <w:szCs w:val="20"/>
                <w:lang w:eastAsia="en-GB"/>
              </w:rPr>
            </w:pPr>
            <w:r w:rsidRPr="006A4BC0">
              <w:rPr>
                <w:rFonts w:eastAsia="Times New Roman" w:cs="Arial"/>
                <w:b/>
                <w:bCs/>
                <w:color w:val="FF0000"/>
                <w:sz w:val="20"/>
                <w:szCs w:val="20"/>
                <w:lang w:eastAsia="en-GB"/>
              </w:rPr>
              <w:t> </w:t>
            </w:r>
          </w:p>
        </w:tc>
        <w:tc>
          <w:tcPr>
            <w:tcW w:w="1383" w:type="dxa"/>
            <w:tcBorders>
              <w:top w:val="nil"/>
              <w:left w:val="nil"/>
              <w:bottom w:val="nil"/>
              <w:right w:val="nil"/>
            </w:tcBorders>
            <w:shd w:val="clear" w:color="000000" w:fill="FFFFFF"/>
            <w:noWrap/>
            <w:vAlign w:val="center"/>
            <w:hideMark/>
          </w:tcPr>
          <w:p w14:paraId="613BCCFA"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center"/>
            <w:hideMark/>
          </w:tcPr>
          <w:p w14:paraId="4E336FE1"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94" w:type="dxa"/>
            <w:tcBorders>
              <w:top w:val="nil"/>
              <w:left w:val="nil"/>
              <w:bottom w:val="nil"/>
              <w:right w:val="nil"/>
            </w:tcBorders>
            <w:shd w:val="clear" w:color="000000" w:fill="FFFFFF"/>
            <w:noWrap/>
            <w:vAlign w:val="center"/>
            <w:hideMark/>
          </w:tcPr>
          <w:p w14:paraId="2657FB82"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center"/>
            <w:hideMark/>
          </w:tcPr>
          <w:p w14:paraId="18586BDE"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40" w:type="dxa"/>
            <w:gridSpan w:val="2"/>
            <w:tcBorders>
              <w:top w:val="nil"/>
              <w:left w:val="nil"/>
              <w:bottom w:val="nil"/>
              <w:right w:val="nil"/>
            </w:tcBorders>
            <w:shd w:val="clear" w:color="000000" w:fill="FFFFFF"/>
            <w:noWrap/>
            <w:vAlign w:val="center"/>
            <w:hideMark/>
          </w:tcPr>
          <w:p w14:paraId="132EDB9F"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22" w:type="dxa"/>
            <w:gridSpan w:val="2"/>
            <w:vAlign w:val="center"/>
            <w:hideMark/>
          </w:tcPr>
          <w:p w14:paraId="07AC308B" w14:textId="77777777" w:rsidR="006A4BC0" w:rsidRPr="006A4BC0" w:rsidRDefault="006A4BC0" w:rsidP="006A4BC0">
            <w:pPr>
              <w:spacing w:before="0" w:after="0"/>
              <w:rPr>
                <w:rFonts w:ascii="Times New Roman" w:eastAsia="Times New Roman" w:hAnsi="Times New Roman" w:cs="Times New Roman"/>
                <w:sz w:val="20"/>
                <w:szCs w:val="20"/>
                <w:lang w:eastAsia="en-GB"/>
              </w:rPr>
            </w:pPr>
          </w:p>
        </w:tc>
      </w:tr>
      <w:tr w:rsidR="006A4BC0" w:rsidRPr="006A4BC0" w14:paraId="56310ADC" w14:textId="77777777" w:rsidTr="008470B1">
        <w:trPr>
          <w:gridAfter w:val="1"/>
          <w:wAfter w:w="11" w:type="dxa"/>
          <w:trHeight w:val="260"/>
        </w:trPr>
        <w:tc>
          <w:tcPr>
            <w:tcW w:w="2977" w:type="dxa"/>
            <w:tcBorders>
              <w:top w:val="nil"/>
              <w:left w:val="nil"/>
              <w:bottom w:val="nil"/>
              <w:right w:val="nil"/>
            </w:tcBorders>
            <w:shd w:val="clear" w:color="000000" w:fill="FFFFFF"/>
            <w:noWrap/>
            <w:vAlign w:val="center"/>
            <w:hideMark/>
          </w:tcPr>
          <w:p w14:paraId="636B3B64"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xml:space="preserve">NHS </w:t>
            </w:r>
          </w:p>
        </w:tc>
        <w:tc>
          <w:tcPr>
            <w:tcW w:w="949" w:type="dxa"/>
            <w:tcBorders>
              <w:top w:val="nil"/>
              <w:left w:val="nil"/>
              <w:bottom w:val="nil"/>
              <w:right w:val="nil"/>
            </w:tcBorders>
            <w:shd w:val="clear" w:color="000000" w:fill="FFFFFF"/>
            <w:vAlign w:val="center"/>
            <w:hideMark/>
          </w:tcPr>
          <w:p w14:paraId="23D249F7"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 </w:t>
            </w:r>
          </w:p>
        </w:tc>
        <w:tc>
          <w:tcPr>
            <w:tcW w:w="1603" w:type="dxa"/>
            <w:tcBorders>
              <w:top w:val="nil"/>
              <w:left w:val="nil"/>
              <w:bottom w:val="nil"/>
              <w:right w:val="nil"/>
            </w:tcBorders>
            <w:shd w:val="clear" w:color="000000" w:fill="FFFFFF"/>
            <w:noWrap/>
            <w:vAlign w:val="bottom"/>
            <w:hideMark/>
          </w:tcPr>
          <w:p w14:paraId="556C4C04"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3,555</w:t>
            </w:r>
          </w:p>
        </w:tc>
        <w:tc>
          <w:tcPr>
            <w:tcW w:w="272" w:type="dxa"/>
            <w:tcBorders>
              <w:top w:val="nil"/>
              <w:left w:val="nil"/>
              <w:bottom w:val="nil"/>
              <w:right w:val="nil"/>
            </w:tcBorders>
            <w:shd w:val="clear" w:color="000000" w:fill="FFFFFF"/>
            <w:noWrap/>
            <w:vAlign w:val="bottom"/>
            <w:hideMark/>
          </w:tcPr>
          <w:p w14:paraId="36AD13A4"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nil"/>
              <w:left w:val="nil"/>
              <w:bottom w:val="nil"/>
              <w:right w:val="nil"/>
            </w:tcBorders>
            <w:shd w:val="clear" w:color="000000" w:fill="FFFFFF"/>
            <w:noWrap/>
            <w:vAlign w:val="bottom"/>
            <w:hideMark/>
          </w:tcPr>
          <w:p w14:paraId="28D73A6B"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63E8EB6B"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94" w:type="dxa"/>
            <w:tcBorders>
              <w:top w:val="nil"/>
              <w:left w:val="nil"/>
              <w:bottom w:val="nil"/>
              <w:right w:val="nil"/>
            </w:tcBorders>
            <w:shd w:val="clear" w:color="000000" w:fill="FFFFFF"/>
            <w:noWrap/>
            <w:vAlign w:val="bottom"/>
            <w:hideMark/>
          </w:tcPr>
          <w:p w14:paraId="799C4BD2"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7C15C354"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40" w:type="dxa"/>
            <w:gridSpan w:val="2"/>
            <w:tcBorders>
              <w:top w:val="nil"/>
              <w:left w:val="nil"/>
              <w:bottom w:val="nil"/>
              <w:right w:val="nil"/>
            </w:tcBorders>
            <w:shd w:val="clear" w:color="000000" w:fill="FFFFFF"/>
            <w:noWrap/>
            <w:vAlign w:val="bottom"/>
            <w:hideMark/>
          </w:tcPr>
          <w:p w14:paraId="69F35A16"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w:t>
            </w:r>
          </w:p>
        </w:tc>
        <w:tc>
          <w:tcPr>
            <w:tcW w:w="222" w:type="dxa"/>
            <w:gridSpan w:val="2"/>
            <w:vAlign w:val="center"/>
            <w:hideMark/>
          </w:tcPr>
          <w:p w14:paraId="37D3DF7A" w14:textId="77777777" w:rsidR="006A4BC0" w:rsidRPr="006A4BC0" w:rsidRDefault="006A4BC0" w:rsidP="006A4BC0">
            <w:pPr>
              <w:spacing w:before="0" w:after="0"/>
              <w:rPr>
                <w:rFonts w:ascii="Times New Roman" w:eastAsia="Times New Roman" w:hAnsi="Times New Roman" w:cs="Times New Roman"/>
                <w:sz w:val="20"/>
                <w:szCs w:val="20"/>
                <w:lang w:eastAsia="en-GB"/>
              </w:rPr>
            </w:pPr>
          </w:p>
        </w:tc>
      </w:tr>
      <w:tr w:rsidR="006A4BC0" w:rsidRPr="006A4BC0" w14:paraId="60BC6EEA" w14:textId="77777777" w:rsidTr="008470B1">
        <w:trPr>
          <w:gridAfter w:val="1"/>
          <w:wAfter w:w="11" w:type="dxa"/>
          <w:trHeight w:val="260"/>
        </w:trPr>
        <w:tc>
          <w:tcPr>
            <w:tcW w:w="2977" w:type="dxa"/>
            <w:tcBorders>
              <w:top w:val="nil"/>
              <w:left w:val="nil"/>
              <w:bottom w:val="nil"/>
              <w:right w:val="nil"/>
            </w:tcBorders>
            <w:shd w:val="clear" w:color="000000" w:fill="FFFFFF"/>
            <w:noWrap/>
            <w:vAlign w:val="center"/>
            <w:hideMark/>
          </w:tcPr>
          <w:p w14:paraId="327A74F6"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Non NHS</w:t>
            </w:r>
          </w:p>
        </w:tc>
        <w:tc>
          <w:tcPr>
            <w:tcW w:w="949" w:type="dxa"/>
            <w:tcBorders>
              <w:top w:val="nil"/>
              <w:left w:val="nil"/>
              <w:bottom w:val="nil"/>
              <w:right w:val="nil"/>
            </w:tcBorders>
            <w:shd w:val="clear" w:color="000000" w:fill="FFFFFF"/>
            <w:vAlign w:val="center"/>
            <w:hideMark/>
          </w:tcPr>
          <w:p w14:paraId="1EE5CF72"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 </w:t>
            </w:r>
          </w:p>
        </w:tc>
        <w:tc>
          <w:tcPr>
            <w:tcW w:w="1603" w:type="dxa"/>
            <w:tcBorders>
              <w:top w:val="nil"/>
              <w:left w:val="nil"/>
              <w:bottom w:val="nil"/>
              <w:right w:val="nil"/>
            </w:tcBorders>
            <w:shd w:val="clear" w:color="000000" w:fill="FFFFFF"/>
            <w:noWrap/>
            <w:vAlign w:val="bottom"/>
            <w:hideMark/>
          </w:tcPr>
          <w:p w14:paraId="7154063A"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6,406</w:t>
            </w:r>
          </w:p>
        </w:tc>
        <w:tc>
          <w:tcPr>
            <w:tcW w:w="272" w:type="dxa"/>
            <w:tcBorders>
              <w:top w:val="nil"/>
              <w:left w:val="nil"/>
              <w:bottom w:val="nil"/>
              <w:right w:val="nil"/>
            </w:tcBorders>
            <w:shd w:val="clear" w:color="000000" w:fill="FFFFFF"/>
            <w:noWrap/>
            <w:vAlign w:val="bottom"/>
            <w:hideMark/>
          </w:tcPr>
          <w:p w14:paraId="3F7FD9A7"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nil"/>
              <w:left w:val="nil"/>
              <w:bottom w:val="nil"/>
              <w:right w:val="nil"/>
            </w:tcBorders>
            <w:shd w:val="clear" w:color="000000" w:fill="FFFFFF"/>
            <w:noWrap/>
            <w:vAlign w:val="bottom"/>
            <w:hideMark/>
          </w:tcPr>
          <w:p w14:paraId="26CDBBCE"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13,131</w:t>
            </w:r>
          </w:p>
        </w:tc>
        <w:tc>
          <w:tcPr>
            <w:tcW w:w="272" w:type="dxa"/>
            <w:tcBorders>
              <w:top w:val="nil"/>
              <w:left w:val="nil"/>
              <w:bottom w:val="nil"/>
              <w:right w:val="nil"/>
            </w:tcBorders>
            <w:shd w:val="clear" w:color="000000" w:fill="FFFFFF"/>
            <w:noWrap/>
            <w:vAlign w:val="bottom"/>
            <w:hideMark/>
          </w:tcPr>
          <w:p w14:paraId="3DAA8309"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94" w:type="dxa"/>
            <w:tcBorders>
              <w:top w:val="nil"/>
              <w:left w:val="nil"/>
              <w:bottom w:val="nil"/>
              <w:right w:val="nil"/>
            </w:tcBorders>
            <w:shd w:val="clear" w:color="000000" w:fill="FFFFFF"/>
            <w:noWrap/>
            <w:vAlign w:val="bottom"/>
            <w:hideMark/>
          </w:tcPr>
          <w:p w14:paraId="5171C8C2"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19,978</w:t>
            </w:r>
          </w:p>
        </w:tc>
        <w:tc>
          <w:tcPr>
            <w:tcW w:w="272" w:type="dxa"/>
            <w:gridSpan w:val="2"/>
            <w:tcBorders>
              <w:top w:val="nil"/>
              <w:left w:val="nil"/>
              <w:bottom w:val="nil"/>
              <w:right w:val="nil"/>
            </w:tcBorders>
            <w:shd w:val="clear" w:color="000000" w:fill="FFFFFF"/>
            <w:noWrap/>
            <w:vAlign w:val="bottom"/>
            <w:hideMark/>
          </w:tcPr>
          <w:p w14:paraId="152FA82D"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40" w:type="dxa"/>
            <w:gridSpan w:val="2"/>
            <w:tcBorders>
              <w:top w:val="nil"/>
              <w:left w:val="nil"/>
              <w:bottom w:val="nil"/>
              <w:right w:val="nil"/>
            </w:tcBorders>
            <w:shd w:val="clear" w:color="000000" w:fill="FFFFFF"/>
            <w:noWrap/>
            <w:vAlign w:val="bottom"/>
            <w:hideMark/>
          </w:tcPr>
          <w:p w14:paraId="605376D3"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4,494</w:t>
            </w:r>
          </w:p>
        </w:tc>
        <w:tc>
          <w:tcPr>
            <w:tcW w:w="222" w:type="dxa"/>
            <w:gridSpan w:val="2"/>
            <w:vAlign w:val="center"/>
            <w:hideMark/>
          </w:tcPr>
          <w:p w14:paraId="7D026A7E" w14:textId="77777777" w:rsidR="006A4BC0" w:rsidRPr="006A4BC0" w:rsidRDefault="006A4BC0" w:rsidP="006A4BC0">
            <w:pPr>
              <w:spacing w:before="0" w:after="0"/>
              <w:rPr>
                <w:rFonts w:ascii="Times New Roman" w:eastAsia="Times New Roman" w:hAnsi="Times New Roman" w:cs="Times New Roman"/>
                <w:sz w:val="20"/>
                <w:szCs w:val="20"/>
                <w:lang w:eastAsia="en-GB"/>
              </w:rPr>
            </w:pPr>
          </w:p>
        </w:tc>
      </w:tr>
      <w:tr w:rsidR="006A4BC0" w:rsidRPr="006A4BC0" w14:paraId="6D484DAE" w14:textId="77777777" w:rsidTr="008470B1">
        <w:trPr>
          <w:gridAfter w:val="1"/>
          <w:wAfter w:w="11" w:type="dxa"/>
          <w:trHeight w:val="260"/>
        </w:trPr>
        <w:tc>
          <w:tcPr>
            <w:tcW w:w="2977" w:type="dxa"/>
            <w:tcBorders>
              <w:top w:val="nil"/>
              <w:left w:val="nil"/>
              <w:bottom w:val="nil"/>
              <w:right w:val="nil"/>
            </w:tcBorders>
            <w:shd w:val="clear" w:color="000000" w:fill="FFFFFF"/>
            <w:noWrap/>
            <w:vAlign w:val="center"/>
            <w:hideMark/>
          </w:tcPr>
          <w:p w14:paraId="37F7ECB0" w14:textId="77777777" w:rsidR="006A4BC0" w:rsidRPr="006A4BC0" w:rsidRDefault="006A4BC0" w:rsidP="006A4BC0">
            <w:pPr>
              <w:spacing w:before="0" w:after="0"/>
              <w:rPr>
                <w:rFonts w:eastAsia="Times New Roman" w:cs="Arial"/>
                <w:b/>
                <w:bCs/>
                <w:sz w:val="20"/>
                <w:szCs w:val="20"/>
                <w:lang w:eastAsia="en-GB"/>
              </w:rPr>
            </w:pPr>
            <w:r w:rsidRPr="006A4BC0">
              <w:rPr>
                <w:rFonts w:eastAsia="Times New Roman" w:cs="Arial"/>
                <w:b/>
                <w:bCs/>
                <w:sz w:val="20"/>
                <w:szCs w:val="20"/>
                <w:lang w:eastAsia="en-GB"/>
              </w:rPr>
              <w:t>Total</w:t>
            </w:r>
          </w:p>
        </w:tc>
        <w:tc>
          <w:tcPr>
            <w:tcW w:w="949" w:type="dxa"/>
            <w:tcBorders>
              <w:top w:val="nil"/>
              <w:left w:val="nil"/>
              <w:bottom w:val="nil"/>
              <w:right w:val="nil"/>
            </w:tcBorders>
            <w:shd w:val="clear" w:color="000000" w:fill="FFFFFF"/>
            <w:vAlign w:val="center"/>
            <w:hideMark/>
          </w:tcPr>
          <w:p w14:paraId="3D3FE212"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 </w:t>
            </w:r>
          </w:p>
        </w:tc>
        <w:tc>
          <w:tcPr>
            <w:tcW w:w="1603" w:type="dxa"/>
            <w:tcBorders>
              <w:top w:val="single" w:sz="4" w:space="0" w:color="auto"/>
              <w:left w:val="nil"/>
              <w:bottom w:val="single" w:sz="4" w:space="0" w:color="auto"/>
              <w:right w:val="nil"/>
            </w:tcBorders>
            <w:shd w:val="clear" w:color="000000" w:fill="FFFFFF"/>
            <w:noWrap/>
            <w:vAlign w:val="bottom"/>
            <w:hideMark/>
          </w:tcPr>
          <w:p w14:paraId="56D0A6FA"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9,961</w:t>
            </w:r>
          </w:p>
        </w:tc>
        <w:tc>
          <w:tcPr>
            <w:tcW w:w="272" w:type="dxa"/>
            <w:tcBorders>
              <w:top w:val="nil"/>
              <w:left w:val="nil"/>
              <w:bottom w:val="nil"/>
              <w:right w:val="nil"/>
            </w:tcBorders>
            <w:shd w:val="clear" w:color="000000" w:fill="FFFFFF"/>
            <w:noWrap/>
            <w:vAlign w:val="bottom"/>
            <w:hideMark/>
          </w:tcPr>
          <w:p w14:paraId="1DA2A7E1"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single" w:sz="4" w:space="0" w:color="auto"/>
              <w:left w:val="nil"/>
              <w:bottom w:val="single" w:sz="4" w:space="0" w:color="auto"/>
              <w:right w:val="nil"/>
            </w:tcBorders>
            <w:shd w:val="clear" w:color="000000" w:fill="FFFFFF"/>
            <w:noWrap/>
            <w:vAlign w:val="bottom"/>
            <w:hideMark/>
          </w:tcPr>
          <w:p w14:paraId="040F1B2A"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13,131</w:t>
            </w:r>
          </w:p>
        </w:tc>
        <w:tc>
          <w:tcPr>
            <w:tcW w:w="272" w:type="dxa"/>
            <w:tcBorders>
              <w:top w:val="nil"/>
              <w:left w:val="nil"/>
              <w:bottom w:val="nil"/>
              <w:right w:val="nil"/>
            </w:tcBorders>
            <w:shd w:val="clear" w:color="000000" w:fill="FFFFFF"/>
            <w:noWrap/>
            <w:vAlign w:val="bottom"/>
            <w:hideMark/>
          </w:tcPr>
          <w:p w14:paraId="5291C51E"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 </w:t>
            </w:r>
          </w:p>
        </w:tc>
        <w:tc>
          <w:tcPr>
            <w:tcW w:w="1294" w:type="dxa"/>
            <w:tcBorders>
              <w:top w:val="single" w:sz="4" w:space="0" w:color="auto"/>
              <w:left w:val="nil"/>
              <w:bottom w:val="single" w:sz="4" w:space="0" w:color="auto"/>
              <w:right w:val="nil"/>
            </w:tcBorders>
            <w:shd w:val="clear" w:color="000000" w:fill="FFFFFF"/>
            <w:noWrap/>
            <w:vAlign w:val="bottom"/>
            <w:hideMark/>
          </w:tcPr>
          <w:p w14:paraId="3D43E5D7"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19,978</w:t>
            </w:r>
          </w:p>
        </w:tc>
        <w:tc>
          <w:tcPr>
            <w:tcW w:w="272" w:type="dxa"/>
            <w:gridSpan w:val="2"/>
            <w:tcBorders>
              <w:top w:val="nil"/>
              <w:left w:val="nil"/>
              <w:bottom w:val="nil"/>
              <w:right w:val="nil"/>
            </w:tcBorders>
            <w:shd w:val="clear" w:color="000000" w:fill="FFFFFF"/>
            <w:noWrap/>
            <w:vAlign w:val="bottom"/>
            <w:hideMark/>
          </w:tcPr>
          <w:p w14:paraId="70D5500E"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 </w:t>
            </w:r>
          </w:p>
        </w:tc>
        <w:tc>
          <w:tcPr>
            <w:tcW w:w="1240" w:type="dxa"/>
            <w:gridSpan w:val="2"/>
            <w:tcBorders>
              <w:top w:val="single" w:sz="4" w:space="0" w:color="auto"/>
              <w:left w:val="nil"/>
              <w:bottom w:val="single" w:sz="4" w:space="0" w:color="auto"/>
              <w:right w:val="nil"/>
            </w:tcBorders>
            <w:shd w:val="clear" w:color="000000" w:fill="FFFFFF"/>
            <w:noWrap/>
            <w:vAlign w:val="bottom"/>
            <w:hideMark/>
          </w:tcPr>
          <w:p w14:paraId="426D18F4"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4,494</w:t>
            </w:r>
          </w:p>
        </w:tc>
        <w:tc>
          <w:tcPr>
            <w:tcW w:w="222" w:type="dxa"/>
            <w:gridSpan w:val="2"/>
            <w:vAlign w:val="center"/>
            <w:hideMark/>
          </w:tcPr>
          <w:p w14:paraId="6E6329D2" w14:textId="77777777" w:rsidR="006A4BC0" w:rsidRPr="006A4BC0" w:rsidRDefault="006A4BC0" w:rsidP="006A4BC0">
            <w:pPr>
              <w:spacing w:before="0" w:after="0"/>
              <w:rPr>
                <w:rFonts w:ascii="Times New Roman" w:eastAsia="Times New Roman" w:hAnsi="Times New Roman" w:cs="Times New Roman"/>
                <w:sz w:val="20"/>
                <w:szCs w:val="20"/>
                <w:lang w:eastAsia="en-GB"/>
              </w:rPr>
            </w:pPr>
          </w:p>
        </w:tc>
      </w:tr>
      <w:tr w:rsidR="006A4BC0" w:rsidRPr="006A4BC0" w14:paraId="612840FB" w14:textId="77777777" w:rsidTr="008470B1">
        <w:trPr>
          <w:gridAfter w:val="1"/>
          <w:wAfter w:w="11" w:type="dxa"/>
          <w:trHeight w:val="120"/>
        </w:trPr>
        <w:tc>
          <w:tcPr>
            <w:tcW w:w="2977" w:type="dxa"/>
            <w:tcBorders>
              <w:top w:val="nil"/>
              <w:left w:val="nil"/>
              <w:bottom w:val="nil"/>
              <w:right w:val="nil"/>
            </w:tcBorders>
            <w:shd w:val="clear" w:color="000000" w:fill="FFFFFF"/>
            <w:noWrap/>
            <w:vAlign w:val="bottom"/>
            <w:hideMark/>
          </w:tcPr>
          <w:p w14:paraId="09D8F7BD"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949" w:type="dxa"/>
            <w:tcBorders>
              <w:top w:val="nil"/>
              <w:left w:val="nil"/>
              <w:bottom w:val="nil"/>
              <w:right w:val="nil"/>
            </w:tcBorders>
            <w:shd w:val="clear" w:color="000000" w:fill="FFFFFF"/>
            <w:vAlign w:val="center"/>
            <w:hideMark/>
          </w:tcPr>
          <w:p w14:paraId="63A4B3F2"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 </w:t>
            </w:r>
          </w:p>
        </w:tc>
        <w:tc>
          <w:tcPr>
            <w:tcW w:w="1603" w:type="dxa"/>
            <w:tcBorders>
              <w:top w:val="nil"/>
              <w:left w:val="nil"/>
              <w:bottom w:val="nil"/>
              <w:right w:val="nil"/>
            </w:tcBorders>
            <w:shd w:val="clear" w:color="000000" w:fill="FFFFFF"/>
            <w:noWrap/>
            <w:vAlign w:val="bottom"/>
            <w:hideMark/>
          </w:tcPr>
          <w:p w14:paraId="40984426"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C7B3B99"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nil"/>
              <w:left w:val="nil"/>
              <w:bottom w:val="nil"/>
              <w:right w:val="nil"/>
            </w:tcBorders>
            <w:shd w:val="clear" w:color="000000" w:fill="FFFFFF"/>
            <w:noWrap/>
            <w:vAlign w:val="bottom"/>
            <w:hideMark/>
          </w:tcPr>
          <w:p w14:paraId="0EAA359A"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32D70054"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94" w:type="dxa"/>
            <w:tcBorders>
              <w:top w:val="nil"/>
              <w:left w:val="nil"/>
              <w:bottom w:val="nil"/>
              <w:right w:val="nil"/>
            </w:tcBorders>
            <w:shd w:val="clear" w:color="000000" w:fill="FFFFFF"/>
            <w:noWrap/>
            <w:vAlign w:val="bottom"/>
            <w:hideMark/>
          </w:tcPr>
          <w:p w14:paraId="7D3476DF"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60C1397A"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40" w:type="dxa"/>
            <w:gridSpan w:val="2"/>
            <w:tcBorders>
              <w:top w:val="nil"/>
              <w:left w:val="nil"/>
              <w:bottom w:val="nil"/>
              <w:right w:val="nil"/>
            </w:tcBorders>
            <w:shd w:val="clear" w:color="000000" w:fill="FFFFFF"/>
            <w:noWrap/>
            <w:vAlign w:val="bottom"/>
            <w:hideMark/>
          </w:tcPr>
          <w:p w14:paraId="6FC6EFE2"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22" w:type="dxa"/>
            <w:gridSpan w:val="2"/>
            <w:vAlign w:val="center"/>
            <w:hideMark/>
          </w:tcPr>
          <w:p w14:paraId="3DEDA6E4" w14:textId="77777777" w:rsidR="006A4BC0" w:rsidRPr="006A4BC0" w:rsidRDefault="006A4BC0" w:rsidP="006A4BC0">
            <w:pPr>
              <w:spacing w:before="0" w:after="0"/>
              <w:rPr>
                <w:rFonts w:ascii="Times New Roman" w:eastAsia="Times New Roman" w:hAnsi="Times New Roman" w:cs="Times New Roman"/>
                <w:sz w:val="20"/>
                <w:szCs w:val="20"/>
                <w:lang w:eastAsia="en-GB"/>
              </w:rPr>
            </w:pPr>
          </w:p>
        </w:tc>
      </w:tr>
      <w:tr w:rsidR="006A4BC0" w:rsidRPr="006A4BC0" w14:paraId="03EAD032" w14:textId="77777777" w:rsidTr="008470B1">
        <w:trPr>
          <w:gridAfter w:val="1"/>
          <w:wAfter w:w="11" w:type="dxa"/>
          <w:trHeight w:val="260"/>
        </w:trPr>
        <w:tc>
          <w:tcPr>
            <w:tcW w:w="2977" w:type="dxa"/>
            <w:tcBorders>
              <w:top w:val="nil"/>
              <w:left w:val="nil"/>
              <w:bottom w:val="nil"/>
              <w:right w:val="nil"/>
            </w:tcBorders>
            <w:shd w:val="clear" w:color="000000" w:fill="FFFFFF"/>
            <w:noWrap/>
            <w:vAlign w:val="center"/>
            <w:hideMark/>
          </w:tcPr>
          <w:p w14:paraId="6051DA50" w14:textId="77777777" w:rsidR="006A4BC0" w:rsidRPr="006A4BC0" w:rsidRDefault="006A4BC0" w:rsidP="006A4BC0">
            <w:pPr>
              <w:spacing w:before="0" w:after="0"/>
              <w:rPr>
                <w:rFonts w:eastAsia="Times New Roman" w:cs="Arial"/>
                <w:b/>
                <w:bCs/>
                <w:sz w:val="20"/>
                <w:szCs w:val="20"/>
                <w:lang w:eastAsia="en-GB"/>
              </w:rPr>
            </w:pPr>
            <w:r w:rsidRPr="006A4BC0">
              <w:rPr>
                <w:rFonts w:eastAsia="Times New Roman" w:cs="Arial"/>
                <w:b/>
                <w:bCs/>
                <w:sz w:val="20"/>
                <w:szCs w:val="20"/>
                <w:lang w:eastAsia="en-GB"/>
              </w:rPr>
              <w:t>Timing of revenue</w:t>
            </w:r>
          </w:p>
        </w:tc>
        <w:tc>
          <w:tcPr>
            <w:tcW w:w="949" w:type="dxa"/>
            <w:tcBorders>
              <w:top w:val="nil"/>
              <w:left w:val="nil"/>
              <w:bottom w:val="nil"/>
              <w:right w:val="nil"/>
            </w:tcBorders>
            <w:shd w:val="clear" w:color="000000" w:fill="FFFFFF"/>
            <w:vAlign w:val="center"/>
            <w:hideMark/>
          </w:tcPr>
          <w:p w14:paraId="3F3115F0"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 </w:t>
            </w:r>
          </w:p>
        </w:tc>
        <w:tc>
          <w:tcPr>
            <w:tcW w:w="1603" w:type="dxa"/>
            <w:tcBorders>
              <w:top w:val="nil"/>
              <w:left w:val="nil"/>
              <w:bottom w:val="nil"/>
              <w:right w:val="nil"/>
            </w:tcBorders>
            <w:shd w:val="clear" w:color="000000" w:fill="FFFFFF"/>
            <w:noWrap/>
            <w:vAlign w:val="center"/>
            <w:hideMark/>
          </w:tcPr>
          <w:p w14:paraId="59238116" w14:textId="77777777" w:rsidR="006A4BC0" w:rsidRPr="006A4BC0" w:rsidRDefault="006A4BC0" w:rsidP="006A4BC0">
            <w:pPr>
              <w:spacing w:before="0" w:after="0"/>
              <w:rPr>
                <w:rFonts w:eastAsia="Times New Roman" w:cs="Arial"/>
                <w:b/>
                <w:bCs/>
                <w:color w:val="FF0000"/>
                <w:sz w:val="20"/>
                <w:szCs w:val="20"/>
                <w:lang w:eastAsia="en-GB"/>
              </w:rPr>
            </w:pPr>
            <w:r w:rsidRPr="006A4BC0">
              <w:rPr>
                <w:rFonts w:eastAsia="Times New Roman" w:cs="Arial"/>
                <w:b/>
                <w:bCs/>
                <w:color w:val="FF0000"/>
                <w:sz w:val="20"/>
                <w:szCs w:val="20"/>
                <w:lang w:eastAsia="en-GB"/>
              </w:rPr>
              <w:t> </w:t>
            </w:r>
          </w:p>
        </w:tc>
        <w:tc>
          <w:tcPr>
            <w:tcW w:w="272" w:type="dxa"/>
            <w:tcBorders>
              <w:top w:val="nil"/>
              <w:left w:val="nil"/>
              <w:bottom w:val="nil"/>
              <w:right w:val="nil"/>
            </w:tcBorders>
            <w:shd w:val="clear" w:color="000000" w:fill="FFFFFF"/>
            <w:noWrap/>
            <w:vAlign w:val="center"/>
            <w:hideMark/>
          </w:tcPr>
          <w:p w14:paraId="421C0E38" w14:textId="77777777" w:rsidR="006A4BC0" w:rsidRPr="006A4BC0" w:rsidRDefault="006A4BC0" w:rsidP="006A4BC0">
            <w:pPr>
              <w:spacing w:before="0" w:after="0"/>
              <w:rPr>
                <w:rFonts w:eastAsia="Times New Roman" w:cs="Arial"/>
                <w:b/>
                <w:bCs/>
                <w:color w:val="FF0000"/>
                <w:sz w:val="20"/>
                <w:szCs w:val="20"/>
                <w:lang w:eastAsia="en-GB"/>
              </w:rPr>
            </w:pPr>
            <w:r w:rsidRPr="006A4BC0">
              <w:rPr>
                <w:rFonts w:eastAsia="Times New Roman" w:cs="Arial"/>
                <w:b/>
                <w:bCs/>
                <w:color w:val="FF0000"/>
                <w:sz w:val="20"/>
                <w:szCs w:val="20"/>
                <w:lang w:eastAsia="en-GB"/>
              </w:rPr>
              <w:t> </w:t>
            </w:r>
          </w:p>
        </w:tc>
        <w:tc>
          <w:tcPr>
            <w:tcW w:w="1383" w:type="dxa"/>
            <w:tcBorders>
              <w:top w:val="nil"/>
              <w:left w:val="nil"/>
              <w:bottom w:val="nil"/>
              <w:right w:val="nil"/>
            </w:tcBorders>
            <w:shd w:val="clear" w:color="000000" w:fill="FFFFFF"/>
            <w:noWrap/>
            <w:vAlign w:val="center"/>
            <w:hideMark/>
          </w:tcPr>
          <w:p w14:paraId="495A6365" w14:textId="77777777" w:rsidR="006A4BC0" w:rsidRPr="006A4BC0" w:rsidRDefault="006A4BC0" w:rsidP="006A4BC0">
            <w:pPr>
              <w:spacing w:before="0" w:after="0"/>
              <w:rPr>
                <w:rFonts w:eastAsia="Times New Roman" w:cs="Arial"/>
                <w:b/>
                <w:bCs/>
                <w:color w:val="FF0000"/>
                <w:sz w:val="20"/>
                <w:szCs w:val="20"/>
                <w:lang w:eastAsia="en-GB"/>
              </w:rPr>
            </w:pPr>
            <w:r w:rsidRPr="006A4BC0">
              <w:rPr>
                <w:rFonts w:eastAsia="Times New Roman" w:cs="Arial"/>
                <w:b/>
                <w:bCs/>
                <w:color w:val="FF0000"/>
                <w:sz w:val="20"/>
                <w:szCs w:val="20"/>
                <w:lang w:eastAsia="en-GB"/>
              </w:rPr>
              <w:t> </w:t>
            </w:r>
          </w:p>
        </w:tc>
        <w:tc>
          <w:tcPr>
            <w:tcW w:w="272" w:type="dxa"/>
            <w:tcBorders>
              <w:top w:val="nil"/>
              <w:left w:val="nil"/>
              <w:bottom w:val="nil"/>
              <w:right w:val="nil"/>
            </w:tcBorders>
            <w:shd w:val="clear" w:color="000000" w:fill="FFFFFF"/>
            <w:noWrap/>
            <w:vAlign w:val="center"/>
            <w:hideMark/>
          </w:tcPr>
          <w:p w14:paraId="2BA3E67F"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94" w:type="dxa"/>
            <w:tcBorders>
              <w:top w:val="nil"/>
              <w:left w:val="nil"/>
              <w:bottom w:val="nil"/>
              <w:right w:val="nil"/>
            </w:tcBorders>
            <w:shd w:val="clear" w:color="000000" w:fill="FFFFFF"/>
            <w:noWrap/>
            <w:vAlign w:val="bottom"/>
            <w:hideMark/>
          </w:tcPr>
          <w:p w14:paraId="49CE5095"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center"/>
            <w:hideMark/>
          </w:tcPr>
          <w:p w14:paraId="0AF631AF"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40" w:type="dxa"/>
            <w:gridSpan w:val="2"/>
            <w:tcBorders>
              <w:top w:val="nil"/>
              <w:left w:val="nil"/>
              <w:bottom w:val="nil"/>
              <w:right w:val="nil"/>
            </w:tcBorders>
            <w:shd w:val="clear" w:color="000000" w:fill="FFFFFF"/>
            <w:noWrap/>
            <w:vAlign w:val="center"/>
            <w:hideMark/>
          </w:tcPr>
          <w:p w14:paraId="21DCB9FA"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222" w:type="dxa"/>
            <w:gridSpan w:val="2"/>
            <w:vAlign w:val="center"/>
            <w:hideMark/>
          </w:tcPr>
          <w:p w14:paraId="2BD77686" w14:textId="77777777" w:rsidR="006A4BC0" w:rsidRPr="006A4BC0" w:rsidRDefault="006A4BC0" w:rsidP="006A4BC0">
            <w:pPr>
              <w:spacing w:before="0" w:after="0"/>
              <w:rPr>
                <w:rFonts w:ascii="Times New Roman" w:eastAsia="Times New Roman" w:hAnsi="Times New Roman" w:cs="Times New Roman"/>
                <w:sz w:val="20"/>
                <w:szCs w:val="20"/>
                <w:lang w:eastAsia="en-GB"/>
              </w:rPr>
            </w:pPr>
          </w:p>
        </w:tc>
      </w:tr>
      <w:tr w:rsidR="006A4BC0" w:rsidRPr="006A4BC0" w14:paraId="49B2C21F" w14:textId="77777777" w:rsidTr="008470B1">
        <w:trPr>
          <w:gridAfter w:val="1"/>
          <w:wAfter w:w="11" w:type="dxa"/>
          <w:trHeight w:val="260"/>
        </w:trPr>
        <w:tc>
          <w:tcPr>
            <w:tcW w:w="2977" w:type="dxa"/>
            <w:tcBorders>
              <w:top w:val="nil"/>
              <w:left w:val="nil"/>
              <w:bottom w:val="nil"/>
              <w:right w:val="nil"/>
            </w:tcBorders>
            <w:shd w:val="clear" w:color="000000" w:fill="FFFFFF"/>
            <w:noWrap/>
            <w:vAlign w:val="center"/>
            <w:hideMark/>
          </w:tcPr>
          <w:p w14:paraId="6241B5A6"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Over time</w:t>
            </w:r>
          </w:p>
        </w:tc>
        <w:tc>
          <w:tcPr>
            <w:tcW w:w="949" w:type="dxa"/>
            <w:tcBorders>
              <w:top w:val="nil"/>
              <w:left w:val="nil"/>
              <w:bottom w:val="nil"/>
              <w:right w:val="nil"/>
            </w:tcBorders>
            <w:shd w:val="clear" w:color="000000" w:fill="FFFFFF"/>
            <w:vAlign w:val="center"/>
            <w:hideMark/>
          </w:tcPr>
          <w:p w14:paraId="0DE296F2" w14:textId="77777777" w:rsidR="006A4BC0" w:rsidRPr="006A4BC0" w:rsidRDefault="006A4BC0" w:rsidP="006A4BC0">
            <w:pPr>
              <w:spacing w:before="0" w:after="0"/>
              <w:jc w:val="right"/>
              <w:rPr>
                <w:rFonts w:eastAsia="Times New Roman" w:cs="Arial"/>
                <w:b/>
                <w:bCs/>
                <w:sz w:val="20"/>
                <w:szCs w:val="20"/>
                <w:lang w:eastAsia="en-GB"/>
              </w:rPr>
            </w:pPr>
            <w:r w:rsidRPr="006A4BC0">
              <w:rPr>
                <w:rFonts w:eastAsia="Times New Roman" w:cs="Arial"/>
                <w:b/>
                <w:bCs/>
                <w:sz w:val="20"/>
                <w:szCs w:val="20"/>
                <w:lang w:eastAsia="en-GB"/>
              </w:rPr>
              <w:t> </w:t>
            </w:r>
          </w:p>
        </w:tc>
        <w:tc>
          <w:tcPr>
            <w:tcW w:w="1603" w:type="dxa"/>
            <w:tcBorders>
              <w:top w:val="nil"/>
              <w:left w:val="nil"/>
              <w:bottom w:val="nil"/>
              <w:right w:val="nil"/>
            </w:tcBorders>
            <w:shd w:val="clear" w:color="000000" w:fill="FFFFFF"/>
            <w:noWrap/>
            <w:vAlign w:val="bottom"/>
            <w:hideMark/>
          </w:tcPr>
          <w:p w14:paraId="48C57C22"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9,961</w:t>
            </w:r>
          </w:p>
        </w:tc>
        <w:tc>
          <w:tcPr>
            <w:tcW w:w="272" w:type="dxa"/>
            <w:tcBorders>
              <w:top w:val="nil"/>
              <w:left w:val="nil"/>
              <w:bottom w:val="nil"/>
              <w:right w:val="nil"/>
            </w:tcBorders>
            <w:shd w:val="clear" w:color="000000" w:fill="FFFFFF"/>
            <w:noWrap/>
            <w:vAlign w:val="bottom"/>
            <w:hideMark/>
          </w:tcPr>
          <w:p w14:paraId="5B38035C"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383" w:type="dxa"/>
            <w:tcBorders>
              <w:top w:val="nil"/>
              <w:left w:val="nil"/>
              <w:bottom w:val="nil"/>
              <w:right w:val="nil"/>
            </w:tcBorders>
            <w:shd w:val="clear" w:color="000000" w:fill="FFFFFF"/>
            <w:noWrap/>
            <w:vAlign w:val="bottom"/>
            <w:hideMark/>
          </w:tcPr>
          <w:p w14:paraId="0EE5C68D"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13,131</w:t>
            </w:r>
          </w:p>
        </w:tc>
        <w:tc>
          <w:tcPr>
            <w:tcW w:w="272" w:type="dxa"/>
            <w:tcBorders>
              <w:top w:val="nil"/>
              <w:left w:val="nil"/>
              <w:bottom w:val="nil"/>
              <w:right w:val="nil"/>
            </w:tcBorders>
            <w:shd w:val="clear" w:color="000000" w:fill="FFFFFF"/>
            <w:noWrap/>
            <w:vAlign w:val="bottom"/>
            <w:hideMark/>
          </w:tcPr>
          <w:p w14:paraId="1FFED8CE"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94" w:type="dxa"/>
            <w:tcBorders>
              <w:top w:val="nil"/>
              <w:left w:val="nil"/>
              <w:bottom w:val="nil"/>
              <w:right w:val="nil"/>
            </w:tcBorders>
            <w:shd w:val="clear" w:color="000000" w:fill="FFFFFF"/>
            <w:noWrap/>
            <w:vAlign w:val="bottom"/>
            <w:hideMark/>
          </w:tcPr>
          <w:p w14:paraId="0ED0188D"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19,978</w:t>
            </w:r>
          </w:p>
        </w:tc>
        <w:tc>
          <w:tcPr>
            <w:tcW w:w="272" w:type="dxa"/>
            <w:gridSpan w:val="2"/>
            <w:tcBorders>
              <w:top w:val="nil"/>
              <w:left w:val="nil"/>
              <w:bottom w:val="nil"/>
              <w:right w:val="nil"/>
            </w:tcBorders>
            <w:shd w:val="clear" w:color="000000" w:fill="FFFFFF"/>
            <w:noWrap/>
            <w:vAlign w:val="bottom"/>
            <w:hideMark/>
          </w:tcPr>
          <w:p w14:paraId="604A9829" w14:textId="77777777" w:rsidR="006A4BC0" w:rsidRPr="006A4BC0" w:rsidRDefault="006A4BC0" w:rsidP="006A4BC0">
            <w:pPr>
              <w:spacing w:before="0" w:after="0"/>
              <w:rPr>
                <w:rFonts w:eastAsia="Times New Roman" w:cs="Arial"/>
                <w:sz w:val="20"/>
                <w:szCs w:val="20"/>
                <w:lang w:eastAsia="en-GB"/>
              </w:rPr>
            </w:pPr>
            <w:r w:rsidRPr="006A4BC0">
              <w:rPr>
                <w:rFonts w:eastAsia="Times New Roman" w:cs="Arial"/>
                <w:sz w:val="20"/>
                <w:szCs w:val="20"/>
                <w:lang w:eastAsia="en-GB"/>
              </w:rPr>
              <w:t> </w:t>
            </w:r>
          </w:p>
        </w:tc>
        <w:tc>
          <w:tcPr>
            <w:tcW w:w="1240" w:type="dxa"/>
            <w:gridSpan w:val="2"/>
            <w:tcBorders>
              <w:top w:val="nil"/>
              <w:left w:val="nil"/>
              <w:bottom w:val="nil"/>
              <w:right w:val="nil"/>
            </w:tcBorders>
            <w:shd w:val="clear" w:color="000000" w:fill="FFFFFF"/>
            <w:noWrap/>
            <w:vAlign w:val="bottom"/>
            <w:hideMark/>
          </w:tcPr>
          <w:p w14:paraId="28BC4CEA" w14:textId="77777777" w:rsidR="006A4BC0" w:rsidRPr="006A4BC0" w:rsidRDefault="006A4BC0" w:rsidP="006A4BC0">
            <w:pPr>
              <w:spacing w:before="0" w:after="0"/>
              <w:jc w:val="right"/>
              <w:rPr>
                <w:rFonts w:eastAsia="Times New Roman" w:cs="Arial"/>
                <w:sz w:val="20"/>
                <w:szCs w:val="20"/>
                <w:lang w:eastAsia="en-GB"/>
              </w:rPr>
            </w:pPr>
            <w:r w:rsidRPr="006A4BC0">
              <w:rPr>
                <w:rFonts w:eastAsia="Times New Roman" w:cs="Arial"/>
                <w:sz w:val="20"/>
                <w:szCs w:val="20"/>
                <w:lang w:eastAsia="en-GB"/>
              </w:rPr>
              <w:t>4,494</w:t>
            </w:r>
          </w:p>
        </w:tc>
        <w:tc>
          <w:tcPr>
            <w:tcW w:w="222" w:type="dxa"/>
            <w:gridSpan w:val="2"/>
            <w:vAlign w:val="center"/>
            <w:hideMark/>
          </w:tcPr>
          <w:p w14:paraId="5ADF75B0" w14:textId="77777777" w:rsidR="006A4BC0" w:rsidRPr="006A4BC0" w:rsidRDefault="006A4BC0" w:rsidP="006A4BC0">
            <w:pPr>
              <w:spacing w:before="0" w:after="0"/>
              <w:rPr>
                <w:rFonts w:ascii="Times New Roman" w:eastAsia="Times New Roman" w:hAnsi="Times New Roman" w:cs="Times New Roman"/>
                <w:sz w:val="20"/>
                <w:szCs w:val="20"/>
                <w:lang w:eastAsia="en-GB"/>
              </w:rPr>
            </w:pPr>
          </w:p>
        </w:tc>
      </w:tr>
    </w:tbl>
    <w:p w14:paraId="56B03D7E" w14:textId="77777777" w:rsidR="00A64442" w:rsidRDefault="00A64442" w:rsidP="00C70A7F">
      <w:pPr>
        <w:spacing w:before="0" w:after="200" w:line="276" w:lineRule="auto"/>
      </w:pPr>
    </w:p>
    <w:p w14:paraId="1D09C77A" w14:textId="1B36558F" w:rsidR="00702599" w:rsidRDefault="00702599">
      <w:pPr>
        <w:spacing w:before="0" w:after="200" w:line="276" w:lineRule="auto"/>
      </w:pPr>
      <w:r>
        <w:br w:type="page"/>
      </w:r>
    </w:p>
    <w:tbl>
      <w:tblPr>
        <w:tblW w:w="8904" w:type="dxa"/>
        <w:tblLook w:val="04A0" w:firstRow="1" w:lastRow="0" w:firstColumn="1" w:lastColumn="0" w:noHBand="0" w:noVBand="1"/>
      </w:tblPr>
      <w:tblGrid>
        <w:gridCol w:w="4800"/>
        <w:gridCol w:w="1280"/>
        <w:gridCol w:w="272"/>
        <w:gridCol w:w="1140"/>
        <w:gridCol w:w="272"/>
        <w:gridCol w:w="1140"/>
      </w:tblGrid>
      <w:tr w:rsidR="00702599" w:rsidRPr="00702599" w14:paraId="260CF9A4" w14:textId="77777777" w:rsidTr="00702599">
        <w:trPr>
          <w:trHeight w:val="260"/>
        </w:trPr>
        <w:tc>
          <w:tcPr>
            <w:tcW w:w="8904" w:type="dxa"/>
            <w:gridSpan w:val="6"/>
            <w:tcBorders>
              <w:top w:val="nil"/>
              <w:left w:val="nil"/>
              <w:bottom w:val="nil"/>
            </w:tcBorders>
            <w:shd w:val="clear" w:color="auto" w:fill="auto"/>
            <w:noWrap/>
            <w:vAlign w:val="bottom"/>
            <w:hideMark/>
          </w:tcPr>
          <w:p w14:paraId="27814A52" w14:textId="2230AAC2" w:rsidR="00702599" w:rsidRPr="00702599" w:rsidRDefault="00702599" w:rsidP="00702599">
            <w:pPr>
              <w:spacing w:before="0" w:after="0"/>
              <w:rPr>
                <w:rFonts w:eastAsia="Times New Roman" w:cs="Arial"/>
                <w:i/>
                <w:iCs/>
                <w:sz w:val="20"/>
                <w:szCs w:val="20"/>
                <w:lang w:eastAsia="en-GB"/>
              </w:rPr>
            </w:pPr>
            <w:r w:rsidRPr="00702599">
              <w:rPr>
                <w:rFonts w:eastAsia="Times New Roman" w:cs="Arial"/>
                <w:i/>
                <w:iCs/>
                <w:sz w:val="20"/>
                <w:szCs w:val="20"/>
                <w:lang w:eastAsia="en-GB"/>
              </w:rPr>
              <w:lastRenderedPageBreak/>
              <w:t>NHS Mid and South Essex Integrated Care Board - Statutory Accounts 2023-24</w:t>
            </w:r>
          </w:p>
        </w:tc>
      </w:tr>
      <w:tr w:rsidR="00702599" w:rsidRPr="00702599" w14:paraId="2D723EEB" w14:textId="77777777" w:rsidTr="00702599">
        <w:trPr>
          <w:trHeight w:val="255"/>
        </w:trPr>
        <w:tc>
          <w:tcPr>
            <w:tcW w:w="4800" w:type="dxa"/>
            <w:tcBorders>
              <w:top w:val="nil"/>
              <w:left w:val="nil"/>
              <w:bottom w:val="nil"/>
              <w:right w:val="nil"/>
            </w:tcBorders>
            <w:shd w:val="clear" w:color="auto" w:fill="auto"/>
            <w:noWrap/>
            <w:vAlign w:val="bottom"/>
            <w:hideMark/>
          </w:tcPr>
          <w:p w14:paraId="5AD1D7DA" w14:textId="77777777" w:rsidR="00702599" w:rsidRPr="00702599" w:rsidRDefault="00702599" w:rsidP="00702599">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000000" w:fill="FFFFFF"/>
            <w:noWrap/>
            <w:vAlign w:val="bottom"/>
            <w:hideMark/>
          </w:tcPr>
          <w:p w14:paraId="3F52A6C7"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0D4FF4D"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66531319"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auto" w:fill="auto"/>
            <w:noWrap/>
            <w:vAlign w:val="bottom"/>
            <w:hideMark/>
          </w:tcPr>
          <w:p w14:paraId="1C109607" w14:textId="77777777" w:rsidR="00702599" w:rsidRPr="00702599" w:rsidRDefault="00702599" w:rsidP="00702599">
            <w:pPr>
              <w:spacing w:before="0" w:after="0"/>
              <w:rPr>
                <w:rFonts w:eastAsia="Times New Roman" w:cs="Arial"/>
                <w:sz w:val="20"/>
                <w:szCs w:val="20"/>
                <w:lang w:eastAsia="en-GB"/>
              </w:rPr>
            </w:pPr>
          </w:p>
        </w:tc>
        <w:tc>
          <w:tcPr>
            <w:tcW w:w="1140" w:type="dxa"/>
            <w:tcBorders>
              <w:top w:val="nil"/>
              <w:left w:val="nil"/>
              <w:bottom w:val="nil"/>
              <w:right w:val="nil"/>
            </w:tcBorders>
            <w:shd w:val="clear" w:color="auto" w:fill="auto"/>
            <w:noWrap/>
            <w:vAlign w:val="bottom"/>
            <w:hideMark/>
          </w:tcPr>
          <w:p w14:paraId="43584C41" w14:textId="77777777" w:rsidR="00702599" w:rsidRPr="00702599" w:rsidRDefault="00702599" w:rsidP="00702599">
            <w:pPr>
              <w:spacing w:before="0" w:after="0"/>
              <w:rPr>
                <w:rFonts w:ascii="Times New Roman" w:eastAsia="Times New Roman" w:hAnsi="Times New Roman" w:cs="Times New Roman"/>
                <w:sz w:val="20"/>
                <w:szCs w:val="20"/>
                <w:lang w:eastAsia="en-GB"/>
              </w:rPr>
            </w:pPr>
          </w:p>
        </w:tc>
      </w:tr>
      <w:tr w:rsidR="00702599" w:rsidRPr="00702599" w14:paraId="7C8D8B4E" w14:textId="77777777" w:rsidTr="00702599">
        <w:trPr>
          <w:trHeight w:val="260"/>
        </w:trPr>
        <w:tc>
          <w:tcPr>
            <w:tcW w:w="4800" w:type="dxa"/>
            <w:tcBorders>
              <w:top w:val="nil"/>
              <w:left w:val="nil"/>
              <w:bottom w:val="nil"/>
              <w:right w:val="nil"/>
            </w:tcBorders>
            <w:shd w:val="clear" w:color="auto" w:fill="auto"/>
            <w:noWrap/>
            <w:vAlign w:val="bottom"/>
            <w:hideMark/>
          </w:tcPr>
          <w:p w14:paraId="12E48707" w14:textId="77777777" w:rsidR="00702599" w:rsidRPr="00702599" w:rsidRDefault="00702599" w:rsidP="00702599">
            <w:pPr>
              <w:spacing w:before="0" w:after="0"/>
              <w:rPr>
                <w:rFonts w:eastAsia="Times New Roman" w:cs="Arial"/>
                <w:b/>
                <w:bCs/>
                <w:sz w:val="20"/>
                <w:szCs w:val="20"/>
                <w:lang w:eastAsia="en-GB"/>
              </w:rPr>
            </w:pPr>
            <w:r w:rsidRPr="00702599">
              <w:rPr>
                <w:rFonts w:eastAsia="Times New Roman" w:cs="Arial"/>
                <w:b/>
                <w:bCs/>
                <w:sz w:val="20"/>
                <w:szCs w:val="20"/>
                <w:lang w:eastAsia="en-GB"/>
              </w:rPr>
              <w:t>4 Employee Benefits and Staff Numbers</w:t>
            </w:r>
          </w:p>
        </w:tc>
        <w:tc>
          <w:tcPr>
            <w:tcW w:w="1280" w:type="dxa"/>
            <w:tcBorders>
              <w:top w:val="nil"/>
              <w:left w:val="nil"/>
              <w:bottom w:val="nil"/>
              <w:right w:val="nil"/>
            </w:tcBorders>
            <w:shd w:val="clear" w:color="000000" w:fill="FFFFFF"/>
            <w:noWrap/>
            <w:vAlign w:val="bottom"/>
            <w:hideMark/>
          </w:tcPr>
          <w:p w14:paraId="641CE039"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2D2CBE4"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2BE4B3DC"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auto" w:fill="auto"/>
            <w:noWrap/>
            <w:vAlign w:val="bottom"/>
            <w:hideMark/>
          </w:tcPr>
          <w:p w14:paraId="7FD4C414" w14:textId="77777777" w:rsidR="00702599" w:rsidRPr="00702599" w:rsidRDefault="00702599" w:rsidP="00702599">
            <w:pPr>
              <w:spacing w:before="0" w:after="0"/>
              <w:rPr>
                <w:rFonts w:eastAsia="Times New Roman" w:cs="Arial"/>
                <w:sz w:val="20"/>
                <w:szCs w:val="20"/>
                <w:lang w:eastAsia="en-GB"/>
              </w:rPr>
            </w:pPr>
          </w:p>
        </w:tc>
        <w:tc>
          <w:tcPr>
            <w:tcW w:w="1140" w:type="dxa"/>
            <w:tcBorders>
              <w:top w:val="nil"/>
              <w:left w:val="nil"/>
              <w:bottom w:val="nil"/>
              <w:right w:val="nil"/>
            </w:tcBorders>
            <w:shd w:val="clear" w:color="auto" w:fill="auto"/>
            <w:noWrap/>
            <w:vAlign w:val="bottom"/>
            <w:hideMark/>
          </w:tcPr>
          <w:p w14:paraId="20732635" w14:textId="77777777" w:rsidR="00702599" w:rsidRPr="00702599" w:rsidRDefault="00702599" w:rsidP="00702599">
            <w:pPr>
              <w:spacing w:before="0" w:after="0"/>
              <w:rPr>
                <w:rFonts w:ascii="Times New Roman" w:eastAsia="Times New Roman" w:hAnsi="Times New Roman" w:cs="Times New Roman"/>
                <w:sz w:val="20"/>
                <w:szCs w:val="20"/>
                <w:lang w:eastAsia="en-GB"/>
              </w:rPr>
            </w:pPr>
          </w:p>
        </w:tc>
      </w:tr>
      <w:tr w:rsidR="00702599" w:rsidRPr="00702599" w14:paraId="45546056" w14:textId="77777777" w:rsidTr="00702599">
        <w:trPr>
          <w:trHeight w:val="250"/>
        </w:trPr>
        <w:tc>
          <w:tcPr>
            <w:tcW w:w="4800" w:type="dxa"/>
            <w:tcBorders>
              <w:top w:val="nil"/>
              <w:left w:val="nil"/>
              <w:bottom w:val="nil"/>
              <w:right w:val="nil"/>
            </w:tcBorders>
            <w:shd w:val="clear" w:color="auto" w:fill="auto"/>
            <w:noWrap/>
            <w:vAlign w:val="bottom"/>
            <w:hideMark/>
          </w:tcPr>
          <w:p w14:paraId="5D26172F" w14:textId="77777777" w:rsidR="00702599" w:rsidRPr="00702599" w:rsidRDefault="00702599" w:rsidP="00702599">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000000" w:fill="FFFFFF"/>
            <w:noWrap/>
            <w:vAlign w:val="bottom"/>
            <w:hideMark/>
          </w:tcPr>
          <w:p w14:paraId="19545CFD"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4801380"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5078FB2D"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auto" w:fill="auto"/>
            <w:noWrap/>
            <w:vAlign w:val="bottom"/>
            <w:hideMark/>
          </w:tcPr>
          <w:p w14:paraId="4C48D9D8" w14:textId="77777777" w:rsidR="00702599" w:rsidRPr="00702599" w:rsidRDefault="00702599" w:rsidP="00702599">
            <w:pPr>
              <w:spacing w:before="0" w:after="0"/>
              <w:rPr>
                <w:rFonts w:eastAsia="Times New Roman" w:cs="Arial"/>
                <w:sz w:val="20"/>
                <w:szCs w:val="20"/>
                <w:lang w:eastAsia="en-GB"/>
              </w:rPr>
            </w:pPr>
          </w:p>
        </w:tc>
        <w:tc>
          <w:tcPr>
            <w:tcW w:w="1140" w:type="dxa"/>
            <w:tcBorders>
              <w:top w:val="nil"/>
              <w:left w:val="nil"/>
              <w:bottom w:val="nil"/>
              <w:right w:val="nil"/>
            </w:tcBorders>
            <w:shd w:val="clear" w:color="auto" w:fill="auto"/>
            <w:noWrap/>
            <w:vAlign w:val="bottom"/>
            <w:hideMark/>
          </w:tcPr>
          <w:p w14:paraId="21DA0DE9" w14:textId="77777777" w:rsidR="00702599" w:rsidRPr="00702599" w:rsidRDefault="00702599" w:rsidP="00702599">
            <w:pPr>
              <w:spacing w:before="0" w:after="0"/>
              <w:rPr>
                <w:rFonts w:ascii="Times New Roman" w:eastAsia="Times New Roman" w:hAnsi="Times New Roman" w:cs="Times New Roman"/>
                <w:sz w:val="20"/>
                <w:szCs w:val="20"/>
                <w:lang w:eastAsia="en-GB"/>
              </w:rPr>
            </w:pPr>
          </w:p>
        </w:tc>
      </w:tr>
      <w:tr w:rsidR="00702599" w:rsidRPr="00702599" w14:paraId="0452CD47" w14:textId="77777777" w:rsidTr="00702599">
        <w:trPr>
          <w:trHeight w:val="260"/>
        </w:trPr>
        <w:tc>
          <w:tcPr>
            <w:tcW w:w="4800" w:type="dxa"/>
            <w:tcBorders>
              <w:top w:val="nil"/>
              <w:left w:val="nil"/>
              <w:bottom w:val="nil"/>
              <w:right w:val="nil"/>
            </w:tcBorders>
            <w:shd w:val="clear" w:color="auto" w:fill="auto"/>
            <w:noWrap/>
            <w:vAlign w:val="bottom"/>
            <w:hideMark/>
          </w:tcPr>
          <w:p w14:paraId="5100A207" w14:textId="77777777" w:rsidR="00702599" w:rsidRPr="00702599" w:rsidRDefault="00702599" w:rsidP="00702599">
            <w:pPr>
              <w:spacing w:before="0" w:after="0"/>
              <w:rPr>
                <w:rFonts w:eastAsia="Times New Roman" w:cs="Arial"/>
                <w:b/>
                <w:bCs/>
                <w:sz w:val="20"/>
                <w:szCs w:val="20"/>
                <w:lang w:eastAsia="en-GB"/>
              </w:rPr>
            </w:pPr>
            <w:r w:rsidRPr="00702599">
              <w:rPr>
                <w:rFonts w:eastAsia="Times New Roman" w:cs="Arial"/>
                <w:b/>
                <w:bCs/>
                <w:sz w:val="20"/>
                <w:szCs w:val="20"/>
                <w:lang w:eastAsia="en-GB"/>
              </w:rPr>
              <w:t>4.1.1 Employee Benefits</w:t>
            </w:r>
          </w:p>
        </w:tc>
        <w:tc>
          <w:tcPr>
            <w:tcW w:w="1280" w:type="dxa"/>
            <w:tcBorders>
              <w:top w:val="nil"/>
              <w:left w:val="nil"/>
              <w:bottom w:val="nil"/>
              <w:right w:val="nil"/>
            </w:tcBorders>
            <w:shd w:val="clear" w:color="000000" w:fill="FFFFFF"/>
            <w:noWrap/>
            <w:vAlign w:val="bottom"/>
            <w:hideMark/>
          </w:tcPr>
          <w:p w14:paraId="2054B7C4"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D1AB025"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33E46265"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auto" w:fill="auto"/>
            <w:noWrap/>
            <w:vAlign w:val="bottom"/>
            <w:hideMark/>
          </w:tcPr>
          <w:p w14:paraId="5B9F8658" w14:textId="77777777" w:rsidR="00702599" w:rsidRPr="00702599" w:rsidRDefault="00702599" w:rsidP="00702599">
            <w:pPr>
              <w:spacing w:before="0" w:after="0"/>
              <w:rPr>
                <w:rFonts w:eastAsia="Times New Roman" w:cs="Arial"/>
                <w:sz w:val="20"/>
                <w:szCs w:val="20"/>
                <w:lang w:eastAsia="en-GB"/>
              </w:rPr>
            </w:pPr>
          </w:p>
        </w:tc>
        <w:tc>
          <w:tcPr>
            <w:tcW w:w="1140" w:type="dxa"/>
            <w:tcBorders>
              <w:top w:val="nil"/>
              <w:left w:val="nil"/>
              <w:bottom w:val="nil"/>
              <w:right w:val="nil"/>
            </w:tcBorders>
            <w:shd w:val="clear" w:color="auto" w:fill="auto"/>
            <w:noWrap/>
            <w:vAlign w:val="bottom"/>
            <w:hideMark/>
          </w:tcPr>
          <w:p w14:paraId="11F1CD04" w14:textId="77777777" w:rsidR="00702599" w:rsidRPr="00702599" w:rsidRDefault="00702599" w:rsidP="00702599">
            <w:pPr>
              <w:spacing w:before="0" w:after="0"/>
              <w:rPr>
                <w:rFonts w:ascii="Times New Roman" w:eastAsia="Times New Roman" w:hAnsi="Times New Roman" w:cs="Times New Roman"/>
                <w:sz w:val="20"/>
                <w:szCs w:val="20"/>
                <w:lang w:eastAsia="en-GB"/>
              </w:rPr>
            </w:pPr>
          </w:p>
        </w:tc>
      </w:tr>
      <w:tr w:rsidR="00702599" w:rsidRPr="00702599" w14:paraId="176FE5C4" w14:textId="77777777" w:rsidTr="00702599">
        <w:trPr>
          <w:trHeight w:val="120"/>
        </w:trPr>
        <w:tc>
          <w:tcPr>
            <w:tcW w:w="4800" w:type="dxa"/>
            <w:tcBorders>
              <w:top w:val="nil"/>
              <w:left w:val="nil"/>
              <w:bottom w:val="nil"/>
              <w:right w:val="nil"/>
            </w:tcBorders>
            <w:shd w:val="clear" w:color="auto" w:fill="auto"/>
            <w:noWrap/>
            <w:vAlign w:val="bottom"/>
            <w:hideMark/>
          </w:tcPr>
          <w:p w14:paraId="7799C075" w14:textId="77777777" w:rsidR="00702599" w:rsidRPr="00702599" w:rsidRDefault="00702599" w:rsidP="00702599">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000000" w:fill="FFFFFF"/>
            <w:noWrap/>
            <w:vAlign w:val="bottom"/>
            <w:hideMark/>
          </w:tcPr>
          <w:p w14:paraId="60793406"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4CDBD32"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03DFFA0A"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auto" w:fill="auto"/>
            <w:noWrap/>
            <w:vAlign w:val="bottom"/>
            <w:hideMark/>
          </w:tcPr>
          <w:p w14:paraId="42880110" w14:textId="77777777" w:rsidR="00702599" w:rsidRPr="00702599" w:rsidRDefault="00702599" w:rsidP="00702599">
            <w:pPr>
              <w:spacing w:before="0" w:after="0"/>
              <w:rPr>
                <w:rFonts w:eastAsia="Times New Roman" w:cs="Arial"/>
                <w:sz w:val="20"/>
                <w:szCs w:val="20"/>
                <w:lang w:eastAsia="en-GB"/>
              </w:rPr>
            </w:pPr>
          </w:p>
        </w:tc>
        <w:tc>
          <w:tcPr>
            <w:tcW w:w="1140" w:type="dxa"/>
            <w:tcBorders>
              <w:top w:val="nil"/>
              <w:left w:val="nil"/>
              <w:bottom w:val="nil"/>
              <w:right w:val="nil"/>
            </w:tcBorders>
            <w:shd w:val="clear" w:color="auto" w:fill="auto"/>
            <w:noWrap/>
            <w:vAlign w:val="bottom"/>
            <w:hideMark/>
          </w:tcPr>
          <w:p w14:paraId="769D9BD3" w14:textId="77777777" w:rsidR="00702599" w:rsidRPr="00702599" w:rsidRDefault="00702599" w:rsidP="00702599">
            <w:pPr>
              <w:spacing w:before="0" w:after="0"/>
              <w:rPr>
                <w:rFonts w:ascii="Times New Roman" w:eastAsia="Times New Roman" w:hAnsi="Times New Roman" w:cs="Times New Roman"/>
                <w:sz w:val="20"/>
                <w:szCs w:val="20"/>
                <w:lang w:eastAsia="en-GB"/>
              </w:rPr>
            </w:pPr>
          </w:p>
        </w:tc>
      </w:tr>
      <w:tr w:rsidR="00702599" w:rsidRPr="00702599" w14:paraId="16C58CDF" w14:textId="77777777" w:rsidTr="00702599">
        <w:trPr>
          <w:trHeight w:val="260"/>
        </w:trPr>
        <w:tc>
          <w:tcPr>
            <w:tcW w:w="4800" w:type="dxa"/>
            <w:tcBorders>
              <w:top w:val="nil"/>
              <w:left w:val="nil"/>
              <w:bottom w:val="nil"/>
              <w:right w:val="nil"/>
            </w:tcBorders>
            <w:shd w:val="clear" w:color="auto" w:fill="auto"/>
            <w:noWrap/>
            <w:vAlign w:val="bottom"/>
            <w:hideMark/>
          </w:tcPr>
          <w:p w14:paraId="3ACE4A46" w14:textId="77777777" w:rsidR="00702599" w:rsidRPr="00702599" w:rsidRDefault="00702599" w:rsidP="00702599">
            <w:pPr>
              <w:spacing w:before="0" w:after="0"/>
              <w:rPr>
                <w:rFonts w:ascii="Times New Roman" w:eastAsia="Times New Roman" w:hAnsi="Times New Roman" w:cs="Times New Roman"/>
                <w:sz w:val="20"/>
                <w:szCs w:val="20"/>
                <w:lang w:eastAsia="en-GB"/>
              </w:rPr>
            </w:pPr>
          </w:p>
        </w:tc>
        <w:tc>
          <w:tcPr>
            <w:tcW w:w="4104" w:type="dxa"/>
            <w:gridSpan w:val="5"/>
            <w:tcBorders>
              <w:top w:val="nil"/>
              <w:left w:val="nil"/>
              <w:bottom w:val="nil"/>
              <w:right w:val="nil"/>
            </w:tcBorders>
            <w:shd w:val="clear" w:color="auto" w:fill="auto"/>
            <w:vAlign w:val="bottom"/>
            <w:hideMark/>
          </w:tcPr>
          <w:p w14:paraId="17043081" w14:textId="77777777" w:rsidR="00702599" w:rsidRPr="00702599" w:rsidRDefault="00702599" w:rsidP="00702599">
            <w:pPr>
              <w:spacing w:before="0" w:after="0"/>
              <w:jc w:val="center"/>
              <w:rPr>
                <w:rFonts w:eastAsia="Times New Roman" w:cs="Arial"/>
                <w:b/>
                <w:bCs/>
                <w:sz w:val="20"/>
                <w:szCs w:val="20"/>
                <w:lang w:eastAsia="en-GB"/>
              </w:rPr>
            </w:pPr>
            <w:r w:rsidRPr="00702599">
              <w:rPr>
                <w:rFonts w:eastAsia="Times New Roman" w:cs="Arial"/>
                <w:b/>
                <w:bCs/>
                <w:sz w:val="20"/>
                <w:szCs w:val="20"/>
                <w:lang w:eastAsia="en-GB"/>
              </w:rPr>
              <w:t>1-Apr-23 to 31-Mar-24 (1 Year)</w:t>
            </w:r>
          </w:p>
        </w:tc>
      </w:tr>
      <w:tr w:rsidR="00702599" w:rsidRPr="00702599" w14:paraId="198CFA7A" w14:textId="77777777" w:rsidTr="00702599">
        <w:trPr>
          <w:trHeight w:val="520"/>
        </w:trPr>
        <w:tc>
          <w:tcPr>
            <w:tcW w:w="4800" w:type="dxa"/>
            <w:tcBorders>
              <w:top w:val="nil"/>
              <w:left w:val="nil"/>
              <w:bottom w:val="nil"/>
              <w:right w:val="nil"/>
            </w:tcBorders>
            <w:shd w:val="clear" w:color="auto" w:fill="auto"/>
            <w:vAlign w:val="bottom"/>
            <w:hideMark/>
          </w:tcPr>
          <w:p w14:paraId="33BA0FD8" w14:textId="77777777" w:rsidR="00702599" w:rsidRPr="00702599" w:rsidRDefault="00702599" w:rsidP="00702599">
            <w:pPr>
              <w:spacing w:before="0" w:after="0"/>
              <w:jc w:val="center"/>
              <w:rPr>
                <w:rFonts w:eastAsia="Times New Roman" w:cs="Arial"/>
                <w:b/>
                <w:bCs/>
                <w:sz w:val="20"/>
                <w:szCs w:val="20"/>
                <w:lang w:eastAsia="en-GB"/>
              </w:rPr>
            </w:pPr>
          </w:p>
        </w:tc>
        <w:tc>
          <w:tcPr>
            <w:tcW w:w="1280" w:type="dxa"/>
            <w:tcBorders>
              <w:top w:val="nil"/>
              <w:left w:val="nil"/>
              <w:bottom w:val="nil"/>
              <w:right w:val="nil"/>
            </w:tcBorders>
            <w:shd w:val="clear" w:color="000000" w:fill="FFFFFF"/>
            <w:vAlign w:val="bottom"/>
            <w:hideMark/>
          </w:tcPr>
          <w:p w14:paraId="03FE9A3A"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Permanent Employees</w:t>
            </w:r>
          </w:p>
        </w:tc>
        <w:tc>
          <w:tcPr>
            <w:tcW w:w="272" w:type="dxa"/>
            <w:tcBorders>
              <w:top w:val="nil"/>
              <w:left w:val="nil"/>
              <w:bottom w:val="nil"/>
              <w:right w:val="nil"/>
            </w:tcBorders>
            <w:shd w:val="clear" w:color="000000" w:fill="FFFFFF"/>
            <w:vAlign w:val="bottom"/>
            <w:hideMark/>
          </w:tcPr>
          <w:p w14:paraId="596F64DB"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 </w:t>
            </w:r>
          </w:p>
        </w:tc>
        <w:tc>
          <w:tcPr>
            <w:tcW w:w="1140" w:type="dxa"/>
            <w:tcBorders>
              <w:top w:val="nil"/>
              <w:left w:val="nil"/>
              <w:bottom w:val="nil"/>
              <w:right w:val="nil"/>
            </w:tcBorders>
            <w:shd w:val="clear" w:color="000000" w:fill="FFFFFF"/>
            <w:vAlign w:val="bottom"/>
            <w:hideMark/>
          </w:tcPr>
          <w:p w14:paraId="217D11D5"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Other</w:t>
            </w:r>
          </w:p>
        </w:tc>
        <w:tc>
          <w:tcPr>
            <w:tcW w:w="272" w:type="dxa"/>
            <w:tcBorders>
              <w:top w:val="nil"/>
              <w:left w:val="nil"/>
              <w:bottom w:val="nil"/>
              <w:right w:val="nil"/>
            </w:tcBorders>
            <w:shd w:val="clear" w:color="auto" w:fill="auto"/>
            <w:vAlign w:val="bottom"/>
            <w:hideMark/>
          </w:tcPr>
          <w:p w14:paraId="5621DDE9" w14:textId="77777777" w:rsidR="00702599" w:rsidRPr="00702599" w:rsidRDefault="00702599" w:rsidP="00702599">
            <w:pPr>
              <w:spacing w:before="0" w:after="0"/>
              <w:jc w:val="right"/>
              <w:rPr>
                <w:rFonts w:eastAsia="Times New Roman" w:cs="Arial"/>
                <w:b/>
                <w:bCs/>
                <w:sz w:val="20"/>
                <w:szCs w:val="20"/>
                <w:lang w:eastAsia="en-GB"/>
              </w:rPr>
            </w:pPr>
          </w:p>
        </w:tc>
        <w:tc>
          <w:tcPr>
            <w:tcW w:w="1140" w:type="dxa"/>
            <w:tcBorders>
              <w:top w:val="nil"/>
              <w:left w:val="nil"/>
              <w:bottom w:val="nil"/>
              <w:right w:val="nil"/>
            </w:tcBorders>
            <w:shd w:val="clear" w:color="auto" w:fill="auto"/>
            <w:vAlign w:val="bottom"/>
            <w:hideMark/>
          </w:tcPr>
          <w:p w14:paraId="6C4B230F"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Total</w:t>
            </w:r>
          </w:p>
        </w:tc>
      </w:tr>
      <w:tr w:rsidR="00702599" w:rsidRPr="00702599" w14:paraId="6F66E57D" w14:textId="77777777" w:rsidTr="00702599">
        <w:trPr>
          <w:trHeight w:val="260"/>
        </w:trPr>
        <w:tc>
          <w:tcPr>
            <w:tcW w:w="4800" w:type="dxa"/>
            <w:tcBorders>
              <w:top w:val="nil"/>
              <w:left w:val="nil"/>
              <w:bottom w:val="nil"/>
              <w:right w:val="nil"/>
            </w:tcBorders>
            <w:shd w:val="clear" w:color="auto" w:fill="auto"/>
            <w:noWrap/>
            <w:vAlign w:val="bottom"/>
            <w:hideMark/>
          </w:tcPr>
          <w:p w14:paraId="5071CFE5" w14:textId="77777777" w:rsidR="00702599" w:rsidRPr="00702599" w:rsidRDefault="00702599" w:rsidP="00702599">
            <w:pPr>
              <w:spacing w:before="0" w:after="0"/>
              <w:jc w:val="right"/>
              <w:rPr>
                <w:rFonts w:eastAsia="Times New Roman" w:cs="Arial"/>
                <w:b/>
                <w:bCs/>
                <w:sz w:val="20"/>
                <w:szCs w:val="20"/>
                <w:lang w:eastAsia="en-GB"/>
              </w:rPr>
            </w:pPr>
          </w:p>
        </w:tc>
        <w:tc>
          <w:tcPr>
            <w:tcW w:w="1280" w:type="dxa"/>
            <w:tcBorders>
              <w:top w:val="nil"/>
              <w:left w:val="nil"/>
              <w:bottom w:val="nil"/>
              <w:right w:val="nil"/>
            </w:tcBorders>
            <w:shd w:val="clear" w:color="000000" w:fill="FFFFFF"/>
            <w:noWrap/>
            <w:vAlign w:val="bottom"/>
            <w:hideMark/>
          </w:tcPr>
          <w:p w14:paraId="39415929"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bottom"/>
            <w:hideMark/>
          </w:tcPr>
          <w:p w14:paraId="1B0652FD"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 </w:t>
            </w:r>
          </w:p>
        </w:tc>
        <w:tc>
          <w:tcPr>
            <w:tcW w:w="1140" w:type="dxa"/>
            <w:tcBorders>
              <w:top w:val="nil"/>
              <w:left w:val="nil"/>
              <w:bottom w:val="nil"/>
              <w:right w:val="nil"/>
            </w:tcBorders>
            <w:shd w:val="clear" w:color="000000" w:fill="FFFFFF"/>
            <w:noWrap/>
            <w:vAlign w:val="bottom"/>
            <w:hideMark/>
          </w:tcPr>
          <w:p w14:paraId="5CAA6643"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£'000</w:t>
            </w:r>
          </w:p>
        </w:tc>
        <w:tc>
          <w:tcPr>
            <w:tcW w:w="272" w:type="dxa"/>
            <w:tcBorders>
              <w:top w:val="nil"/>
              <w:left w:val="nil"/>
              <w:bottom w:val="nil"/>
              <w:right w:val="nil"/>
            </w:tcBorders>
            <w:shd w:val="clear" w:color="auto" w:fill="auto"/>
            <w:noWrap/>
            <w:vAlign w:val="bottom"/>
            <w:hideMark/>
          </w:tcPr>
          <w:p w14:paraId="1021F494" w14:textId="77777777" w:rsidR="00702599" w:rsidRPr="00702599" w:rsidRDefault="00702599" w:rsidP="00702599">
            <w:pPr>
              <w:spacing w:before="0" w:after="0"/>
              <w:jc w:val="right"/>
              <w:rPr>
                <w:rFonts w:eastAsia="Times New Roman" w:cs="Arial"/>
                <w:b/>
                <w:bCs/>
                <w:sz w:val="20"/>
                <w:szCs w:val="20"/>
                <w:lang w:eastAsia="en-GB"/>
              </w:rPr>
            </w:pPr>
          </w:p>
        </w:tc>
        <w:tc>
          <w:tcPr>
            <w:tcW w:w="1140" w:type="dxa"/>
            <w:tcBorders>
              <w:top w:val="nil"/>
              <w:left w:val="nil"/>
              <w:bottom w:val="nil"/>
              <w:right w:val="nil"/>
            </w:tcBorders>
            <w:shd w:val="clear" w:color="auto" w:fill="auto"/>
            <w:noWrap/>
            <w:vAlign w:val="bottom"/>
            <w:hideMark/>
          </w:tcPr>
          <w:p w14:paraId="01B09C40"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£'000</w:t>
            </w:r>
          </w:p>
        </w:tc>
      </w:tr>
      <w:tr w:rsidR="00702599" w:rsidRPr="00702599" w14:paraId="1C119404" w14:textId="77777777" w:rsidTr="00702599">
        <w:trPr>
          <w:trHeight w:val="260"/>
        </w:trPr>
        <w:tc>
          <w:tcPr>
            <w:tcW w:w="4800" w:type="dxa"/>
            <w:tcBorders>
              <w:top w:val="nil"/>
              <w:left w:val="nil"/>
              <w:bottom w:val="nil"/>
              <w:right w:val="nil"/>
            </w:tcBorders>
            <w:shd w:val="clear" w:color="auto" w:fill="auto"/>
            <w:noWrap/>
            <w:vAlign w:val="bottom"/>
            <w:hideMark/>
          </w:tcPr>
          <w:p w14:paraId="597EECFD" w14:textId="77777777" w:rsidR="00702599" w:rsidRPr="00702599" w:rsidRDefault="00702599" w:rsidP="00702599">
            <w:pPr>
              <w:spacing w:before="0" w:after="0"/>
              <w:rPr>
                <w:rFonts w:eastAsia="Times New Roman" w:cs="Arial"/>
                <w:b/>
                <w:bCs/>
                <w:sz w:val="20"/>
                <w:szCs w:val="20"/>
                <w:lang w:eastAsia="en-GB"/>
              </w:rPr>
            </w:pPr>
            <w:r w:rsidRPr="00702599">
              <w:rPr>
                <w:rFonts w:eastAsia="Times New Roman" w:cs="Arial"/>
                <w:b/>
                <w:bCs/>
                <w:sz w:val="20"/>
                <w:szCs w:val="20"/>
                <w:lang w:eastAsia="en-GB"/>
              </w:rPr>
              <w:t>Employee benefits</w:t>
            </w:r>
          </w:p>
        </w:tc>
        <w:tc>
          <w:tcPr>
            <w:tcW w:w="1280" w:type="dxa"/>
            <w:tcBorders>
              <w:top w:val="nil"/>
              <w:left w:val="nil"/>
              <w:bottom w:val="nil"/>
              <w:right w:val="nil"/>
            </w:tcBorders>
            <w:shd w:val="clear" w:color="000000" w:fill="FFFFFF"/>
            <w:noWrap/>
            <w:vAlign w:val="bottom"/>
            <w:hideMark/>
          </w:tcPr>
          <w:p w14:paraId="75568B23"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1424A6C4"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5D1E7A27"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auto" w:fill="auto"/>
            <w:noWrap/>
            <w:vAlign w:val="bottom"/>
            <w:hideMark/>
          </w:tcPr>
          <w:p w14:paraId="754118E9" w14:textId="77777777" w:rsidR="00702599" w:rsidRPr="00702599" w:rsidRDefault="00702599" w:rsidP="00702599">
            <w:pPr>
              <w:spacing w:before="0" w:after="0"/>
              <w:rPr>
                <w:rFonts w:eastAsia="Times New Roman" w:cs="Arial"/>
                <w:sz w:val="20"/>
                <w:szCs w:val="20"/>
                <w:lang w:eastAsia="en-GB"/>
              </w:rPr>
            </w:pPr>
          </w:p>
        </w:tc>
        <w:tc>
          <w:tcPr>
            <w:tcW w:w="1140" w:type="dxa"/>
            <w:tcBorders>
              <w:top w:val="nil"/>
              <w:left w:val="nil"/>
              <w:bottom w:val="nil"/>
              <w:right w:val="nil"/>
            </w:tcBorders>
            <w:shd w:val="clear" w:color="auto" w:fill="auto"/>
            <w:noWrap/>
            <w:vAlign w:val="bottom"/>
            <w:hideMark/>
          </w:tcPr>
          <w:p w14:paraId="5D658E51" w14:textId="77777777" w:rsidR="00702599" w:rsidRPr="00702599" w:rsidRDefault="00702599" w:rsidP="00702599">
            <w:pPr>
              <w:spacing w:before="0" w:after="0"/>
              <w:rPr>
                <w:rFonts w:ascii="Times New Roman" w:eastAsia="Times New Roman" w:hAnsi="Times New Roman" w:cs="Times New Roman"/>
                <w:sz w:val="20"/>
                <w:szCs w:val="20"/>
                <w:lang w:eastAsia="en-GB"/>
              </w:rPr>
            </w:pPr>
          </w:p>
        </w:tc>
      </w:tr>
      <w:tr w:rsidR="00702599" w:rsidRPr="00702599" w14:paraId="086FFF4B" w14:textId="77777777" w:rsidTr="00702599">
        <w:trPr>
          <w:trHeight w:val="260"/>
        </w:trPr>
        <w:tc>
          <w:tcPr>
            <w:tcW w:w="4800" w:type="dxa"/>
            <w:tcBorders>
              <w:top w:val="nil"/>
              <w:left w:val="nil"/>
              <w:bottom w:val="nil"/>
              <w:right w:val="nil"/>
            </w:tcBorders>
            <w:shd w:val="clear" w:color="auto" w:fill="auto"/>
            <w:noWrap/>
            <w:vAlign w:val="bottom"/>
            <w:hideMark/>
          </w:tcPr>
          <w:p w14:paraId="69682814"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Salaries and wages</w:t>
            </w:r>
          </w:p>
        </w:tc>
        <w:tc>
          <w:tcPr>
            <w:tcW w:w="1280" w:type="dxa"/>
            <w:tcBorders>
              <w:top w:val="nil"/>
              <w:left w:val="nil"/>
              <w:bottom w:val="nil"/>
              <w:right w:val="nil"/>
            </w:tcBorders>
            <w:shd w:val="clear" w:color="000000" w:fill="FFFFFF"/>
            <w:noWrap/>
            <w:vAlign w:val="bottom"/>
            <w:hideMark/>
          </w:tcPr>
          <w:p w14:paraId="5BD6842B"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24,627</w:t>
            </w:r>
          </w:p>
        </w:tc>
        <w:tc>
          <w:tcPr>
            <w:tcW w:w="272" w:type="dxa"/>
            <w:tcBorders>
              <w:top w:val="nil"/>
              <w:left w:val="nil"/>
              <w:bottom w:val="nil"/>
              <w:right w:val="nil"/>
            </w:tcBorders>
            <w:shd w:val="clear" w:color="000000" w:fill="FFFFFF"/>
            <w:noWrap/>
            <w:vAlign w:val="bottom"/>
            <w:hideMark/>
          </w:tcPr>
          <w:p w14:paraId="4F995DF5"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49B64EE7"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1,020</w:t>
            </w:r>
          </w:p>
        </w:tc>
        <w:tc>
          <w:tcPr>
            <w:tcW w:w="272" w:type="dxa"/>
            <w:tcBorders>
              <w:top w:val="nil"/>
              <w:left w:val="nil"/>
              <w:bottom w:val="nil"/>
              <w:right w:val="nil"/>
            </w:tcBorders>
            <w:shd w:val="clear" w:color="000000" w:fill="FFFFFF"/>
            <w:noWrap/>
            <w:vAlign w:val="bottom"/>
            <w:hideMark/>
          </w:tcPr>
          <w:p w14:paraId="71FDD805"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32552B6F"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25,647</w:t>
            </w:r>
          </w:p>
        </w:tc>
      </w:tr>
      <w:tr w:rsidR="00702599" w:rsidRPr="00702599" w14:paraId="5FBD1688" w14:textId="77777777" w:rsidTr="00702599">
        <w:trPr>
          <w:trHeight w:val="260"/>
        </w:trPr>
        <w:tc>
          <w:tcPr>
            <w:tcW w:w="4800" w:type="dxa"/>
            <w:tcBorders>
              <w:top w:val="nil"/>
              <w:left w:val="nil"/>
              <w:bottom w:val="nil"/>
              <w:right w:val="nil"/>
            </w:tcBorders>
            <w:shd w:val="clear" w:color="auto" w:fill="auto"/>
            <w:noWrap/>
            <w:vAlign w:val="bottom"/>
            <w:hideMark/>
          </w:tcPr>
          <w:p w14:paraId="4BA19C0A"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Social security costs</w:t>
            </w:r>
          </w:p>
        </w:tc>
        <w:tc>
          <w:tcPr>
            <w:tcW w:w="1280" w:type="dxa"/>
            <w:tcBorders>
              <w:top w:val="nil"/>
              <w:left w:val="nil"/>
              <w:bottom w:val="nil"/>
              <w:right w:val="nil"/>
            </w:tcBorders>
            <w:shd w:val="clear" w:color="000000" w:fill="FFFFFF"/>
            <w:noWrap/>
            <w:vAlign w:val="bottom"/>
            <w:hideMark/>
          </w:tcPr>
          <w:p w14:paraId="11EC0387"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3,073</w:t>
            </w:r>
          </w:p>
        </w:tc>
        <w:tc>
          <w:tcPr>
            <w:tcW w:w="272" w:type="dxa"/>
            <w:tcBorders>
              <w:top w:val="nil"/>
              <w:left w:val="nil"/>
              <w:bottom w:val="nil"/>
              <w:right w:val="nil"/>
            </w:tcBorders>
            <w:shd w:val="clear" w:color="000000" w:fill="FFFFFF"/>
            <w:noWrap/>
            <w:vAlign w:val="bottom"/>
            <w:hideMark/>
          </w:tcPr>
          <w:p w14:paraId="265007FE"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674F6CB8"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6D0AB9B0"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4F8295E3"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3,073</w:t>
            </w:r>
          </w:p>
        </w:tc>
      </w:tr>
      <w:tr w:rsidR="00702599" w:rsidRPr="00702599" w14:paraId="7463421D" w14:textId="77777777" w:rsidTr="00702599">
        <w:trPr>
          <w:trHeight w:val="260"/>
        </w:trPr>
        <w:tc>
          <w:tcPr>
            <w:tcW w:w="4800" w:type="dxa"/>
            <w:tcBorders>
              <w:top w:val="nil"/>
              <w:left w:val="nil"/>
              <w:bottom w:val="nil"/>
              <w:right w:val="nil"/>
            </w:tcBorders>
            <w:shd w:val="clear" w:color="auto" w:fill="auto"/>
            <w:noWrap/>
            <w:vAlign w:val="bottom"/>
            <w:hideMark/>
          </w:tcPr>
          <w:p w14:paraId="74163CEA"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Employer contributions to NHS pension scheme</w:t>
            </w:r>
          </w:p>
        </w:tc>
        <w:tc>
          <w:tcPr>
            <w:tcW w:w="1280" w:type="dxa"/>
            <w:tcBorders>
              <w:top w:val="nil"/>
              <w:left w:val="nil"/>
              <w:bottom w:val="nil"/>
              <w:right w:val="nil"/>
            </w:tcBorders>
            <w:shd w:val="clear" w:color="000000" w:fill="FFFFFF"/>
            <w:noWrap/>
            <w:vAlign w:val="bottom"/>
            <w:hideMark/>
          </w:tcPr>
          <w:p w14:paraId="142BD139"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4,448</w:t>
            </w:r>
          </w:p>
        </w:tc>
        <w:tc>
          <w:tcPr>
            <w:tcW w:w="272" w:type="dxa"/>
            <w:tcBorders>
              <w:top w:val="nil"/>
              <w:left w:val="nil"/>
              <w:bottom w:val="nil"/>
              <w:right w:val="nil"/>
            </w:tcBorders>
            <w:shd w:val="clear" w:color="000000" w:fill="FFFFFF"/>
            <w:noWrap/>
            <w:vAlign w:val="bottom"/>
            <w:hideMark/>
          </w:tcPr>
          <w:p w14:paraId="7006470E"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3BE0CBA3"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39F10741"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6EB016B0"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4,448</w:t>
            </w:r>
          </w:p>
        </w:tc>
      </w:tr>
      <w:tr w:rsidR="00702599" w:rsidRPr="00702599" w14:paraId="00B86442" w14:textId="77777777" w:rsidTr="00702599">
        <w:trPr>
          <w:trHeight w:val="260"/>
        </w:trPr>
        <w:tc>
          <w:tcPr>
            <w:tcW w:w="4800" w:type="dxa"/>
            <w:tcBorders>
              <w:top w:val="nil"/>
              <w:left w:val="nil"/>
              <w:bottom w:val="nil"/>
              <w:right w:val="nil"/>
            </w:tcBorders>
            <w:shd w:val="clear" w:color="auto" w:fill="auto"/>
            <w:noWrap/>
            <w:vAlign w:val="bottom"/>
            <w:hideMark/>
          </w:tcPr>
          <w:p w14:paraId="1EEC4D32"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Other pension costs</w:t>
            </w:r>
          </w:p>
        </w:tc>
        <w:tc>
          <w:tcPr>
            <w:tcW w:w="1280" w:type="dxa"/>
            <w:tcBorders>
              <w:top w:val="nil"/>
              <w:left w:val="nil"/>
              <w:bottom w:val="nil"/>
              <w:right w:val="nil"/>
            </w:tcBorders>
            <w:shd w:val="clear" w:color="000000" w:fill="FFFFFF"/>
            <w:noWrap/>
            <w:vAlign w:val="bottom"/>
            <w:hideMark/>
          </w:tcPr>
          <w:p w14:paraId="6A5A37FA"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87</w:t>
            </w:r>
          </w:p>
        </w:tc>
        <w:tc>
          <w:tcPr>
            <w:tcW w:w="272" w:type="dxa"/>
            <w:tcBorders>
              <w:top w:val="nil"/>
              <w:left w:val="nil"/>
              <w:bottom w:val="nil"/>
              <w:right w:val="nil"/>
            </w:tcBorders>
            <w:shd w:val="clear" w:color="000000" w:fill="FFFFFF"/>
            <w:noWrap/>
            <w:vAlign w:val="bottom"/>
            <w:hideMark/>
          </w:tcPr>
          <w:p w14:paraId="2222503B"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196CBC2E"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7B7BF4E4"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5D6EDA45"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87</w:t>
            </w:r>
          </w:p>
        </w:tc>
      </w:tr>
      <w:tr w:rsidR="00702599" w:rsidRPr="00702599" w14:paraId="28D3A262" w14:textId="77777777" w:rsidTr="00702599">
        <w:trPr>
          <w:trHeight w:val="260"/>
        </w:trPr>
        <w:tc>
          <w:tcPr>
            <w:tcW w:w="4800" w:type="dxa"/>
            <w:tcBorders>
              <w:top w:val="nil"/>
              <w:left w:val="nil"/>
              <w:bottom w:val="nil"/>
              <w:right w:val="nil"/>
            </w:tcBorders>
            <w:shd w:val="clear" w:color="auto" w:fill="auto"/>
            <w:noWrap/>
            <w:vAlign w:val="bottom"/>
            <w:hideMark/>
          </w:tcPr>
          <w:p w14:paraId="3CEAEDA0"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Apprenticeship levy</w:t>
            </w:r>
          </w:p>
        </w:tc>
        <w:tc>
          <w:tcPr>
            <w:tcW w:w="1280" w:type="dxa"/>
            <w:tcBorders>
              <w:top w:val="nil"/>
              <w:left w:val="nil"/>
              <w:bottom w:val="nil"/>
              <w:right w:val="nil"/>
            </w:tcBorders>
            <w:shd w:val="clear" w:color="000000" w:fill="FFFFFF"/>
            <w:noWrap/>
            <w:vAlign w:val="bottom"/>
            <w:hideMark/>
          </w:tcPr>
          <w:p w14:paraId="1BAAEF11"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118</w:t>
            </w:r>
          </w:p>
        </w:tc>
        <w:tc>
          <w:tcPr>
            <w:tcW w:w="272" w:type="dxa"/>
            <w:tcBorders>
              <w:top w:val="nil"/>
              <w:left w:val="nil"/>
              <w:bottom w:val="nil"/>
              <w:right w:val="nil"/>
            </w:tcBorders>
            <w:shd w:val="clear" w:color="000000" w:fill="FFFFFF"/>
            <w:noWrap/>
            <w:vAlign w:val="bottom"/>
            <w:hideMark/>
          </w:tcPr>
          <w:p w14:paraId="07A21940"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70AF56F5"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11A7E360"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70CAA2C7"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118</w:t>
            </w:r>
          </w:p>
        </w:tc>
      </w:tr>
      <w:tr w:rsidR="00702599" w:rsidRPr="00702599" w14:paraId="06C4545C" w14:textId="77777777" w:rsidTr="00702599">
        <w:trPr>
          <w:trHeight w:val="260"/>
        </w:trPr>
        <w:tc>
          <w:tcPr>
            <w:tcW w:w="4800" w:type="dxa"/>
            <w:tcBorders>
              <w:top w:val="nil"/>
              <w:left w:val="nil"/>
              <w:bottom w:val="nil"/>
              <w:right w:val="nil"/>
            </w:tcBorders>
            <w:shd w:val="clear" w:color="auto" w:fill="auto"/>
            <w:noWrap/>
            <w:vAlign w:val="bottom"/>
            <w:hideMark/>
          </w:tcPr>
          <w:p w14:paraId="5A094744"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Termination benefits</w:t>
            </w:r>
          </w:p>
        </w:tc>
        <w:tc>
          <w:tcPr>
            <w:tcW w:w="1280" w:type="dxa"/>
            <w:tcBorders>
              <w:top w:val="nil"/>
              <w:left w:val="nil"/>
              <w:bottom w:val="nil"/>
              <w:right w:val="nil"/>
            </w:tcBorders>
            <w:shd w:val="clear" w:color="000000" w:fill="FFFFFF"/>
            <w:noWrap/>
            <w:vAlign w:val="bottom"/>
            <w:hideMark/>
          </w:tcPr>
          <w:p w14:paraId="30FFE85A"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4,737</w:t>
            </w:r>
          </w:p>
        </w:tc>
        <w:tc>
          <w:tcPr>
            <w:tcW w:w="272" w:type="dxa"/>
            <w:tcBorders>
              <w:top w:val="nil"/>
              <w:left w:val="nil"/>
              <w:bottom w:val="nil"/>
              <w:right w:val="nil"/>
            </w:tcBorders>
            <w:shd w:val="clear" w:color="000000" w:fill="FFFFFF"/>
            <w:noWrap/>
            <w:vAlign w:val="bottom"/>
            <w:hideMark/>
          </w:tcPr>
          <w:p w14:paraId="648186B5"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5819A891"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6B64A235"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0EAFBBCD"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4,737</w:t>
            </w:r>
          </w:p>
        </w:tc>
      </w:tr>
      <w:tr w:rsidR="00702599" w:rsidRPr="00702599" w14:paraId="173EEEED" w14:textId="77777777" w:rsidTr="00702599">
        <w:trPr>
          <w:trHeight w:val="260"/>
        </w:trPr>
        <w:tc>
          <w:tcPr>
            <w:tcW w:w="4800" w:type="dxa"/>
            <w:tcBorders>
              <w:top w:val="nil"/>
              <w:left w:val="nil"/>
              <w:bottom w:val="nil"/>
              <w:right w:val="nil"/>
            </w:tcBorders>
            <w:shd w:val="clear" w:color="auto" w:fill="auto"/>
            <w:noWrap/>
            <w:vAlign w:val="bottom"/>
            <w:hideMark/>
          </w:tcPr>
          <w:p w14:paraId="34E4F955" w14:textId="77777777" w:rsidR="00702599" w:rsidRPr="00702599" w:rsidRDefault="00702599" w:rsidP="00702599">
            <w:pPr>
              <w:spacing w:before="0" w:after="0"/>
              <w:rPr>
                <w:rFonts w:eastAsia="Times New Roman" w:cs="Arial"/>
                <w:b/>
                <w:bCs/>
                <w:sz w:val="20"/>
                <w:szCs w:val="20"/>
                <w:lang w:eastAsia="en-GB"/>
              </w:rPr>
            </w:pPr>
            <w:r w:rsidRPr="00702599">
              <w:rPr>
                <w:rFonts w:eastAsia="Times New Roman" w:cs="Arial"/>
                <w:b/>
                <w:bCs/>
                <w:sz w:val="20"/>
                <w:szCs w:val="20"/>
                <w:lang w:eastAsia="en-GB"/>
              </w:rPr>
              <w:t>Gross employee benefits expenditure</w:t>
            </w:r>
          </w:p>
        </w:tc>
        <w:tc>
          <w:tcPr>
            <w:tcW w:w="1280" w:type="dxa"/>
            <w:tcBorders>
              <w:top w:val="single" w:sz="4" w:space="0" w:color="auto"/>
              <w:left w:val="nil"/>
              <w:bottom w:val="single" w:sz="4" w:space="0" w:color="auto"/>
              <w:right w:val="nil"/>
            </w:tcBorders>
            <w:shd w:val="clear" w:color="000000" w:fill="FFFFFF"/>
            <w:noWrap/>
            <w:vAlign w:val="bottom"/>
            <w:hideMark/>
          </w:tcPr>
          <w:p w14:paraId="4F3DF64A"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37,090</w:t>
            </w:r>
          </w:p>
        </w:tc>
        <w:tc>
          <w:tcPr>
            <w:tcW w:w="272" w:type="dxa"/>
            <w:tcBorders>
              <w:top w:val="nil"/>
              <w:left w:val="nil"/>
              <w:bottom w:val="nil"/>
              <w:right w:val="nil"/>
            </w:tcBorders>
            <w:shd w:val="clear" w:color="000000" w:fill="FFFFFF"/>
            <w:noWrap/>
            <w:vAlign w:val="bottom"/>
            <w:hideMark/>
          </w:tcPr>
          <w:p w14:paraId="171E4881" w14:textId="77777777" w:rsidR="00702599" w:rsidRPr="00702599" w:rsidRDefault="00702599" w:rsidP="00702599">
            <w:pPr>
              <w:spacing w:before="0" w:after="0"/>
              <w:rPr>
                <w:rFonts w:eastAsia="Times New Roman" w:cs="Arial"/>
                <w:b/>
                <w:bCs/>
                <w:sz w:val="20"/>
                <w:szCs w:val="20"/>
                <w:lang w:eastAsia="en-GB"/>
              </w:rPr>
            </w:pPr>
            <w:r w:rsidRPr="00702599">
              <w:rPr>
                <w:rFonts w:eastAsia="Times New Roman" w:cs="Arial"/>
                <w:b/>
                <w:bCs/>
                <w:sz w:val="20"/>
                <w:szCs w:val="20"/>
                <w:lang w:eastAsia="en-GB"/>
              </w:rPr>
              <w:t> </w:t>
            </w:r>
          </w:p>
        </w:tc>
        <w:tc>
          <w:tcPr>
            <w:tcW w:w="1140" w:type="dxa"/>
            <w:tcBorders>
              <w:top w:val="single" w:sz="4" w:space="0" w:color="auto"/>
              <w:left w:val="nil"/>
              <w:bottom w:val="single" w:sz="4" w:space="0" w:color="auto"/>
              <w:right w:val="nil"/>
            </w:tcBorders>
            <w:shd w:val="clear" w:color="000000" w:fill="FFFFFF"/>
            <w:noWrap/>
            <w:vAlign w:val="bottom"/>
            <w:hideMark/>
          </w:tcPr>
          <w:p w14:paraId="7FD04B9C"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1,020</w:t>
            </w:r>
          </w:p>
        </w:tc>
        <w:tc>
          <w:tcPr>
            <w:tcW w:w="272" w:type="dxa"/>
            <w:tcBorders>
              <w:top w:val="nil"/>
              <w:left w:val="nil"/>
              <w:bottom w:val="nil"/>
              <w:right w:val="nil"/>
            </w:tcBorders>
            <w:shd w:val="clear" w:color="000000" w:fill="FFFFFF"/>
            <w:noWrap/>
            <w:vAlign w:val="bottom"/>
            <w:hideMark/>
          </w:tcPr>
          <w:p w14:paraId="74F19C33" w14:textId="77777777" w:rsidR="00702599" w:rsidRPr="00702599" w:rsidRDefault="00702599" w:rsidP="00702599">
            <w:pPr>
              <w:spacing w:before="0" w:after="0"/>
              <w:rPr>
                <w:rFonts w:eastAsia="Times New Roman" w:cs="Arial"/>
                <w:b/>
                <w:bCs/>
                <w:sz w:val="20"/>
                <w:szCs w:val="20"/>
                <w:lang w:eastAsia="en-GB"/>
              </w:rPr>
            </w:pPr>
            <w:r w:rsidRPr="00702599">
              <w:rPr>
                <w:rFonts w:eastAsia="Times New Roman" w:cs="Arial"/>
                <w:b/>
                <w:bCs/>
                <w:sz w:val="20"/>
                <w:szCs w:val="20"/>
                <w:lang w:eastAsia="en-GB"/>
              </w:rPr>
              <w:t> </w:t>
            </w:r>
          </w:p>
        </w:tc>
        <w:tc>
          <w:tcPr>
            <w:tcW w:w="1140" w:type="dxa"/>
            <w:tcBorders>
              <w:top w:val="single" w:sz="4" w:space="0" w:color="auto"/>
              <w:left w:val="nil"/>
              <w:bottom w:val="single" w:sz="4" w:space="0" w:color="auto"/>
              <w:right w:val="nil"/>
            </w:tcBorders>
            <w:shd w:val="clear" w:color="000000" w:fill="FFFFFF"/>
            <w:noWrap/>
            <w:vAlign w:val="bottom"/>
            <w:hideMark/>
          </w:tcPr>
          <w:p w14:paraId="74024C88"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38,110</w:t>
            </w:r>
          </w:p>
        </w:tc>
      </w:tr>
      <w:tr w:rsidR="00702599" w:rsidRPr="00702599" w14:paraId="02BECAA3" w14:textId="77777777" w:rsidTr="00702599">
        <w:trPr>
          <w:trHeight w:val="260"/>
        </w:trPr>
        <w:tc>
          <w:tcPr>
            <w:tcW w:w="4800" w:type="dxa"/>
            <w:tcBorders>
              <w:top w:val="nil"/>
              <w:left w:val="nil"/>
              <w:bottom w:val="nil"/>
              <w:right w:val="nil"/>
            </w:tcBorders>
            <w:shd w:val="clear" w:color="auto" w:fill="auto"/>
            <w:noWrap/>
            <w:vAlign w:val="bottom"/>
            <w:hideMark/>
          </w:tcPr>
          <w:p w14:paraId="6460B4C4" w14:textId="77777777" w:rsidR="00702599" w:rsidRPr="00702599" w:rsidRDefault="00702599" w:rsidP="00702599">
            <w:pPr>
              <w:spacing w:before="0" w:after="0"/>
              <w:jc w:val="right"/>
              <w:rPr>
                <w:rFonts w:eastAsia="Times New Roman" w:cs="Arial"/>
                <w:b/>
                <w:bCs/>
                <w:sz w:val="20"/>
                <w:szCs w:val="20"/>
                <w:lang w:eastAsia="en-GB"/>
              </w:rPr>
            </w:pPr>
          </w:p>
        </w:tc>
        <w:tc>
          <w:tcPr>
            <w:tcW w:w="1280" w:type="dxa"/>
            <w:tcBorders>
              <w:top w:val="nil"/>
              <w:left w:val="nil"/>
              <w:bottom w:val="nil"/>
              <w:right w:val="nil"/>
            </w:tcBorders>
            <w:shd w:val="clear" w:color="000000" w:fill="FFFFFF"/>
            <w:noWrap/>
            <w:vAlign w:val="bottom"/>
            <w:hideMark/>
          </w:tcPr>
          <w:p w14:paraId="6D03A5A8"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3FF711CC"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04728B04"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auto" w:fill="auto"/>
            <w:noWrap/>
            <w:vAlign w:val="bottom"/>
            <w:hideMark/>
          </w:tcPr>
          <w:p w14:paraId="394BCC01" w14:textId="77777777" w:rsidR="00702599" w:rsidRPr="00702599" w:rsidRDefault="00702599" w:rsidP="00702599">
            <w:pPr>
              <w:spacing w:before="0" w:after="0"/>
              <w:rPr>
                <w:rFonts w:eastAsia="Times New Roman" w:cs="Arial"/>
                <w:sz w:val="20"/>
                <w:szCs w:val="20"/>
                <w:lang w:eastAsia="en-GB"/>
              </w:rPr>
            </w:pPr>
          </w:p>
        </w:tc>
        <w:tc>
          <w:tcPr>
            <w:tcW w:w="1140" w:type="dxa"/>
            <w:tcBorders>
              <w:top w:val="nil"/>
              <w:left w:val="nil"/>
              <w:bottom w:val="nil"/>
              <w:right w:val="nil"/>
            </w:tcBorders>
            <w:shd w:val="clear" w:color="auto" w:fill="auto"/>
            <w:noWrap/>
            <w:vAlign w:val="bottom"/>
            <w:hideMark/>
          </w:tcPr>
          <w:p w14:paraId="2BDE1B01" w14:textId="77777777" w:rsidR="00702599" w:rsidRPr="00702599" w:rsidRDefault="00702599" w:rsidP="00702599">
            <w:pPr>
              <w:spacing w:before="0" w:after="0"/>
              <w:rPr>
                <w:rFonts w:ascii="Times New Roman" w:eastAsia="Times New Roman" w:hAnsi="Times New Roman" w:cs="Times New Roman"/>
                <w:sz w:val="20"/>
                <w:szCs w:val="20"/>
                <w:lang w:eastAsia="en-GB"/>
              </w:rPr>
            </w:pPr>
          </w:p>
        </w:tc>
      </w:tr>
      <w:tr w:rsidR="00702599" w:rsidRPr="00702599" w14:paraId="7A5201F5" w14:textId="77777777" w:rsidTr="00702599">
        <w:trPr>
          <w:trHeight w:val="260"/>
        </w:trPr>
        <w:tc>
          <w:tcPr>
            <w:tcW w:w="4800" w:type="dxa"/>
            <w:tcBorders>
              <w:top w:val="nil"/>
              <w:left w:val="nil"/>
              <w:bottom w:val="nil"/>
              <w:right w:val="nil"/>
            </w:tcBorders>
            <w:shd w:val="clear" w:color="auto" w:fill="auto"/>
            <w:noWrap/>
            <w:vAlign w:val="bottom"/>
            <w:hideMark/>
          </w:tcPr>
          <w:p w14:paraId="6C707773" w14:textId="77777777" w:rsidR="00702599" w:rsidRPr="00702599" w:rsidRDefault="00702599" w:rsidP="00702599">
            <w:pPr>
              <w:spacing w:before="0" w:after="0"/>
              <w:rPr>
                <w:rFonts w:eastAsia="Times New Roman" w:cs="Arial"/>
                <w:b/>
                <w:bCs/>
                <w:sz w:val="20"/>
                <w:szCs w:val="20"/>
                <w:lang w:eastAsia="en-GB"/>
              </w:rPr>
            </w:pPr>
            <w:r w:rsidRPr="00702599">
              <w:rPr>
                <w:rFonts w:eastAsia="Times New Roman" w:cs="Arial"/>
                <w:b/>
                <w:bCs/>
                <w:sz w:val="20"/>
                <w:szCs w:val="20"/>
                <w:lang w:eastAsia="en-GB"/>
              </w:rPr>
              <w:t>Net employee benefits</w:t>
            </w:r>
          </w:p>
        </w:tc>
        <w:tc>
          <w:tcPr>
            <w:tcW w:w="1280" w:type="dxa"/>
            <w:tcBorders>
              <w:top w:val="single" w:sz="4" w:space="0" w:color="auto"/>
              <w:left w:val="nil"/>
              <w:bottom w:val="single" w:sz="4" w:space="0" w:color="auto"/>
              <w:right w:val="nil"/>
            </w:tcBorders>
            <w:shd w:val="clear" w:color="000000" w:fill="FFFFFF"/>
            <w:noWrap/>
            <w:vAlign w:val="bottom"/>
            <w:hideMark/>
          </w:tcPr>
          <w:p w14:paraId="31A36560"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37,090</w:t>
            </w:r>
          </w:p>
        </w:tc>
        <w:tc>
          <w:tcPr>
            <w:tcW w:w="272" w:type="dxa"/>
            <w:tcBorders>
              <w:top w:val="nil"/>
              <w:left w:val="nil"/>
              <w:bottom w:val="nil"/>
              <w:right w:val="nil"/>
            </w:tcBorders>
            <w:shd w:val="clear" w:color="000000" w:fill="FFFFFF"/>
            <w:noWrap/>
            <w:vAlign w:val="bottom"/>
            <w:hideMark/>
          </w:tcPr>
          <w:p w14:paraId="6474E253" w14:textId="77777777" w:rsidR="00702599" w:rsidRPr="00702599" w:rsidRDefault="00702599" w:rsidP="00702599">
            <w:pPr>
              <w:spacing w:before="0" w:after="0"/>
              <w:rPr>
                <w:rFonts w:eastAsia="Times New Roman" w:cs="Arial"/>
                <w:b/>
                <w:bCs/>
                <w:sz w:val="20"/>
                <w:szCs w:val="20"/>
                <w:lang w:eastAsia="en-GB"/>
              </w:rPr>
            </w:pPr>
            <w:r w:rsidRPr="00702599">
              <w:rPr>
                <w:rFonts w:eastAsia="Times New Roman" w:cs="Arial"/>
                <w:b/>
                <w:bCs/>
                <w:sz w:val="20"/>
                <w:szCs w:val="20"/>
                <w:lang w:eastAsia="en-GB"/>
              </w:rPr>
              <w:t> </w:t>
            </w:r>
          </w:p>
        </w:tc>
        <w:tc>
          <w:tcPr>
            <w:tcW w:w="1140" w:type="dxa"/>
            <w:tcBorders>
              <w:top w:val="single" w:sz="4" w:space="0" w:color="auto"/>
              <w:left w:val="nil"/>
              <w:bottom w:val="single" w:sz="4" w:space="0" w:color="auto"/>
              <w:right w:val="nil"/>
            </w:tcBorders>
            <w:shd w:val="clear" w:color="000000" w:fill="FFFFFF"/>
            <w:noWrap/>
            <w:vAlign w:val="bottom"/>
            <w:hideMark/>
          </w:tcPr>
          <w:p w14:paraId="731B6ACF"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1,020</w:t>
            </w:r>
          </w:p>
        </w:tc>
        <w:tc>
          <w:tcPr>
            <w:tcW w:w="272" w:type="dxa"/>
            <w:tcBorders>
              <w:top w:val="nil"/>
              <w:left w:val="nil"/>
              <w:bottom w:val="nil"/>
              <w:right w:val="nil"/>
            </w:tcBorders>
            <w:shd w:val="clear" w:color="000000" w:fill="FFFFFF"/>
            <w:noWrap/>
            <w:vAlign w:val="bottom"/>
            <w:hideMark/>
          </w:tcPr>
          <w:p w14:paraId="7DDD6D2C" w14:textId="77777777" w:rsidR="00702599" w:rsidRPr="00702599" w:rsidRDefault="00702599" w:rsidP="00702599">
            <w:pPr>
              <w:spacing w:before="0" w:after="0"/>
              <w:rPr>
                <w:rFonts w:eastAsia="Times New Roman" w:cs="Arial"/>
                <w:b/>
                <w:bCs/>
                <w:sz w:val="20"/>
                <w:szCs w:val="20"/>
                <w:lang w:eastAsia="en-GB"/>
              </w:rPr>
            </w:pPr>
            <w:r w:rsidRPr="00702599">
              <w:rPr>
                <w:rFonts w:eastAsia="Times New Roman" w:cs="Arial"/>
                <w:b/>
                <w:bCs/>
                <w:sz w:val="20"/>
                <w:szCs w:val="20"/>
                <w:lang w:eastAsia="en-GB"/>
              </w:rPr>
              <w:t> </w:t>
            </w:r>
          </w:p>
        </w:tc>
        <w:tc>
          <w:tcPr>
            <w:tcW w:w="1140" w:type="dxa"/>
            <w:tcBorders>
              <w:top w:val="single" w:sz="4" w:space="0" w:color="auto"/>
              <w:left w:val="nil"/>
              <w:bottom w:val="single" w:sz="4" w:space="0" w:color="auto"/>
              <w:right w:val="nil"/>
            </w:tcBorders>
            <w:shd w:val="clear" w:color="000000" w:fill="FFFFFF"/>
            <w:noWrap/>
            <w:vAlign w:val="bottom"/>
            <w:hideMark/>
          </w:tcPr>
          <w:p w14:paraId="32B2396E"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38,110</w:t>
            </w:r>
          </w:p>
        </w:tc>
      </w:tr>
      <w:tr w:rsidR="00702599" w:rsidRPr="00702599" w14:paraId="56469E4C" w14:textId="77777777" w:rsidTr="00702599">
        <w:trPr>
          <w:trHeight w:val="250"/>
        </w:trPr>
        <w:tc>
          <w:tcPr>
            <w:tcW w:w="4800" w:type="dxa"/>
            <w:tcBorders>
              <w:top w:val="nil"/>
              <w:left w:val="nil"/>
              <w:bottom w:val="nil"/>
              <w:right w:val="nil"/>
            </w:tcBorders>
            <w:shd w:val="clear" w:color="auto" w:fill="auto"/>
            <w:noWrap/>
            <w:vAlign w:val="bottom"/>
            <w:hideMark/>
          </w:tcPr>
          <w:p w14:paraId="3721FB68" w14:textId="77777777" w:rsidR="00702599" w:rsidRPr="00702599" w:rsidRDefault="00702599" w:rsidP="00702599">
            <w:pPr>
              <w:spacing w:before="0" w:after="0"/>
              <w:jc w:val="right"/>
              <w:rPr>
                <w:rFonts w:eastAsia="Times New Roman" w:cs="Arial"/>
                <w:b/>
                <w:bCs/>
                <w:sz w:val="20"/>
                <w:szCs w:val="20"/>
                <w:lang w:eastAsia="en-GB"/>
              </w:rPr>
            </w:pPr>
          </w:p>
        </w:tc>
        <w:tc>
          <w:tcPr>
            <w:tcW w:w="1280" w:type="dxa"/>
            <w:tcBorders>
              <w:top w:val="nil"/>
              <w:left w:val="nil"/>
              <w:bottom w:val="nil"/>
              <w:right w:val="nil"/>
            </w:tcBorders>
            <w:shd w:val="clear" w:color="000000" w:fill="FFFFFF"/>
            <w:noWrap/>
            <w:vAlign w:val="bottom"/>
            <w:hideMark/>
          </w:tcPr>
          <w:p w14:paraId="2DB691BC"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001A1AD"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69A45584"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auto" w:fill="auto"/>
            <w:noWrap/>
            <w:vAlign w:val="bottom"/>
            <w:hideMark/>
          </w:tcPr>
          <w:p w14:paraId="6071A9D4" w14:textId="77777777" w:rsidR="00702599" w:rsidRPr="00702599" w:rsidRDefault="00702599" w:rsidP="00702599">
            <w:pPr>
              <w:spacing w:before="0" w:after="0"/>
              <w:rPr>
                <w:rFonts w:eastAsia="Times New Roman" w:cs="Arial"/>
                <w:sz w:val="20"/>
                <w:szCs w:val="20"/>
                <w:lang w:eastAsia="en-GB"/>
              </w:rPr>
            </w:pPr>
          </w:p>
        </w:tc>
        <w:tc>
          <w:tcPr>
            <w:tcW w:w="1140" w:type="dxa"/>
            <w:tcBorders>
              <w:top w:val="nil"/>
              <w:left w:val="nil"/>
              <w:bottom w:val="nil"/>
              <w:right w:val="nil"/>
            </w:tcBorders>
            <w:shd w:val="clear" w:color="auto" w:fill="auto"/>
            <w:noWrap/>
            <w:vAlign w:val="bottom"/>
            <w:hideMark/>
          </w:tcPr>
          <w:p w14:paraId="038D140B" w14:textId="77777777" w:rsidR="00702599" w:rsidRPr="00702599" w:rsidRDefault="00702599" w:rsidP="00702599">
            <w:pPr>
              <w:spacing w:before="0" w:after="0"/>
              <w:rPr>
                <w:rFonts w:ascii="Times New Roman" w:eastAsia="Times New Roman" w:hAnsi="Times New Roman" w:cs="Times New Roman"/>
                <w:sz w:val="20"/>
                <w:szCs w:val="20"/>
                <w:lang w:eastAsia="en-GB"/>
              </w:rPr>
            </w:pPr>
          </w:p>
        </w:tc>
      </w:tr>
      <w:tr w:rsidR="00702599" w:rsidRPr="00702599" w14:paraId="0F7FDD7D" w14:textId="77777777" w:rsidTr="00702599">
        <w:trPr>
          <w:trHeight w:val="250"/>
        </w:trPr>
        <w:tc>
          <w:tcPr>
            <w:tcW w:w="4800" w:type="dxa"/>
            <w:tcBorders>
              <w:top w:val="nil"/>
              <w:left w:val="nil"/>
              <w:bottom w:val="nil"/>
              <w:right w:val="nil"/>
            </w:tcBorders>
            <w:shd w:val="clear" w:color="auto" w:fill="auto"/>
            <w:noWrap/>
            <w:vAlign w:val="bottom"/>
            <w:hideMark/>
          </w:tcPr>
          <w:p w14:paraId="6E339B34" w14:textId="77777777" w:rsidR="00702599" w:rsidRPr="00702599" w:rsidRDefault="00702599" w:rsidP="00702599">
            <w:pPr>
              <w:spacing w:before="0" w:after="0"/>
              <w:rPr>
                <w:rFonts w:ascii="Times New Roman" w:eastAsia="Times New Roman" w:hAnsi="Times New Roman" w:cs="Times New Roman"/>
                <w:sz w:val="20"/>
                <w:szCs w:val="20"/>
                <w:lang w:eastAsia="en-GB"/>
              </w:rPr>
            </w:pPr>
          </w:p>
        </w:tc>
        <w:tc>
          <w:tcPr>
            <w:tcW w:w="1280" w:type="dxa"/>
            <w:tcBorders>
              <w:top w:val="nil"/>
              <w:left w:val="nil"/>
              <w:bottom w:val="nil"/>
              <w:right w:val="nil"/>
            </w:tcBorders>
            <w:shd w:val="clear" w:color="000000" w:fill="FFFFFF"/>
            <w:noWrap/>
            <w:vAlign w:val="bottom"/>
            <w:hideMark/>
          </w:tcPr>
          <w:p w14:paraId="4CD612AD"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B974932"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05DFCE8C"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auto" w:fill="auto"/>
            <w:noWrap/>
            <w:vAlign w:val="bottom"/>
            <w:hideMark/>
          </w:tcPr>
          <w:p w14:paraId="760379FE" w14:textId="77777777" w:rsidR="00702599" w:rsidRPr="00702599" w:rsidRDefault="00702599" w:rsidP="00702599">
            <w:pPr>
              <w:spacing w:before="0" w:after="0"/>
              <w:rPr>
                <w:rFonts w:eastAsia="Times New Roman" w:cs="Arial"/>
                <w:sz w:val="20"/>
                <w:szCs w:val="20"/>
                <w:lang w:eastAsia="en-GB"/>
              </w:rPr>
            </w:pPr>
          </w:p>
        </w:tc>
        <w:tc>
          <w:tcPr>
            <w:tcW w:w="1140" w:type="dxa"/>
            <w:tcBorders>
              <w:top w:val="nil"/>
              <w:left w:val="nil"/>
              <w:bottom w:val="nil"/>
              <w:right w:val="nil"/>
            </w:tcBorders>
            <w:shd w:val="clear" w:color="auto" w:fill="auto"/>
            <w:noWrap/>
            <w:vAlign w:val="bottom"/>
            <w:hideMark/>
          </w:tcPr>
          <w:p w14:paraId="7E6BFAC2" w14:textId="77777777" w:rsidR="00702599" w:rsidRPr="00702599" w:rsidRDefault="00702599" w:rsidP="00702599">
            <w:pPr>
              <w:spacing w:before="0" w:after="0"/>
              <w:rPr>
                <w:rFonts w:ascii="Times New Roman" w:eastAsia="Times New Roman" w:hAnsi="Times New Roman" w:cs="Times New Roman"/>
                <w:sz w:val="20"/>
                <w:szCs w:val="20"/>
                <w:lang w:eastAsia="en-GB"/>
              </w:rPr>
            </w:pPr>
          </w:p>
        </w:tc>
      </w:tr>
      <w:tr w:rsidR="00702599" w:rsidRPr="00702599" w14:paraId="6366F96C" w14:textId="77777777" w:rsidTr="00702599">
        <w:trPr>
          <w:trHeight w:val="260"/>
        </w:trPr>
        <w:tc>
          <w:tcPr>
            <w:tcW w:w="4800" w:type="dxa"/>
            <w:tcBorders>
              <w:top w:val="nil"/>
              <w:left w:val="nil"/>
              <w:bottom w:val="nil"/>
              <w:right w:val="nil"/>
            </w:tcBorders>
            <w:shd w:val="clear" w:color="auto" w:fill="auto"/>
            <w:noWrap/>
            <w:vAlign w:val="bottom"/>
            <w:hideMark/>
          </w:tcPr>
          <w:p w14:paraId="3760C560" w14:textId="77777777" w:rsidR="00702599" w:rsidRPr="00702599" w:rsidRDefault="00702599" w:rsidP="00702599">
            <w:pPr>
              <w:spacing w:before="0" w:after="0"/>
              <w:rPr>
                <w:rFonts w:ascii="Times New Roman" w:eastAsia="Times New Roman" w:hAnsi="Times New Roman" w:cs="Times New Roman"/>
                <w:sz w:val="20"/>
                <w:szCs w:val="20"/>
                <w:lang w:eastAsia="en-GB"/>
              </w:rPr>
            </w:pPr>
          </w:p>
        </w:tc>
        <w:tc>
          <w:tcPr>
            <w:tcW w:w="4104" w:type="dxa"/>
            <w:gridSpan w:val="5"/>
            <w:tcBorders>
              <w:top w:val="nil"/>
              <w:left w:val="nil"/>
              <w:bottom w:val="nil"/>
              <w:right w:val="nil"/>
            </w:tcBorders>
            <w:shd w:val="clear" w:color="auto" w:fill="auto"/>
            <w:vAlign w:val="bottom"/>
            <w:hideMark/>
          </w:tcPr>
          <w:p w14:paraId="1680B9DC" w14:textId="77777777" w:rsidR="00702599" w:rsidRPr="00702599" w:rsidRDefault="00702599" w:rsidP="00702599">
            <w:pPr>
              <w:spacing w:before="0" w:after="0"/>
              <w:jc w:val="center"/>
              <w:rPr>
                <w:rFonts w:eastAsia="Times New Roman" w:cs="Arial"/>
                <w:sz w:val="20"/>
                <w:szCs w:val="20"/>
                <w:lang w:eastAsia="en-GB"/>
              </w:rPr>
            </w:pPr>
            <w:r w:rsidRPr="00702599">
              <w:rPr>
                <w:rFonts w:eastAsia="Times New Roman" w:cs="Arial"/>
                <w:sz w:val="20"/>
                <w:szCs w:val="20"/>
                <w:lang w:eastAsia="en-GB"/>
              </w:rPr>
              <w:t>1-Jul-22 to 31-Mar-23 (9 Months)</w:t>
            </w:r>
          </w:p>
        </w:tc>
      </w:tr>
      <w:tr w:rsidR="00702599" w:rsidRPr="00702599" w14:paraId="7255C340" w14:textId="77777777" w:rsidTr="00702599">
        <w:trPr>
          <w:trHeight w:val="510"/>
        </w:trPr>
        <w:tc>
          <w:tcPr>
            <w:tcW w:w="4800" w:type="dxa"/>
            <w:tcBorders>
              <w:top w:val="nil"/>
              <w:left w:val="nil"/>
              <w:bottom w:val="nil"/>
              <w:right w:val="nil"/>
            </w:tcBorders>
            <w:shd w:val="clear" w:color="auto" w:fill="auto"/>
            <w:vAlign w:val="bottom"/>
            <w:hideMark/>
          </w:tcPr>
          <w:p w14:paraId="007B8F89" w14:textId="77777777" w:rsidR="00702599" w:rsidRPr="00702599" w:rsidRDefault="00702599" w:rsidP="00702599">
            <w:pPr>
              <w:spacing w:before="0" w:after="0"/>
              <w:jc w:val="center"/>
              <w:rPr>
                <w:rFonts w:eastAsia="Times New Roman" w:cs="Arial"/>
                <w:sz w:val="20"/>
                <w:szCs w:val="20"/>
                <w:lang w:eastAsia="en-GB"/>
              </w:rPr>
            </w:pPr>
          </w:p>
        </w:tc>
        <w:tc>
          <w:tcPr>
            <w:tcW w:w="1280" w:type="dxa"/>
            <w:tcBorders>
              <w:top w:val="nil"/>
              <w:left w:val="nil"/>
              <w:bottom w:val="nil"/>
              <w:right w:val="nil"/>
            </w:tcBorders>
            <w:shd w:val="clear" w:color="000000" w:fill="FFFFFF"/>
            <w:vAlign w:val="bottom"/>
            <w:hideMark/>
          </w:tcPr>
          <w:p w14:paraId="1F3E3272"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Permanent Employees</w:t>
            </w:r>
          </w:p>
        </w:tc>
        <w:tc>
          <w:tcPr>
            <w:tcW w:w="272" w:type="dxa"/>
            <w:tcBorders>
              <w:top w:val="nil"/>
              <w:left w:val="nil"/>
              <w:bottom w:val="nil"/>
              <w:right w:val="nil"/>
            </w:tcBorders>
            <w:shd w:val="clear" w:color="000000" w:fill="FFFFFF"/>
            <w:vAlign w:val="bottom"/>
            <w:hideMark/>
          </w:tcPr>
          <w:p w14:paraId="3021F152"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vAlign w:val="bottom"/>
            <w:hideMark/>
          </w:tcPr>
          <w:p w14:paraId="213394B8"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Other</w:t>
            </w:r>
          </w:p>
        </w:tc>
        <w:tc>
          <w:tcPr>
            <w:tcW w:w="272" w:type="dxa"/>
            <w:tcBorders>
              <w:top w:val="nil"/>
              <w:left w:val="nil"/>
              <w:bottom w:val="nil"/>
              <w:right w:val="nil"/>
            </w:tcBorders>
            <w:shd w:val="clear" w:color="auto" w:fill="auto"/>
            <w:vAlign w:val="bottom"/>
            <w:hideMark/>
          </w:tcPr>
          <w:p w14:paraId="52DD2255" w14:textId="77777777" w:rsidR="00702599" w:rsidRPr="00702599" w:rsidRDefault="00702599" w:rsidP="00702599">
            <w:pPr>
              <w:spacing w:before="0" w:after="0"/>
              <w:jc w:val="right"/>
              <w:rPr>
                <w:rFonts w:eastAsia="Times New Roman" w:cs="Arial"/>
                <w:sz w:val="20"/>
                <w:szCs w:val="20"/>
                <w:lang w:eastAsia="en-GB"/>
              </w:rPr>
            </w:pPr>
          </w:p>
        </w:tc>
        <w:tc>
          <w:tcPr>
            <w:tcW w:w="1140" w:type="dxa"/>
            <w:tcBorders>
              <w:top w:val="nil"/>
              <w:left w:val="nil"/>
              <w:bottom w:val="nil"/>
              <w:right w:val="nil"/>
            </w:tcBorders>
            <w:shd w:val="clear" w:color="auto" w:fill="auto"/>
            <w:vAlign w:val="bottom"/>
            <w:hideMark/>
          </w:tcPr>
          <w:p w14:paraId="087B0404"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Total</w:t>
            </w:r>
          </w:p>
        </w:tc>
      </w:tr>
      <w:tr w:rsidR="00702599" w:rsidRPr="00702599" w14:paraId="25CEA674" w14:textId="77777777" w:rsidTr="00702599">
        <w:trPr>
          <w:trHeight w:val="260"/>
        </w:trPr>
        <w:tc>
          <w:tcPr>
            <w:tcW w:w="4800" w:type="dxa"/>
            <w:tcBorders>
              <w:top w:val="nil"/>
              <w:left w:val="nil"/>
              <w:bottom w:val="nil"/>
              <w:right w:val="nil"/>
            </w:tcBorders>
            <w:shd w:val="clear" w:color="auto" w:fill="auto"/>
            <w:noWrap/>
            <w:vAlign w:val="bottom"/>
            <w:hideMark/>
          </w:tcPr>
          <w:p w14:paraId="5F30581F" w14:textId="77777777" w:rsidR="00702599" w:rsidRPr="00702599" w:rsidRDefault="00702599" w:rsidP="00702599">
            <w:pPr>
              <w:spacing w:before="0" w:after="0"/>
              <w:jc w:val="right"/>
              <w:rPr>
                <w:rFonts w:eastAsia="Times New Roman" w:cs="Arial"/>
                <w:sz w:val="20"/>
                <w:szCs w:val="20"/>
                <w:lang w:eastAsia="en-GB"/>
              </w:rPr>
            </w:pPr>
          </w:p>
        </w:tc>
        <w:tc>
          <w:tcPr>
            <w:tcW w:w="1280" w:type="dxa"/>
            <w:tcBorders>
              <w:top w:val="nil"/>
              <w:left w:val="nil"/>
              <w:bottom w:val="nil"/>
              <w:right w:val="nil"/>
            </w:tcBorders>
            <w:shd w:val="clear" w:color="000000" w:fill="FFFFFF"/>
            <w:noWrap/>
            <w:vAlign w:val="bottom"/>
            <w:hideMark/>
          </w:tcPr>
          <w:p w14:paraId="5CB1906D"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£'000</w:t>
            </w:r>
          </w:p>
        </w:tc>
        <w:tc>
          <w:tcPr>
            <w:tcW w:w="272" w:type="dxa"/>
            <w:tcBorders>
              <w:top w:val="nil"/>
              <w:left w:val="nil"/>
              <w:bottom w:val="nil"/>
              <w:right w:val="nil"/>
            </w:tcBorders>
            <w:shd w:val="clear" w:color="000000" w:fill="FFFFFF"/>
            <w:noWrap/>
            <w:vAlign w:val="bottom"/>
            <w:hideMark/>
          </w:tcPr>
          <w:p w14:paraId="22FE8668"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19771156"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£'000</w:t>
            </w:r>
          </w:p>
        </w:tc>
        <w:tc>
          <w:tcPr>
            <w:tcW w:w="272" w:type="dxa"/>
            <w:tcBorders>
              <w:top w:val="nil"/>
              <w:left w:val="nil"/>
              <w:bottom w:val="nil"/>
              <w:right w:val="nil"/>
            </w:tcBorders>
            <w:shd w:val="clear" w:color="auto" w:fill="auto"/>
            <w:noWrap/>
            <w:vAlign w:val="bottom"/>
            <w:hideMark/>
          </w:tcPr>
          <w:p w14:paraId="07E0C3A6" w14:textId="77777777" w:rsidR="00702599" w:rsidRPr="00702599" w:rsidRDefault="00702599" w:rsidP="00702599">
            <w:pPr>
              <w:spacing w:before="0" w:after="0"/>
              <w:jc w:val="right"/>
              <w:rPr>
                <w:rFonts w:eastAsia="Times New Roman" w:cs="Arial"/>
                <w:sz w:val="20"/>
                <w:szCs w:val="20"/>
                <w:lang w:eastAsia="en-GB"/>
              </w:rPr>
            </w:pPr>
          </w:p>
        </w:tc>
        <w:tc>
          <w:tcPr>
            <w:tcW w:w="1140" w:type="dxa"/>
            <w:tcBorders>
              <w:top w:val="nil"/>
              <w:left w:val="nil"/>
              <w:bottom w:val="nil"/>
              <w:right w:val="nil"/>
            </w:tcBorders>
            <w:shd w:val="clear" w:color="auto" w:fill="auto"/>
            <w:noWrap/>
            <w:vAlign w:val="bottom"/>
            <w:hideMark/>
          </w:tcPr>
          <w:p w14:paraId="54BE5BA5"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£'000</w:t>
            </w:r>
          </w:p>
        </w:tc>
      </w:tr>
      <w:tr w:rsidR="00702599" w:rsidRPr="00702599" w14:paraId="021F590C" w14:textId="77777777" w:rsidTr="00702599">
        <w:trPr>
          <w:trHeight w:val="260"/>
        </w:trPr>
        <w:tc>
          <w:tcPr>
            <w:tcW w:w="4800" w:type="dxa"/>
            <w:tcBorders>
              <w:top w:val="nil"/>
              <w:left w:val="nil"/>
              <w:bottom w:val="nil"/>
              <w:right w:val="nil"/>
            </w:tcBorders>
            <w:shd w:val="clear" w:color="auto" w:fill="auto"/>
            <w:noWrap/>
            <w:vAlign w:val="bottom"/>
            <w:hideMark/>
          </w:tcPr>
          <w:p w14:paraId="03D47DFF" w14:textId="77777777" w:rsidR="00702599" w:rsidRPr="00702599" w:rsidRDefault="00702599" w:rsidP="00702599">
            <w:pPr>
              <w:spacing w:before="0" w:after="0"/>
              <w:rPr>
                <w:rFonts w:eastAsia="Times New Roman" w:cs="Arial"/>
                <w:b/>
                <w:bCs/>
                <w:sz w:val="20"/>
                <w:szCs w:val="20"/>
                <w:lang w:eastAsia="en-GB"/>
              </w:rPr>
            </w:pPr>
            <w:r w:rsidRPr="00702599">
              <w:rPr>
                <w:rFonts w:eastAsia="Times New Roman" w:cs="Arial"/>
                <w:b/>
                <w:bCs/>
                <w:sz w:val="20"/>
                <w:szCs w:val="20"/>
                <w:lang w:eastAsia="en-GB"/>
              </w:rPr>
              <w:t>Employee benefits</w:t>
            </w:r>
          </w:p>
        </w:tc>
        <w:tc>
          <w:tcPr>
            <w:tcW w:w="1280" w:type="dxa"/>
            <w:tcBorders>
              <w:top w:val="nil"/>
              <w:left w:val="nil"/>
              <w:bottom w:val="nil"/>
              <w:right w:val="nil"/>
            </w:tcBorders>
            <w:shd w:val="clear" w:color="000000" w:fill="FFFFFF"/>
            <w:noWrap/>
            <w:vAlign w:val="bottom"/>
            <w:hideMark/>
          </w:tcPr>
          <w:p w14:paraId="09F2488D"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ED60371"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634EE50F"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auto" w:fill="auto"/>
            <w:noWrap/>
            <w:vAlign w:val="bottom"/>
            <w:hideMark/>
          </w:tcPr>
          <w:p w14:paraId="64B65693" w14:textId="77777777" w:rsidR="00702599" w:rsidRPr="00702599" w:rsidRDefault="00702599" w:rsidP="00702599">
            <w:pPr>
              <w:spacing w:before="0" w:after="0"/>
              <w:rPr>
                <w:rFonts w:eastAsia="Times New Roman" w:cs="Arial"/>
                <w:sz w:val="20"/>
                <w:szCs w:val="20"/>
                <w:lang w:eastAsia="en-GB"/>
              </w:rPr>
            </w:pPr>
          </w:p>
        </w:tc>
        <w:tc>
          <w:tcPr>
            <w:tcW w:w="1140" w:type="dxa"/>
            <w:tcBorders>
              <w:top w:val="nil"/>
              <w:left w:val="nil"/>
              <w:bottom w:val="nil"/>
              <w:right w:val="nil"/>
            </w:tcBorders>
            <w:shd w:val="clear" w:color="auto" w:fill="auto"/>
            <w:noWrap/>
            <w:vAlign w:val="bottom"/>
            <w:hideMark/>
          </w:tcPr>
          <w:p w14:paraId="42243558" w14:textId="77777777" w:rsidR="00702599" w:rsidRPr="00702599" w:rsidRDefault="00702599" w:rsidP="00702599">
            <w:pPr>
              <w:spacing w:before="0" w:after="0"/>
              <w:rPr>
                <w:rFonts w:ascii="Times New Roman" w:eastAsia="Times New Roman" w:hAnsi="Times New Roman" w:cs="Times New Roman"/>
                <w:sz w:val="20"/>
                <w:szCs w:val="20"/>
                <w:lang w:eastAsia="en-GB"/>
              </w:rPr>
            </w:pPr>
          </w:p>
        </w:tc>
      </w:tr>
      <w:tr w:rsidR="00702599" w:rsidRPr="00702599" w14:paraId="138B1610" w14:textId="77777777" w:rsidTr="00702599">
        <w:trPr>
          <w:trHeight w:val="260"/>
        </w:trPr>
        <w:tc>
          <w:tcPr>
            <w:tcW w:w="4800" w:type="dxa"/>
            <w:tcBorders>
              <w:top w:val="nil"/>
              <w:left w:val="nil"/>
              <w:bottom w:val="nil"/>
              <w:right w:val="nil"/>
            </w:tcBorders>
            <w:shd w:val="clear" w:color="auto" w:fill="auto"/>
            <w:noWrap/>
            <w:vAlign w:val="bottom"/>
            <w:hideMark/>
          </w:tcPr>
          <w:p w14:paraId="07A7E04E"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Salaries and wages</w:t>
            </w:r>
          </w:p>
        </w:tc>
        <w:tc>
          <w:tcPr>
            <w:tcW w:w="1280" w:type="dxa"/>
            <w:tcBorders>
              <w:top w:val="nil"/>
              <w:left w:val="nil"/>
              <w:bottom w:val="nil"/>
              <w:right w:val="nil"/>
            </w:tcBorders>
            <w:shd w:val="clear" w:color="000000" w:fill="FFFFFF"/>
            <w:noWrap/>
            <w:vAlign w:val="bottom"/>
            <w:hideMark/>
          </w:tcPr>
          <w:p w14:paraId="4E54B3A1"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18,879</w:t>
            </w:r>
          </w:p>
        </w:tc>
        <w:tc>
          <w:tcPr>
            <w:tcW w:w="272" w:type="dxa"/>
            <w:tcBorders>
              <w:top w:val="nil"/>
              <w:left w:val="nil"/>
              <w:bottom w:val="nil"/>
              <w:right w:val="nil"/>
            </w:tcBorders>
            <w:shd w:val="clear" w:color="000000" w:fill="FFFFFF"/>
            <w:noWrap/>
            <w:vAlign w:val="bottom"/>
            <w:hideMark/>
          </w:tcPr>
          <w:p w14:paraId="227C072A"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0B2B9F17"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2,937</w:t>
            </w:r>
          </w:p>
        </w:tc>
        <w:tc>
          <w:tcPr>
            <w:tcW w:w="272" w:type="dxa"/>
            <w:tcBorders>
              <w:top w:val="nil"/>
              <w:left w:val="nil"/>
              <w:bottom w:val="nil"/>
              <w:right w:val="nil"/>
            </w:tcBorders>
            <w:shd w:val="clear" w:color="000000" w:fill="FFFFFF"/>
            <w:noWrap/>
            <w:vAlign w:val="bottom"/>
            <w:hideMark/>
          </w:tcPr>
          <w:p w14:paraId="2382FE1D"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735B6052"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21,816</w:t>
            </w:r>
          </w:p>
        </w:tc>
      </w:tr>
      <w:tr w:rsidR="00702599" w:rsidRPr="00702599" w14:paraId="6CA7E7C8" w14:textId="77777777" w:rsidTr="00702599">
        <w:trPr>
          <w:trHeight w:val="260"/>
        </w:trPr>
        <w:tc>
          <w:tcPr>
            <w:tcW w:w="4800" w:type="dxa"/>
            <w:tcBorders>
              <w:top w:val="nil"/>
              <w:left w:val="nil"/>
              <w:bottom w:val="nil"/>
              <w:right w:val="nil"/>
            </w:tcBorders>
            <w:shd w:val="clear" w:color="auto" w:fill="auto"/>
            <w:noWrap/>
            <w:vAlign w:val="bottom"/>
            <w:hideMark/>
          </w:tcPr>
          <w:p w14:paraId="59DA296B"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Social security costs</w:t>
            </w:r>
          </w:p>
        </w:tc>
        <w:tc>
          <w:tcPr>
            <w:tcW w:w="1280" w:type="dxa"/>
            <w:tcBorders>
              <w:top w:val="nil"/>
              <w:left w:val="nil"/>
              <w:bottom w:val="nil"/>
              <w:right w:val="nil"/>
            </w:tcBorders>
            <w:shd w:val="clear" w:color="000000" w:fill="FFFFFF"/>
            <w:noWrap/>
            <w:vAlign w:val="bottom"/>
            <w:hideMark/>
          </w:tcPr>
          <w:p w14:paraId="2173E443"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1,975</w:t>
            </w:r>
          </w:p>
        </w:tc>
        <w:tc>
          <w:tcPr>
            <w:tcW w:w="272" w:type="dxa"/>
            <w:tcBorders>
              <w:top w:val="nil"/>
              <w:left w:val="nil"/>
              <w:bottom w:val="nil"/>
              <w:right w:val="nil"/>
            </w:tcBorders>
            <w:shd w:val="clear" w:color="000000" w:fill="FFFFFF"/>
            <w:noWrap/>
            <w:vAlign w:val="bottom"/>
            <w:hideMark/>
          </w:tcPr>
          <w:p w14:paraId="76089183"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41C3511D"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3</w:t>
            </w:r>
          </w:p>
        </w:tc>
        <w:tc>
          <w:tcPr>
            <w:tcW w:w="272" w:type="dxa"/>
            <w:tcBorders>
              <w:top w:val="nil"/>
              <w:left w:val="nil"/>
              <w:bottom w:val="nil"/>
              <w:right w:val="nil"/>
            </w:tcBorders>
            <w:shd w:val="clear" w:color="000000" w:fill="FFFFFF"/>
            <w:noWrap/>
            <w:vAlign w:val="bottom"/>
            <w:hideMark/>
          </w:tcPr>
          <w:p w14:paraId="7D0BAF8E"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445ADB9D"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1,978</w:t>
            </w:r>
          </w:p>
        </w:tc>
      </w:tr>
      <w:tr w:rsidR="00702599" w:rsidRPr="00702599" w14:paraId="371B3604" w14:textId="77777777" w:rsidTr="00702599">
        <w:trPr>
          <w:trHeight w:val="260"/>
        </w:trPr>
        <w:tc>
          <w:tcPr>
            <w:tcW w:w="4800" w:type="dxa"/>
            <w:tcBorders>
              <w:top w:val="nil"/>
              <w:left w:val="nil"/>
              <w:bottom w:val="nil"/>
              <w:right w:val="nil"/>
            </w:tcBorders>
            <w:shd w:val="clear" w:color="auto" w:fill="auto"/>
            <w:noWrap/>
            <w:vAlign w:val="bottom"/>
            <w:hideMark/>
          </w:tcPr>
          <w:p w14:paraId="0073C405"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Employer contributions to NHS pension scheme</w:t>
            </w:r>
          </w:p>
        </w:tc>
        <w:tc>
          <w:tcPr>
            <w:tcW w:w="1280" w:type="dxa"/>
            <w:tcBorders>
              <w:top w:val="nil"/>
              <w:left w:val="nil"/>
              <w:bottom w:val="nil"/>
              <w:right w:val="nil"/>
            </w:tcBorders>
            <w:shd w:val="clear" w:color="000000" w:fill="FFFFFF"/>
            <w:noWrap/>
            <w:vAlign w:val="bottom"/>
            <w:hideMark/>
          </w:tcPr>
          <w:p w14:paraId="743397B4"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3,006</w:t>
            </w:r>
          </w:p>
        </w:tc>
        <w:tc>
          <w:tcPr>
            <w:tcW w:w="272" w:type="dxa"/>
            <w:tcBorders>
              <w:top w:val="nil"/>
              <w:left w:val="nil"/>
              <w:bottom w:val="nil"/>
              <w:right w:val="nil"/>
            </w:tcBorders>
            <w:shd w:val="clear" w:color="000000" w:fill="FFFFFF"/>
            <w:noWrap/>
            <w:vAlign w:val="bottom"/>
            <w:hideMark/>
          </w:tcPr>
          <w:p w14:paraId="7A4FD4D1"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63A4480A"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1</w:t>
            </w:r>
          </w:p>
        </w:tc>
        <w:tc>
          <w:tcPr>
            <w:tcW w:w="272" w:type="dxa"/>
            <w:tcBorders>
              <w:top w:val="nil"/>
              <w:left w:val="nil"/>
              <w:bottom w:val="nil"/>
              <w:right w:val="nil"/>
            </w:tcBorders>
            <w:shd w:val="clear" w:color="000000" w:fill="FFFFFF"/>
            <w:noWrap/>
            <w:vAlign w:val="bottom"/>
            <w:hideMark/>
          </w:tcPr>
          <w:p w14:paraId="306C9A0D"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515EA636"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3,007</w:t>
            </w:r>
          </w:p>
        </w:tc>
      </w:tr>
      <w:tr w:rsidR="00702599" w:rsidRPr="00702599" w14:paraId="4D8A60B1" w14:textId="77777777" w:rsidTr="00702599">
        <w:trPr>
          <w:trHeight w:val="260"/>
        </w:trPr>
        <w:tc>
          <w:tcPr>
            <w:tcW w:w="4800" w:type="dxa"/>
            <w:tcBorders>
              <w:top w:val="nil"/>
              <w:left w:val="nil"/>
              <w:bottom w:val="nil"/>
              <w:right w:val="nil"/>
            </w:tcBorders>
            <w:shd w:val="clear" w:color="auto" w:fill="auto"/>
            <w:noWrap/>
            <w:vAlign w:val="bottom"/>
            <w:hideMark/>
          </w:tcPr>
          <w:p w14:paraId="29F40D79"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Other pension costs</w:t>
            </w:r>
          </w:p>
        </w:tc>
        <w:tc>
          <w:tcPr>
            <w:tcW w:w="1280" w:type="dxa"/>
            <w:tcBorders>
              <w:top w:val="nil"/>
              <w:left w:val="nil"/>
              <w:bottom w:val="nil"/>
              <w:right w:val="nil"/>
            </w:tcBorders>
            <w:shd w:val="clear" w:color="000000" w:fill="FFFFFF"/>
            <w:noWrap/>
            <w:vAlign w:val="bottom"/>
            <w:hideMark/>
          </w:tcPr>
          <w:p w14:paraId="12B5A284"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104</w:t>
            </w:r>
          </w:p>
        </w:tc>
        <w:tc>
          <w:tcPr>
            <w:tcW w:w="272" w:type="dxa"/>
            <w:tcBorders>
              <w:top w:val="nil"/>
              <w:left w:val="nil"/>
              <w:bottom w:val="nil"/>
              <w:right w:val="nil"/>
            </w:tcBorders>
            <w:shd w:val="clear" w:color="000000" w:fill="FFFFFF"/>
            <w:noWrap/>
            <w:vAlign w:val="bottom"/>
            <w:hideMark/>
          </w:tcPr>
          <w:p w14:paraId="5D286756"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72112FB9"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1860B21D"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509DB736"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104</w:t>
            </w:r>
          </w:p>
        </w:tc>
      </w:tr>
      <w:tr w:rsidR="00702599" w:rsidRPr="00702599" w14:paraId="5FF27147" w14:textId="77777777" w:rsidTr="00702599">
        <w:trPr>
          <w:trHeight w:val="260"/>
        </w:trPr>
        <w:tc>
          <w:tcPr>
            <w:tcW w:w="4800" w:type="dxa"/>
            <w:tcBorders>
              <w:top w:val="nil"/>
              <w:left w:val="nil"/>
              <w:bottom w:val="nil"/>
              <w:right w:val="nil"/>
            </w:tcBorders>
            <w:shd w:val="clear" w:color="auto" w:fill="auto"/>
            <w:noWrap/>
            <w:vAlign w:val="bottom"/>
            <w:hideMark/>
          </w:tcPr>
          <w:p w14:paraId="50AC4A7B"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Apprenticeship levy</w:t>
            </w:r>
          </w:p>
        </w:tc>
        <w:tc>
          <w:tcPr>
            <w:tcW w:w="1280" w:type="dxa"/>
            <w:tcBorders>
              <w:top w:val="nil"/>
              <w:left w:val="nil"/>
              <w:bottom w:val="nil"/>
              <w:right w:val="nil"/>
            </w:tcBorders>
            <w:shd w:val="clear" w:color="000000" w:fill="FFFFFF"/>
            <w:noWrap/>
            <w:vAlign w:val="bottom"/>
            <w:hideMark/>
          </w:tcPr>
          <w:p w14:paraId="7CB224E6"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31</w:t>
            </w:r>
          </w:p>
        </w:tc>
        <w:tc>
          <w:tcPr>
            <w:tcW w:w="272" w:type="dxa"/>
            <w:tcBorders>
              <w:top w:val="nil"/>
              <w:left w:val="nil"/>
              <w:bottom w:val="nil"/>
              <w:right w:val="nil"/>
            </w:tcBorders>
            <w:shd w:val="clear" w:color="000000" w:fill="FFFFFF"/>
            <w:noWrap/>
            <w:vAlign w:val="bottom"/>
            <w:hideMark/>
          </w:tcPr>
          <w:p w14:paraId="593E920D"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5075D85C"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53FA20E1"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3DCC4150"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31</w:t>
            </w:r>
          </w:p>
        </w:tc>
      </w:tr>
      <w:tr w:rsidR="00702599" w:rsidRPr="00702599" w14:paraId="473502C9" w14:textId="77777777" w:rsidTr="00702599">
        <w:trPr>
          <w:trHeight w:val="260"/>
        </w:trPr>
        <w:tc>
          <w:tcPr>
            <w:tcW w:w="4800" w:type="dxa"/>
            <w:tcBorders>
              <w:top w:val="nil"/>
              <w:left w:val="nil"/>
              <w:bottom w:val="nil"/>
              <w:right w:val="nil"/>
            </w:tcBorders>
            <w:shd w:val="clear" w:color="auto" w:fill="auto"/>
            <w:noWrap/>
            <w:vAlign w:val="bottom"/>
            <w:hideMark/>
          </w:tcPr>
          <w:p w14:paraId="72F09B1D"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Termination benefits</w:t>
            </w:r>
          </w:p>
        </w:tc>
        <w:tc>
          <w:tcPr>
            <w:tcW w:w="1280" w:type="dxa"/>
            <w:tcBorders>
              <w:top w:val="nil"/>
              <w:left w:val="nil"/>
              <w:bottom w:val="nil"/>
              <w:right w:val="nil"/>
            </w:tcBorders>
            <w:shd w:val="clear" w:color="000000" w:fill="FFFFFF"/>
            <w:noWrap/>
            <w:vAlign w:val="bottom"/>
            <w:hideMark/>
          </w:tcPr>
          <w:p w14:paraId="137B9E13"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1,269</w:t>
            </w:r>
          </w:p>
        </w:tc>
        <w:tc>
          <w:tcPr>
            <w:tcW w:w="272" w:type="dxa"/>
            <w:tcBorders>
              <w:top w:val="nil"/>
              <w:left w:val="nil"/>
              <w:bottom w:val="nil"/>
              <w:right w:val="nil"/>
            </w:tcBorders>
            <w:shd w:val="clear" w:color="000000" w:fill="FFFFFF"/>
            <w:noWrap/>
            <w:vAlign w:val="bottom"/>
            <w:hideMark/>
          </w:tcPr>
          <w:p w14:paraId="086C002B"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324F2D1E" w14:textId="77777777" w:rsidR="00702599" w:rsidRPr="00702599" w:rsidRDefault="00702599" w:rsidP="00702599">
            <w:pPr>
              <w:spacing w:before="0" w:after="0"/>
              <w:jc w:val="right"/>
              <w:rPr>
                <w:rFonts w:eastAsia="Times New Roman" w:cs="Arial"/>
                <w:sz w:val="20"/>
                <w:szCs w:val="20"/>
                <w:lang w:eastAsia="en-GB"/>
              </w:rPr>
            </w:pPr>
            <w:r w:rsidRPr="00702599">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228293EB"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067164CF"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1,269</w:t>
            </w:r>
          </w:p>
        </w:tc>
      </w:tr>
      <w:tr w:rsidR="00702599" w:rsidRPr="00702599" w14:paraId="679E70D2" w14:textId="77777777" w:rsidTr="00702599">
        <w:trPr>
          <w:trHeight w:val="260"/>
        </w:trPr>
        <w:tc>
          <w:tcPr>
            <w:tcW w:w="4800" w:type="dxa"/>
            <w:tcBorders>
              <w:top w:val="nil"/>
              <w:left w:val="nil"/>
              <w:bottom w:val="nil"/>
              <w:right w:val="nil"/>
            </w:tcBorders>
            <w:shd w:val="clear" w:color="auto" w:fill="auto"/>
            <w:noWrap/>
            <w:vAlign w:val="bottom"/>
            <w:hideMark/>
          </w:tcPr>
          <w:p w14:paraId="57B8AB97" w14:textId="77777777" w:rsidR="00702599" w:rsidRPr="00702599" w:rsidRDefault="00702599" w:rsidP="00702599">
            <w:pPr>
              <w:spacing w:before="0" w:after="0"/>
              <w:rPr>
                <w:rFonts w:eastAsia="Times New Roman" w:cs="Arial"/>
                <w:b/>
                <w:bCs/>
                <w:sz w:val="20"/>
                <w:szCs w:val="20"/>
                <w:lang w:eastAsia="en-GB"/>
              </w:rPr>
            </w:pPr>
            <w:r w:rsidRPr="00702599">
              <w:rPr>
                <w:rFonts w:eastAsia="Times New Roman" w:cs="Arial"/>
                <w:b/>
                <w:bCs/>
                <w:sz w:val="20"/>
                <w:szCs w:val="20"/>
                <w:lang w:eastAsia="en-GB"/>
              </w:rPr>
              <w:t>Gross employee benefits expenditure</w:t>
            </w:r>
          </w:p>
        </w:tc>
        <w:tc>
          <w:tcPr>
            <w:tcW w:w="1280" w:type="dxa"/>
            <w:tcBorders>
              <w:top w:val="single" w:sz="4" w:space="0" w:color="auto"/>
              <w:left w:val="nil"/>
              <w:bottom w:val="single" w:sz="4" w:space="0" w:color="auto"/>
              <w:right w:val="nil"/>
            </w:tcBorders>
            <w:shd w:val="clear" w:color="000000" w:fill="FFFFFF"/>
            <w:noWrap/>
            <w:vAlign w:val="bottom"/>
            <w:hideMark/>
          </w:tcPr>
          <w:p w14:paraId="629BA023"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25,264</w:t>
            </w:r>
          </w:p>
        </w:tc>
        <w:tc>
          <w:tcPr>
            <w:tcW w:w="272" w:type="dxa"/>
            <w:tcBorders>
              <w:top w:val="nil"/>
              <w:left w:val="nil"/>
              <w:bottom w:val="nil"/>
              <w:right w:val="nil"/>
            </w:tcBorders>
            <w:shd w:val="clear" w:color="000000" w:fill="FFFFFF"/>
            <w:noWrap/>
            <w:vAlign w:val="bottom"/>
            <w:hideMark/>
          </w:tcPr>
          <w:p w14:paraId="075B4838" w14:textId="77777777" w:rsidR="00702599" w:rsidRPr="00702599" w:rsidRDefault="00702599" w:rsidP="00702599">
            <w:pPr>
              <w:spacing w:before="0" w:after="0"/>
              <w:rPr>
                <w:rFonts w:eastAsia="Times New Roman" w:cs="Arial"/>
                <w:b/>
                <w:bCs/>
                <w:sz w:val="20"/>
                <w:szCs w:val="20"/>
                <w:lang w:eastAsia="en-GB"/>
              </w:rPr>
            </w:pPr>
            <w:r w:rsidRPr="00702599">
              <w:rPr>
                <w:rFonts w:eastAsia="Times New Roman" w:cs="Arial"/>
                <w:b/>
                <w:bCs/>
                <w:sz w:val="20"/>
                <w:szCs w:val="20"/>
                <w:lang w:eastAsia="en-GB"/>
              </w:rPr>
              <w:t> </w:t>
            </w:r>
          </w:p>
        </w:tc>
        <w:tc>
          <w:tcPr>
            <w:tcW w:w="1140" w:type="dxa"/>
            <w:tcBorders>
              <w:top w:val="single" w:sz="4" w:space="0" w:color="auto"/>
              <w:left w:val="nil"/>
              <w:bottom w:val="single" w:sz="4" w:space="0" w:color="auto"/>
              <w:right w:val="nil"/>
            </w:tcBorders>
            <w:shd w:val="clear" w:color="000000" w:fill="FFFFFF"/>
            <w:noWrap/>
            <w:vAlign w:val="bottom"/>
            <w:hideMark/>
          </w:tcPr>
          <w:p w14:paraId="53EE363A"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2,941</w:t>
            </w:r>
          </w:p>
        </w:tc>
        <w:tc>
          <w:tcPr>
            <w:tcW w:w="272" w:type="dxa"/>
            <w:tcBorders>
              <w:top w:val="nil"/>
              <w:left w:val="nil"/>
              <w:bottom w:val="nil"/>
              <w:right w:val="nil"/>
            </w:tcBorders>
            <w:shd w:val="clear" w:color="000000" w:fill="FFFFFF"/>
            <w:noWrap/>
            <w:vAlign w:val="bottom"/>
            <w:hideMark/>
          </w:tcPr>
          <w:p w14:paraId="74A33D83"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single" w:sz="4" w:space="0" w:color="auto"/>
              <w:left w:val="nil"/>
              <w:bottom w:val="single" w:sz="4" w:space="0" w:color="auto"/>
              <w:right w:val="nil"/>
            </w:tcBorders>
            <w:shd w:val="clear" w:color="000000" w:fill="FFFFFF"/>
            <w:noWrap/>
            <w:vAlign w:val="bottom"/>
            <w:hideMark/>
          </w:tcPr>
          <w:p w14:paraId="357BC0C1"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28,205</w:t>
            </w:r>
          </w:p>
        </w:tc>
      </w:tr>
      <w:tr w:rsidR="00702599" w:rsidRPr="00702599" w14:paraId="18E2048E" w14:textId="77777777" w:rsidTr="00702599">
        <w:trPr>
          <w:trHeight w:val="260"/>
        </w:trPr>
        <w:tc>
          <w:tcPr>
            <w:tcW w:w="4800" w:type="dxa"/>
            <w:tcBorders>
              <w:top w:val="nil"/>
              <w:left w:val="nil"/>
              <w:bottom w:val="nil"/>
              <w:right w:val="nil"/>
            </w:tcBorders>
            <w:shd w:val="clear" w:color="auto" w:fill="auto"/>
            <w:noWrap/>
            <w:vAlign w:val="bottom"/>
            <w:hideMark/>
          </w:tcPr>
          <w:p w14:paraId="445B17C8" w14:textId="77777777" w:rsidR="00702599" w:rsidRPr="00702599" w:rsidRDefault="00702599" w:rsidP="00702599">
            <w:pPr>
              <w:spacing w:before="0" w:after="0"/>
              <w:jc w:val="right"/>
              <w:rPr>
                <w:rFonts w:eastAsia="Times New Roman" w:cs="Arial"/>
                <w:b/>
                <w:bCs/>
                <w:sz w:val="20"/>
                <w:szCs w:val="20"/>
                <w:lang w:eastAsia="en-GB"/>
              </w:rPr>
            </w:pPr>
          </w:p>
        </w:tc>
        <w:tc>
          <w:tcPr>
            <w:tcW w:w="1280" w:type="dxa"/>
            <w:tcBorders>
              <w:top w:val="nil"/>
              <w:left w:val="nil"/>
              <w:bottom w:val="nil"/>
              <w:right w:val="nil"/>
            </w:tcBorders>
            <w:shd w:val="clear" w:color="000000" w:fill="FFFFFF"/>
            <w:noWrap/>
            <w:vAlign w:val="bottom"/>
            <w:hideMark/>
          </w:tcPr>
          <w:p w14:paraId="75AC3848"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AF8202F"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1140" w:type="dxa"/>
            <w:tcBorders>
              <w:top w:val="nil"/>
              <w:left w:val="nil"/>
              <w:bottom w:val="nil"/>
              <w:right w:val="nil"/>
            </w:tcBorders>
            <w:shd w:val="clear" w:color="000000" w:fill="FFFFFF"/>
            <w:noWrap/>
            <w:vAlign w:val="bottom"/>
            <w:hideMark/>
          </w:tcPr>
          <w:p w14:paraId="4BF798FE" w14:textId="77777777" w:rsidR="00702599" w:rsidRPr="00702599" w:rsidRDefault="00702599" w:rsidP="00702599">
            <w:pPr>
              <w:spacing w:before="0" w:after="0"/>
              <w:rPr>
                <w:rFonts w:eastAsia="Times New Roman" w:cs="Arial"/>
                <w:sz w:val="20"/>
                <w:szCs w:val="20"/>
                <w:lang w:eastAsia="en-GB"/>
              </w:rPr>
            </w:pPr>
            <w:r w:rsidRPr="00702599">
              <w:rPr>
                <w:rFonts w:eastAsia="Times New Roman" w:cs="Arial"/>
                <w:sz w:val="20"/>
                <w:szCs w:val="20"/>
                <w:lang w:eastAsia="en-GB"/>
              </w:rPr>
              <w:t> </w:t>
            </w:r>
          </w:p>
        </w:tc>
        <w:tc>
          <w:tcPr>
            <w:tcW w:w="272" w:type="dxa"/>
            <w:tcBorders>
              <w:top w:val="nil"/>
              <w:left w:val="nil"/>
              <w:bottom w:val="nil"/>
              <w:right w:val="nil"/>
            </w:tcBorders>
            <w:shd w:val="clear" w:color="auto" w:fill="auto"/>
            <w:noWrap/>
            <w:vAlign w:val="bottom"/>
            <w:hideMark/>
          </w:tcPr>
          <w:p w14:paraId="74B53418" w14:textId="77777777" w:rsidR="00702599" w:rsidRPr="00702599" w:rsidRDefault="00702599" w:rsidP="00702599">
            <w:pPr>
              <w:spacing w:before="0" w:after="0"/>
              <w:rPr>
                <w:rFonts w:eastAsia="Times New Roman" w:cs="Arial"/>
                <w:sz w:val="20"/>
                <w:szCs w:val="20"/>
                <w:lang w:eastAsia="en-GB"/>
              </w:rPr>
            </w:pPr>
          </w:p>
        </w:tc>
        <w:tc>
          <w:tcPr>
            <w:tcW w:w="1140" w:type="dxa"/>
            <w:tcBorders>
              <w:top w:val="nil"/>
              <w:left w:val="nil"/>
              <w:bottom w:val="nil"/>
              <w:right w:val="nil"/>
            </w:tcBorders>
            <w:shd w:val="clear" w:color="auto" w:fill="auto"/>
            <w:noWrap/>
            <w:vAlign w:val="bottom"/>
            <w:hideMark/>
          </w:tcPr>
          <w:p w14:paraId="669C652B" w14:textId="77777777" w:rsidR="00702599" w:rsidRPr="00702599" w:rsidRDefault="00702599" w:rsidP="00702599">
            <w:pPr>
              <w:spacing w:before="0" w:after="0"/>
              <w:rPr>
                <w:rFonts w:ascii="Times New Roman" w:eastAsia="Times New Roman" w:hAnsi="Times New Roman" w:cs="Times New Roman"/>
                <w:sz w:val="20"/>
                <w:szCs w:val="20"/>
                <w:lang w:eastAsia="en-GB"/>
              </w:rPr>
            </w:pPr>
          </w:p>
        </w:tc>
      </w:tr>
      <w:tr w:rsidR="00702599" w:rsidRPr="00702599" w14:paraId="6CFF57C8" w14:textId="77777777" w:rsidTr="00702599">
        <w:trPr>
          <w:trHeight w:val="260"/>
        </w:trPr>
        <w:tc>
          <w:tcPr>
            <w:tcW w:w="4800" w:type="dxa"/>
            <w:tcBorders>
              <w:top w:val="nil"/>
              <w:left w:val="nil"/>
              <w:bottom w:val="nil"/>
              <w:right w:val="nil"/>
            </w:tcBorders>
            <w:shd w:val="clear" w:color="auto" w:fill="auto"/>
            <w:noWrap/>
            <w:vAlign w:val="bottom"/>
            <w:hideMark/>
          </w:tcPr>
          <w:p w14:paraId="31D57E93" w14:textId="77777777" w:rsidR="00702599" w:rsidRPr="00702599" w:rsidRDefault="00702599" w:rsidP="00702599">
            <w:pPr>
              <w:spacing w:before="0" w:after="0"/>
              <w:rPr>
                <w:rFonts w:eastAsia="Times New Roman" w:cs="Arial"/>
                <w:b/>
                <w:bCs/>
                <w:sz w:val="20"/>
                <w:szCs w:val="20"/>
                <w:lang w:eastAsia="en-GB"/>
              </w:rPr>
            </w:pPr>
            <w:r w:rsidRPr="00702599">
              <w:rPr>
                <w:rFonts w:eastAsia="Times New Roman" w:cs="Arial"/>
                <w:b/>
                <w:bCs/>
                <w:sz w:val="20"/>
                <w:szCs w:val="20"/>
                <w:lang w:eastAsia="en-GB"/>
              </w:rPr>
              <w:t>Net employee benefits</w:t>
            </w:r>
          </w:p>
        </w:tc>
        <w:tc>
          <w:tcPr>
            <w:tcW w:w="1280" w:type="dxa"/>
            <w:tcBorders>
              <w:top w:val="single" w:sz="4" w:space="0" w:color="auto"/>
              <w:left w:val="nil"/>
              <w:bottom w:val="single" w:sz="4" w:space="0" w:color="auto"/>
              <w:right w:val="nil"/>
            </w:tcBorders>
            <w:shd w:val="clear" w:color="000000" w:fill="FFFFFF"/>
            <w:noWrap/>
            <w:vAlign w:val="bottom"/>
            <w:hideMark/>
          </w:tcPr>
          <w:p w14:paraId="66658FB6"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25,264</w:t>
            </w:r>
          </w:p>
        </w:tc>
        <w:tc>
          <w:tcPr>
            <w:tcW w:w="272" w:type="dxa"/>
            <w:tcBorders>
              <w:top w:val="nil"/>
              <w:left w:val="nil"/>
              <w:bottom w:val="nil"/>
              <w:right w:val="nil"/>
            </w:tcBorders>
            <w:shd w:val="clear" w:color="000000" w:fill="FFFFFF"/>
            <w:noWrap/>
            <w:vAlign w:val="bottom"/>
            <w:hideMark/>
          </w:tcPr>
          <w:p w14:paraId="61472FCD" w14:textId="77777777" w:rsidR="00702599" w:rsidRPr="00702599" w:rsidRDefault="00702599" w:rsidP="00702599">
            <w:pPr>
              <w:spacing w:before="0" w:after="0"/>
              <w:rPr>
                <w:rFonts w:eastAsia="Times New Roman" w:cs="Arial"/>
                <w:b/>
                <w:bCs/>
                <w:sz w:val="20"/>
                <w:szCs w:val="20"/>
                <w:lang w:eastAsia="en-GB"/>
              </w:rPr>
            </w:pPr>
            <w:r w:rsidRPr="00702599">
              <w:rPr>
                <w:rFonts w:eastAsia="Times New Roman" w:cs="Arial"/>
                <w:b/>
                <w:bCs/>
                <w:sz w:val="20"/>
                <w:szCs w:val="20"/>
                <w:lang w:eastAsia="en-GB"/>
              </w:rPr>
              <w:t> </w:t>
            </w:r>
          </w:p>
        </w:tc>
        <w:tc>
          <w:tcPr>
            <w:tcW w:w="1140" w:type="dxa"/>
            <w:tcBorders>
              <w:top w:val="single" w:sz="4" w:space="0" w:color="auto"/>
              <w:left w:val="nil"/>
              <w:bottom w:val="single" w:sz="4" w:space="0" w:color="auto"/>
              <w:right w:val="nil"/>
            </w:tcBorders>
            <w:shd w:val="clear" w:color="000000" w:fill="FFFFFF"/>
            <w:noWrap/>
            <w:vAlign w:val="bottom"/>
            <w:hideMark/>
          </w:tcPr>
          <w:p w14:paraId="0301C0E4"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2,941</w:t>
            </w:r>
          </w:p>
        </w:tc>
        <w:tc>
          <w:tcPr>
            <w:tcW w:w="272" w:type="dxa"/>
            <w:tcBorders>
              <w:top w:val="nil"/>
              <w:left w:val="nil"/>
              <w:bottom w:val="nil"/>
              <w:right w:val="nil"/>
            </w:tcBorders>
            <w:shd w:val="clear" w:color="000000" w:fill="FFFFFF"/>
            <w:noWrap/>
            <w:vAlign w:val="bottom"/>
            <w:hideMark/>
          </w:tcPr>
          <w:p w14:paraId="75519024" w14:textId="77777777" w:rsidR="00702599" w:rsidRPr="00702599" w:rsidRDefault="00702599" w:rsidP="00702599">
            <w:pPr>
              <w:spacing w:before="0" w:after="0"/>
              <w:rPr>
                <w:rFonts w:eastAsia="Times New Roman" w:cs="Arial"/>
                <w:b/>
                <w:bCs/>
                <w:sz w:val="20"/>
                <w:szCs w:val="20"/>
                <w:lang w:eastAsia="en-GB"/>
              </w:rPr>
            </w:pPr>
            <w:r w:rsidRPr="00702599">
              <w:rPr>
                <w:rFonts w:eastAsia="Times New Roman" w:cs="Arial"/>
                <w:b/>
                <w:bCs/>
                <w:sz w:val="20"/>
                <w:szCs w:val="20"/>
                <w:lang w:eastAsia="en-GB"/>
              </w:rPr>
              <w:t> </w:t>
            </w:r>
          </w:p>
        </w:tc>
        <w:tc>
          <w:tcPr>
            <w:tcW w:w="1140" w:type="dxa"/>
            <w:tcBorders>
              <w:top w:val="single" w:sz="4" w:space="0" w:color="auto"/>
              <w:left w:val="nil"/>
              <w:bottom w:val="single" w:sz="4" w:space="0" w:color="auto"/>
              <w:right w:val="nil"/>
            </w:tcBorders>
            <w:shd w:val="clear" w:color="000000" w:fill="FFFFFF"/>
            <w:noWrap/>
            <w:vAlign w:val="bottom"/>
            <w:hideMark/>
          </w:tcPr>
          <w:p w14:paraId="5513A074" w14:textId="77777777" w:rsidR="00702599" w:rsidRPr="00702599" w:rsidRDefault="00702599" w:rsidP="00702599">
            <w:pPr>
              <w:spacing w:before="0" w:after="0"/>
              <w:jc w:val="right"/>
              <w:rPr>
                <w:rFonts w:eastAsia="Times New Roman" w:cs="Arial"/>
                <w:b/>
                <w:bCs/>
                <w:sz w:val="20"/>
                <w:szCs w:val="20"/>
                <w:lang w:eastAsia="en-GB"/>
              </w:rPr>
            </w:pPr>
            <w:r w:rsidRPr="00702599">
              <w:rPr>
                <w:rFonts w:eastAsia="Times New Roman" w:cs="Arial"/>
                <w:b/>
                <w:bCs/>
                <w:sz w:val="20"/>
                <w:szCs w:val="20"/>
                <w:lang w:eastAsia="en-GB"/>
              </w:rPr>
              <w:t>28,205</w:t>
            </w:r>
          </w:p>
        </w:tc>
      </w:tr>
    </w:tbl>
    <w:p w14:paraId="0E7D184F" w14:textId="77777777" w:rsidR="00702599" w:rsidRDefault="00702599" w:rsidP="00C70A7F">
      <w:pPr>
        <w:spacing w:before="0" w:after="200" w:line="276" w:lineRule="auto"/>
      </w:pPr>
    </w:p>
    <w:p w14:paraId="2A1ED99E" w14:textId="7C8F45D5" w:rsidR="00D677FE" w:rsidRDefault="00D677FE">
      <w:pPr>
        <w:spacing w:before="0" w:after="200" w:line="276" w:lineRule="auto"/>
      </w:pPr>
      <w:r>
        <w:br w:type="page"/>
      </w:r>
    </w:p>
    <w:tbl>
      <w:tblPr>
        <w:tblW w:w="11135" w:type="dxa"/>
        <w:tblInd w:w="-709" w:type="dxa"/>
        <w:tblLook w:val="04A0" w:firstRow="1" w:lastRow="0" w:firstColumn="1" w:lastColumn="0" w:noHBand="0" w:noVBand="1"/>
      </w:tblPr>
      <w:tblGrid>
        <w:gridCol w:w="2269"/>
        <w:gridCol w:w="1363"/>
        <w:gridCol w:w="272"/>
        <w:gridCol w:w="1180"/>
        <w:gridCol w:w="6"/>
        <w:gridCol w:w="266"/>
        <w:gridCol w:w="6"/>
        <w:gridCol w:w="1174"/>
        <w:gridCol w:w="6"/>
        <w:gridCol w:w="266"/>
        <w:gridCol w:w="6"/>
        <w:gridCol w:w="1411"/>
        <w:gridCol w:w="6"/>
        <w:gridCol w:w="266"/>
        <w:gridCol w:w="6"/>
        <w:gridCol w:w="1174"/>
        <w:gridCol w:w="6"/>
        <w:gridCol w:w="266"/>
        <w:gridCol w:w="6"/>
        <w:gridCol w:w="1174"/>
        <w:gridCol w:w="6"/>
      </w:tblGrid>
      <w:tr w:rsidR="00DB1B0E" w:rsidRPr="00D677FE" w14:paraId="0E806218" w14:textId="77777777" w:rsidTr="000A4966">
        <w:trPr>
          <w:gridAfter w:val="1"/>
          <w:wAfter w:w="6" w:type="dxa"/>
          <w:trHeight w:val="260"/>
        </w:trPr>
        <w:tc>
          <w:tcPr>
            <w:tcW w:w="11129" w:type="dxa"/>
            <w:gridSpan w:val="20"/>
            <w:tcBorders>
              <w:top w:val="nil"/>
              <w:left w:val="nil"/>
              <w:bottom w:val="nil"/>
              <w:right w:val="nil"/>
            </w:tcBorders>
            <w:shd w:val="clear" w:color="auto" w:fill="auto"/>
            <w:noWrap/>
            <w:vAlign w:val="bottom"/>
            <w:hideMark/>
          </w:tcPr>
          <w:p w14:paraId="795A0BB7" w14:textId="28CD1F94" w:rsidR="00DB1B0E" w:rsidRPr="00D677FE" w:rsidRDefault="00DB1B0E" w:rsidP="00D677FE">
            <w:pPr>
              <w:spacing w:before="0" w:after="0"/>
              <w:rPr>
                <w:rFonts w:eastAsia="Times New Roman" w:cs="Arial"/>
                <w:i/>
                <w:iCs/>
                <w:sz w:val="20"/>
                <w:szCs w:val="20"/>
                <w:lang w:eastAsia="en-GB"/>
              </w:rPr>
            </w:pPr>
            <w:r w:rsidRPr="00D677FE">
              <w:rPr>
                <w:rFonts w:eastAsia="Times New Roman" w:cs="Arial"/>
                <w:i/>
                <w:iCs/>
                <w:sz w:val="20"/>
                <w:szCs w:val="20"/>
                <w:lang w:eastAsia="en-GB"/>
              </w:rPr>
              <w:lastRenderedPageBreak/>
              <w:t>NHS Mid and South Essex Integrated Care Board - Statutory Accounts 2023-24</w:t>
            </w:r>
          </w:p>
        </w:tc>
      </w:tr>
      <w:tr w:rsidR="00D677FE" w:rsidRPr="00D677FE" w14:paraId="380BBD4E"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6E3FFADF" w14:textId="77777777" w:rsidR="00D677FE" w:rsidRPr="00D677FE" w:rsidRDefault="00D677FE" w:rsidP="00D677FE">
            <w:pPr>
              <w:spacing w:before="0" w:after="0"/>
              <w:rPr>
                <w:rFonts w:eastAsia="Times New Roman" w:cs="Arial"/>
                <w:sz w:val="20"/>
                <w:szCs w:val="20"/>
                <w:lang w:eastAsia="en-GB"/>
              </w:rPr>
            </w:pPr>
          </w:p>
        </w:tc>
        <w:tc>
          <w:tcPr>
            <w:tcW w:w="1363" w:type="dxa"/>
            <w:tcBorders>
              <w:top w:val="nil"/>
              <w:left w:val="nil"/>
              <w:bottom w:val="nil"/>
              <w:right w:val="nil"/>
            </w:tcBorders>
            <w:shd w:val="clear" w:color="000000" w:fill="FFFFFF"/>
            <w:noWrap/>
            <w:vAlign w:val="bottom"/>
            <w:hideMark/>
          </w:tcPr>
          <w:p w14:paraId="27883A25"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302B5E1B"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0AC60249"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69526124"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18658BE1"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0AB3FC80"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35EA7219"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7E27FA60"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5EBD3826"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1C1FECA3"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0FC5F319"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r>
      <w:tr w:rsidR="00DB1B0E" w:rsidRPr="00D677FE" w14:paraId="3037020D" w14:textId="77777777" w:rsidTr="00F439B2">
        <w:trPr>
          <w:gridAfter w:val="1"/>
          <w:wAfter w:w="6" w:type="dxa"/>
          <w:trHeight w:val="255"/>
        </w:trPr>
        <w:tc>
          <w:tcPr>
            <w:tcW w:w="5084" w:type="dxa"/>
            <w:gridSpan w:val="4"/>
            <w:tcBorders>
              <w:top w:val="nil"/>
              <w:left w:val="nil"/>
              <w:bottom w:val="nil"/>
              <w:right w:val="nil"/>
            </w:tcBorders>
            <w:shd w:val="clear" w:color="auto" w:fill="auto"/>
            <w:noWrap/>
            <w:vAlign w:val="bottom"/>
            <w:hideMark/>
          </w:tcPr>
          <w:p w14:paraId="465965E5" w14:textId="1189AB6C" w:rsidR="00DB1B0E" w:rsidRPr="00D677FE" w:rsidRDefault="00DB1B0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4.2 Average Number of People Employed</w:t>
            </w:r>
          </w:p>
        </w:tc>
        <w:tc>
          <w:tcPr>
            <w:tcW w:w="272" w:type="dxa"/>
            <w:gridSpan w:val="2"/>
            <w:tcBorders>
              <w:top w:val="nil"/>
              <w:left w:val="nil"/>
              <w:bottom w:val="nil"/>
              <w:right w:val="nil"/>
            </w:tcBorders>
            <w:shd w:val="clear" w:color="000000" w:fill="FFFFFF"/>
            <w:noWrap/>
            <w:vAlign w:val="bottom"/>
            <w:hideMark/>
          </w:tcPr>
          <w:p w14:paraId="6EA6D3B6" w14:textId="77777777" w:rsidR="00DB1B0E" w:rsidRPr="00D677FE" w:rsidRDefault="00DB1B0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1114DEF0" w14:textId="77777777" w:rsidR="00DB1B0E" w:rsidRPr="00D677FE" w:rsidRDefault="00DB1B0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68B94D5D" w14:textId="77777777" w:rsidR="00DB1B0E" w:rsidRPr="00D677FE" w:rsidRDefault="00DB1B0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27D9E11F" w14:textId="77777777" w:rsidR="00DB1B0E" w:rsidRPr="00D677FE" w:rsidRDefault="00DB1B0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6C9E3129" w14:textId="77777777" w:rsidR="00DB1B0E" w:rsidRPr="00D677FE" w:rsidRDefault="00DB1B0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0BD0D601" w14:textId="77777777" w:rsidR="00DB1B0E" w:rsidRPr="00D677FE" w:rsidRDefault="00DB1B0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65AE8B40" w14:textId="77777777" w:rsidR="00DB1B0E" w:rsidRPr="00D677FE" w:rsidRDefault="00DB1B0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7420FA80" w14:textId="77777777" w:rsidR="00DB1B0E" w:rsidRPr="00D677FE" w:rsidRDefault="00DB1B0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r>
      <w:tr w:rsidR="00DB1B0E" w:rsidRPr="00D677FE" w14:paraId="4818B0C8" w14:textId="77777777" w:rsidTr="00C35585">
        <w:trPr>
          <w:gridAfter w:val="1"/>
          <w:wAfter w:w="6" w:type="dxa"/>
          <w:trHeight w:val="255"/>
        </w:trPr>
        <w:tc>
          <w:tcPr>
            <w:tcW w:w="3632" w:type="dxa"/>
            <w:gridSpan w:val="2"/>
            <w:tcBorders>
              <w:top w:val="nil"/>
              <w:left w:val="nil"/>
              <w:bottom w:val="nil"/>
              <w:right w:val="nil"/>
            </w:tcBorders>
            <w:shd w:val="clear" w:color="auto" w:fill="auto"/>
            <w:noWrap/>
            <w:vAlign w:val="bottom"/>
            <w:hideMark/>
          </w:tcPr>
          <w:p w14:paraId="17CB501B" w14:textId="448AAB89" w:rsidR="00DB1B0E" w:rsidRPr="00D677FE" w:rsidRDefault="00DB1B0E" w:rsidP="00D677FE">
            <w:pPr>
              <w:spacing w:before="0" w:after="0"/>
              <w:rPr>
                <w:rFonts w:eastAsia="Times New Roman" w:cs="Arial"/>
                <w:sz w:val="20"/>
                <w:szCs w:val="20"/>
                <w:lang w:eastAsia="en-GB"/>
              </w:rPr>
            </w:pPr>
            <w:r w:rsidRPr="00D677FE">
              <w:rPr>
                <w:rFonts w:eastAsia="Times New Roman" w:cs="Arial"/>
                <w:sz w:val="20"/>
                <w:szCs w:val="20"/>
                <w:lang w:eastAsia="en-GB"/>
              </w:rPr>
              <w:t xml:space="preserve">      - Whole Time Equivalent (WTE)</w:t>
            </w:r>
          </w:p>
        </w:tc>
        <w:tc>
          <w:tcPr>
            <w:tcW w:w="272" w:type="dxa"/>
            <w:tcBorders>
              <w:top w:val="nil"/>
              <w:left w:val="nil"/>
              <w:bottom w:val="nil"/>
              <w:right w:val="nil"/>
            </w:tcBorders>
            <w:shd w:val="clear" w:color="000000" w:fill="FFFFFF"/>
            <w:noWrap/>
            <w:vAlign w:val="bottom"/>
            <w:hideMark/>
          </w:tcPr>
          <w:p w14:paraId="6DCCECA7" w14:textId="77777777" w:rsidR="00DB1B0E" w:rsidRPr="00D677FE" w:rsidRDefault="00DB1B0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699FC27E" w14:textId="77777777" w:rsidR="00DB1B0E" w:rsidRPr="00D677FE" w:rsidRDefault="00DB1B0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30F5577B" w14:textId="77777777" w:rsidR="00DB1B0E" w:rsidRPr="00D677FE" w:rsidRDefault="00DB1B0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4F29DF40" w14:textId="77777777" w:rsidR="00DB1B0E" w:rsidRPr="00D677FE" w:rsidRDefault="00DB1B0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146684BA" w14:textId="77777777" w:rsidR="00DB1B0E" w:rsidRPr="00D677FE" w:rsidRDefault="00DB1B0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3BFE8B51" w14:textId="77777777" w:rsidR="00DB1B0E" w:rsidRPr="00D677FE" w:rsidRDefault="00DB1B0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2F3381A9" w14:textId="77777777" w:rsidR="00DB1B0E" w:rsidRPr="00D677FE" w:rsidRDefault="00DB1B0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6020510" w14:textId="77777777" w:rsidR="00DB1B0E" w:rsidRPr="00D677FE" w:rsidRDefault="00DB1B0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76891A64" w14:textId="77777777" w:rsidR="00DB1B0E" w:rsidRPr="00D677FE" w:rsidRDefault="00DB1B0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04C65788" w14:textId="77777777" w:rsidR="00DB1B0E" w:rsidRPr="00D677FE" w:rsidRDefault="00DB1B0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r>
      <w:tr w:rsidR="00D677FE" w:rsidRPr="00D677FE" w14:paraId="2965B452"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1F4E9992" w14:textId="77777777" w:rsidR="00D677FE" w:rsidRPr="00D677FE" w:rsidRDefault="00D677FE" w:rsidP="00D677FE">
            <w:pPr>
              <w:spacing w:before="0" w:after="0"/>
              <w:rPr>
                <w:rFonts w:eastAsia="Times New Roman" w:cs="Arial"/>
                <w:sz w:val="20"/>
                <w:szCs w:val="20"/>
                <w:lang w:eastAsia="en-GB"/>
              </w:rPr>
            </w:pPr>
          </w:p>
        </w:tc>
        <w:tc>
          <w:tcPr>
            <w:tcW w:w="1363" w:type="dxa"/>
            <w:tcBorders>
              <w:top w:val="nil"/>
              <w:left w:val="nil"/>
              <w:bottom w:val="nil"/>
              <w:right w:val="nil"/>
            </w:tcBorders>
            <w:shd w:val="clear" w:color="000000" w:fill="FFFFFF"/>
            <w:noWrap/>
            <w:vAlign w:val="bottom"/>
            <w:hideMark/>
          </w:tcPr>
          <w:p w14:paraId="25663AFA"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DF1407E"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0B43FA0B"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49DC2A6C"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1E545471"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24383969"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 </w:t>
            </w:r>
          </w:p>
        </w:tc>
        <w:tc>
          <w:tcPr>
            <w:tcW w:w="4321" w:type="dxa"/>
            <w:gridSpan w:val="10"/>
            <w:tcBorders>
              <w:top w:val="nil"/>
              <w:left w:val="nil"/>
              <w:bottom w:val="nil"/>
              <w:right w:val="nil"/>
            </w:tcBorders>
            <w:shd w:val="clear" w:color="000000" w:fill="FFFFFF"/>
            <w:noWrap/>
            <w:vAlign w:val="bottom"/>
            <w:hideMark/>
          </w:tcPr>
          <w:p w14:paraId="1BFF3A21" w14:textId="77777777" w:rsidR="00D677FE" w:rsidRPr="00D677FE" w:rsidRDefault="00D677FE" w:rsidP="00D677FE">
            <w:pPr>
              <w:spacing w:before="0" w:after="0"/>
              <w:jc w:val="center"/>
              <w:rPr>
                <w:rFonts w:eastAsia="Times New Roman" w:cs="Arial"/>
                <w:b/>
                <w:bCs/>
                <w:sz w:val="20"/>
                <w:szCs w:val="20"/>
                <w:lang w:eastAsia="en-GB"/>
              </w:rPr>
            </w:pPr>
            <w:r w:rsidRPr="00D677FE">
              <w:rPr>
                <w:rFonts w:eastAsia="Times New Roman" w:cs="Arial"/>
                <w:b/>
                <w:bCs/>
                <w:sz w:val="20"/>
                <w:szCs w:val="20"/>
                <w:lang w:eastAsia="en-GB"/>
              </w:rPr>
              <w:t>1-Apr-23 to 31-Mar-24</w:t>
            </w:r>
          </w:p>
        </w:tc>
      </w:tr>
      <w:tr w:rsidR="00D677FE" w:rsidRPr="00D677FE" w14:paraId="47429C99" w14:textId="77777777" w:rsidTr="00DB1B0E">
        <w:trPr>
          <w:gridAfter w:val="1"/>
          <w:wAfter w:w="6" w:type="dxa"/>
          <w:trHeight w:val="510"/>
        </w:trPr>
        <w:tc>
          <w:tcPr>
            <w:tcW w:w="2269" w:type="dxa"/>
            <w:tcBorders>
              <w:top w:val="nil"/>
              <w:left w:val="nil"/>
              <w:bottom w:val="nil"/>
              <w:right w:val="nil"/>
            </w:tcBorders>
            <w:shd w:val="clear" w:color="auto" w:fill="auto"/>
            <w:vAlign w:val="bottom"/>
            <w:hideMark/>
          </w:tcPr>
          <w:p w14:paraId="3DC36756" w14:textId="77777777" w:rsidR="00D677FE" w:rsidRPr="00D677FE" w:rsidRDefault="00D677FE" w:rsidP="00D677FE">
            <w:pPr>
              <w:spacing w:before="0" w:after="0"/>
              <w:jc w:val="center"/>
              <w:rPr>
                <w:rFonts w:eastAsia="Times New Roman" w:cs="Arial"/>
                <w:b/>
                <w:bCs/>
                <w:sz w:val="20"/>
                <w:szCs w:val="20"/>
                <w:lang w:eastAsia="en-GB"/>
              </w:rPr>
            </w:pPr>
          </w:p>
        </w:tc>
        <w:tc>
          <w:tcPr>
            <w:tcW w:w="1363" w:type="dxa"/>
            <w:tcBorders>
              <w:top w:val="nil"/>
              <w:left w:val="nil"/>
              <w:bottom w:val="nil"/>
              <w:right w:val="nil"/>
            </w:tcBorders>
            <w:shd w:val="clear" w:color="auto" w:fill="auto"/>
            <w:vAlign w:val="bottom"/>
            <w:hideMark/>
          </w:tcPr>
          <w:p w14:paraId="0C6014E7" w14:textId="77777777" w:rsidR="00D677FE" w:rsidRPr="00D677FE" w:rsidRDefault="00D677FE" w:rsidP="00D677FE">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vAlign w:val="bottom"/>
            <w:hideMark/>
          </w:tcPr>
          <w:p w14:paraId="5D0EA068" w14:textId="77777777" w:rsidR="00D677FE" w:rsidRPr="00D677FE" w:rsidRDefault="00D677FE" w:rsidP="00D677FE">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vAlign w:val="bottom"/>
            <w:hideMark/>
          </w:tcPr>
          <w:p w14:paraId="152CA25B" w14:textId="77777777" w:rsidR="00D677FE" w:rsidRPr="00D677FE" w:rsidRDefault="00D677FE" w:rsidP="00D677FE">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vAlign w:val="bottom"/>
            <w:hideMark/>
          </w:tcPr>
          <w:p w14:paraId="6C5D381A" w14:textId="77777777" w:rsidR="00D677FE" w:rsidRPr="00D677FE" w:rsidRDefault="00D677FE" w:rsidP="00D677FE">
            <w:pPr>
              <w:spacing w:before="0" w:after="0"/>
              <w:rPr>
                <w:rFonts w:ascii="Times New Roman" w:eastAsia="Times New Roman" w:hAnsi="Times New Roman" w:cs="Times New Roman"/>
                <w:sz w:val="20"/>
                <w:szCs w:val="20"/>
                <w:lang w:eastAsia="en-GB"/>
              </w:rPr>
            </w:pPr>
          </w:p>
        </w:tc>
        <w:tc>
          <w:tcPr>
            <w:tcW w:w="1180" w:type="dxa"/>
            <w:gridSpan w:val="2"/>
            <w:tcBorders>
              <w:top w:val="nil"/>
              <w:left w:val="nil"/>
              <w:bottom w:val="nil"/>
              <w:right w:val="nil"/>
            </w:tcBorders>
            <w:shd w:val="clear" w:color="auto" w:fill="auto"/>
            <w:vAlign w:val="bottom"/>
            <w:hideMark/>
          </w:tcPr>
          <w:p w14:paraId="4F3E1C61" w14:textId="77777777" w:rsidR="00D677FE" w:rsidRPr="00D677FE" w:rsidRDefault="00D677FE" w:rsidP="00D677FE">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000000" w:fill="FFFFFF"/>
            <w:vAlign w:val="bottom"/>
            <w:hideMark/>
          </w:tcPr>
          <w:p w14:paraId="1CD3947A"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vAlign w:val="bottom"/>
            <w:hideMark/>
          </w:tcPr>
          <w:p w14:paraId="7BF3BA9F"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Permanently employed</w:t>
            </w:r>
          </w:p>
        </w:tc>
        <w:tc>
          <w:tcPr>
            <w:tcW w:w="272" w:type="dxa"/>
            <w:gridSpan w:val="2"/>
            <w:tcBorders>
              <w:top w:val="nil"/>
              <w:left w:val="nil"/>
              <w:bottom w:val="nil"/>
              <w:right w:val="nil"/>
            </w:tcBorders>
            <w:shd w:val="clear" w:color="000000" w:fill="FFFFFF"/>
            <w:vAlign w:val="bottom"/>
            <w:hideMark/>
          </w:tcPr>
          <w:p w14:paraId="504B6FB4"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vAlign w:val="bottom"/>
            <w:hideMark/>
          </w:tcPr>
          <w:p w14:paraId="790935A9"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Other</w:t>
            </w:r>
          </w:p>
        </w:tc>
        <w:tc>
          <w:tcPr>
            <w:tcW w:w="272" w:type="dxa"/>
            <w:gridSpan w:val="2"/>
            <w:tcBorders>
              <w:top w:val="nil"/>
              <w:left w:val="nil"/>
              <w:bottom w:val="nil"/>
              <w:right w:val="nil"/>
            </w:tcBorders>
            <w:shd w:val="clear" w:color="000000" w:fill="FFFFFF"/>
            <w:vAlign w:val="bottom"/>
            <w:hideMark/>
          </w:tcPr>
          <w:p w14:paraId="715C9C76"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vAlign w:val="bottom"/>
            <w:hideMark/>
          </w:tcPr>
          <w:p w14:paraId="08EB55AE"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Total</w:t>
            </w:r>
          </w:p>
        </w:tc>
      </w:tr>
      <w:tr w:rsidR="00E3493F" w:rsidRPr="00D677FE" w14:paraId="2472BB1E" w14:textId="77777777" w:rsidTr="00BC2918">
        <w:trPr>
          <w:gridAfter w:val="1"/>
          <w:wAfter w:w="6" w:type="dxa"/>
          <w:trHeight w:val="255"/>
        </w:trPr>
        <w:tc>
          <w:tcPr>
            <w:tcW w:w="5084" w:type="dxa"/>
            <w:gridSpan w:val="4"/>
            <w:tcBorders>
              <w:top w:val="nil"/>
              <w:left w:val="nil"/>
              <w:bottom w:val="nil"/>
              <w:right w:val="nil"/>
            </w:tcBorders>
            <w:shd w:val="clear" w:color="auto" w:fill="auto"/>
            <w:noWrap/>
            <w:vAlign w:val="bottom"/>
            <w:hideMark/>
          </w:tcPr>
          <w:p w14:paraId="5C3C58B9" w14:textId="3AC90976" w:rsidR="00E3493F" w:rsidRPr="00D677FE" w:rsidRDefault="00E3493F"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Total number of people employed (WTE)</w:t>
            </w:r>
          </w:p>
        </w:tc>
        <w:tc>
          <w:tcPr>
            <w:tcW w:w="272" w:type="dxa"/>
            <w:gridSpan w:val="2"/>
            <w:tcBorders>
              <w:top w:val="nil"/>
              <w:left w:val="nil"/>
              <w:bottom w:val="nil"/>
              <w:right w:val="nil"/>
            </w:tcBorders>
            <w:shd w:val="clear" w:color="000000" w:fill="FFFFFF"/>
            <w:noWrap/>
            <w:vAlign w:val="bottom"/>
            <w:hideMark/>
          </w:tcPr>
          <w:p w14:paraId="12249AEF" w14:textId="77777777" w:rsidR="00E3493F" w:rsidRPr="00D677FE" w:rsidRDefault="00E3493F"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2158819E" w14:textId="77777777" w:rsidR="00E3493F" w:rsidRPr="00D677FE" w:rsidRDefault="00E3493F"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5B71461D" w14:textId="77777777" w:rsidR="00E3493F" w:rsidRPr="00D677FE" w:rsidRDefault="00E3493F"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239BBDD3" w14:textId="77777777" w:rsidR="00E3493F" w:rsidRPr="00D677FE" w:rsidRDefault="00E3493F"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428.61</w:t>
            </w:r>
          </w:p>
        </w:tc>
        <w:tc>
          <w:tcPr>
            <w:tcW w:w="272" w:type="dxa"/>
            <w:gridSpan w:val="2"/>
            <w:tcBorders>
              <w:top w:val="nil"/>
              <w:left w:val="nil"/>
              <w:bottom w:val="nil"/>
              <w:right w:val="nil"/>
            </w:tcBorders>
            <w:shd w:val="clear" w:color="000000" w:fill="FFFFFF"/>
            <w:noWrap/>
            <w:vAlign w:val="bottom"/>
            <w:hideMark/>
          </w:tcPr>
          <w:p w14:paraId="28CE01B9" w14:textId="77777777" w:rsidR="00E3493F" w:rsidRPr="00D677FE" w:rsidRDefault="00E3493F"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0224E749" w14:textId="77777777" w:rsidR="00E3493F" w:rsidRPr="00D677FE" w:rsidRDefault="00E3493F"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19.22</w:t>
            </w:r>
          </w:p>
        </w:tc>
        <w:tc>
          <w:tcPr>
            <w:tcW w:w="272" w:type="dxa"/>
            <w:gridSpan w:val="2"/>
            <w:tcBorders>
              <w:top w:val="nil"/>
              <w:left w:val="nil"/>
              <w:bottom w:val="nil"/>
              <w:right w:val="nil"/>
            </w:tcBorders>
            <w:shd w:val="clear" w:color="000000" w:fill="FFFFFF"/>
            <w:noWrap/>
            <w:vAlign w:val="bottom"/>
            <w:hideMark/>
          </w:tcPr>
          <w:p w14:paraId="5CC97D29" w14:textId="77777777" w:rsidR="00E3493F" w:rsidRPr="00D677FE" w:rsidRDefault="00E3493F"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38D37D17" w14:textId="77777777" w:rsidR="00E3493F" w:rsidRPr="00D677FE" w:rsidRDefault="00E3493F"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447.83</w:t>
            </w:r>
          </w:p>
        </w:tc>
      </w:tr>
      <w:tr w:rsidR="00D677FE" w:rsidRPr="00D677FE" w14:paraId="4DD6A04A"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7D5582AB" w14:textId="77777777" w:rsidR="00D677FE" w:rsidRPr="00D677FE" w:rsidRDefault="00D677FE" w:rsidP="00D677FE">
            <w:pPr>
              <w:spacing w:before="0" w:after="0"/>
              <w:rPr>
                <w:rFonts w:eastAsia="Times New Roman" w:cs="Arial"/>
                <w:sz w:val="20"/>
                <w:szCs w:val="20"/>
                <w:lang w:eastAsia="en-GB"/>
              </w:rPr>
            </w:pPr>
          </w:p>
        </w:tc>
        <w:tc>
          <w:tcPr>
            <w:tcW w:w="1363" w:type="dxa"/>
            <w:tcBorders>
              <w:top w:val="nil"/>
              <w:left w:val="nil"/>
              <w:bottom w:val="nil"/>
              <w:right w:val="nil"/>
            </w:tcBorders>
            <w:shd w:val="clear" w:color="000000" w:fill="FFFFFF"/>
            <w:noWrap/>
            <w:vAlign w:val="bottom"/>
            <w:hideMark/>
          </w:tcPr>
          <w:p w14:paraId="5482D108"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399A03F0"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6495D478"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6304E7F8"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4E43EFE8"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1F5776D1"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7975FA1A"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3E08B0E8"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E7778B0"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785DF1EB"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4716B97C"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r>
      <w:tr w:rsidR="00D677FE" w:rsidRPr="00D677FE" w14:paraId="09E11102"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3DD01358" w14:textId="77777777" w:rsidR="00D677FE" w:rsidRPr="00D677FE" w:rsidRDefault="00D677FE" w:rsidP="00D677FE">
            <w:pPr>
              <w:spacing w:before="0" w:after="0"/>
              <w:rPr>
                <w:rFonts w:eastAsia="Times New Roman" w:cs="Arial"/>
                <w:sz w:val="20"/>
                <w:szCs w:val="20"/>
                <w:lang w:eastAsia="en-GB"/>
              </w:rPr>
            </w:pPr>
          </w:p>
        </w:tc>
        <w:tc>
          <w:tcPr>
            <w:tcW w:w="1363" w:type="dxa"/>
            <w:tcBorders>
              <w:top w:val="nil"/>
              <w:left w:val="nil"/>
              <w:bottom w:val="nil"/>
              <w:right w:val="nil"/>
            </w:tcBorders>
            <w:shd w:val="clear" w:color="000000" w:fill="FFFFFF"/>
            <w:noWrap/>
            <w:vAlign w:val="bottom"/>
            <w:hideMark/>
          </w:tcPr>
          <w:p w14:paraId="7282F65A"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531BD4E"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00380E51"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0189D6A7"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1FFC7201"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32AE4E18"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4321" w:type="dxa"/>
            <w:gridSpan w:val="10"/>
            <w:tcBorders>
              <w:top w:val="nil"/>
              <w:left w:val="nil"/>
              <w:bottom w:val="nil"/>
              <w:right w:val="nil"/>
            </w:tcBorders>
            <w:shd w:val="clear" w:color="000000" w:fill="FFFFFF"/>
            <w:noWrap/>
            <w:vAlign w:val="bottom"/>
            <w:hideMark/>
          </w:tcPr>
          <w:p w14:paraId="63F6B094" w14:textId="77777777" w:rsidR="00D677FE" w:rsidRPr="00D677FE" w:rsidRDefault="00D677FE" w:rsidP="00D677FE">
            <w:pPr>
              <w:spacing w:before="0" w:after="0"/>
              <w:jc w:val="center"/>
              <w:rPr>
                <w:rFonts w:eastAsia="Times New Roman" w:cs="Arial"/>
                <w:sz w:val="20"/>
                <w:szCs w:val="20"/>
                <w:lang w:eastAsia="en-GB"/>
              </w:rPr>
            </w:pPr>
            <w:r w:rsidRPr="00D677FE">
              <w:rPr>
                <w:rFonts w:eastAsia="Times New Roman" w:cs="Arial"/>
                <w:sz w:val="20"/>
                <w:szCs w:val="20"/>
                <w:lang w:eastAsia="en-GB"/>
              </w:rPr>
              <w:t>1-Jul-22 to 31-Mar-23</w:t>
            </w:r>
          </w:p>
        </w:tc>
      </w:tr>
      <w:tr w:rsidR="00D677FE" w:rsidRPr="00D677FE" w14:paraId="1BBA5C04"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1A563B24" w14:textId="77777777" w:rsidR="00D677FE" w:rsidRPr="00D677FE" w:rsidRDefault="00D677FE" w:rsidP="00D677FE">
            <w:pPr>
              <w:spacing w:before="0" w:after="0"/>
              <w:jc w:val="center"/>
              <w:rPr>
                <w:rFonts w:eastAsia="Times New Roman" w:cs="Arial"/>
                <w:sz w:val="20"/>
                <w:szCs w:val="20"/>
                <w:lang w:eastAsia="en-GB"/>
              </w:rPr>
            </w:pPr>
          </w:p>
        </w:tc>
        <w:tc>
          <w:tcPr>
            <w:tcW w:w="1363" w:type="dxa"/>
            <w:tcBorders>
              <w:top w:val="nil"/>
              <w:left w:val="nil"/>
              <w:bottom w:val="nil"/>
              <w:right w:val="nil"/>
            </w:tcBorders>
            <w:shd w:val="clear" w:color="000000" w:fill="FFFFFF"/>
            <w:noWrap/>
            <w:vAlign w:val="bottom"/>
            <w:hideMark/>
          </w:tcPr>
          <w:p w14:paraId="79279D81"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FD25E5D"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447B0368"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3E3E7CBB"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7E43E480"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0DA20926"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vAlign w:val="bottom"/>
            <w:hideMark/>
          </w:tcPr>
          <w:p w14:paraId="1C45BA05"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Permanently employed</w:t>
            </w:r>
          </w:p>
        </w:tc>
        <w:tc>
          <w:tcPr>
            <w:tcW w:w="272" w:type="dxa"/>
            <w:gridSpan w:val="2"/>
            <w:tcBorders>
              <w:top w:val="nil"/>
              <w:left w:val="nil"/>
              <w:bottom w:val="nil"/>
              <w:right w:val="nil"/>
            </w:tcBorders>
            <w:shd w:val="clear" w:color="000000" w:fill="FFFFFF"/>
            <w:vAlign w:val="bottom"/>
            <w:hideMark/>
          </w:tcPr>
          <w:p w14:paraId="39FE02AC"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vAlign w:val="bottom"/>
            <w:hideMark/>
          </w:tcPr>
          <w:p w14:paraId="60B94471"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Other</w:t>
            </w:r>
          </w:p>
        </w:tc>
        <w:tc>
          <w:tcPr>
            <w:tcW w:w="272" w:type="dxa"/>
            <w:gridSpan w:val="2"/>
            <w:tcBorders>
              <w:top w:val="nil"/>
              <w:left w:val="nil"/>
              <w:bottom w:val="nil"/>
              <w:right w:val="nil"/>
            </w:tcBorders>
            <w:shd w:val="clear" w:color="000000" w:fill="FFFFFF"/>
            <w:vAlign w:val="bottom"/>
            <w:hideMark/>
          </w:tcPr>
          <w:p w14:paraId="3E839996"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vAlign w:val="bottom"/>
            <w:hideMark/>
          </w:tcPr>
          <w:p w14:paraId="59A7F6F8"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Total</w:t>
            </w:r>
          </w:p>
        </w:tc>
      </w:tr>
      <w:tr w:rsidR="00E3493F" w:rsidRPr="00D677FE" w14:paraId="7014F88E" w14:textId="77777777" w:rsidTr="00927D0E">
        <w:trPr>
          <w:gridAfter w:val="1"/>
          <w:wAfter w:w="6" w:type="dxa"/>
          <w:trHeight w:val="255"/>
        </w:trPr>
        <w:tc>
          <w:tcPr>
            <w:tcW w:w="5084" w:type="dxa"/>
            <w:gridSpan w:val="4"/>
            <w:tcBorders>
              <w:top w:val="nil"/>
              <w:left w:val="nil"/>
              <w:bottom w:val="nil"/>
              <w:right w:val="nil"/>
            </w:tcBorders>
            <w:shd w:val="clear" w:color="auto" w:fill="auto"/>
            <w:noWrap/>
            <w:vAlign w:val="bottom"/>
            <w:hideMark/>
          </w:tcPr>
          <w:p w14:paraId="484B3B59" w14:textId="2A651248" w:rsidR="00E3493F" w:rsidRPr="00D677FE" w:rsidRDefault="00E3493F"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Total number of people employed (WTE)</w:t>
            </w:r>
          </w:p>
        </w:tc>
        <w:tc>
          <w:tcPr>
            <w:tcW w:w="272" w:type="dxa"/>
            <w:gridSpan w:val="2"/>
            <w:tcBorders>
              <w:top w:val="nil"/>
              <w:left w:val="nil"/>
              <w:bottom w:val="nil"/>
              <w:right w:val="nil"/>
            </w:tcBorders>
            <w:shd w:val="clear" w:color="000000" w:fill="FFFFFF"/>
            <w:noWrap/>
            <w:vAlign w:val="bottom"/>
            <w:hideMark/>
          </w:tcPr>
          <w:p w14:paraId="09309D3A" w14:textId="77777777" w:rsidR="00E3493F" w:rsidRPr="00D677FE" w:rsidRDefault="00E3493F"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290C7005" w14:textId="77777777" w:rsidR="00E3493F" w:rsidRPr="00D677FE" w:rsidRDefault="00E3493F"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5D324143" w14:textId="77777777" w:rsidR="00E3493F" w:rsidRPr="00D677FE" w:rsidRDefault="00E3493F"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6BFE922F" w14:textId="77777777" w:rsidR="00E3493F" w:rsidRPr="00D677FE" w:rsidRDefault="00E3493F"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426.47</w:t>
            </w:r>
          </w:p>
        </w:tc>
        <w:tc>
          <w:tcPr>
            <w:tcW w:w="272" w:type="dxa"/>
            <w:gridSpan w:val="2"/>
            <w:tcBorders>
              <w:top w:val="nil"/>
              <w:left w:val="nil"/>
              <w:bottom w:val="nil"/>
              <w:right w:val="nil"/>
            </w:tcBorders>
            <w:shd w:val="clear" w:color="000000" w:fill="FFFFFF"/>
            <w:noWrap/>
            <w:vAlign w:val="bottom"/>
            <w:hideMark/>
          </w:tcPr>
          <w:p w14:paraId="203B1607" w14:textId="77777777" w:rsidR="00E3493F" w:rsidRPr="00D677FE" w:rsidRDefault="00E3493F"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15C8D540" w14:textId="77777777" w:rsidR="00E3493F" w:rsidRPr="00D677FE" w:rsidRDefault="00E3493F"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66.08</w:t>
            </w:r>
          </w:p>
        </w:tc>
        <w:tc>
          <w:tcPr>
            <w:tcW w:w="272" w:type="dxa"/>
            <w:gridSpan w:val="2"/>
            <w:tcBorders>
              <w:top w:val="nil"/>
              <w:left w:val="nil"/>
              <w:bottom w:val="nil"/>
              <w:right w:val="nil"/>
            </w:tcBorders>
            <w:shd w:val="clear" w:color="000000" w:fill="FFFFFF"/>
            <w:noWrap/>
            <w:vAlign w:val="bottom"/>
            <w:hideMark/>
          </w:tcPr>
          <w:p w14:paraId="54A9AF65" w14:textId="77777777" w:rsidR="00E3493F" w:rsidRPr="00D677FE" w:rsidRDefault="00E3493F"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0CBAA9E9" w14:textId="77777777" w:rsidR="00E3493F" w:rsidRPr="00D677FE" w:rsidRDefault="00E3493F"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492.55</w:t>
            </w:r>
          </w:p>
        </w:tc>
      </w:tr>
      <w:tr w:rsidR="00D677FE" w:rsidRPr="00D677FE" w14:paraId="72BA3802"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54C20FBB" w14:textId="77777777" w:rsidR="00D677FE" w:rsidRPr="00D677FE" w:rsidRDefault="00D677FE" w:rsidP="00D677FE">
            <w:pPr>
              <w:spacing w:before="0" w:after="0"/>
              <w:rPr>
                <w:rFonts w:eastAsia="Times New Roman" w:cs="Arial"/>
                <w:sz w:val="20"/>
                <w:szCs w:val="20"/>
                <w:lang w:eastAsia="en-GB"/>
              </w:rPr>
            </w:pPr>
          </w:p>
        </w:tc>
        <w:tc>
          <w:tcPr>
            <w:tcW w:w="1363" w:type="dxa"/>
            <w:tcBorders>
              <w:top w:val="nil"/>
              <w:left w:val="nil"/>
              <w:bottom w:val="nil"/>
              <w:right w:val="nil"/>
            </w:tcBorders>
            <w:shd w:val="clear" w:color="000000" w:fill="FFFFFF"/>
            <w:noWrap/>
            <w:vAlign w:val="bottom"/>
            <w:hideMark/>
          </w:tcPr>
          <w:p w14:paraId="33E26E33"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10AA5845"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72091C51"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629033AE"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511B758C"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257965CF"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3D4389E5"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630DEBE8"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28201BB1"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72D32B2A"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2A2BF09B"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r>
      <w:tr w:rsidR="00C129B9" w:rsidRPr="00D677FE" w14:paraId="200F90DE" w14:textId="77777777" w:rsidTr="0095023B">
        <w:trPr>
          <w:gridAfter w:val="1"/>
          <w:wAfter w:w="6" w:type="dxa"/>
          <w:trHeight w:val="260"/>
        </w:trPr>
        <w:tc>
          <w:tcPr>
            <w:tcW w:w="6808" w:type="dxa"/>
            <w:gridSpan w:val="10"/>
            <w:tcBorders>
              <w:top w:val="nil"/>
              <w:left w:val="nil"/>
              <w:bottom w:val="nil"/>
              <w:right w:val="nil"/>
            </w:tcBorders>
            <w:shd w:val="clear" w:color="auto" w:fill="auto"/>
            <w:noWrap/>
            <w:vAlign w:val="bottom"/>
            <w:hideMark/>
          </w:tcPr>
          <w:p w14:paraId="4A81BC48" w14:textId="43E179DE" w:rsidR="00C129B9" w:rsidRPr="00D677FE" w:rsidRDefault="00C129B9"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4.4 Exit Packages Agreed in the Financial Year/Period</w:t>
            </w:r>
          </w:p>
        </w:tc>
        <w:tc>
          <w:tcPr>
            <w:tcW w:w="1417" w:type="dxa"/>
            <w:gridSpan w:val="2"/>
            <w:tcBorders>
              <w:top w:val="nil"/>
              <w:left w:val="nil"/>
              <w:bottom w:val="nil"/>
              <w:right w:val="nil"/>
            </w:tcBorders>
            <w:shd w:val="clear" w:color="000000" w:fill="FFFFFF"/>
            <w:noWrap/>
            <w:vAlign w:val="bottom"/>
            <w:hideMark/>
          </w:tcPr>
          <w:p w14:paraId="6E20E820" w14:textId="77777777" w:rsidR="00C129B9" w:rsidRPr="00D677FE" w:rsidRDefault="00C129B9"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7F7608E2" w14:textId="77777777" w:rsidR="00C129B9" w:rsidRPr="00D677FE" w:rsidRDefault="00C129B9"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E3FD0A4" w14:textId="77777777" w:rsidR="00C129B9" w:rsidRPr="00D677FE" w:rsidRDefault="00C129B9"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21341E3D" w14:textId="77777777" w:rsidR="00C129B9" w:rsidRPr="00D677FE" w:rsidRDefault="00C129B9"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778CAF9" w14:textId="77777777" w:rsidR="00C129B9" w:rsidRPr="00D677FE" w:rsidRDefault="00C129B9"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r>
      <w:tr w:rsidR="00D677FE" w:rsidRPr="00D677FE" w14:paraId="3F6CDB50" w14:textId="77777777" w:rsidTr="00DB1B0E">
        <w:trPr>
          <w:gridAfter w:val="1"/>
          <w:wAfter w:w="6" w:type="dxa"/>
          <w:trHeight w:val="120"/>
        </w:trPr>
        <w:tc>
          <w:tcPr>
            <w:tcW w:w="2269" w:type="dxa"/>
            <w:tcBorders>
              <w:top w:val="nil"/>
              <w:left w:val="nil"/>
              <w:bottom w:val="nil"/>
              <w:right w:val="nil"/>
            </w:tcBorders>
            <w:shd w:val="clear" w:color="auto" w:fill="auto"/>
            <w:noWrap/>
            <w:vAlign w:val="bottom"/>
            <w:hideMark/>
          </w:tcPr>
          <w:p w14:paraId="10356965" w14:textId="77777777" w:rsidR="00D677FE" w:rsidRPr="00D677FE" w:rsidRDefault="00D677FE" w:rsidP="00D677FE">
            <w:pPr>
              <w:spacing w:before="0" w:after="0"/>
              <w:rPr>
                <w:rFonts w:eastAsia="Times New Roman" w:cs="Arial"/>
                <w:sz w:val="20"/>
                <w:szCs w:val="20"/>
                <w:lang w:eastAsia="en-GB"/>
              </w:rPr>
            </w:pPr>
          </w:p>
        </w:tc>
        <w:tc>
          <w:tcPr>
            <w:tcW w:w="1363" w:type="dxa"/>
            <w:tcBorders>
              <w:top w:val="nil"/>
              <w:left w:val="nil"/>
              <w:bottom w:val="nil"/>
              <w:right w:val="nil"/>
            </w:tcBorders>
            <w:shd w:val="clear" w:color="000000" w:fill="FFFFFF"/>
            <w:noWrap/>
            <w:vAlign w:val="bottom"/>
            <w:hideMark/>
          </w:tcPr>
          <w:p w14:paraId="6C190BE0"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17E97575"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1180" w:type="dxa"/>
            <w:tcBorders>
              <w:top w:val="nil"/>
              <w:left w:val="nil"/>
              <w:bottom w:val="nil"/>
              <w:right w:val="nil"/>
            </w:tcBorders>
            <w:shd w:val="clear" w:color="000000" w:fill="FFFFFF"/>
            <w:noWrap/>
            <w:vAlign w:val="bottom"/>
            <w:hideMark/>
          </w:tcPr>
          <w:p w14:paraId="724BBE53"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5ED17887"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2509AEFB"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7F8AA826"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0561B943"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110CF1C5"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38A3CF69"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7F58B580"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0937DED9"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r>
      <w:tr w:rsidR="00DB1B0E" w:rsidRPr="00D677FE" w14:paraId="3A85C5F6" w14:textId="77777777" w:rsidTr="00DB1B0E">
        <w:trPr>
          <w:gridAfter w:val="1"/>
          <w:wAfter w:w="6" w:type="dxa"/>
          <w:trHeight w:val="260"/>
        </w:trPr>
        <w:tc>
          <w:tcPr>
            <w:tcW w:w="2269" w:type="dxa"/>
            <w:tcBorders>
              <w:top w:val="nil"/>
              <w:left w:val="nil"/>
              <w:bottom w:val="nil"/>
              <w:right w:val="nil"/>
            </w:tcBorders>
            <w:shd w:val="clear" w:color="auto" w:fill="auto"/>
            <w:noWrap/>
            <w:vAlign w:val="bottom"/>
            <w:hideMark/>
          </w:tcPr>
          <w:p w14:paraId="4E26538B" w14:textId="77777777" w:rsidR="00D677FE" w:rsidRPr="00D677FE" w:rsidRDefault="00D677FE" w:rsidP="00D677FE">
            <w:pPr>
              <w:spacing w:before="0" w:after="0"/>
              <w:rPr>
                <w:rFonts w:eastAsia="Times New Roman" w:cs="Arial"/>
                <w:sz w:val="20"/>
                <w:szCs w:val="20"/>
                <w:lang w:eastAsia="en-GB"/>
              </w:rPr>
            </w:pPr>
          </w:p>
        </w:tc>
        <w:tc>
          <w:tcPr>
            <w:tcW w:w="2815" w:type="dxa"/>
            <w:gridSpan w:val="3"/>
            <w:tcBorders>
              <w:top w:val="nil"/>
              <w:left w:val="nil"/>
              <w:bottom w:val="nil"/>
              <w:right w:val="nil"/>
            </w:tcBorders>
            <w:shd w:val="clear" w:color="000000" w:fill="FFFFFF"/>
            <w:noWrap/>
            <w:vAlign w:val="bottom"/>
            <w:hideMark/>
          </w:tcPr>
          <w:p w14:paraId="2F5FE047"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1-Apr-23 to 31-Mar-24</w:t>
            </w:r>
          </w:p>
        </w:tc>
        <w:tc>
          <w:tcPr>
            <w:tcW w:w="272" w:type="dxa"/>
            <w:gridSpan w:val="2"/>
            <w:tcBorders>
              <w:top w:val="nil"/>
              <w:left w:val="nil"/>
              <w:bottom w:val="nil"/>
              <w:right w:val="nil"/>
            </w:tcBorders>
            <w:shd w:val="clear" w:color="000000" w:fill="FFFFFF"/>
            <w:noWrap/>
            <w:vAlign w:val="bottom"/>
            <w:hideMark/>
          </w:tcPr>
          <w:p w14:paraId="0C2BC309"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 </w:t>
            </w:r>
          </w:p>
        </w:tc>
        <w:tc>
          <w:tcPr>
            <w:tcW w:w="2869" w:type="dxa"/>
            <w:gridSpan w:val="6"/>
            <w:tcBorders>
              <w:top w:val="nil"/>
              <w:left w:val="nil"/>
              <w:bottom w:val="nil"/>
              <w:right w:val="nil"/>
            </w:tcBorders>
            <w:shd w:val="clear" w:color="000000" w:fill="FFFFFF"/>
            <w:noWrap/>
            <w:vAlign w:val="bottom"/>
            <w:hideMark/>
          </w:tcPr>
          <w:p w14:paraId="05E5EF70"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1-Apr-23 to 31-Mar-24</w:t>
            </w:r>
          </w:p>
        </w:tc>
        <w:tc>
          <w:tcPr>
            <w:tcW w:w="272" w:type="dxa"/>
            <w:gridSpan w:val="2"/>
            <w:tcBorders>
              <w:top w:val="nil"/>
              <w:left w:val="nil"/>
              <w:bottom w:val="nil"/>
              <w:right w:val="nil"/>
            </w:tcBorders>
            <w:shd w:val="clear" w:color="000000" w:fill="FFFFFF"/>
            <w:noWrap/>
            <w:vAlign w:val="bottom"/>
            <w:hideMark/>
          </w:tcPr>
          <w:p w14:paraId="611F53E2"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 </w:t>
            </w:r>
          </w:p>
        </w:tc>
        <w:tc>
          <w:tcPr>
            <w:tcW w:w="2632" w:type="dxa"/>
            <w:gridSpan w:val="6"/>
            <w:tcBorders>
              <w:top w:val="nil"/>
              <w:left w:val="nil"/>
              <w:bottom w:val="nil"/>
              <w:right w:val="nil"/>
            </w:tcBorders>
            <w:shd w:val="clear" w:color="000000" w:fill="FFFFFF"/>
            <w:noWrap/>
            <w:vAlign w:val="bottom"/>
            <w:hideMark/>
          </w:tcPr>
          <w:p w14:paraId="09E1E7C9"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1-Apr-23 to 31-Mar-24</w:t>
            </w:r>
          </w:p>
        </w:tc>
      </w:tr>
      <w:tr w:rsidR="00DB1B0E" w:rsidRPr="00D677FE" w14:paraId="24D11E02" w14:textId="77777777" w:rsidTr="00DB1B0E">
        <w:trPr>
          <w:gridAfter w:val="1"/>
          <w:wAfter w:w="6" w:type="dxa"/>
          <w:trHeight w:val="260"/>
        </w:trPr>
        <w:tc>
          <w:tcPr>
            <w:tcW w:w="2269" w:type="dxa"/>
            <w:tcBorders>
              <w:top w:val="nil"/>
              <w:left w:val="nil"/>
              <w:bottom w:val="nil"/>
              <w:right w:val="nil"/>
            </w:tcBorders>
            <w:shd w:val="clear" w:color="auto" w:fill="auto"/>
            <w:noWrap/>
            <w:vAlign w:val="bottom"/>
            <w:hideMark/>
          </w:tcPr>
          <w:p w14:paraId="39085432" w14:textId="77777777" w:rsidR="00D677FE" w:rsidRPr="00D677FE" w:rsidRDefault="00D677FE" w:rsidP="00D677FE">
            <w:pPr>
              <w:spacing w:before="0" w:after="0"/>
              <w:jc w:val="right"/>
              <w:rPr>
                <w:rFonts w:eastAsia="Times New Roman" w:cs="Arial"/>
                <w:b/>
                <w:bCs/>
                <w:sz w:val="20"/>
                <w:szCs w:val="20"/>
                <w:lang w:eastAsia="en-GB"/>
              </w:rPr>
            </w:pPr>
          </w:p>
        </w:tc>
        <w:tc>
          <w:tcPr>
            <w:tcW w:w="2815" w:type="dxa"/>
            <w:gridSpan w:val="3"/>
            <w:tcBorders>
              <w:top w:val="nil"/>
              <w:left w:val="nil"/>
              <w:bottom w:val="nil"/>
              <w:right w:val="nil"/>
            </w:tcBorders>
            <w:shd w:val="clear" w:color="000000" w:fill="FFFFFF"/>
            <w:noWrap/>
            <w:vAlign w:val="bottom"/>
            <w:hideMark/>
          </w:tcPr>
          <w:p w14:paraId="0F92D63D"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Compulsory redundancies</w:t>
            </w:r>
          </w:p>
        </w:tc>
        <w:tc>
          <w:tcPr>
            <w:tcW w:w="272" w:type="dxa"/>
            <w:gridSpan w:val="2"/>
            <w:tcBorders>
              <w:top w:val="nil"/>
              <w:left w:val="nil"/>
              <w:bottom w:val="nil"/>
              <w:right w:val="nil"/>
            </w:tcBorders>
            <w:shd w:val="clear" w:color="000000" w:fill="FFFFFF"/>
            <w:noWrap/>
            <w:vAlign w:val="bottom"/>
            <w:hideMark/>
          </w:tcPr>
          <w:p w14:paraId="0F318DFF"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 </w:t>
            </w:r>
          </w:p>
        </w:tc>
        <w:tc>
          <w:tcPr>
            <w:tcW w:w="2869" w:type="dxa"/>
            <w:gridSpan w:val="6"/>
            <w:tcBorders>
              <w:top w:val="nil"/>
              <w:left w:val="nil"/>
              <w:bottom w:val="nil"/>
              <w:right w:val="nil"/>
            </w:tcBorders>
            <w:shd w:val="clear" w:color="000000" w:fill="FFFFFF"/>
            <w:noWrap/>
            <w:vAlign w:val="bottom"/>
            <w:hideMark/>
          </w:tcPr>
          <w:p w14:paraId="7B212D13"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Other agreed departures</w:t>
            </w:r>
          </w:p>
        </w:tc>
        <w:tc>
          <w:tcPr>
            <w:tcW w:w="272" w:type="dxa"/>
            <w:gridSpan w:val="2"/>
            <w:tcBorders>
              <w:top w:val="nil"/>
              <w:left w:val="nil"/>
              <w:bottom w:val="nil"/>
              <w:right w:val="nil"/>
            </w:tcBorders>
            <w:shd w:val="clear" w:color="000000" w:fill="FFFFFF"/>
            <w:noWrap/>
            <w:vAlign w:val="bottom"/>
            <w:hideMark/>
          </w:tcPr>
          <w:p w14:paraId="42CB3002"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 </w:t>
            </w:r>
          </w:p>
        </w:tc>
        <w:tc>
          <w:tcPr>
            <w:tcW w:w="2632" w:type="dxa"/>
            <w:gridSpan w:val="6"/>
            <w:tcBorders>
              <w:top w:val="nil"/>
              <w:left w:val="nil"/>
              <w:bottom w:val="nil"/>
              <w:right w:val="nil"/>
            </w:tcBorders>
            <w:shd w:val="clear" w:color="000000" w:fill="FFFFFF"/>
            <w:noWrap/>
            <w:vAlign w:val="bottom"/>
            <w:hideMark/>
          </w:tcPr>
          <w:p w14:paraId="07FD8B2E"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Total</w:t>
            </w:r>
          </w:p>
        </w:tc>
      </w:tr>
      <w:tr w:rsidR="00D677FE" w:rsidRPr="00D677FE" w14:paraId="1BBE8602"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0578F258" w14:textId="77777777" w:rsidR="00D677FE" w:rsidRPr="00D677FE" w:rsidRDefault="00D677FE" w:rsidP="00D677FE">
            <w:pPr>
              <w:spacing w:before="0" w:after="0"/>
              <w:jc w:val="right"/>
              <w:rPr>
                <w:rFonts w:eastAsia="Times New Roman" w:cs="Arial"/>
                <w:b/>
                <w:bCs/>
                <w:sz w:val="20"/>
                <w:szCs w:val="20"/>
                <w:lang w:eastAsia="en-GB"/>
              </w:rPr>
            </w:pPr>
          </w:p>
        </w:tc>
        <w:tc>
          <w:tcPr>
            <w:tcW w:w="1363" w:type="dxa"/>
            <w:tcBorders>
              <w:top w:val="nil"/>
              <w:left w:val="nil"/>
              <w:bottom w:val="nil"/>
              <w:right w:val="nil"/>
            </w:tcBorders>
            <w:shd w:val="clear" w:color="000000" w:fill="FFFFFF"/>
            <w:noWrap/>
            <w:vAlign w:val="bottom"/>
            <w:hideMark/>
          </w:tcPr>
          <w:p w14:paraId="0BF5D59D"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Number</w:t>
            </w:r>
          </w:p>
        </w:tc>
        <w:tc>
          <w:tcPr>
            <w:tcW w:w="272" w:type="dxa"/>
            <w:tcBorders>
              <w:top w:val="nil"/>
              <w:left w:val="nil"/>
              <w:bottom w:val="nil"/>
              <w:right w:val="nil"/>
            </w:tcBorders>
            <w:shd w:val="clear" w:color="000000" w:fill="FFFFFF"/>
            <w:noWrap/>
            <w:vAlign w:val="bottom"/>
            <w:hideMark/>
          </w:tcPr>
          <w:p w14:paraId="7110B1FD"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 </w:t>
            </w:r>
          </w:p>
        </w:tc>
        <w:tc>
          <w:tcPr>
            <w:tcW w:w="1180" w:type="dxa"/>
            <w:tcBorders>
              <w:top w:val="nil"/>
              <w:left w:val="nil"/>
              <w:bottom w:val="nil"/>
              <w:right w:val="nil"/>
            </w:tcBorders>
            <w:shd w:val="clear" w:color="000000" w:fill="FFFFFF"/>
            <w:noWrap/>
            <w:vAlign w:val="bottom"/>
            <w:hideMark/>
          </w:tcPr>
          <w:p w14:paraId="28891B77"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2EEF7514"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336B59BB"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Number</w:t>
            </w:r>
          </w:p>
        </w:tc>
        <w:tc>
          <w:tcPr>
            <w:tcW w:w="272" w:type="dxa"/>
            <w:gridSpan w:val="2"/>
            <w:tcBorders>
              <w:top w:val="nil"/>
              <w:left w:val="nil"/>
              <w:bottom w:val="nil"/>
              <w:right w:val="nil"/>
            </w:tcBorders>
            <w:shd w:val="clear" w:color="000000" w:fill="FFFFFF"/>
            <w:noWrap/>
            <w:vAlign w:val="bottom"/>
            <w:hideMark/>
          </w:tcPr>
          <w:p w14:paraId="385E3021"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1069299F"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2D6E851D"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03F586E6"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Number</w:t>
            </w:r>
          </w:p>
        </w:tc>
        <w:tc>
          <w:tcPr>
            <w:tcW w:w="272" w:type="dxa"/>
            <w:gridSpan w:val="2"/>
            <w:tcBorders>
              <w:top w:val="nil"/>
              <w:left w:val="nil"/>
              <w:bottom w:val="nil"/>
              <w:right w:val="nil"/>
            </w:tcBorders>
            <w:shd w:val="clear" w:color="000000" w:fill="FFFFFF"/>
            <w:noWrap/>
            <w:vAlign w:val="bottom"/>
            <w:hideMark/>
          </w:tcPr>
          <w:p w14:paraId="7D44E577"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5724041C"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w:t>
            </w:r>
          </w:p>
        </w:tc>
      </w:tr>
      <w:tr w:rsidR="00D677FE" w:rsidRPr="00D677FE" w14:paraId="0AFE3450"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7727BA6A"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Less than £10,000</w:t>
            </w:r>
          </w:p>
        </w:tc>
        <w:tc>
          <w:tcPr>
            <w:tcW w:w="1363" w:type="dxa"/>
            <w:tcBorders>
              <w:top w:val="nil"/>
              <w:left w:val="nil"/>
              <w:bottom w:val="nil"/>
              <w:right w:val="nil"/>
            </w:tcBorders>
            <w:shd w:val="clear" w:color="000000" w:fill="FFFFFF"/>
            <w:noWrap/>
            <w:vAlign w:val="bottom"/>
            <w:hideMark/>
          </w:tcPr>
          <w:p w14:paraId="4A275D7B"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633A23F4"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4882338A"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45FFFE30"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08C7551A"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4</w:t>
            </w:r>
          </w:p>
        </w:tc>
        <w:tc>
          <w:tcPr>
            <w:tcW w:w="272" w:type="dxa"/>
            <w:gridSpan w:val="2"/>
            <w:tcBorders>
              <w:top w:val="nil"/>
              <w:left w:val="nil"/>
              <w:bottom w:val="nil"/>
              <w:right w:val="nil"/>
            </w:tcBorders>
            <w:shd w:val="clear" w:color="000000" w:fill="FFFFFF"/>
            <w:noWrap/>
            <w:vAlign w:val="bottom"/>
            <w:hideMark/>
          </w:tcPr>
          <w:p w14:paraId="62187BDE"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6054E10B"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29,991</w:t>
            </w:r>
          </w:p>
        </w:tc>
        <w:tc>
          <w:tcPr>
            <w:tcW w:w="272" w:type="dxa"/>
            <w:gridSpan w:val="2"/>
            <w:tcBorders>
              <w:top w:val="nil"/>
              <w:left w:val="nil"/>
              <w:bottom w:val="nil"/>
              <w:right w:val="nil"/>
            </w:tcBorders>
            <w:shd w:val="clear" w:color="000000" w:fill="FFFFFF"/>
            <w:noWrap/>
            <w:vAlign w:val="bottom"/>
            <w:hideMark/>
          </w:tcPr>
          <w:p w14:paraId="334A4454"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432C227B"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4</w:t>
            </w:r>
          </w:p>
        </w:tc>
        <w:tc>
          <w:tcPr>
            <w:tcW w:w="272" w:type="dxa"/>
            <w:gridSpan w:val="2"/>
            <w:tcBorders>
              <w:top w:val="nil"/>
              <w:left w:val="nil"/>
              <w:bottom w:val="nil"/>
              <w:right w:val="nil"/>
            </w:tcBorders>
            <w:shd w:val="clear" w:color="000000" w:fill="FFFFFF"/>
            <w:noWrap/>
            <w:vAlign w:val="bottom"/>
            <w:hideMark/>
          </w:tcPr>
          <w:p w14:paraId="0F33ABF8"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4C58F00E"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29,991</w:t>
            </w:r>
          </w:p>
        </w:tc>
      </w:tr>
      <w:tr w:rsidR="00D677FE" w:rsidRPr="00D677FE" w14:paraId="68583A74"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552991C4"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£10,001 to £25,000</w:t>
            </w:r>
          </w:p>
        </w:tc>
        <w:tc>
          <w:tcPr>
            <w:tcW w:w="1363" w:type="dxa"/>
            <w:tcBorders>
              <w:top w:val="nil"/>
              <w:left w:val="nil"/>
              <w:bottom w:val="nil"/>
              <w:right w:val="nil"/>
            </w:tcBorders>
            <w:shd w:val="clear" w:color="000000" w:fill="FFFFFF"/>
            <w:noWrap/>
            <w:vAlign w:val="bottom"/>
            <w:hideMark/>
          </w:tcPr>
          <w:p w14:paraId="36C9E897"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7AECC145"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67BF5ACA"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330AF8C9"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46F70518"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15</w:t>
            </w:r>
          </w:p>
        </w:tc>
        <w:tc>
          <w:tcPr>
            <w:tcW w:w="272" w:type="dxa"/>
            <w:gridSpan w:val="2"/>
            <w:tcBorders>
              <w:top w:val="nil"/>
              <w:left w:val="nil"/>
              <w:bottom w:val="nil"/>
              <w:right w:val="nil"/>
            </w:tcBorders>
            <w:shd w:val="clear" w:color="000000" w:fill="FFFFFF"/>
            <w:noWrap/>
            <w:vAlign w:val="bottom"/>
            <w:hideMark/>
          </w:tcPr>
          <w:p w14:paraId="0D8B4DE7"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343844C6"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267,733</w:t>
            </w:r>
          </w:p>
        </w:tc>
        <w:tc>
          <w:tcPr>
            <w:tcW w:w="272" w:type="dxa"/>
            <w:gridSpan w:val="2"/>
            <w:tcBorders>
              <w:top w:val="nil"/>
              <w:left w:val="nil"/>
              <w:bottom w:val="nil"/>
              <w:right w:val="nil"/>
            </w:tcBorders>
            <w:shd w:val="clear" w:color="000000" w:fill="FFFFFF"/>
            <w:noWrap/>
            <w:vAlign w:val="bottom"/>
            <w:hideMark/>
          </w:tcPr>
          <w:p w14:paraId="6DB3400F"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10AD8161"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15</w:t>
            </w:r>
          </w:p>
        </w:tc>
        <w:tc>
          <w:tcPr>
            <w:tcW w:w="272" w:type="dxa"/>
            <w:gridSpan w:val="2"/>
            <w:tcBorders>
              <w:top w:val="nil"/>
              <w:left w:val="nil"/>
              <w:bottom w:val="nil"/>
              <w:right w:val="nil"/>
            </w:tcBorders>
            <w:shd w:val="clear" w:color="000000" w:fill="FFFFFF"/>
            <w:noWrap/>
            <w:vAlign w:val="bottom"/>
            <w:hideMark/>
          </w:tcPr>
          <w:p w14:paraId="6B491883"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E3E5538"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267,733</w:t>
            </w:r>
          </w:p>
        </w:tc>
      </w:tr>
      <w:tr w:rsidR="00D677FE" w:rsidRPr="00D677FE" w14:paraId="596C54D6"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1BC770C0"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£25,001 to £50,000</w:t>
            </w:r>
          </w:p>
        </w:tc>
        <w:tc>
          <w:tcPr>
            <w:tcW w:w="1363" w:type="dxa"/>
            <w:tcBorders>
              <w:top w:val="nil"/>
              <w:left w:val="nil"/>
              <w:bottom w:val="nil"/>
              <w:right w:val="nil"/>
            </w:tcBorders>
            <w:shd w:val="clear" w:color="000000" w:fill="FFFFFF"/>
            <w:noWrap/>
            <w:vAlign w:val="bottom"/>
            <w:hideMark/>
          </w:tcPr>
          <w:p w14:paraId="4D3D2BD9"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1</w:t>
            </w:r>
          </w:p>
        </w:tc>
        <w:tc>
          <w:tcPr>
            <w:tcW w:w="272" w:type="dxa"/>
            <w:tcBorders>
              <w:top w:val="nil"/>
              <w:left w:val="nil"/>
              <w:bottom w:val="nil"/>
              <w:right w:val="nil"/>
            </w:tcBorders>
            <w:shd w:val="clear" w:color="000000" w:fill="FFFFFF"/>
            <w:noWrap/>
            <w:vAlign w:val="bottom"/>
            <w:hideMark/>
          </w:tcPr>
          <w:p w14:paraId="3EC80337"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1A303797"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44,018</w:t>
            </w:r>
          </w:p>
        </w:tc>
        <w:tc>
          <w:tcPr>
            <w:tcW w:w="272" w:type="dxa"/>
            <w:gridSpan w:val="2"/>
            <w:tcBorders>
              <w:top w:val="nil"/>
              <w:left w:val="nil"/>
              <w:bottom w:val="nil"/>
              <w:right w:val="nil"/>
            </w:tcBorders>
            <w:shd w:val="clear" w:color="000000" w:fill="FFFFFF"/>
            <w:noWrap/>
            <w:vAlign w:val="bottom"/>
            <w:hideMark/>
          </w:tcPr>
          <w:p w14:paraId="46D150D4"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716BEF6"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22</w:t>
            </w:r>
          </w:p>
        </w:tc>
        <w:tc>
          <w:tcPr>
            <w:tcW w:w="272" w:type="dxa"/>
            <w:gridSpan w:val="2"/>
            <w:tcBorders>
              <w:top w:val="nil"/>
              <w:left w:val="nil"/>
              <w:bottom w:val="nil"/>
              <w:right w:val="nil"/>
            </w:tcBorders>
            <w:shd w:val="clear" w:color="000000" w:fill="FFFFFF"/>
            <w:noWrap/>
            <w:vAlign w:val="bottom"/>
            <w:hideMark/>
          </w:tcPr>
          <w:p w14:paraId="6EA8DD6C"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5F437450"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771,172</w:t>
            </w:r>
          </w:p>
        </w:tc>
        <w:tc>
          <w:tcPr>
            <w:tcW w:w="272" w:type="dxa"/>
            <w:gridSpan w:val="2"/>
            <w:tcBorders>
              <w:top w:val="nil"/>
              <w:left w:val="nil"/>
              <w:bottom w:val="nil"/>
              <w:right w:val="nil"/>
            </w:tcBorders>
            <w:shd w:val="clear" w:color="000000" w:fill="FFFFFF"/>
            <w:noWrap/>
            <w:vAlign w:val="bottom"/>
            <w:hideMark/>
          </w:tcPr>
          <w:p w14:paraId="39D21979"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4C280CD3"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23</w:t>
            </w:r>
          </w:p>
        </w:tc>
        <w:tc>
          <w:tcPr>
            <w:tcW w:w="272" w:type="dxa"/>
            <w:gridSpan w:val="2"/>
            <w:tcBorders>
              <w:top w:val="nil"/>
              <w:left w:val="nil"/>
              <w:bottom w:val="nil"/>
              <w:right w:val="nil"/>
            </w:tcBorders>
            <w:shd w:val="clear" w:color="000000" w:fill="FFFFFF"/>
            <w:noWrap/>
            <w:vAlign w:val="bottom"/>
            <w:hideMark/>
          </w:tcPr>
          <w:p w14:paraId="3780DAA3"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5506CD7"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815,190</w:t>
            </w:r>
          </w:p>
        </w:tc>
      </w:tr>
      <w:tr w:rsidR="00D677FE" w:rsidRPr="00D677FE" w14:paraId="4333A3DB"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2BFF82B1"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£50,001 to £100,000</w:t>
            </w:r>
          </w:p>
        </w:tc>
        <w:tc>
          <w:tcPr>
            <w:tcW w:w="1363" w:type="dxa"/>
            <w:tcBorders>
              <w:top w:val="nil"/>
              <w:left w:val="nil"/>
              <w:bottom w:val="nil"/>
              <w:right w:val="nil"/>
            </w:tcBorders>
            <w:shd w:val="clear" w:color="000000" w:fill="FFFFFF"/>
            <w:noWrap/>
            <w:vAlign w:val="bottom"/>
            <w:hideMark/>
          </w:tcPr>
          <w:p w14:paraId="044577D4"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7812A3FA"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7E29B536"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2119E183"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78ED3308"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19</w:t>
            </w:r>
          </w:p>
        </w:tc>
        <w:tc>
          <w:tcPr>
            <w:tcW w:w="272" w:type="dxa"/>
            <w:gridSpan w:val="2"/>
            <w:tcBorders>
              <w:top w:val="nil"/>
              <w:left w:val="nil"/>
              <w:bottom w:val="nil"/>
              <w:right w:val="nil"/>
            </w:tcBorders>
            <w:shd w:val="clear" w:color="000000" w:fill="FFFFFF"/>
            <w:noWrap/>
            <w:vAlign w:val="bottom"/>
            <w:hideMark/>
          </w:tcPr>
          <w:p w14:paraId="3ECBAEF2"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27034944"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1,437,221</w:t>
            </w:r>
          </w:p>
        </w:tc>
        <w:tc>
          <w:tcPr>
            <w:tcW w:w="272" w:type="dxa"/>
            <w:gridSpan w:val="2"/>
            <w:tcBorders>
              <w:top w:val="nil"/>
              <w:left w:val="nil"/>
              <w:bottom w:val="nil"/>
              <w:right w:val="nil"/>
            </w:tcBorders>
            <w:shd w:val="clear" w:color="000000" w:fill="FFFFFF"/>
            <w:noWrap/>
            <w:vAlign w:val="bottom"/>
            <w:hideMark/>
          </w:tcPr>
          <w:p w14:paraId="441E76E4"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5FC3E3B7"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19</w:t>
            </w:r>
          </w:p>
        </w:tc>
        <w:tc>
          <w:tcPr>
            <w:tcW w:w="272" w:type="dxa"/>
            <w:gridSpan w:val="2"/>
            <w:tcBorders>
              <w:top w:val="nil"/>
              <w:left w:val="nil"/>
              <w:bottom w:val="nil"/>
              <w:right w:val="nil"/>
            </w:tcBorders>
            <w:shd w:val="clear" w:color="000000" w:fill="FFFFFF"/>
            <w:noWrap/>
            <w:vAlign w:val="bottom"/>
            <w:hideMark/>
          </w:tcPr>
          <w:p w14:paraId="7903C9FB"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21688E9B"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1,437,221</w:t>
            </w:r>
          </w:p>
        </w:tc>
      </w:tr>
      <w:tr w:rsidR="00D677FE" w:rsidRPr="00D677FE" w14:paraId="72454D67"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2F21D057"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£100,001 to £150,000</w:t>
            </w:r>
          </w:p>
        </w:tc>
        <w:tc>
          <w:tcPr>
            <w:tcW w:w="1363" w:type="dxa"/>
            <w:tcBorders>
              <w:top w:val="nil"/>
              <w:left w:val="nil"/>
              <w:bottom w:val="nil"/>
              <w:right w:val="nil"/>
            </w:tcBorders>
            <w:shd w:val="clear" w:color="000000" w:fill="FFFFFF"/>
            <w:noWrap/>
            <w:vAlign w:val="bottom"/>
            <w:hideMark/>
          </w:tcPr>
          <w:p w14:paraId="3F4273E5"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3</w:t>
            </w:r>
          </w:p>
        </w:tc>
        <w:tc>
          <w:tcPr>
            <w:tcW w:w="272" w:type="dxa"/>
            <w:tcBorders>
              <w:top w:val="nil"/>
              <w:left w:val="nil"/>
              <w:bottom w:val="nil"/>
              <w:right w:val="nil"/>
            </w:tcBorders>
            <w:shd w:val="clear" w:color="000000" w:fill="FFFFFF"/>
            <w:noWrap/>
            <w:vAlign w:val="bottom"/>
            <w:hideMark/>
          </w:tcPr>
          <w:p w14:paraId="7364ED4F"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01F0D6BB"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394,405</w:t>
            </w:r>
          </w:p>
        </w:tc>
        <w:tc>
          <w:tcPr>
            <w:tcW w:w="272" w:type="dxa"/>
            <w:gridSpan w:val="2"/>
            <w:tcBorders>
              <w:top w:val="nil"/>
              <w:left w:val="nil"/>
              <w:bottom w:val="nil"/>
              <w:right w:val="nil"/>
            </w:tcBorders>
            <w:shd w:val="clear" w:color="000000" w:fill="FFFFFF"/>
            <w:noWrap/>
            <w:vAlign w:val="bottom"/>
            <w:hideMark/>
          </w:tcPr>
          <w:p w14:paraId="0F6A6E1F"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010F58DC"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8</w:t>
            </w:r>
          </w:p>
        </w:tc>
        <w:tc>
          <w:tcPr>
            <w:tcW w:w="272" w:type="dxa"/>
            <w:gridSpan w:val="2"/>
            <w:tcBorders>
              <w:top w:val="nil"/>
              <w:left w:val="nil"/>
              <w:bottom w:val="nil"/>
              <w:right w:val="nil"/>
            </w:tcBorders>
            <w:shd w:val="clear" w:color="000000" w:fill="FFFFFF"/>
            <w:noWrap/>
            <w:vAlign w:val="bottom"/>
            <w:hideMark/>
          </w:tcPr>
          <w:p w14:paraId="44D09FE0"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129237CF"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943,819</w:t>
            </w:r>
          </w:p>
        </w:tc>
        <w:tc>
          <w:tcPr>
            <w:tcW w:w="272" w:type="dxa"/>
            <w:gridSpan w:val="2"/>
            <w:tcBorders>
              <w:top w:val="nil"/>
              <w:left w:val="nil"/>
              <w:bottom w:val="nil"/>
              <w:right w:val="nil"/>
            </w:tcBorders>
            <w:shd w:val="clear" w:color="000000" w:fill="FFFFFF"/>
            <w:noWrap/>
            <w:vAlign w:val="bottom"/>
            <w:hideMark/>
          </w:tcPr>
          <w:p w14:paraId="0E73C091"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09AF2F47"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11</w:t>
            </w:r>
          </w:p>
        </w:tc>
        <w:tc>
          <w:tcPr>
            <w:tcW w:w="272" w:type="dxa"/>
            <w:gridSpan w:val="2"/>
            <w:tcBorders>
              <w:top w:val="nil"/>
              <w:left w:val="nil"/>
              <w:bottom w:val="nil"/>
              <w:right w:val="nil"/>
            </w:tcBorders>
            <w:shd w:val="clear" w:color="000000" w:fill="FFFFFF"/>
            <w:noWrap/>
            <w:vAlign w:val="bottom"/>
            <w:hideMark/>
          </w:tcPr>
          <w:p w14:paraId="20B57DE7"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DABC8DA"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1,338,224</w:t>
            </w:r>
          </w:p>
        </w:tc>
      </w:tr>
      <w:tr w:rsidR="00D677FE" w:rsidRPr="00D677FE" w14:paraId="1C02CF73"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67B74C25"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£150,001 to £200,000</w:t>
            </w:r>
          </w:p>
        </w:tc>
        <w:tc>
          <w:tcPr>
            <w:tcW w:w="1363" w:type="dxa"/>
            <w:tcBorders>
              <w:top w:val="nil"/>
              <w:left w:val="nil"/>
              <w:bottom w:val="nil"/>
              <w:right w:val="nil"/>
            </w:tcBorders>
            <w:shd w:val="clear" w:color="000000" w:fill="FFFFFF"/>
            <w:noWrap/>
            <w:vAlign w:val="bottom"/>
            <w:hideMark/>
          </w:tcPr>
          <w:p w14:paraId="7DF11EA6"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1</w:t>
            </w:r>
          </w:p>
        </w:tc>
        <w:tc>
          <w:tcPr>
            <w:tcW w:w="272" w:type="dxa"/>
            <w:tcBorders>
              <w:top w:val="nil"/>
              <w:left w:val="nil"/>
              <w:bottom w:val="nil"/>
              <w:right w:val="nil"/>
            </w:tcBorders>
            <w:shd w:val="clear" w:color="000000" w:fill="FFFFFF"/>
            <w:noWrap/>
            <w:vAlign w:val="bottom"/>
            <w:hideMark/>
          </w:tcPr>
          <w:p w14:paraId="2631C622"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5E8ADBB1"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160,000</w:t>
            </w:r>
          </w:p>
        </w:tc>
        <w:tc>
          <w:tcPr>
            <w:tcW w:w="272" w:type="dxa"/>
            <w:gridSpan w:val="2"/>
            <w:tcBorders>
              <w:top w:val="nil"/>
              <w:left w:val="nil"/>
              <w:bottom w:val="nil"/>
              <w:right w:val="nil"/>
            </w:tcBorders>
            <w:shd w:val="clear" w:color="000000" w:fill="FFFFFF"/>
            <w:noWrap/>
            <w:vAlign w:val="bottom"/>
            <w:hideMark/>
          </w:tcPr>
          <w:p w14:paraId="101B113C"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7970EEE7"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3</w:t>
            </w:r>
          </w:p>
        </w:tc>
        <w:tc>
          <w:tcPr>
            <w:tcW w:w="272" w:type="dxa"/>
            <w:gridSpan w:val="2"/>
            <w:tcBorders>
              <w:top w:val="nil"/>
              <w:left w:val="nil"/>
              <w:bottom w:val="nil"/>
              <w:right w:val="nil"/>
            </w:tcBorders>
            <w:shd w:val="clear" w:color="000000" w:fill="FFFFFF"/>
            <w:noWrap/>
            <w:vAlign w:val="bottom"/>
            <w:hideMark/>
          </w:tcPr>
          <w:p w14:paraId="7C8A1863"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58D69390"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480,000</w:t>
            </w:r>
          </w:p>
        </w:tc>
        <w:tc>
          <w:tcPr>
            <w:tcW w:w="272" w:type="dxa"/>
            <w:gridSpan w:val="2"/>
            <w:tcBorders>
              <w:top w:val="nil"/>
              <w:left w:val="nil"/>
              <w:bottom w:val="nil"/>
              <w:right w:val="nil"/>
            </w:tcBorders>
            <w:shd w:val="clear" w:color="000000" w:fill="FFFFFF"/>
            <w:noWrap/>
            <w:vAlign w:val="bottom"/>
            <w:hideMark/>
          </w:tcPr>
          <w:p w14:paraId="3AE7D00F"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A2593A2"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4</w:t>
            </w:r>
          </w:p>
        </w:tc>
        <w:tc>
          <w:tcPr>
            <w:tcW w:w="272" w:type="dxa"/>
            <w:gridSpan w:val="2"/>
            <w:tcBorders>
              <w:top w:val="nil"/>
              <w:left w:val="nil"/>
              <w:bottom w:val="nil"/>
              <w:right w:val="nil"/>
            </w:tcBorders>
            <w:shd w:val="clear" w:color="000000" w:fill="FFFFFF"/>
            <w:noWrap/>
            <w:vAlign w:val="bottom"/>
            <w:hideMark/>
          </w:tcPr>
          <w:p w14:paraId="3E9D92EE"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3E1A8F93"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640,000</w:t>
            </w:r>
          </w:p>
        </w:tc>
      </w:tr>
      <w:tr w:rsidR="00D677FE" w:rsidRPr="00D677FE" w14:paraId="0C38E17A"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32DD2879"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Over £200,001</w:t>
            </w:r>
          </w:p>
        </w:tc>
        <w:tc>
          <w:tcPr>
            <w:tcW w:w="1363" w:type="dxa"/>
            <w:tcBorders>
              <w:top w:val="nil"/>
              <w:left w:val="nil"/>
              <w:bottom w:val="nil"/>
              <w:right w:val="nil"/>
            </w:tcBorders>
            <w:shd w:val="clear" w:color="000000" w:fill="FFFFFF"/>
            <w:noWrap/>
            <w:vAlign w:val="bottom"/>
            <w:hideMark/>
          </w:tcPr>
          <w:p w14:paraId="69667E8D"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1C11C3D6"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7092AFB2"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466B4064"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1B921891"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4EC53D27"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7FC7F022"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345448EE"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207EA09D"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34E46BD2"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3A092763"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r>
      <w:tr w:rsidR="00D677FE" w:rsidRPr="00D677FE" w14:paraId="61DFAA37" w14:textId="77777777" w:rsidTr="00DB1B0E">
        <w:trPr>
          <w:gridAfter w:val="1"/>
          <w:wAfter w:w="6" w:type="dxa"/>
          <w:trHeight w:val="280"/>
        </w:trPr>
        <w:tc>
          <w:tcPr>
            <w:tcW w:w="2269" w:type="dxa"/>
            <w:tcBorders>
              <w:top w:val="nil"/>
              <w:left w:val="nil"/>
              <w:bottom w:val="nil"/>
              <w:right w:val="nil"/>
            </w:tcBorders>
            <w:shd w:val="clear" w:color="auto" w:fill="auto"/>
            <w:noWrap/>
            <w:vAlign w:val="bottom"/>
            <w:hideMark/>
          </w:tcPr>
          <w:p w14:paraId="7D2EB6FF"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Total</w:t>
            </w:r>
          </w:p>
        </w:tc>
        <w:tc>
          <w:tcPr>
            <w:tcW w:w="1363" w:type="dxa"/>
            <w:tcBorders>
              <w:top w:val="single" w:sz="4" w:space="0" w:color="auto"/>
              <w:left w:val="nil"/>
              <w:bottom w:val="single" w:sz="4" w:space="0" w:color="auto"/>
              <w:right w:val="nil"/>
            </w:tcBorders>
            <w:shd w:val="clear" w:color="000000" w:fill="FFFFFF"/>
            <w:noWrap/>
            <w:vAlign w:val="bottom"/>
            <w:hideMark/>
          </w:tcPr>
          <w:p w14:paraId="042F3EE4"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5</w:t>
            </w:r>
          </w:p>
        </w:tc>
        <w:tc>
          <w:tcPr>
            <w:tcW w:w="272" w:type="dxa"/>
            <w:tcBorders>
              <w:top w:val="nil"/>
              <w:left w:val="nil"/>
              <w:bottom w:val="nil"/>
              <w:right w:val="nil"/>
            </w:tcBorders>
            <w:shd w:val="clear" w:color="000000" w:fill="FFFFFF"/>
            <w:noWrap/>
            <w:vAlign w:val="bottom"/>
            <w:hideMark/>
          </w:tcPr>
          <w:p w14:paraId="238C53D2"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1180" w:type="dxa"/>
            <w:tcBorders>
              <w:top w:val="single" w:sz="4" w:space="0" w:color="auto"/>
              <w:left w:val="nil"/>
              <w:bottom w:val="single" w:sz="4" w:space="0" w:color="auto"/>
              <w:right w:val="nil"/>
            </w:tcBorders>
            <w:shd w:val="clear" w:color="000000" w:fill="FFFFFF"/>
            <w:noWrap/>
            <w:vAlign w:val="bottom"/>
            <w:hideMark/>
          </w:tcPr>
          <w:p w14:paraId="59787275"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598,423</w:t>
            </w:r>
          </w:p>
        </w:tc>
        <w:tc>
          <w:tcPr>
            <w:tcW w:w="272" w:type="dxa"/>
            <w:gridSpan w:val="2"/>
            <w:tcBorders>
              <w:top w:val="nil"/>
              <w:left w:val="nil"/>
              <w:bottom w:val="nil"/>
              <w:right w:val="nil"/>
            </w:tcBorders>
            <w:shd w:val="clear" w:color="000000" w:fill="FFFFFF"/>
            <w:noWrap/>
            <w:vAlign w:val="bottom"/>
            <w:hideMark/>
          </w:tcPr>
          <w:p w14:paraId="7CCBE42B"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1180" w:type="dxa"/>
            <w:gridSpan w:val="2"/>
            <w:tcBorders>
              <w:top w:val="single" w:sz="4" w:space="0" w:color="auto"/>
              <w:left w:val="nil"/>
              <w:bottom w:val="single" w:sz="4" w:space="0" w:color="auto"/>
              <w:right w:val="nil"/>
            </w:tcBorders>
            <w:shd w:val="clear" w:color="000000" w:fill="FFFFFF"/>
            <w:noWrap/>
            <w:vAlign w:val="bottom"/>
            <w:hideMark/>
          </w:tcPr>
          <w:p w14:paraId="34FD3484"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71</w:t>
            </w:r>
          </w:p>
        </w:tc>
        <w:tc>
          <w:tcPr>
            <w:tcW w:w="272" w:type="dxa"/>
            <w:gridSpan w:val="2"/>
            <w:tcBorders>
              <w:top w:val="nil"/>
              <w:left w:val="nil"/>
              <w:bottom w:val="nil"/>
              <w:right w:val="nil"/>
            </w:tcBorders>
            <w:shd w:val="clear" w:color="000000" w:fill="FFFFFF"/>
            <w:noWrap/>
            <w:vAlign w:val="bottom"/>
            <w:hideMark/>
          </w:tcPr>
          <w:p w14:paraId="70D47F32"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1417" w:type="dxa"/>
            <w:gridSpan w:val="2"/>
            <w:tcBorders>
              <w:top w:val="single" w:sz="4" w:space="0" w:color="auto"/>
              <w:left w:val="nil"/>
              <w:bottom w:val="single" w:sz="4" w:space="0" w:color="auto"/>
              <w:right w:val="nil"/>
            </w:tcBorders>
            <w:shd w:val="clear" w:color="000000" w:fill="FFFFFF"/>
            <w:noWrap/>
            <w:vAlign w:val="bottom"/>
            <w:hideMark/>
          </w:tcPr>
          <w:p w14:paraId="232099CD"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3,929,936</w:t>
            </w:r>
          </w:p>
        </w:tc>
        <w:tc>
          <w:tcPr>
            <w:tcW w:w="272" w:type="dxa"/>
            <w:gridSpan w:val="2"/>
            <w:tcBorders>
              <w:top w:val="nil"/>
              <w:left w:val="nil"/>
              <w:bottom w:val="nil"/>
              <w:right w:val="nil"/>
            </w:tcBorders>
            <w:shd w:val="clear" w:color="000000" w:fill="FFFFFF"/>
            <w:noWrap/>
            <w:vAlign w:val="bottom"/>
            <w:hideMark/>
          </w:tcPr>
          <w:p w14:paraId="34B91208"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1180" w:type="dxa"/>
            <w:gridSpan w:val="2"/>
            <w:tcBorders>
              <w:top w:val="single" w:sz="4" w:space="0" w:color="auto"/>
              <w:left w:val="nil"/>
              <w:bottom w:val="single" w:sz="4" w:space="0" w:color="auto"/>
              <w:right w:val="nil"/>
            </w:tcBorders>
            <w:shd w:val="clear" w:color="000000" w:fill="FFFFFF"/>
            <w:noWrap/>
            <w:vAlign w:val="bottom"/>
            <w:hideMark/>
          </w:tcPr>
          <w:p w14:paraId="3AF59E77"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76</w:t>
            </w:r>
          </w:p>
        </w:tc>
        <w:tc>
          <w:tcPr>
            <w:tcW w:w="272" w:type="dxa"/>
            <w:gridSpan w:val="2"/>
            <w:tcBorders>
              <w:top w:val="nil"/>
              <w:left w:val="nil"/>
              <w:bottom w:val="nil"/>
              <w:right w:val="nil"/>
            </w:tcBorders>
            <w:shd w:val="clear" w:color="000000" w:fill="FFFFFF"/>
            <w:noWrap/>
            <w:vAlign w:val="bottom"/>
            <w:hideMark/>
          </w:tcPr>
          <w:p w14:paraId="7BCD01BC"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1180" w:type="dxa"/>
            <w:gridSpan w:val="2"/>
            <w:tcBorders>
              <w:top w:val="single" w:sz="4" w:space="0" w:color="auto"/>
              <w:left w:val="nil"/>
              <w:bottom w:val="single" w:sz="4" w:space="0" w:color="auto"/>
              <w:right w:val="nil"/>
            </w:tcBorders>
            <w:shd w:val="clear" w:color="000000" w:fill="FFFFFF"/>
            <w:noWrap/>
            <w:vAlign w:val="bottom"/>
            <w:hideMark/>
          </w:tcPr>
          <w:p w14:paraId="02C88695"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4,528,359</w:t>
            </w:r>
          </w:p>
        </w:tc>
      </w:tr>
      <w:tr w:rsidR="00D677FE" w:rsidRPr="00D677FE" w14:paraId="65813C0B"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5C91E0A4" w14:textId="77777777" w:rsidR="00D677FE" w:rsidRPr="00D677FE" w:rsidRDefault="00D677FE" w:rsidP="00D677FE">
            <w:pPr>
              <w:spacing w:before="0" w:after="0"/>
              <w:jc w:val="right"/>
              <w:rPr>
                <w:rFonts w:eastAsia="Times New Roman" w:cs="Arial"/>
                <w:b/>
                <w:bCs/>
                <w:sz w:val="20"/>
                <w:szCs w:val="20"/>
                <w:lang w:eastAsia="en-GB"/>
              </w:rPr>
            </w:pPr>
          </w:p>
        </w:tc>
        <w:tc>
          <w:tcPr>
            <w:tcW w:w="1363" w:type="dxa"/>
            <w:tcBorders>
              <w:top w:val="nil"/>
              <w:left w:val="nil"/>
              <w:bottom w:val="nil"/>
              <w:right w:val="nil"/>
            </w:tcBorders>
            <w:shd w:val="clear" w:color="000000" w:fill="FFFFFF"/>
            <w:noWrap/>
            <w:vAlign w:val="bottom"/>
            <w:hideMark/>
          </w:tcPr>
          <w:p w14:paraId="6363CA32"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650B91C"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61DA0B96"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04FB5DFA"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3A50E330"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4C287816"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4793C10E"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0A62007E"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CB9A369"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28BED17B"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3B772989"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r>
      <w:tr w:rsidR="00DB1B0E" w:rsidRPr="00D677FE" w14:paraId="0769ED19" w14:textId="77777777" w:rsidTr="00DB1B0E">
        <w:trPr>
          <w:gridAfter w:val="1"/>
          <w:wAfter w:w="6" w:type="dxa"/>
          <w:trHeight w:val="260"/>
        </w:trPr>
        <w:tc>
          <w:tcPr>
            <w:tcW w:w="2269" w:type="dxa"/>
            <w:tcBorders>
              <w:top w:val="nil"/>
              <w:left w:val="nil"/>
              <w:bottom w:val="nil"/>
              <w:right w:val="nil"/>
            </w:tcBorders>
            <w:shd w:val="clear" w:color="auto" w:fill="auto"/>
            <w:noWrap/>
            <w:vAlign w:val="bottom"/>
            <w:hideMark/>
          </w:tcPr>
          <w:p w14:paraId="7C495CAF" w14:textId="77777777" w:rsidR="00D677FE" w:rsidRPr="00D677FE" w:rsidRDefault="00D677FE" w:rsidP="00D677FE">
            <w:pPr>
              <w:spacing w:before="0" w:after="0"/>
              <w:rPr>
                <w:rFonts w:eastAsia="Times New Roman" w:cs="Arial"/>
                <w:sz w:val="20"/>
                <w:szCs w:val="20"/>
                <w:lang w:eastAsia="en-GB"/>
              </w:rPr>
            </w:pPr>
          </w:p>
        </w:tc>
        <w:tc>
          <w:tcPr>
            <w:tcW w:w="2815" w:type="dxa"/>
            <w:gridSpan w:val="3"/>
            <w:tcBorders>
              <w:top w:val="nil"/>
              <w:left w:val="nil"/>
              <w:bottom w:val="nil"/>
              <w:right w:val="nil"/>
            </w:tcBorders>
            <w:shd w:val="clear" w:color="000000" w:fill="FFFFFF"/>
            <w:noWrap/>
            <w:vAlign w:val="bottom"/>
            <w:hideMark/>
          </w:tcPr>
          <w:p w14:paraId="257592AC"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1-Jul-22 to 31-Mar-23</w:t>
            </w:r>
          </w:p>
        </w:tc>
        <w:tc>
          <w:tcPr>
            <w:tcW w:w="272" w:type="dxa"/>
            <w:gridSpan w:val="2"/>
            <w:tcBorders>
              <w:top w:val="nil"/>
              <w:left w:val="nil"/>
              <w:bottom w:val="nil"/>
              <w:right w:val="nil"/>
            </w:tcBorders>
            <w:shd w:val="clear" w:color="000000" w:fill="FFFFFF"/>
            <w:noWrap/>
            <w:vAlign w:val="bottom"/>
            <w:hideMark/>
          </w:tcPr>
          <w:p w14:paraId="2A8895F2"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 </w:t>
            </w:r>
          </w:p>
        </w:tc>
        <w:tc>
          <w:tcPr>
            <w:tcW w:w="2869" w:type="dxa"/>
            <w:gridSpan w:val="6"/>
            <w:tcBorders>
              <w:top w:val="nil"/>
              <w:left w:val="nil"/>
              <w:bottom w:val="nil"/>
              <w:right w:val="nil"/>
            </w:tcBorders>
            <w:shd w:val="clear" w:color="000000" w:fill="FFFFFF"/>
            <w:noWrap/>
            <w:vAlign w:val="bottom"/>
            <w:hideMark/>
          </w:tcPr>
          <w:p w14:paraId="54ED2700"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1-Jul-22 to 31-Mar-23</w:t>
            </w:r>
          </w:p>
        </w:tc>
        <w:tc>
          <w:tcPr>
            <w:tcW w:w="272" w:type="dxa"/>
            <w:gridSpan w:val="2"/>
            <w:tcBorders>
              <w:top w:val="nil"/>
              <w:left w:val="nil"/>
              <w:bottom w:val="nil"/>
              <w:right w:val="nil"/>
            </w:tcBorders>
            <w:shd w:val="clear" w:color="000000" w:fill="FFFFFF"/>
            <w:noWrap/>
            <w:vAlign w:val="bottom"/>
            <w:hideMark/>
          </w:tcPr>
          <w:p w14:paraId="28FE0CC8"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 </w:t>
            </w:r>
          </w:p>
        </w:tc>
        <w:tc>
          <w:tcPr>
            <w:tcW w:w="2632" w:type="dxa"/>
            <w:gridSpan w:val="6"/>
            <w:tcBorders>
              <w:top w:val="nil"/>
              <w:left w:val="nil"/>
              <w:bottom w:val="nil"/>
              <w:right w:val="nil"/>
            </w:tcBorders>
            <w:shd w:val="clear" w:color="000000" w:fill="FFFFFF"/>
            <w:noWrap/>
            <w:vAlign w:val="bottom"/>
            <w:hideMark/>
          </w:tcPr>
          <w:p w14:paraId="353D3012"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1-Jul-22 to 31-Mar-23</w:t>
            </w:r>
          </w:p>
        </w:tc>
      </w:tr>
      <w:tr w:rsidR="00DB1B0E" w:rsidRPr="00D677FE" w14:paraId="1386040E" w14:textId="77777777" w:rsidTr="00DB1B0E">
        <w:trPr>
          <w:gridAfter w:val="1"/>
          <w:wAfter w:w="6" w:type="dxa"/>
          <w:trHeight w:val="260"/>
        </w:trPr>
        <w:tc>
          <w:tcPr>
            <w:tcW w:w="2269" w:type="dxa"/>
            <w:tcBorders>
              <w:top w:val="nil"/>
              <w:left w:val="nil"/>
              <w:bottom w:val="nil"/>
              <w:right w:val="nil"/>
            </w:tcBorders>
            <w:shd w:val="clear" w:color="auto" w:fill="auto"/>
            <w:noWrap/>
            <w:vAlign w:val="bottom"/>
            <w:hideMark/>
          </w:tcPr>
          <w:p w14:paraId="05B9814C" w14:textId="77777777" w:rsidR="00D677FE" w:rsidRPr="00D677FE" w:rsidRDefault="00D677FE" w:rsidP="00D677FE">
            <w:pPr>
              <w:spacing w:before="0" w:after="0"/>
              <w:jc w:val="right"/>
              <w:rPr>
                <w:rFonts w:eastAsia="Times New Roman" w:cs="Arial"/>
                <w:sz w:val="20"/>
                <w:szCs w:val="20"/>
                <w:lang w:eastAsia="en-GB"/>
              </w:rPr>
            </w:pPr>
          </w:p>
        </w:tc>
        <w:tc>
          <w:tcPr>
            <w:tcW w:w="2815" w:type="dxa"/>
            <w:gridSpan w:val="3"/>
            <w:tcBorders>
              <w:top w:val="nil"/>
              <w:left w:val="nil"/>
              <w:bottom w:val="nil"/>
              <w:right w:val="nil"/>
            </w:tcBorders>
            <w:shd w:val="clear" w:color="000000" w:fill="FFFFFF"/>
            <w:noWrap/>
            <w:vAlign w:val="bottom"/>
            <w:hideMark/>
          </w:tcPr>
          <w:p w14:paraId="38A1F057"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Compulsory redundancies</w:t>
            </w:r>
          </w:p>
        </w:tc>
        <w:tc>
          <w:tcPr>
            <w:tcW w:w="272" w:type="dxa"/>
            <w:gridSpan w:val="2"/>
            <w:tcBorders>
              <w:top w:val="nil"/>
              <w:left w:val="nil"/>
              <w:bottom w:val="nil"/>
              <w:right w:val="nil"/>
            </w:tcBorders>
            <w:shd w:val="clear" w:color="000000" w:fill="FFFFFF"/>
            <w:noWrap/>
            <w:vAlign w:val="bottom"/>
            <w:hideMark/>
          </w:tcPr>
          <w:p w14:paraId="378E0822"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 </w:t>
            </w:r>
          </w:p>
        </w:tc>
        <w:tc>
          <w:tcPr>
            <w:tcW w:w="2869" w:type="dxa"/>
            <w:gridSpan w:val="6"/>
            <w:tcBorders>
              <w:top w:val="nil"/>
              <w:left w:val="nil"/>
              <w:bottom w:val="nil"/>
              <w:right w:val="nil"/>
            </w:tcBorders>
            <w:shd w:val="clear" w:color="000000" w:fill="FFFFFF"/>
            <w:noWrap/>
            <w:vAlign w:val="bottom"/>
            <w:hideMark/>
          </w:tcPr>
          <w:p w14:paraId="5EDAC19D"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Other agreed departures</w:t>
            </w:r>
          </w:p>
        </w:tc>
        <w:tc>
          <w:tcPr>
            <w:tcW w:w="272" w:type="dxa"/>
            <w:gridSpan w:val="2"/>
            <w:tcBorders>
              <w:top w:val="nil"/>
              <w:left w:val="nil"/>
              <w:bottom w:val="nil"/>
              <w:right w:val="nil"/>
            </w:tcBorders>
            <w:shd w:val="clear" w:color="000000" w:fill="FFFFFF"/>
            <w:noWrap/>
            <w:vAlign w:val="bottom"/>
            <w:hideMark/>
          </w:tcPr>
          <w:p w14:paraId="094285E5"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 </w:t>
            </w:r>
          </w:p>
        </w:tc>
        <w:tc>
          <w:tcPr>
            <w:tcW w:w="2632" w:type="dxa"/>
            <w:gridSpan w:val="6"/>
            <w:tcBorders>
              <w:top w:val="nil"/>
              <w:left w:val="nil"/>
              <w:bottom w:val="nil"/>
              <w:right w:val="nil"/>
            </w:tcBorders>
            <w:shd w:val="clear" w:color="000000" w:fill="FFFFFF"/>
            <w:noWrap/>
            <w:vAlign w:val="bottom"/>
            <w:hideMark/>
          </w:tcPr>
          <w:p w14:paraId="58175E35"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Total</w:t>
            </w:r>
          </w:p>
        </w:tc>
      </w:tr>
      <w:tr w:rsidR="00D677FE" w:rsidRPr="00D677FE" w14:paraId="25675175"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175636AD" w14:textId="77777777" w:rsidR="00D677FE" w:rsidRPr="00D677FE" w:rsidRDefault="00D677FE" w:rsidP="00D677FE">
            <w:pPr>
              <w:spacing w:before="0" w:after="0"/>
              <w:jc w:val="right"/>
              <w:rPr>
                <w:rFonts w:eastAsia="Times New Roman" w:cs="Arial"/>
                <w:sz w:val="20"/>
                <w:szCs w:val="20"/>
                <w:lang w:eastAsia="en-GB"/>
              </w:rPr>
            </w:pPr>
          </w:p>
        </w:tc>
        <w:tc>
          <w:tcPr>
            <w:tcW w:w="1363" w:type="dxa"/>
            <w:tcBorders>
              <w:top w:val="nil"/>
              <w:left w:val="nil"/>
              <w:bottom w:val="nil"/>
              <w:right w:val="nil"/>
            </w:tcBorders>
            <w:shd w:val="clear" w:color="000000" w:fill="FFFFFF"/>
            <w:noWrap/>
            <w:vAlign w:val="bottom"/>
            <w:hideMark/>
          </w:tcPr>
          <w:p w14:paraId="617C370E"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Number</w:t>
            </w:r>
          </w:p>
        </w:tc>
        <w:tc>
          <w:tcPr>
            <w:tcW w:w="272" w:type="dxa"/>
            <w:tcBorders>
              <w:top w:val="nil"/>
              <w:left w:val="nil"/>
              <w:bottom w:val="nil"/>
              <w:right w:val="nil"/>
            </w:tcBorders>
            <w:shd w:val="clear" w:color="000000" w:fill="FFFFFF"/>
            <w:noWrap/>
            <w:vAlign w:val="bottom"/>
            <w:hideMark/>
          </w:tcPr>
          <w:p w14:paraId="7558F45E"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70A3A3A5"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50C9E78D"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CC4FABD"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Number</w:t>
            </w:r>
          </w:p>
        </w:tc>
        <w:tc>
          <w:tcPr>
            <w:tcW w:w="272" w:type="dxa"/>
            <w:gridSpan w:val="2"/>
            <w:tcBorders>
              <w:top w:val="nil"/>
              <w:left w:val="nil"/>
              <w:bottom w:val="nil"/>
              <w:right w:val="nil"/>
            </w:tcBorders>
            <w:shd w:val="clear" w:color="000000" w:fill="FFFFFF"/>
            <w:noWrap/>
            <w:vAlign w:val="bottom"/>
            <w:hideMark/>
          </w:tcPr>
          <w:p w14:paraId="5BD421CA"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74212968"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373E719E"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71999788"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Number</w:t>
            </w:r>
          </w:p>
        </w:tc>
        <w:tc>
          <w:tcPr>
            <w:tcW w:w="272" w:type="dxa"/>
            <w:gridSpan w:val="2"/>
            <w:tcBorders>
              <w:top w:val="nil"/>
              <w:left w:val="nil"/>
              <w:bottom w:val="nil"/>
              <w:right w:val="nil"/>
            </w:tcBorders>
            <w:shd w:val="clear" w:color="000000" w:fill="FFFFFF"/>
            <w:noWrap/>
            <w:vAlign w:val="bottom"/>
            <w:hideMark/>
          </w:tcPr>
          <w:p w14:paraId="2C573425"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28782D1C"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r>
      <w:tr w:rsidR="00D677FE" w:rsidRPr="00D677FE" w14:paraId="2D986BBD"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07ACB785"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Less than £10,000</w:t>
            </w:r>
          </w:p>
        </w:tc>
        <w:tc>
          <w:tcPr>
            <w:tcW w:w="1363" w:type="dxa"/>
            <w:tcBorders>
              <w:top w:val="nil"/>
              <w:left w:val="nil"/>
              <w:bottom w:val="nil"/>
              <w:right w:val="nil"/>
            </w:tcBorders>
            <w:shd w:val="clear" w:color="000000" w:fill="FFFFFF"/>
            <w:noWrap/>
            <w:vAlign w:val="bottom"/>
            <w:hideMark/>
          </w:tcPr>
          <w:p w14:paraId="08091DC5"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60C7C7BC"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6B4667D6"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070A7634"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37656D4D"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491EF698"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43E6F3F8"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0E2A4744"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06FCAAD6"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263290E3"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7CED1054"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r>
      <w:tr w:rsidR="00D677FE" w:rsidRPr="00D677FE" w14:paraId="6D70EA45"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4B6A0A00"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£10,001 to £25,000</w:t>
            </w:r>
          </w:p>
        </w:tc>
        <w:tc>
          <w:tcPr>
            <w:tcW w:w="1363" w:type="dxa"/>
            <w:tcBorders>
              <w:top w:val="nil"/>
              <w:left w:val="nil"/>
              <w:bottom w:val="nil"/>
              <w:right w:val="nil"/>
            </w:tcBorders>
            <w:shd w:val="clear" w:color="000000" w:fill="FFFFFF"/>
            <w:noWrap/>
            <w:vAlign w:val="bottom"/>
            <w:hideMark/>
          </w:tcPr>
          <w:p w14:paraId="3E0E81C2"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3</w:t>
            </w:r>
          </w:p>
        </w:tc>
        <w:tc>
          <w:tcPr>
            <w:tcW w:w="272" w:type="dxa"/>
            <w:tcBorders>
              <w:top w:val="nil"/>
              <w:left w:val="nil"/>
              <w:bottom w:val="nil"/>
              <w:right w:val="nil"/>
            </w:tcBorders>
            <w:shd w:val="clear" w:color="000000" w:fill="FFFFFF"/>
            <w:noWrap/>
            <w:vAlign w:val="bottom"/>
            <w:hideMark/>
          </w:tcPr>
          <w:p w14:paraId="4D94CE8F"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60C5310B"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45,440</w:t>
            </w:r>
          </w:p>
        </w:tc>
        <w:tc>
          <w:tcPr>
            <w:tcW w:w="272" w:type="dxa"/>
            <w:gridSpan w:val="2"/>
            <w:tcBorders>
              <w:top w:val="nil"/>
              <w:left w:val="nil"/>
              <w:bottom w:val="nil"/>
              <w:right w:val="nil"/>
            </w:tcBorders>
            <w:shd w:val="clear" w:color="000000" w:fill="FFFFFF"/>
            <w:noWrap/>
            <w:vAlign w:val="bottom"/>
            <w:hideMark/>
          </w:tcPr>
          <w:p w14:paraId="07F75ED2"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37FD6060"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0E6724A9"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25F61C72"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6DAE0BF7"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490DF8AB"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3</w:t>
            </w:r>
          </w:p>
        </w:tc>
        <w:tc>
          <w:tcPr>
            <w:tcW w:w="272" w:type="dxa"/>
            <w:gridSpan w:val="2"/>
            <w:tcBorders>
              <w:top w:val="nil"/>
              <w:left w:val="nil"/>
              <w:bottom w:val="nil"/>
              <w:right w:val="nil"/>
            </w:tcBorders>
            <w:shd w:val="clear" w:color="000000" w:fill="FFFFFF"/>
            <w:noWrap/>
            <w:vAlign w:val="bottom"/>
            <w:hideMark/>
          </w:tcPr>
          <w:p w14:paraId="38098E5D"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1A7623F"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45,440</w:t>
            </w:r>
          </w:p>
        </w:tc>
      </w:tr>
      <w:tr w:rsidR="00D677FE" w:rsidRPr="00D677FE" w14:paraId="66BE74B1"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1FD83BAD"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£25,001 to £50,000</w:t>
            </w:r>
          </w:p>
        </w:tc>
        <w:tc>
          <w:tcPr>
            <w:tcW w:w="1363" w:type="dxa"/>
            <w:tcBorders>
              <w:top w:val="nil"/>
              <w:left w:val="nil"/>
              <w:bottom w:val="nil"/>
              <w:right w:val="nil"/>
            </w:tcBorders>
            <w:shd w:val="clear" w:color="000000" w:fill="FFFFFF"/>
            <w:noWrap/>
            <w:vAlign w:val="bottom"/>
            <w:hideMark/>
          </w:tcPr>
          <w:p w14:paraId="457610D2"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1</w:t>
            </w:r>
          </w:p>
        </w:tc>
        <w:tc>
          <w:tcPr>
            <w:tcW w:w="272" w:type="dxa"/>
            <w:tcBorders>
              <w:top w:val="nil"/>
              <w:left w:val="nil"/>
              <w:bottom w:val="nil"/>
              <w:right w:val="nil"/>
            </w:tcBorders>
            <w:shd w:val="clear" w:color="000000" w:fill="FFFFFF"/>
            <w:noWrap/>
            <w:vAlign w:val="bottom"/>
            <w:hideMark/>
          </w:tcPr>
          <w:p w14:paraId="5D70323C"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344421DB"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43,804</w:t>
            </w:r>
          </w:p>
        </w:tc>
        <w:tc>
          <w:tcPr>
            <w:tcW w:w="272" w:type="dxa"/>
            <w:gridSpan w:val="2"/>
            <w:tcBorders>
              <w:top w:val="nil"/>
              <w:left w:val="nil"/>
              <w:bottom w:val="nil"/>
              <w:right w:val="nil"/>
            </w:tcBorders>
            <w:shd w:val="clear" w:color="000000" w:fill="FFFFFF"/>
            <w:noWrap/>
            <w:vAlign w:val="bottom"/>
            <w:hideMark/>
          </w:tcPr>
          <w:p w14:paraId="34D3A447"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365209D7"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045052FA"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188BFA71"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4D138EAD"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02556396"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1</w:t>
            </w:r>
          </w:p>
        </w:tc>
        <w:tc>
          <w:tcPr>
            <w:tcW w:w="272" w:type="dxa"/>
            <w:gridSpan w:val="2"/>
            <w:tcBorders>
              <w:top w:val="nil"/>
              <w:left w:val="nil"/>
              <w:bottom w:val="nil"/>
              <w:right w:val="nil"/>
            </w:tcBorders>
            <w:shd w:val="clear" w:color="000000" w:fill="FFFFFF"/>
            <w:noWrap/>
            <w:vAlign w:val="bottom"/>
            <w:hideMark/>
          </w:tcPr>
          <w:p w14:paraId="20DA11B7"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8E65101"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43,804</w:t>
            </w:r>
          </w:p>
        </w:tc>
      </w:tr>
      <w:tr w:rsidR="00D677FE" w:rsidRPr="00D677FE" w14:paraId="17894BE0"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338FA8A2"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£50,001 to £100,000</w:t>
            </w:r>
          </w:p>
        </w:tc>
        <w:tc>
          <w:tcPr>
            <w:tcW w:w="1363" w:type="dxa"/>
            <w:tcBorders>
              <w:top w:val="nil"/>
              <w:left w:val="nil"/>
              <w:bottom w:val="nil"/>
              <w:right w:val="nil"/>
            </w:tcBorders>
            <w:shd w:val="clear" w:color="000000" w:fill="FFFFFF"/>
            <w:noWrap/>
            <w:vAlign w:val="bottom"/>
            <w:hideMark/>
          </w:tcPr>
          <w:p w14:paraId="29450BC5"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3</w:t>
            </w:r>
          </w:p>
        </w:tc>
        <w:tc>
          <w:tcPr>
            <w:tcW w:w="272" w:type="dxa"/>
            <w:tcBorders>
              <w:top w:val="nil"/>
              <w:left w:val="nil"/>
              <w:bottom w:val="nil"/>
              <w:right w:val="nil"/>
            </w:tcBorders>
            <w:shd w:val="clear" w:color="000000" w:fill="FFFFFF"/>
            <w:noWrap/>
            <w:vAlign w:val="bottom"/>
            <w:hideMark/>
          </w:tcPr>
          <w:p w14:paraId="58E151E4"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570F830D"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199,040</w:t>
            </w:r>
          </w:p>
        </w:tc>
        <w:tc>
          <w:tcPr>
            <w:tcW w:w="272" w:type="dxa"/>
            <w:gridSpan w:val="2"/>
            <w:tcBorders>
              <w:top w:val="nil"/>
              <w:left w:val="nil"/>
              <w:bottom w:val="nil"/>
              <w:right w:val="nil"/>
            </w:tcBorders>
            <w:shd w:val="clear" w:color="000000" w:fill="FFFFFF"/>
            <w:noWrap/>
            <w:vAlign w:val="bottom"/>
            <w:hideMark/>
          </w:tcPr>
          <w:p w14:paraId="092360CB"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2D4501C5"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4B61BAFB"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7F4F15E8"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1808669C"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155535EE"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3</w:t>
            </w:r>
          </w:p>
        </w:tc>
        <w:tc>
          <w:tcPr>
            <w:tcW w:w="272" w:type="dxa"/>
            <w:gridSpan w:val="2"/>
            <w:tcBorders>
              <w:top w:val="nil"/>
              <w:left w:val="nil"/>
              <w:bottom w:val="nil"/>
              <w:right w:val="nil"/>
            </w:tcBorders>
            <w:shd w:val="clear" w:color="000000" w:fill="FFFFFF"/>
            <w:noWrap/>
            <w:vAlign w:val="bottom"/>
            <w:hideMark/>
          </w:tcPr>
          <w:p w14:paraId="0102BB57"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0D99DD8"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199,040</w:t>
            </w:r>
          </w:p>
        </w:tc>
      </w:tr>
      <w:tr w:rsidR="00D677FE" w:rsidRPr="00D677FE" w14:paraId="6FBF18A4"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09309E9B"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£100,001 to £150,000</w:t>
            </w:r>
          </w:p>
        </w:tc>
        <w:tc>
          <w:tcPr>
            <w:tcW w:w="1363" w:type="dxa"/>
            <w:tcBorders>
              <w:top w:val="nil"/>
              <w:left w:val="nil"/>
              <w:bottom w:val="nil"/>
              <w:right w:val="nil"/>
            </w:tcBorders>
            <w:shd w:val="clear" w:color="000000" w:fill="FFFFFF"/>
            <w:noWrap/>
            <w:vAlign w:val="bottom"/>
            <w:hideMark/>
          </w:tcPr>
          <w:p w14:paraId="294145B3"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2</w:t>
            </w:r>
          </w:p>
        </w:tc>
        <w:tc>
          <w:tcPr>
            <w:tcW w:w="272" w:type="dxa"/>
            <w:tcBorders>
              <w:top w:val="nil"/>
              <w:left w:val="nil"/>
              <w:bottom w:val="nil"/>
              <w:right w:val="nil"/>
            </w:tcBorders>
            <w:shd w:val="clear" w:color="000000" w:fill="FFFFFF"/>
            <w:noWrap/>
            <w:vAlign w:val="bottom"/>
            <w:hideMark/>
          </w:tcPr>
          <w:p w14:paraId="481BB001"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693BF73E"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250,703</w:t>
            </w:r>
          </w:p>
        </w:tc>
        <w:tc>
          <w:tcPr>
            <w:tcW w:w="272" w:type="dxa"/>
            <w:gridSpan w:val="2"/>
            <w:tcBorders>
              <w:top w:val="nil"/>
              <w:left w:val="nil"/>
              <w:bottom w:val="nil"/>
              <w:right w:val="nil"/>
            </w:tcBorders>
            <w:shd w:val="clear" w:color="000000" w:fill="FFFFFF"/>
            <w:noWrap/>
            <w:vAlign w:val="bottom"/>
            <w:hideMark/>
          </w:tcPr>
          <w:p w14:paraId="3C890068"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EE16B6C"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58E2FFAD"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177769FD"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5B29D617"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F071F9F"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2</w:t>
            </w:r>
          </w:p>
        </w:tc>
        <w:tc>
          <w:tcPr>
            <w:tcW w:w="272" w:type="dxa"/>
            <w:gridSpan w:val="2"/>
            <w:tcBorders>
              <w:top w:val="nil"/>
              <w:left w:val="nil"/>
              <w:bottom w:val="nil"/>
              <w:right w:val="nil"/>
            </w:tcBorders>
            <w:shd w:val="clear" w:color="000000" w:fill="FFFFFF"/>
            <w:noWrap/>
            <w:vAlign w:val="bottom"/>
            <w:hideMark/>
          </w:tcPr>
          <w:p w14:paraId="7F550CD8"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7CDAC4DC"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250,703</w:t>
            </w:r>
          </w:p>
        </w:tc>
      </w:tr>
      <w:tr w:rsidR="00D677FE" w:rsidRPr="00D677FE" w14:paraId="3F41C17B"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11213B00"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£150,001 to £200,000</w:t>
            </w:r>
          </w:p>
        </w:tc>
        <w:tc>
          <w:tcPr>
            <w:tcW w:w="1363" w:type="dxa"/>
            <w:tcBorders>
              <w:top w:val="nil"/>
              <w:left w:val="nil"/>
              <w:bottom w:val="nil"/>
              <w:right w:val="nil"/>
            </w:tcBorders>
            <w:shd w:val="clear" w:color="000000" w:fill="FFFFFF"/>
            <w:noWrap/>
            <w:vAlign w:val="bottom"/>
            <w:hideMark/>
          </w:tcPr>
          <w:p w14:paraId="42E1265F"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4</w:t>
            </w:r>
          </w:p>
        </w:tc>
        <w:tc>
          <w:tcPr>
            <w:tcW w:w="272" w:type="dxa"/>
            <w:tcBorders>
              <w:top w:val="nil"/>
              <w:left w:val="nil"/>
              <w:bottom w:val="nil"/>
              <w:right w:val="nil"/>
            </w:tcBorders>
            <w:shd w:val="clear" w:color="000000" w:fill="FFFFFF"/>
            <w:noWrap/>
            <w:vAlign w:val="bottom"/>
            <w:hideMark/>
          </w:tcPr>
          <w:p w14:paraId="5289ED44"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106032FB"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640,000</w:t>
            </w:r>
          </w:p>
        </w:tc>
        <w:tc>
          <w:tcPr>
            <w:tcW w:w="272" w:type="dxa"/>
            <w:gridSpan w:val="2"/>
            <w:tcBorders>
              <w:top w:val="nil"/>
              <w:left w:val="nil"/>
              <w:bottom w:val="nil"/>
              <w:right w:val="nil"/>
            </w:tcBorders>
            <w:shd w:val="clear" w:color="000000" w:fill="FFFFFF"/>
            <w:noWrap/>
            <w:vAlign w:val="bottom"/>
            <w:hideMark/>
          </w:tcPr>
          <w:p w14:paraId="55908287"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23EC497D"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3ACC0F16"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416B8E31"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563AC76A"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280110A4"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4</w:t>
            </w:r>
          </w:p>
        </w:tc>
        <w:tc>
          <w:tcPr>
            <w:tcW w:w="272" w:type="dxa"/>
            <w:gridSpan w:val="2"/>
            <w:tcBorders>
              <w:top w:val="nil"/>
              <w:left w:val="nil"/>
              <w:bottom w:val="nil"/>
              <w:right w:val="nil"/>
            </w:tcBorders>
            <w:shd w:val="clear" w:color="000000" w:fill="FFFFFF"/>
            <w:noWrap/>
            <w:vAlign w:val="bottom"/>
            <w:hideMark/>
          </w:tcPr>
          <w:p w14:paraId="4BE822F8"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23925132"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640,000</w:t>
            </w:r>
          </w:p>
        </w:tc>
      </w:tr>
      <w:tr w:rsidR="00D677FE" w:rsidRPr="00D677FE" w14:paraId="1AE3D70A"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58A86F1D"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Over £200,001</w:t>
            </w:r>
          </w:p>
        </w:tc>
        <w:tc>
          <w:tcPr>
            <w:tcW w:w="1363" w:type="dxa"/>
            <w:tcBorders>
              <w:top w:val="nil"/>
              <w:left w:val="nil"/>
              <w:bottom w:val="nil"/>
              <w:right w:val="nil"/>
            </w:tcBorders>
            <w:shd w:val="clear" w:color="000000" w:fill="FFFFFF"/>
            <w:noWrap/>
            <w:vAlign w:val="bottom"/>
            <w:hideMark/>
          </w:tcPr>
          <w:p w14:paraId="50BB86CC"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452F2317"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3C62012C"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16D3CA55"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5605CE15"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37BFE61A"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57EB518E"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79A493D1"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39C7B3F5"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3D4FA1BC"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32FC7A12"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r>
      <w:tr w:rsidR="00D677FE" w:rsidRPr="00D677FE" w14:paraId="71AE1EC0" w14:textId="77777777" w:rsidTr="00DB1B0E">
        <w:trPr>
          <w:gridAfter w:val="1"/>
          <w:wAfter w:w="6" w:type="dxa"/>
          <w:trHeight w:val="280"/>
        </w:trPr>
        <w:tc>
          <w:tcPr>
            <w:tcW w:w="2269" w:type="dxa"/>
            <w:tcBorders>
              <w:top w:val="nil"/>
              <w:left w:val="nil"/>
              <w:bottom w:val="nil"/>
              <w:right w:val="nil"/>
            </w:tcBorders>
            <w:shd w:val="clear" w:color="auto" w:fill="auto"/>
            <w:noWrap/>
            <w:vAlign w:val="bottom"/>
            <w:hideMark/>
          </w:tcPr>
          <w:p w14:paraId="31BD4D96"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Total</w:t>
            </w:r>
          </w:p>
        </w:tc>
        <w:tc>
          <w:tcPr>
            <w:tcW w:w="1363" w:type="dxa"/>
            <w:tcBorders>
              <w:top w:val="single" w:sz="4" w:space="0" w:color="auto"/>
              <w:left w:val="nil"/>
              <w:bottom w:val="single" w:sz="4" w:space="0" w:color="auto"/>
              <w:right w:val="nil"/>
            </w:tcBorders>
            <w:shd w:val="clear" w:color="000000" w:fill="FFFFFF"/>
            <w:noWrap/>
            <w:vAlign w:val="bottom"/>
            <w:hideMark/>
          </w:tcPr>
          <w:p w14:paraId="46563AC0"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13</w:t>
            </w:r>
          </w:p>
        </w:tc>
        <w:tc>
          <w:tcPr>
            <w:tcW w:w="272" w:type="dxa"/>
            <w:tcBorders>
              <w:top w:val="nil"/>
              <w:left w:val="nil"/>
              <w:bottom w:val="nil"/>
              <w:right w:val="nil"/>
            </w:tcBorders>
            <w:shd w:val="clear" w:color="000000" w:fill="FFFFFF"/>
            <w:noWrap/>
            <w:vAlign w:val="bottom"/>
            <w:hideMark/>
          </w:tcPr>
          <w:p w14:paraId="7518A79F"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1180" w:type="dxa"/>
            <w:tcBorders>
              <w:top w:val="single" w:sz="4" w:space="0" w:color="auto"/>
              <w:left w:val="nil"/>
              <w:bottom w:val="single" w:sz="4" w:space="0" w:color="auto"/>
              <w:right w:val="nil"/>
            </w:tcBorders>
            <w:shd w:val="clear" w:color="000000" w:fill="FFFFFF"/>
            <w:noWrap/>
            <w:vAlign w:val="bottom"/>
            <w:hideMark/>
          </w:tcPr>
          <w:p w14:paraId="4DE370BA"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1,178,987</w:t>
            </w:r>
          </w:p>
        </w:tc>
        <w:tc>
          <w:tcPr>
            <w:tcW w:w="272" w:type="dxa"/>
            <w:gridSpan w:val="2"/>
            <w:tcBorders>
              <w:top w:val="nil"/>
              <w:left w:val="nil"/>
              <w:bottom w:val="nil"/>
              <w:right w:val="nil"/>
            </w:tcBorders>
            <w:shd w:val="clear" w:color="000000" w:fill="FFFFFF"/>
            <w:noWrap/>
            <w:vAlign w:val="bottom"/>
            <w:hideMark/>
          </w:tcPr>
          <w:p w14:paraId="2968740D"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1180" w:type="dxa"/>
            <w:gridSpan w:val="2"/>
            <w:tcBorders>
              <w:top w:val="single" w:sz="4" w:space="0" w:color="auto"/>
              <w:left w:val="nil"/>
              <w:bottom w:val="single" w:sz="4" w:space="0" w:color="auto"/>
              <w:right w:val="nil"/>
            </w:tcBorders>
            <w:shd w:val="clear" w:color="000000" w:fill="FFFFFF"/>
            <w:noWrap/>
            <w:vAlign w:val="bottom"/>
            <w:hideMark/>
          </w:tcPr>
          <w:p w14:paraId="2738E074"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4C0791CA"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1417" w:type="dxa"/>
            <w:gridSpan w:val="2"/>
            <w:tcBorders>
              <w:top w:val="single" w:sz="4" w:space="0" w:color="auto"/>
              <w:left w:val="nil"/>
              <w:bottom w:val="single" w:sz="4" w:space="0" w:color="auto"/>
              <w:right w:val="nil"/>
            </w:tcBorders>
            <w:shd w:val="clear" w:color="000000" w:fill="FFFFFF"/>
            <w:noWrap/>
            <w:vAlign w:val="bottom"/>
            <w:hideMark/>
          </w:tcPr>
          <w:p w14:paraId="5970CF71"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57D312D1"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1180" w:type="dxa"/>
            <w:gridSpan w:val="2"/>
            <w:tcBorders>
              <w:top w:val="single" w:sz="4" w:space="0" w:color="auto"/>
              <w:left w:val="nil"/>
              <w:bottom w:val="single" w:sz="4" w:space="0" w:color="auto"/>
              <w:right w:val="nil"/>
            </w:tcBorders>
            <w:shd w:val="clear" w:color="000000" w:fill="FFFFFF"/>
            <w:noWrap/>
            <w:vAlign w:val="bottom"/>
            <w:hideMark/>
          </w:tcPr>
          <w:p w14:paraId="5785C3ED"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13</w:t>
            </w:r>
          </w:p>
        </w:tc>
        <w:tc>
          <w:tcPr>
            <w:tcW w:w="272" w:type="dxa"/>
            <w:gridSpan w:val="2"/>
            <w:tcBorders>
              <w:top w:val="nil"/>
              <w:left w:val="nil"/>
              <w:bottom w:val="nil"/>
              <w:right w:val="nil"/>
            </w:tcBorders>
            <w:shd w:val="clear" w:color="000000" w:fill="FFFFFF"/>
            <w:noWrap/>
            <w:vAlign w:val="bottom"/>
            <w:hideMark/>
          </w:tcPr>
          <w:p w14:paraId="41BA396F"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1180" w:type="dxa"/>
            <w:gridSpan w:val="2"/>
            <w:tcBorders>
              <w:top w:val="single" w:sz="4" w:space="0" w:color="auto"/>
              <w:left w:val="nil"/>
              <w:bottom w:val="single" w:sz="4" w:space="0" w:color="auto"/>
              <w:right w:val="nil"/>
            </w:tcBorders>
            <w:shd w:val="clear" w:color="000000" w:fill="FFFFFF"/>
            <w:noWrap/>
            <w:vAlign w:val="bottom"/>
            <w:hideMark/>
          </w:tcPr>
          <w:p w14:paraId="203A251A"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1,178,987</w:t>
            </w:r>
          </w:p>
        </w:tc>
      </w:tr>
      <w:tr w:rsidR="00D677FE" w:rsidRPr="00D677FE" w14:paraId="5BD553EF" w14:textId="77777777" w:rsidTr="00DB1B0E">
        <w:trPr>
          <w:gridAfter w:val="1"/>
          <w:wAfter w:w="6" w:type="dxa"/>
          <w:trHeight w:val="255"/>
        </w:trPr>
        <w:tc>
          <w:tcPr>
            <w:tcW w:w="2269" w:type="dxa"/>
            <w:tcBorders>
              <w:top w:val="nil"/>
              <w:left w:val="nil"/>
              <w:bottom w:val="nil"/>
              <w:right w:val="nil"/>
            </w:tcBorders>
            <w:shd w:val="clear" w:color="auto" w:fill="auto"/>
            <w:noWrap/>
            <w:vAlign w:val="bottom"/>
            <w:hideMark/>
          </w:tcPr>
          <w:p w14:paraId="3FDE9074" w14:textId="77777777" w:rsidR="00D677FE" w:rsidRPr="00D677FE" w:rsidRDefault="00D677FE" w:rsidP="00D677FE">
            <w:pPr>
              <w:spacing w:before="0" w:after="0"/>
              <w:jc w:val="right"/>
              <w:rPr>
                <w:rFonts w:eastAsia="Times New Roman" w:cs="Arial"/>
                <w:b/>
                <w:bCs/>
                <w:sz w:val="20"/>
                <w:szCs w:val="20"/>
                <w:lang w:eastAsia="en-GB"/>
              </w:rPr>
            </w:pPr>
          </w:p>
        </w:tc>
        <w:tc>
          <w:tcPr>
            <w:tcW w:w="1363" w:type="dxa"/>
            <w:tcBorders>
              <w:top w:val="nil"/>
              <w:left w:val="nil"/>
              <w:bottom w:val="nil"/>
              <w:right w:val="nil"/>
            </w:tcBorders>
            <w:shd w:val="clear" w:color="000000" w:fill="FFFFFF"/>
            <w:noWrap/>
            <w:vAlign w:val="bottom"/>
            <w:hideMark/>
          </w:tcPr>
          <w:p w14:paraId="585890C6"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58B6E594"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1180" w:type="dxa"/>
            <w:tcBorders>
              <w:top w:val="nil"/>
              <w:left w:val="nil"/>
              <w:bottom w:val="nil"/>
              <w:right w:val="nil"/>
            </w:tcBorders>
            <w:shd w:val="clear" w:color="000000" w:fill="FFFFFF"/>
            <w:noWrap/>
            <w:vAlign w:val="bottom"/>
            <w:hideMark/>
          </w:tcPr>
          <w:p w14:paraId="7B923CF2"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34391C7B"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0E066B3C"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274C9A64"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40CBADA5"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60D15913"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5A530857"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3E73D4A9"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7CB2362D"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r>
      <w:tr w:rsidR="009E26EC" w:rsidRPr="00D677FE" w14:paraId="7F9E75C9" w14:textId="77777777" w:rsidTr="005F7835">
        <w:trPr>
          <w:trHeight w:val="260"/>
        </w:trPr>
        <w:tc>
          <w:tcPr>
            <w:tcW w:w="6542" w:type="dxa"/>
            <w:gridSpan w:val="9"/>
            <w:tcBorders>
              <w:top w:val="nil"/>
              <w:left w:val="nil"/>
              <w:bottom w:val="nil"/>
              <w:right w:val="nil"/>
            </w:tcBorders>
            <w:shd w:val="clear" w:color="auto" w:fill="auto"/>
            <w:noWrap/>
            <w:vAlign w:val="bottom"/>
            <w:hideMark/>
          </w:tcPr>
          <w:p w14:paraId="03951361" w14:textId="000AE5DD" w:rsidR="009E26EC" w:rsidRPr="00D677FE" w:rsidRDefault="009E26EC"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4.5 Analysis of Other Agreed Departures</w:t>
            </w:r>
            <w:r w:rsidRPr="00D677FE">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09151495" w14:textId="77777777" w:rsidR="009E26EC" w:rsidRPr="00D677FE" w:rsidRDefault="009E26EC"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08C34F48" w14:textId="77777777" w:rsidR="009E26EC" w:rsidRPr="00D677FE" w:rsidRDefault="009E26EC"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47C524A5" w14:textId="77777777" w:rsidR="009E26EC" w:rsidRPr="00D677FE" w:rsidRDefault="009E26EC"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711B9D36" w14:textId="77777777" w:rsidR="009E26EC" w:rsidRPr="00D677FE" w:rsidRDefault="009E26EC"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4B6B2790" w14:textId="77777777" w:rsidR="009E26EC" w:rsidRPr="00D677FE" w:rsidRDefault="009E26EC"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8D99E65" w14:textId="77777777" w:rsidR="009E26EC" w:rsidRPr="00D677FE" w:rsidRDefault="009E26EC"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r>
      <w:tr w:rsidR="00DB1B0E" w:rsidRPr="00D677FE" w14:paraId="454077D9" w14:textId="77777777" w:rsidTr="00DB1B0E">
        <w:trPr>
          <w:gridAfter w:val="1"/>
          <w:wAfter w:w="6" w:type="dxa"/>
          <w:trHeight w:val="260"/>
        </w:trPr>
        <w:tc>
          <w:tcPr>
            <w:tcW w:w="2269" w:type="dxa"/>
            <w:tcBorders>
              <w:top w:val="nil"/>
              <w:left w:val="nil"/>
              <w:bottom w:val="nil"/>
              <w:right w:val="nil"/>
            </w:tcBorders>
            <w:shd w:val="clear" w:color="auto" w:fill="auto"/>
            <w:noWrap/>
            <w:vAlign w:val="bottom"/>
            <w:hideMark/>
          </w:tcPr>
          <w:p w14:paraId="65169FEB" w14:textId="77777777" w:rsidR="00D677FE" w:rsidRPr="00D677FE" w:rsidRDefault="00D677FE" w:rsidP="00D677FE">
            <w:pPr>
              <w:spacing w:before="0" w:after="0"/>
              <w:rPr>
                <w:rFonts w:eastAsia="Times New Roman" w:cs="Arial"/>
                <w:b/>
                <w:bCs/>
                <w:sz w:val="20"/>
                <w:szCs w:val="20"/>
                <w:lang w:eastAsia="en-GB"/>
              </w:rPr>
            </w:pPr>
          </w:p>
        </w:tc>
        <w:tc>
          <w:tcPr>
            <w:tcW w:w="1363" w:type="dxa"/>
            <w:tcBorders>
              <w:top w:val="nil"/>
              <w:left w:val="nil"/>
              <w:bottom w:val="nil"/>
              <w:right w:val="nil"/>
            </w:tcBorders>
            <w:shd w:val="clear" w:color="auto" w:fill="auto"/>
            <w:noWrap/>
            <w:vAlign w:val="bottom"/>
            <w:hideMark/>
          </w:tcPr>
          <w:p w14:paraId="3001F268" w14:textId="77777777" w:rsidR="00D677FE" w:rsidRPr="00D677FE" w:rsidRDefault="00D677FE" w:rsidP="00D677FE">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55BD592B" w14:textId="77777777" w:rsidR="00D677FE" w:rsidRPr="00D677FE" w:rsidRDefault="00D677FE" w:rsidP="00D677FE">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5C12BB35" w14:textId="77777777" w:rsidR="00D677FE" w:rsidRPr="00D677FE" w:rsidRDefault="00D677FE" w:rsidP="00D677FE">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55A4D25E" w14:textId="77777777" w:rsidR="00D677FE" w:rsidRPr="00D677FE" w:rsidRDefault="00D677FE" w:rsidP="00D677FE">
            <w:pPr>
              <w:spacing w:before="0" w:after="0"/>
              <w:rPr>
                <w:rFonts w:ascii="Times New Roman" w:eastAsia="Times New Roman" w:hAnsi="Times New Roman" w:cs="Times New Roman"/>
                <w:sz w:val="20"/>
                <w:szCs w:val="20"/>
                <w:lang w:eastAsia="en-GB"/>
              </w:rPr>
            </w:pPr>
          </w:p>
        </w:tc>
        <w:tc>
          <w:tcPr>
            <w:tcW w:w="2869" w:type="dxa"/>
            <w:gridSpan w:val="6"/>
            <w:tcBorders>
              <w:top w:val="nil"/>
              <w:left w:val="nil"/>
              <w:bottom w:val="nil"/>
              <w:right w:val="nil"/>
            </w:tcBorders>
            <w:shd w:val="clear" w:color="000000" w:fill="FFFFFF"/>
            <w:noWrap/>
            <w:vAlign w:val="bottom"/>
            <w:hideMark/>
          </w:tcPr>
          <w:p w14:paraId="2F27527E"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1-Apr-23 to 31-Mar-24</w:t>
            </w:r>
          </w:p>
        </w:tc>
        <w:tc>
          <w:tcPr>
            <w:tcW w:w="272" w:type="dxa"/>
            <w:gridSpan w:val="2"/>
            <w:tcBorders>
              <w:top w:val="nil"/>
              <w:left w:val="nil"/>
              <w:bottom w:val="nil"/>
              <w:right w:val="nil"/>
            </w:tcBorders>
            <w:shd w:val="clear" w:color="000000" w:fill="FFFFFF"/>
            <w:noWrap/>
            <w:vAlign w:val="bottom"/>
            <w:hideMark/>
          </w:tcPr>
          <w:p w14:paraId="1294664C"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 </w:t>
            </w:r>
          </w:p>
        </w:tc>
        <w:tc>
          <w:tcPr>
            <w:tcW w:w="2632" w:type="dxa"/>
            <w:gridSpan w:val="6"/>
            <w:tcBorders>
              <w:top w:val="nil"/>
              <w:left w:val="nil"/>
              <w:bottom w:val="nil"/>
              <w:right w:val="nil"/>
            </w:tcBorders>
            <w:shd w:val="clear" w:color="000000" w:fill="FFFFFF"/>
            <w:vAlign w:val="bottom"/>
            <w:hideMark/>
          </w:tcPr>
          <w:p w14:paraId="62251FC3"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1-Jul-22 to 31-Mar-23</w:t>
            </w:r>
          </w:p>
        </w:tc>
      </w:tr>
      <w:tr w:rsidR="00DB1B0E" w:rsidRPr="00D677FE" w14:paraId="3FE5B36D" w14:textId="77777777" w:rsidTr="00DB1B0E">
        <w:trPr>
          <w:gridAfter w:val="1"/>
          <w:wAfter w:w="6" w:type="dxa"/>
          <w:trHeight w:val="260"/>
        </w:trPr>
        <w:tc>
          <w:tcPr>
            <w:tcW w:w="2269" w:type="dxa"/>
            <w:tcBorders>
              <w:top w:val="nil"/>
              <w:left w:val="nil"/>
              <w:bottom w:val="nil"/>
              <w:right w:val="nil"/>
            </w:tcBorders>
            <w:shd w:val="clear" w:color="auto" w:fill="auto"/>
            <w:noWrap/>
            <w:vAlign w:val="bottom"/>
            <w:hideMark/>
          </w:tcPr>
          <w:p w14:paraId="55428AE9" w14:textId="77777777" w:rsidR="00D677FE" w:rsidRPr="00D677FE" w:rsidRDefault="00D677FE" w:rsidP="00D677FE">
            <w:pPr>
              <w:spacing w:before="0" w:after="0"/>
              <w:jc w:val="right"/>
              <w:rPr>
                <w:rFonts w:eastAsia="Times New Roman" w:cs="Arial"/>
                <w:sz w:val="20"/>
                <w:szCs w:val="20"/>
                <w:lang w:eastAsia="en-GB"/>
              </w:rPr>
            </w:pPr>
          </w:p>
        </w:tc>
        <w:tc>
          <w:tcPr>
            <w:tcW w:w="1363" w:type="dxa"/>
            <w:tcBorders>
              <w:top w:val="nil"/>
              <w:left w:val="nil"/>
              <w:bottom w:val="nil"/>
              <w:right w:val="nil"/>
            </w:tcBorders>
            <w:shd w:val="clear" w:color="auto" w:fill="auto"/>
            <w:noWrap/>
            <w:vAlign w:val="bottom"/>
            <w:hideMark/>
          </w:tcPr>
          <w:p w14:paraId="74D7E6A1" w14:textId="77777777" w:rsidR="00D677FE" w:rsidRPr="00D677FE" w:rsidRDefault="00D677FE" w:rsidP="00D677FE">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19B7B476" w14:textId="77777777" w:rsidR="00D677FE" w:rsidRPr="00D677FE" w:rsidRDefault="00D677FE" w:rsidP="00D677FE">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3792E404" w14:textId="77777777" w:rsidR="00D677FE" w:rsidRPr="00D677FE" w:rsidRDefault="00D677FE" w:rsidP="00D677FE">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19423C6E" w14:textId="77777777" w:rsidR="00D677FE" w:rsidRPr="00D677FE" w:rsidRDefault="00D677FE" w:rsidP="00D677FE">
            <w:pPr>
              <w:spacing w:before="0" w:after="0"/>
              <w:rPr>
                <w:rFonts w:ascii="Times New Roman" w:eastAsia="Times New Roman" w:hAnsi="Times New Roman" w:cs="Times New Roman"/>
                <w:sz w:val="20"/>
                <w:szCs w:val="20"/>
                <w:lang w:eastAsia="en-GB"/>
              </w:rPr>
            </w:pPr>
          </w:p>
        </w:tc>
        <w:tc>
          <w:tcPr>
            <w:tcW w:w="2869" w:type="dxa"/>
            <w:gridSpan w:val="6"/>
            <w:tcBorders>
              <w:top w:val="nil"/>
              <w:left w:val="nil"/>
              <w:bottom w:val="nil"/>
              <w:right w:val="nil"/>
            </w:tcBorders>
            <w:shd w:val="clear" w:color="000000" w:fill="FFFFFF"/>
            <w:vAlign w:val="bottom"/>
            <w:hideMark/>
          </w:tcPr>
          <w:p w14:paraId="1D150CAC"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Other agreed departures</w:t>
            </w:r>
          </w:p>
        </w:tc>
        <w:tc>
          <w:tcPr>
            <w:tcW w:w="272" w:type="dxa"/>
            <w:gridSpan w:val="2"/>
            <w:tcBorders>
              <w:top w:val="nil"/>
              <w:left w:val="nil"/>
              <w:bottom w:val="nil"/>
              <w:right w:val="nil"/>
            </w:tcBorders>
            <w:shd w:val="clear" w:color="000000" w:fill="FFFFFF"/>
            <w:noWrap/>
            <w:vAlign w:val="bottom"/>
            <w:hideMark/>
          </w:tcPr>
          <w:p w14:paraId="4B93EB9D"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 </w:t>
            </w:r>
          </w:p>
        </w:tc>
        <w:tc>
          <w:tcPr>
            <w:tcW w:w="2632" w:type="dxa"/>
            <w:gridSpan w:val="6"/>
            <w:tcBorders>
              <w:top w:val="nil"/>
              <w:left w:val="nil"/>
              <w:bottom w:val="nil"/>
              <w:right w:val="nil"/>
            </w:tcBorders>
            <w:shd w:val="clear" w:color="000000" w:fill="FFFFFF"/>
            <w:vAlign w:val="bottom"/>
            <w:hideMark/>
          </w:tcPr>
          <w:p w14:paraId="04C2CAAB"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Other agreed departures</w:t>
            </w:r>
          </w:p>
        </w:tc>
      </w:tr>
      <w:tr w:rsidR="00D677FE" w:rsidRPr="00D677FE" w14:paraId="3ECC70AF" w14:textId="77777777" w:rsidTr="00DB1B0E">
        <w:trPr>
          <w:gridAfter w:val="1"/>
          <w:wAfter w:w="6" w:type="dxa"/>
          <w:trHeight w:val="260"/>
        </w:trPr>
        <w:tc>
          <w:tcPr>
            <w:tcW w:w="2269" w:type="dxa"/>
            <w:tcBorders>
              <w:top w:val="nil"/>
              <w:left w:val="nil"/>
              <w:bottom w:val="nil"/>
              <w:right w:val="nil"/>
            </w:tcBorders>
            <w:shd w:val="clear" w:color="auto" w:fill="auto"/>
            <w:noWrap/>
            <w:vAlign w:val="bottom"/>
            <w:hideMark/>
          </w:tcPr>
          <w:p w14:paraId="6A212401" w14:textId="77777777" w:rsidR="00D677FE" w:rsidRPr="00D677FE" w:rsidRDefault="00D677FE" w:rsidP="00D677FE">
            <w:pPr>
              <w:spacing w:before="0" w:after="0"/>
              <w:jc w:val="right"/>
              <w:rPr>
                <w:rFonts w:eastAsia="Times New Roman" w:cs="Arial"/>
                <w:sz w:val="20"/>
                <w:szCs w:val="20"/>
                <w:lang w:eastAsia="en-GB"/>
              </w:rPr>
            </w:pPr>
          </w:p>
        </w:tc>
        <w:tc>
          <w:tcPr>
            <w:tcW w:w="1363" w:type="dxa"/>
            <w:tcBorders>
              <w:top w:val="nil"/>
              <w:left w:val="nil"/>
              <w:bottom w:val="nil"/>
              <w:right w:val="nil"/>
            </w:tcBorders>
            <w:shd w:val="clear" w:color="auto" w:fill="auto"/>
            <w:noWrap/>
            <w:vAlign w:val="bottom"/>
            <w:hideMark/>
          </w:tcPr>
          <w:p w14:paraId="146F182D" w14:textId="77777777" w:rsidR="00D677FE" w:rsidRPr="00D677FE" w:rsidRDefault="00D677FE" w:rsidP="00D677FE">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04FF39B6" w14:textId="77777777" w:rsidR="00D677FE" w:rsidRPr="00D677FE" w:rsidRDefault="00D677FE" w:rsidP="00D677FE">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4E55B9E8" w14:textId="77777777" w:rsidR="00D677FE" w:rsidRPr="00D677FE" w:rsidRDefault="00D677FE" w:rsidP="00D677FE">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49C9DB5D" w14:textId="77777777" w:rsidR="00D677FE" w:rsidRPr="00D677FE" w:rsidRDefault="00D677FE" w:rsidP="00D677FE">
            <w:pPr>
              <w:spacing w:before="0" w:after="0"/>
              <w:rPr>
                <w:rFonts w:ascii="Times New Roman" w:eastAsia="Times New Roman" w:hAnsi="Times New Roman" w:cs="Times New Roman"/>
                <w:sz w:val="20"/>
                <w:szCs w:val="20"/>
                <w:lang w:eastAsia="en-GB"/>
              </w:rPr>
            </w:pPr>
          </w:p>
        </w:tc>
        <w:tc>
          <w:tcPr>
            <w:tcW w:w="1180" w:type="dxa"/>
            <w:gridSpan w:val="2"/>
            <w:tcBorders>
              <w:top w:val="nil"/>
              <w:left w:val="nil"/>
              <w:bottom w:val="nil"/>
              <w:right w:val="nil"/>
            </w:tcBorders>
            <w:shd w:val="clear" w:color="000000" w:fill="FFFFFF"/>
            <w:noWrap/>
            <w:vAlign w:val="bottom"/>
            <w:hideMark/>
          </w:tcPr>
          <w:p w14:paraId="5FF14FB5"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Number</w:t>
            </w:r>
          </w:p>
        </w:tc>
        <w:tc>
          <w:tcPr>
            <w:tcW w:w="272" w:type="dxa"/>
            <w:gridSpan w:val="2"/>
            <w:tcBorders>
              <w:top w:val="nil"/>
              <w:left w:val="nil"/>
              <w:bottom w:val="nil"/>
              <w:right w:val="nil"/>
            </w:tcBorders>
            <w:shd w:val="clear" w:color="000000" w:fill="FFFFFF"/>
            <w:noWrap/>
            <w:vAlign w:val="bottom"/>
            <w:hideMark/>
          </w:tcPr>
          <w:p w14:paraId="478BB330"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 </w:t>
            </w:r>
          </w:p>
        </w:tc>
        <w:tc>
          <w:tcPr>
            <w:tcW w:w="1417" w:type="dxa"/>
            <w:gridSpan w:val="2"/>
            <w:tcBorders>
              <w:top w:val="nil"/>
              <w:left w:val="nil"/>
              <w:bottom w:val="nil"/>
              <w:right w:val="nil"/>
            </w:tcBorders>
            <w:shd w:val="clear" w:color="000000" w:fill="FFFFFF"/>
            <w:noWrap/>
            <w:vAlign w:val="bottom"/>
            <w:hideMark/>
          </w:tcPr>
          <w:p w14:paraId="55660982"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4687AE99"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5E41EC69"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Number</w:t>
            </w:r>
          </w:p>
        </w:tc>
        <w:tc>
          <w:tcPr>
            <w:tcW w:w="272" w:type="dxa"/>
            <w:gridSpan w:val="2"/>
            <w:tcBorders>
              <w:top w:val="nil"/>
              <w:left w:val="nil"/>
              <w:bottom w:val="nil"/>
              <w:right w:val="nil"/>
            </w:tcBorders>
            <w:shd w:val="clear" w:color="000000" w:fill="FFFFFF"/>
            <w:noWrap/>
            <w:vAlign w:val="bottom"/>
            <w:hideMark/>
          </w:tcPr>
          <w:p w14:paraId="22176744"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76E15D7D"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r>
      <w:tr w:rsidR="00D677FE" w:rsidRPr="00D677FE" w14:paraId="174E9D8F" w14:textId="77777777" w:rsidTr="00DB1B0E">
        <w:trPr>
          <w:trHeight w:val="540"/>
        </w:trPr>
        <w:tc>
          <w:tcPr>
            <w:tcW w:w="5090" w:type="dxa"/>
            <w:gridSpan w:val="5"/>
            <w:tcBorders>
              <w:top w:val="nil"/>
              <w:left w:val="nil"/>
              <w:bottom w:val="nil"/>
              <w:right w:val="nil"/>
            </w:tcBorders>
            <w:shd w:val="clear" w:color="auto" w:fill="auto"/>
            <w:vAlign w:val="center"/>
            <w:hideMark/>
          </w:tcPr>
          <w:p w14:paraId="440BAF2F"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Voluntary redundancies including early retirement contractual costs</w:t>
            </w:r>
          </w:p>
        </w:tc>
        <w:tc>
          <w:tcPr>
            <w:tcW w:w="272" w:type="dxa"/>
            <w:gridSpan w:val="2"/>
            <w:tcBorders>
              <w:top w:val="nil"/>
              <w:left w:val="nil"/>
              <w:bottom w:val="nil"/>
              <w:right w:val="nil"/>
            </w:tcBorders>
            <w:shd w:val="clear" w:color="auto" w:fill="auto"/>
            <w:noWrap/>
            <w:vAlign w:val="center"/>
            <w:hideMark/>
          </w:tcPr>
          <w:p w14:paraId="0F4C6E1A" w14:textId="77777777" w:rsidR="00D677FE" w:rsidRPr="00D677FE" w:rsidRDefault="00D677FE" w:rsidP="00D677FE">
            <w:pPr>
              <w:spacing w:before="0" w:after="0"/>
              <w:rPr>
                <w:rFonts w:eastAsia="Times New Roman" w:cs="Arial"/>
                <w:sz w:val="20"/>
                <w:szCs w:val="20"/>
                <w:lang w:eastAsia="en-GB"/>
              </w:rPr>
            </w:pPr>
          </w:p>
        </w:tc>
        <w:tc>
          <w:tcPr>
            <w:tcW w:w="1180" w:type="dxa"/>
            <w:gridSpan w:val="2"/>
            <w:tcBorders>
              <w:top w:val="nil"/>
              <w:left w:val="nil"/>
              <w:bottom w:val="nil"/>
              <w:right w:val="nil"/>
            </w:tcBorders>
            <w:shd w:val="clear" w:color="000000" w:fill="FFFFFF"/>
            <w:noWrap/>
            <w:vAlign w:val="center"/>
            <w:hideMark/>
          </w:tcPr>
          <w:p w14:paraId="02288EA0"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71</w:t>
            </w:r>
          </w:p>
        </w:tc>
        <w:tc>
          <w:tcPr>
            <w:tcW w:w="272" w:type="dxa"/>
            <w:gridSpan w:val="2"/>
            <w:tcBorders>
              <w:top w:val="nil"/>
              <w:left w:val="nil"/>
              <w:bottom w:val="nil"/>
              <w:right w:val="nil"/>
            </w:tcBorders>
            <w:shd w:val="clear" w:color="000000" w:fill="FFFFFF"/>
            <w:noWrap/>
            <w:vAlign w:val="center"/>
            <w:hideMark/>
          </w:tcPr>
          <w:p w14:paraId="68F445EC"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417" w:type="dxa"/>
            <w:gridSpan w:val="2"/>
            <w:tcBorders>
              <w:top w:val="nil"/>
              <w:left w:val="nil"/>
              <w:bottom w:val="nil"/>
              <w:right w:val="nil"/>
            </w:tcBorders>
            <w:shd w:val="clear" w:color="000000" w:fill="FFFFFF"/>
            <w:noWrap/>
            <w:vAlign w:val="center"/>
            <w:hideMark/>
          </w:tcPr>
          <w:p w14:paraId="7E2B589B"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3,929,936</w:t>
            </w:r>
          </w:p>
        </w:tc>
        <w:tc>
          <w:tcPr>
            <w:tcW w:w="272" w:type="dxa"/>
            <w:gridSpan w:val="2"/>
            <w:tcBorders>
              <w:top w:val="nil"/>
              <w:left w:val="nil"/>
              <w:bottom w:val="nil"/>
              <w:right w:val="nil"/>
            </w:tcBorders>
            <w:shd w:val="clear" w:color="000000" w:fill="FFFFFF"/>
            <w:noWrap/>
            <w:vAlign w:val="center"/>
            <w:hideMark/>
          </w:tcPr>
          <w:p w14:paraId="5FF33C66"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center"/>
            <w:hideMark/>
          </w:tcPr>
          <w:p w14:paraId="11610C45"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center"/>
            <w:hideMark/>
          </w:tcPr>
          <w:p w14:paraId="5320662B"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center"/>
            <w:hideMark/>
          </w:tcPr>
          <w:p w14:paraId="1CFC54D1" w14:textId="77777777" w:rsidR="00D677FE" w:rsidRPr="00D677FE" w:rsidRDefault="00D677FE" w:rsidP="00D677FE">
            <w:pPr>
              <w:spacing w:before="0" w:after="0"/>
              <w:jc w:val="right"/>
              <w:rPr>
                <w:rFonts w:eastAsia="Times New Roman" w:cs="Arial"/>
                <w:sz w:val="20"/>
                <w:szCs w:val="20"/>
                <w:lang w:eastAsia="en-GB"/>
              </w:rPr>
            </w:pPr>
            <w:r w:rsidRPr="00D677FE">
              <w:rPr>
                <w:rFonts w:eastAsia="Times New Roman" w:cs="Arial"/>
                <w:sz w:val="20"/>
                <w:szCs w:val="20"/>
                <w:lang w:eastAsia="en-GB"/>
              </w:rPr>
              <w:t>-</w:t>
            </w:r>
          </w:p>
        </w:tc>
      </w:tr>
      <w:tr w:rsidR="00D677FE" w:rsidRPr="00D677FE" w14:paraId="528CF153" w14:textId="77777777" w:rsidTr="00DB1B0E">
        <w:trPr>
          <w:gridAfter w:val="1"/>
          <w:wAfter w:w="6" w:type="dxa"/>
          <w:trHeight w:val="280"/>
        </w:trPr>
        <w:tc>
          <w:tcPr>
            <w:tcW w:w="2269" w:type="dxa"/>
            <w:tcBorders>
              <w:top w:val="nil"/>
              <w:left w:val="nil"/>
              <w:bottom w:val="nil"/>
              <w:right w:val="nil"/>
            </w:tcBorders>
            <w:shd w:val="clear" w:color="auto" w:fill="auto"/>
            <w:noWrap/>
            <w:vAlign w:val="bottom"/>
            <w:hideMark/>
          </w:tcPr>
          <w:p w14:paraId="3DFF434D"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Total</w:t>
            </w:r>
          </w:p>
        </w:tc>
        <w:tc>
          <w:tcPr>
            <w:tcW w:w="1363" w:type="dxa"/>
            <w:tcBorders>
              <w:top w:val="nil"/>
              <w:left w:val="nil"/>
              <w:bottom w:val="nil"/>
              <w:right w:val="nil"/>
            </w:tcBorders>
            <w:shd w:val="clear" w:color="auto" w:fill="auto"/>
            <w:noWrap/>
            <w:vAlign w:val="bottom"/>
            <w:hideMark/>
          </w:tcPr>
          <w:p w14:paraId="04C5BE56" w14:textId="77777777" w:rsidR="00D677FE" w:rsidRPr="00D677FE" w:rsidRDefault="00D677FE" w:rsidP="00D677FE">
            <w:pPr>
              <w:spacing w:before="0" w:after="0"/>
              <w:rPr>
                <w:rFonts w:eastAsia="Times New Roman" w:cs="Arial"/>
                <w:b/>
                <w:bCs/>
                <w:sz w:val="20"/>
                <w:szCs w:val="20"/>
                <w:lang w:eastAsia="en-GB"/>
              </w:rPr>
            </w:pPr>
          </w:p>
        </w:tc>
        <w:tc>
          <w:tcPr>
            <w:tcW w:w="272" w:type="dxa"/>
            <w:tcBorders>
              <w:top w:val="nil"/>
              <w:left w:val="nil"/>
              <w:bottom w:val="nil"/>
              <w:right w:val="nil"/>
            </w:tcBorders>
            <w:shd w:val="clear" w:color="auto" w:fill="auto"/>
            <w:noWrap/>
            <w:vAlign w:val="bottom"/>
            <w:hideMark/>
          </w:tcPr>
          <w:p w14:paraId="3123A928" w14:textId="77777777" w:rsidR="00D677FE" w:rsidRPr="00D677FE" w:rsidRDefault="00D677FE" w:rsidP="00D677FE">
            <w:pPr>
              <w:spacing w:before="0" w:after="0"/>
              <w:rPr>
                <w:rFonts w:ascii="Times New Roman" w:eastAsia="Times New Roman" w:hAnsi="Times New Roman" w:cs="Times New Roman"/>
                <w:sz w:val="20"/>
                <w:szCs w:val="20"/>
                <w:lang w:eastAsia="en-GB"/>
              </w:rPr>
            </w:pPr>
          </w:p>
        </w:tc>
        <w:tc>
          <w:tcPr>
            <w:tcW w:w="1180" w:type="dxa"/>
            <w:tcBorders>
              <w:top w:val="nil"/>
              <w:left w:val="nil"/>
              <w:bottom w:val="nil"/>
              <w:right w:val="nil"/>
            </w:tcBorders>
            <w:shd w:val="clear" w:color="auto" w:fill="auto"/>
            <w:noWrap/>
            <w:vAlign w:val="bottom"/>
            <w:hideMark/>
          </w:tcPr>
          <w:p w14:paraId="401D3B0C" w14:textId="77777777" w:rsidR="00D677FE" w:rsidRPr="00D677FE" w:rsidRDefault="00D677FE" w:rsidP="00D677FE">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3C6F1B31" w14:textId="77777777" w:rsidR="00D677FE" w:rsidRPr="00D677FE" w:rsidRDefault="00D677FE" w:rsidP="00D677FE">
            <w:pPr>
              <w:spacing w:before="0" w:after="0"/>
              <w:rPr>
                <w:rFonts w:ascii="Times New Roman" w:eastAsia="Times New Roman" w:hAnsi="Times New Roman" w:cs="Times New Roman"/>
                <w:sz w:val="20"/>
                <w:szCs w:val="20"/>
                <w:lang w:eastAsia="en-GB"/>
              </w:rPr>
            </w:pPr>
          </w:p>
        </w:tc>
        <w:tc>
          <w:tcPr>
            <w:tcW w:w="1180" w:type="dxa"/>
            <w:gridSpan w:val="2"/>
            <w:tcBorders>
              <w:top w:val="single" w:sz="4" w:space="0" w:color="auto"/>
              <w:left w:val="nil"/>
              <w:bottom w:val="single" w:sz="4" w:space="0" w:color="auto"/>
              <w:right w:val="nil"/>
            </w:tcBorders>
            <w:shd w:val="clear" w:color="000000" w:fill="FFFFFF"/>
            <w:noWrap/>
            <w:vAlign w:val="bottom"/>
            <w:hideMark/>
          </w:tcPr>
          <w:p w14:paraId="0D730CDB"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71</w:t>
            </w:r>
          </w:p>
        </w:tc>
        <w:tc>
          <w:tcPr>
            <w:tcW w:w="272" w:type="dxa"/>
            <w:gridSpan w:val="2"/>
            <w:tcBorders>
              <w:top w:val="nil"/>
              <w:left w:val="nil"/>
              <w:bottom w:val="nil"/>
              <w:right w:val="nil"/>
            </w:tcBorders>
            <w:shd w:val="clear" w:color="000000" w:fill="FFFFFF"/>
            <w:noWrap/>
            <w:vAlign w:val="bottom"/>
            <w:hideMark/>
          </w:tcPr>
          <w:p w14:paraId="11C0F02C" w14:textId="77777777" w:rsidR="00D677FE" w:rsidRPr="00D677FE" w:rsidRDefault="00D677FE" w:rsidP="00D677FE">
            <w:pPr>
              <w:spacing w:before="0" w:after="0"/>
              <w:rPr>
                <w:rFonts w:eastAsia="Times New Roman" w:cs="Arial"/>
                <w:b/>
                <w:bCs/>
                <w:sz w:val="20"/>
                <w:szCs w:val="20"/>
                <w:lang w:eastAsia="en-GB"/>
              </w:rPr>
            </w:pPr>
            <w:r w:rsidRPr="00D677FE">
              <w:rPr>
                <w:rFonts w:eastAsia="Times New Roman" w:cs="Arial"/>
                <w:b/>
                <w:bCs/>
                <w:sz w:val="20"/>
                <w:szCs w:val="20"/>
                <w:lang w:eastAsia="en-GB"/>
              </w:rPr>
              <w:t> </w:t>
            </w:r>
          </w:p>
        </w:tc>
        <w:tc>
          <w:tcPr>
            <w:tcW w:w="1417" w:type="dxa"/>
            <w:gridSpan w:val="2"/>
            <w:tcBorders>
              <w:top w:val="single" w:sz="4" w:space="0" w:color="auto"/>
              <w:left w:val="nil"/>
              <w:bottom w:val="single" w:sz="4" w:space="0" w:color="auto"/>
              <w:right w:val="nil"/>
            </w:tcBorders>
            <w:shd w:val="clear" w:color="000000" w:fill="FFFFFF"/>
            <w:noWrap/>
            <w:vAlign w:val="bottom"/>
            <w:hideMark/>
          </w:tcPr>
          <w:p w14:paraId="31CA8DD2"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3,929,936</w:t>
            </w:r>
          </w:p>
        </w:tc>
        <w:tc>
          <w:tcPr>
            <w:tcW w:w="272" w:type="dxa"/>
            <w:gridSpan w:val="2"/>
            <w:tcBorders>
              <w:top w:val="nil"/>
              <w:left w:val="nil"/>
              <w:bottom w:val="nil"/>
              <w:right w:val="nil"/>
            </w:tcBorders>
            <w:shd w:val="clear" w:color="000000" w:fill="FFFFFF"/>
            <w:noWrap/>
            <w:vAlign w:val="bottom"/>
            <w:hideMark/>
          </w:tcPr>
          <w:p w14:paraId="42AF6FDB"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single" w:sz="4" w:space="0" w:color="auto"/>
              <w:left w:val="nil"/>
              <w:bottom w:val="single" w:sz="4" w:space="0" w:color="auto"/>
              <w:right w:val="nil"/>
            </w:tcBorders>
            <w:shd w:val="clear" w:color="000000" w:fill="FFFFFF"/>
            <w:noWrap/>
            <w:vAlign w:val="bottom"/>
            <w:hideMark/>
          </w:tcPr>
          <w:p w14:paraId="5F62F1BC"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71E09694" w14:textId="77777777" w:rsidR="00D677FE" w:rsidRPr="00D677FE" w:rsidRDefault="00D677FE" w:rsidP="00D677FE">
            <w:pPr>
              <w:spacing w:before="0" w:after="0"/>
              <w:rPr>
                <w:rFonts w:eastAsia="Times New Roman" w:cs="Arial"/>
                <w:sz w:val="20"/>
                <w:szCs w:val="20"/>
                <w:lang w:eastAsia="en-GB"/>
              </w:rPr>
            </w:pPr>
            <w:r w:rsidRPr="00D677FE">
              <w:rPr>
                <w:rFonts w:eastAsia="Times New Roman" w:cs="Arial"/>
                <w:sz w:val="20"/>
                <w:szCs w:val="20"/>
                <w:lang w:eastAsia="en-GB"/>
              </w:rPr>
              <w:t> </w:t>
            </w:r>
          </w:p>
        </w:tc>
        <w:tc>
          <w:tcPr>
            <w:tcW w:w="1180" w:type="dxa"/>
            <w:gridSpan w:val="2"/>
            <w:tcBorders>
              <w:top w:val="single" w:sz="4" w:space="0" w:color="auto"/>
              <w:left w:val="nil"/>
              <w:bottom w:val="single" w:sz="4" w:space="0" w:color="auto"/>
              <w:right w:val="nil"/>
            </w:tcBorders>
            <w:shd w:val="clear" w:color="000000" w:fill="FFFFFF"/>
            <w:noWrap/>
            <w:vAlign w:val="bottom"/>
            <w:hideMark/>
          </w:tcPr>
          <w:p w14:paraId="4FFDB170" w14:textId="77777777" w:rsidR="00D677FE" w:rsidRPr="00D677FE" w:rsidRDefault="00D677FE" w:rsidP="00D677FE">
            <w:pPr>
              <w:spacing w:before="0" w:after="0"/>
              <w:jc w:val="right"/>
              <w:rPr>
                <w:rFonts w:eastAsia="Times New Roman" w:cs="Arial"/>
                <w:b/>
                <w:bCs/>
                <w:sz w:val="20"/>
                <w:szCs w:val="20"/>
                <w:lang w:eastAsia="en-GB"/>
              </w:rPr>
            </w:pPr>
            <w:r w:rsidRPr="00D677FE">
              <w:rPr>
                <w:rFonts w:eastAsia="Times New Roman" w:cs="Arial"/>
                <w:b/>
                <w:bCs/>
                <w:sz w:val="20"/>
                <w:szCs w:val="20"/>
                <w:lang w:eastAsia="en-GB"/>
              </w:rPr>
              <w:t>-</w:t>
            </w:r>
          </w:p>
        </w:tc>
      </w:tr>
    </w:tbl>
    <w:p w14:paraId="0B7EFA17" w14:textId="77777777" w:rsidR="00334D13" w:rsidRDefault="00334D13">
      <w:pPr>
        <w:spacing w:before="0" w:after="200" w:line="276" w:lineRule="auto"/>
      </w:pPr>
      <w:r>
        <w:br w:type="page"/>
      </w:r>
    </w:p>
    <w:tbl>
      <w:tblPr>
        <w:tblW w:w="9820" w:type="dxa"/>
        <w:tblLook w:val="04A0" w:firstRow="1" w:lastRow="0" w:firstColumn="1" w:lastColumn="0" w:noHBand="0" w:noVBand="1"/>
      </w:tblPr>
      <w:tblGrid>
        <w:gridCol w:w="9820"/>
      </w:tblGrid>
      <w:tr w:rsidR="00334D13" w:rsidRPr="00334D13" w14:paraId="7E57DA54" w14:textId="77777777" w:rsidTr="00334D13">
        <w:trPr>
          <w:trHeight w:val="260"/>
        </w:trPr>
        <w:tc>
          <w:tcPr>
            <w:tcW w:w="9820" w:type="dxa"/>
            <w:tcBorders>
              <w:top w:val="nil"/>
              <w:left w:val="nil"/>
              <w:bottom w:val="nil"/>
              <w:right w:val="nil"/>
            </w:tcBorders>
            <w:shd w:val="clear" w:color="auto" w:fill="auto"/>
            <w:noWrap/>
            <w:vAlign w:val="bottom"/>
            <w:hideMark/>
          </w:tcPr>
          <w:p w14:paraId="36733F80" w14:textId="77777777" w:rsidR="00334D13" w:rsidRPr="00334D13" w:rsidRDefault="00334D13" w:rsidP="00334D13">
            <w:pPr>
              <w:spacing w:before="0" w:after="0"/>
              <w:rPr>
                <w:rFonts w:eastAsia="Times New Roman" w:cs="Arial"/>
                <w:i/>
                <w:iCs/>
                <w:sz w:val="20"/>
                <w:szCs w:val="20"/>
                <w:lang w:eastAsia="en-GB"/>
              </w:rPr>
            </w:pPr>
            <w:r w:rsidRPr="00334D13">
              <w:rPr>
                <w:rFonts w:eastAsia="Times New Roman" w:cs="Arial"/>
                <w:i/>
                <w:iCs/>
                <w:sz w:val="20"/>
                <w:szCs w:val="20"/>
                <w:lang w:eastAsia="en-GB"/>
              </w:rPr>
              <w:lastRenderedPageBreak/>
              <w:t>NHS Mid and South Essex Integrated Care Board - Statutory Accounts 2023-24</w:t>
            </w:r>
          </w:p>
        </w:tc>
      </w:tr>
      <w:tr w:rsidR="00334D13" w:rsidRPr="00334D13" w14:paraId="7214AA13" w14:textId="77777777" w:rsidTr="00334D13">
        <w:trPr>
          <w:trHeight w:val="260"/>
        </w:trPr>
        <w:tc>
          <w:tcPr>
            <w:tcW w:w="9820" w:type="dxa"/>
            <w:tcBorders>
              <w:top w:val="nil"/>
              <w:left w:val="nil"/>
              <w:bottom w:val="nil"/>
              <w:right w:val="nil"/>
            </w:tcBorders>
            <w:shd w:val="clear" w:color="000000" w:fill="FFFFFF"/>
            <w:vAlign w:val="bottom"/>
            <w:hideMark/>
          </w:tcPr>
          <w:p w14:paraId="0B5FB7A3" w14:textId="77777777" w:rsidR="00334D13" w:rsidRPr="00334D13" w:rsidRDefault="00334D13" w:rsidP="00334D13">
            <w:pPr>
              <w:spacing w:before="0" w:after="0"/>
              <w:jc w:val="center"/>
              <w:rPr>
                <w:rFonts w:eastAsia="Times New Roman" w:cs="Arial"/>
                <w:b/>
                <w:bCs/>
                <w:sz w:val="20"/>
                <w:szCs w:val="20"/>
                <w:lang w:eastAsia="en-GB"/>
              </w:rPr>
            </w:pPr>
            <w:r w:rsidRPr="00334D13">
              <w:rPr>
                <w:rFonts w:eastAsia="Times New Roman" w:cs="Arial"/>
                <w:b/>
                <w:bCs/>
                <w:sz w:val="20"/>
                <w:szCs w:val="20"/>
                <w:lang w:eastAsia="en-GB"/>
              </w:rPr>
              <w:t> </w:t>
            </w:r>
          </w:p>
        </w:tc>
      </w:tr>
      <w:tr w:rsidR="00334D13" w:rsidRPr="00334D13" w14:paraId="71D2E300" w14:textId="77777777" w:rsidTr="00334D13">
        <w:trPr>
          <w:trHeight w:val="265"/>
        </w:trPr>
        <w:tc>
          <w:tcPr>
            <w:tcW w:w="9820" w:type="dxa"/>
            <w:tcBorders>
              <w:top w:val="nil"/>
              <w:left w:val="nil"/>
              <w:bottom w:val="nil"/>
              <w:right w:val="nil"/>
            </w:tcBorders>
            <w:shd w:val="clear" w:color="000000" w:fill="FFFFFF"/>
            <w:vAlign w:val="bottom"/>
            <w:hideMark/>
          </w:tcPr>
          <w:p w14:paraId="1DCD8E25" w14:textId="77777777" w:rsidR="00334D13" w:rsidRPr="00334D13" w:rsidRDefault="00334D13" w:rsidP="00334D13">
            <w:pPr>
              <w:spacing w:before="0" w:after="0"/>
              <w:rPr>
                <w:rFonts w:eastAsia="Times New Roman" w:cs="Arial"/>
                <w:b/>
                <w:bCs/>
                <w:sz w:val="20"/>
                <w:szCs w:val="20"/>
                <w:lang w:eastAsia="en-GB"/>
              </w:rPr>
            </w:pPr>
            <w:r w:rsidRPr="00334D13">
              <w:rPr>
                <w:rFonts w:eastAsia="Times New Roman" w:cs="Arial"/>
                <w:b/>
                <w:bCs/>
                <w:sz w:val="20"/>
                <w:szCs w:val="20"/>
                <w:lang w:eastAsia="en-GB"/>
              </w:rPr>
              <w:t>4.6 Pension Costs</w:t>
            </w:r>
          </w:p>
        </w:tc>
      </w:tr>
      <w:tr w:rsidR="00334D13" w:rsidRPr="00334D13" w14:paraId="4999FBFB" w14:textId="77777777" w:rsidTr="00334D13">
        <w:trPr>
          <w:trHeight w:val="120"/>
        </w:trPr>
        <w:tc>
          <w:tcPr>
            <w:tcW w:w="9820" w:type="dxa"/>
            <w:tcBorders>
              <w:top w:val="nil"/>
              <w:left w:val="nil"/>
              <w:bottom w:val="nil"/>
              <w:right w:val="nil"/>
            </w:tcBorders>
            <w:shd w:val="clear" w:color="auto" w:fill="auto"/>
            <w:vAlign w:val="bottom"/>
            <w:hideMark/>
          </w:tcPr>
          <w:p w14:paraId="425B74BB" w14:textId="77777777" w:rsidR="00334D13" w:rsidRPr="00334D13" w:rsidRDefault="00334D13" w:rsidP="00334D13">
            <w:pPr>
              <w:spacing w:before="0" w:after="0"/>
              <w:rPr>
                <w:rFonts w:eastAsia="Times New Roman" w:cs="Arial"/>
                <w:b/>
                <w:bCs/>
                <w:sz w:val="20"/>
                <w:szCs w:val="20"/>
                <w:lang w:eastAsia="en-GB"/>
              </w:rPr>
            </w:pPr>
          </w:p>
        </w:tc>
      </w:tr>
      <w:tr w:rsidR="00334D13" w:rsidRPr="00334D13" w14:paraId="36A9ACB5" w14:textId="77777777" w:rsidTr="00334D13">
        <w:trPr>
          <w:trHeight w:val="2390"/>
        </w:trPr>
        <w:tc>
          <w:tcPr>
            <w:tcW w:w="9820" w:type="dxa"/>
            <w:tcBorders>
              <w:top w:val="nil"/>
              <w:left w:val="nil"/>
              <w:bottom w:val="nil"/>
              <w:right w:val="nil"/>
            </w:tcBorders>
            <w:shd w:val="clear" w:color="auto" w:fill="auto"/>
            <w:vAlign w:val="center"/>
            <w:hideMark/>
          </w:tcPr>
          <w:p w14:paraId="3364A20D" w14:textId="77777777" w:rsidR="00334D13" w:rsidRPr="00334D13" w:rsidRDefault="00334D13" w:rsidP="00334D13">
            <w:pPr>
              <w:spacing w:before="0" w:after="0"/>
              <w:rPr>
                <w:rFonts w:eastAsia="Times New Roman" w:cs="Arial"/>
                <w:sz w:val="20"/>
                <w:szCs w:val="20"/>
                <w:lang w:eastAsia="en-GB"/>
              </w:rPr>
            </w:pPr>
            <w:r w:rsidRPr="00334D13">
              <w:rPr>
                <w:rFonts w:eastAsia="Times New Roman" w:cs="Arial"/>
                <w:sz w:val="20"/>
                <w:szCs w:val="20"/>
                <w:lang w:eastAsia="en-GB"/>
              </w:rPr>
              <w:t>Past and present employees are covered by the provisions of the NHS Pension Schemes. Details of the benefits payable and rules of the schemes can be found on the NHS Pensions website at www.nhsbsa.nhs.uk/pensions. Both the 1995/2008 and 2015 schemes are accounted for, and the scheme liability valued, as a single combined scheme. Both are unfunded defined benefit schemes that cover NHS employers, GP practices and other bodies, allowed under the direction of the Secretary of State for Health and Social Care in England and Wales. They are not designed to be run in a way that would enable NHS bodies to identify their share of the underlying scheme assets and liabilities. Therefore, each scheme is accounted for as if it were a defined contribution scheme: the cost to the NHS body of participating in each scheme is taken as equal to the contributions payable to that scheme for the accounting period.  </w:t>
            </w:r>
          </w:p>
        </w:tc>
      </w:tr>
      <w:tr w:rsidR="00334D13" w:rsidRPr="00334D13" w14:paraId="68FE8EF8" w14:textId="77777777" w:rsidTr="00334D13">
        <w:trPr>
          <w:trHeight w:val="120"/>
        </w:trPr>
        <w:tc>
          <w:tcPr>
            <w:tcW w:w="9820" w:type="dxa"/>
            <w:tcBorders>
              <w:top w:val="nil"/>
              <w:left w:val="nil"/>
              <w:bottom w:val="nil"/>
              <w:right w:val="nil"/>
            </w:tcBorders>
            <w:shd w:val="clear" w:color="auto" w:fill="auto"/>
            <w:vAlign w:val="bottom"/>
            <w:hideMark/>
          </w:tcPr>
          <w:p w14:paraId="26536962" w14:textId="77777777" w:rsidR="00334D13" w:rsidRPr="00334D13" w:rsidRDefault="00334D13" w:rsidP="00334D13">
            <w:pPr>
              <w:spacing w:before="0" w:after="0"/>
              <w:rPr>
                <w:rFonts w:eastAsia="Times New Roman" w:cs="Arial"/>
                <w:sz w:val="20"/>
                <w:szCs w:val="20"/>
                <w:lang w:eastAsia="en-GB"/>
              </w:rPr>
            </w:pPr>
          </w:p>
        </w:tc>
      </w:tr>
      <w:tr w:rsidR="00334D13" w:rsidRPr="00334D13" w14:paraId="3C5E3685" w14:textId="77777777" w:rsidTr="00334D13">
        <w:trPr>
          <w:trHeight w:val="840"/>
        </w:trPr>
        <w:tc>
          <w:tcPr>
            <w:tcW w:w="9820" w:type="dxa"/>
            <w:tcBorders>
              <w:top w:val="nil"/>
              <w:left w:val="nil"/>
              <w:bottom w:val="nil"/>
              <w:right w:val="nil"/>
            </w:tcBorders>
            <w:shd w:val="clear" w:color="auto" w:fill="auto"/>
            <w:vAlign w:val="center"/>
            <w:hideMark/>
          </w:tcPr>
          <w:p w14:paraId="08BFAD0B" w14:textId="77777777" w:rsidR="00334D13" w:rsidRPr="00334D13" w:rsidRDefault="00334D13" w:rsidP="00334D13">
            <w:pPr>
              <w:spacing w:before="0" w:after="0"/>
              <w:rPr>
                <w:rFonts w:eastAsia="Times New Roman" w:cs="Arial"/>
                <w:sz w:val="20"/>
                <w:szCs w:val="20"/>
                <w:lang w:eastAsia="en-GB"/>
              </w:rPr>
            </w:pPr>
            <w:r w:rsidRPr="00334D13">
              <w:rPr>
                <w:rFonts w:eastAsia="Times New Roman" w:cs="Arial"/>
                <w:sz w:val="20"/>
                <w:szCs w:val="20"/>
                <w:lang w:eastAsia="en-GB"/>
              </w:rPr>
              <w:t xml:space="preserve">In order that the defined benefit obligations recognised in the financial statements do not differ materially from those that would be determined at the reporting date by a formal actuarial valuation, the FReM requires that “the period between formal valuations shall be four years, with approximate assessments in intervening years”. </w:t>
            </w:r>
          </w:p>
        </w:tc>
      </w:tr>
      <w:tr w:rsidR="00334D13" w:rsidRPr="00334D13" w14:paraId="0F2ED8FA" w14:textId="77777777" w:rsidTr="00334D13">
        <w:trPr>
          <w:trHeight w:val="250"/>
        </w:trPr>
        <w:tc>
          <w:tcPr>
            <w:tcW w:w="9820" w:type="dxa"/>
            <w:tcBorders>
              <w:top w:val="nil"/>
              <w:left w:val="nil"/>
              <w:bottom w:val="nil"/>
              <w:right w:val="nil"/>
            </w:tcBorders>
            <w:shd w:val="clear" w:color="auto" w:fill="auto"/>
            <w:vAlign w:val="bottom"/>
            <w:hideMark/>
          </w:tcPr>
          <w:p w14:paraId="055E56A6" w14:textId="77777777" w:rsidR="00334D13" w:rsidRPr="00334D13" w:rsidRDefault="00334D13" w:rsidP="00334D13">
            <w:pPr>
              <w:spacing w:before="0" w:after="0"/>
              <w:rPr>
                <w:rFonts w:eastAsia="Times New Roman" w:cs="Arial"/>
                <w:sz w:val="20"/>
                <w:szCs w:val="20"/>
                <w:lang w:eastAsia="en-GB"/>
              </w:rPr>
            </w:pPr>
            <w:r w:rsidRPr="00334D13">
              <w:rPr>
                <w:rFonts w:eastAsia="Times New Roman" w:cs="Arial"/>
                <w:sz w:val="20"/>
                <w:szCs w:val="20"/>
                <w:lang w:eastAsia="en-GB"/>
              </w:rPr>
              <w:t>An outline of these follows:</w:t>
            </w:r>
          </w:p>
        </w:tc>
      </w:tr>
      <w:tr w:rsidR="00334D13" w:rsidRPr="00334D13" w14:paraId="1917A069" w14:textId="77777777" w:rsidTr="00334D13">
        <w:trPr>
          <w:trHeight w:val="250"/>
        </w:trPr>
        <w:tc>
          <w:tcPr>
            <w:tcW w:w="9820" w:type="dxa"/>
            <w:tcBorders>
              <w:top w:val="nil"/>
              <w:left w:val="nil"/>
              <w:bottom w:val="nil"/>
              <w:right w:val="nil"/>
            </w:tcBorders>
            <w:shd w:val="clear" w:color="auto" w:fill="auto"/>
            <w:vAlign w:val="bottom"/>
            <w:hideMark/>
          </w:tcPr>
          <w:p w14:paraId="1346AAEA" w14:textId="77777777" w:rsidR="00334D13" w:rsidRPr="00334D13" w:rsidRDefault="00334D13" w:rsidP="00334D13">
            <w:pPr>
              <w:spacing w:before="0" w:after="0"/>
              <w:rPr>
                <w:rFonts w:eastAsia="Times New Roman" w:cs="Arial"/>
                <w:sz w:val="20"/>
                <w:szCs w:val="20"/>
                <w:lang w:eastAsia="en-GB"/>
              </w:rPr>
            </w:pPr>
          </w:p>
        </w:tc>
      </w:tr>
      <w:tr w:rsidR="00334D13" w:rsidRPr="00334D13" w14:paraId="3545CE67" w14:textId="77777777" w:rsidTr="00334D13">
        <w:trPr>
          <w:trHeight w:val="260"/>
        </w:trPr>
        <w:tc>
          <w:tcPr>
            <w:tcW w:w="9820" w:type="dxa"/>
            <w:tcBorders>
              <w:top w:val="nil"/>
              <w:left w:val="nil"/>
              <w:bottom w:val="nil"/>
              <w:right w:val="nil"/>
            </w:tcBorders>
            <w:shd w:val="clear" w:color="000000" w:fill="FFFFFF"/>
            <w:vAlign w:val="bottom"/>
            <w:hideMark/>
          </w:tcPr>
          <w:p w14:paraId="3A71A7F9" w14:textId="77777777" w:rsidR="00334D13" w:rsidRPr="00334D13" w:rsidRDefault="00334D13" w:rsidP="00334D13">
            <w:pPr>
              <w:spacing w:before="0" w:after="0"/>
              <w:rPr>
                <w:rFonts w:eastAsia="Times New Roman" w:cs="Arial"/>
                <w:b/>
                <w:bCs/>
                <w:sz w:val="20"/>
                <w:szCs w:val="20"/>
                <w:lang w:eastAsia="en-GB"/>
              </w:rPr>
            </w:pPr>
            <w:r w:rsidRPr="00334D13">
              <w:rPr>
                <w:rFonts w:eastAsia="Times New Roman" w:cs="Arial"/>
                <w:b/>
                <w:bCs/>
                <w:sz w:val="20"/>
                <w:szCs w:val="20"/>
                <w:lang w:eastAsia="en-GB"/>
              </w:rPr>
              <w:t>4.6.1 Accounting Valuation</w:t>
            </w:r>
          </w:p>
        </w:tc>
      </w:tr>
      <w:tr w:rsidR="00334D13" w:rsidRPr="00334D13" w14:paraId="3688139B" w14:textId="77777777" w:rsidTr="00334D13">
        <w:trPr>
          <w:trHeight w:val="120"/>
        </w:trPr>
        <w:tc>
          <w:tcPr>
            <w:tcW w:w="9820" w:type="dxa"/>
            <w:tcBorders>
              <w:top w:val="nil"/>
              <w:left w:val="nil"/>
              <w:bottom w:val="nil"/>
              <w:right w:val="nil"/>
            </w:tcBorders>
            <w:shd w:val="clear" w:color="auto" w:fill="auto"/>
            <w:vAlign w:val="bottom"/>
            <w:hideMark/>
          </w:tcPr>
          <w:p w14:paraId="520C222E" w14:textId="77777777" w:rsidR="00334D13" w:rsidRPr="00334D13" w:rsidRDefault="00334D13" w:rsidP="00334D13">
            <w:pPr>
              <w:spacing w:before="0" w:after="0"/>
              <w:rPr>
                <w:rFonts w:eastAsia="Times New Roman" w:cs="Arial"/>
                <w:b/>
                <w:bCs/>
                <w:sz w:val="20"/>
                <w:szCs w:val="20"/>
                <w:lang w:eastAsia="en-GB"/>
              </w:rPr>
            </w:pPr>
          </w:p>
        </w:tc>
      </w:tr>
      <w:tr w:rsidR="00334D13" w:rsidRPr="00334D13" w14:paraId="44DB9FCC" w14:textId="77777777" w:rsidTr="00334D13">
        <w:trPr>
          <w:trHeight w:val="2150"/>
        </w:trPr>
        <w:tc>
          <w:tcPr>
            <w:tcW w:w="9820" w:type="dxa"/>
            <w:tcBorders>
              <w:top w:val="nil"/>
              <w:left w:val="nil"/>
              <w:bottom w:val="nil"/>
              <w:right w:val="nil"/>
            </w:tcBorders>
            <w:shd w:val="clear" w:color="auto" w:fill="auto"/>
            <w:vAlign w:val="center"/>
            <w:hideMark/>
          </w:tcPr>
          <w:p w14:paraId="1D64F36F" w14:textId="7A2A6115" w:rsidR="00334D13" w:rsidRPr="00334D13" w:rsidRDefault="00334D13" w:rsidP="00334D13">
            <w:pPr>
              <w:spacing w:before="0" w:after="0"/>
              <w:rPr>
                <w:rFonts w:eastAsia="Times New Roman" w:cs="Arial"/>
                <w:sz w:val="20"/>
                <w:szCs w:val="20"/>
                <w:lang w:eastAsia="en-GB"/>
              </w:rPr>
            </w:pPr>
            <w:r w:rsidRPr="00334D13">
              <w:rPr>
                <w:rFonts w:eastAsia="Times New Roman" w:cs="Arial"/>
                <w:sz w:val="20"/>
                <w:szCs w:val="20"/>
                <w:lang w:eastAsia="en-GB"/>
              </w:rPr>
              <w:t>A valuation of scheme liability is carried out annually by the scheme actuary (currently the Government Actuary’s Department) as at the end of the reporting period. This utilises an actuarial assessment for the previous accounting period in conjunction with updated membership and financial data for the current reporting period and is accepted as providing suitably robust figures for financial reporting purposes. The valuation of the scheme liability as at 31 March 2024, is based on valuation data as 31 March 2023, updated to 31 March 2024 with summary global member and accounting data. In undertaking this actuarial assessment, the methodology prescribed in IAS 19, relevant FReM interpretations, and the discount rate prescribed by HM Treasury have also been used.</w:t>
            </w:r>
          </w:p>
        </w:tc>
      </w:tr>
      <w:tr w:rsidR="00334D13" w:rsidRPr="00334D13" w14:paraId="41F98E75" w14:textId="77777777" w:rsidTr="00334D13">
        <w:trPr>
          <w:trHeight w:val="250"/>
        </w:trPr>
        <w:tc>
          <w:tcPr>
            <w:tcW w:w="9820" w:type="dxa"/>
            <w:tcBorders>
              <w:top w:val="nil"/>
              <w:left w:val="nil"/>
              <w:bottom w:val="nil"/>
              <w:right w:val="nil"/>
            </w:tcBorders>
            <w:shd w:val="clear" w:color="auto" w:fill="auto"/>
            <w:vAlign w:val="bottom"/>
            <w:hideMark/>
          </w:tcPr>
          <w:p w14:paraId="388E30F9" w14:textId="77777777" w:rsidR="00334D13" w:rsidRPr="00334D13" w:rsidRDefault="00334D13" w:rsidP="00334D13">
            <w:pPr>
              <w:spacing w:before="0" w:after="0"/>
              <w:rPr>
                <w:rFonts w:eastAsia="Times New Roman" w:cs="Arial"/>
                <w:sz w:val="20"/>
                <w:szCs w:val="20"/>
                <w:lang w:eastAsia="en-GB"/>
              </w:rPr>
            </w:pPr>
          </w:p>
        </w:tc>
      </w:tr>
      <w:tr w:rsidR="00334D13" w:rsidRPr="00334D13" w14:paraId="74F773D1" w14:textId="77777777" w:rsidTr="00334D13">
        <w:trPr>
          <w:trHeight w:val="970"/>
        </w:trPr>
        <w:tc>
          <w:tcPr>
            <w:tcW w:w="9820" w:type="dxa"/>
            <w:tcBorders>
              <w:top w:val="nil"/>
              <w:left w:val="nil"/>
              <w:bottom w:val="nil"/>
              <w:right w:val="nil"/>
            </w:tcBorders>
            <w:shd w:val="clear" w:color="auto" w:fill="auto"/>
            <w:vAlign w:val="center"/>
            <w:hideMark/>
          </w:tcPr>
          <w:p w14:paraId="1DDAFBB8" w14:textId="77777777" w:rsidR="00334D13" w:rsidRPr="00334D13" w:rsidRDefault="00334D13" w:rsidP="00334D13">
            <w:pPr>
              <w:spacing w:before="0" w:after="0"/>
              <w:rPr>
                <w:rFonts w:eastAsia="Times New Roman" w:cs="Arial"/>
                <w:sz w:val="20"/>
                <w:szCs w:val="20"/>
                <w:lang w:eastAsia="en-GB"/>
              </w:rPr>
            </w:pPr>
            <w:r w:rsidRPr="00334D13">
              <w:rPr>
                <w:rFonts w:eastAsia="Times New Roman" w:cs="Arial"/>
                <w:sz w:val="20"/>
                <w:szCs w:val="20"/>
                <w:lang w:eastAsia="en-GB"/>
              </w:rPr>
              <w:t>The latest assessment of the liabilities of the scheme is contained in the Statement by the Actuary, which forms part of the annual NHS Pension Scheme Annual Report and Accounts. These accounts can be viewed on the NHS Pensions website and are published annually. Copies can also be obtained from The Stationery Office.</w:t>
            </w:r>
          </w:p>
        </w:tc>
      </w:tr>
      <w:tr w:rsidR="00334D13" w:rsidRPr="00334D13" w14:paraId="626AEE97" w14:textId="77777777" w:rsidTr="00334D13">
        <w:trPr>
          <w:trHeight w:val="250"/>
        </w:trPr>
        <w:tc>
          <w:tcPr>
            <w:tcW w:w="9820" w:type="dxa"/>
            <w:tcBorders>
              <w:top w:val="nil"/>
              <w:left w:val="nil"/>
              <w:bottom w:val="nil"/>
              <w:right w:val="nil"/>
            </w:tcBorders>
            <w:shd w:val="clear" w:color="auto" w:fill="auto"/>
            <w:vAlign w:val="bottom"/>
            <w:hideMark/>
          </w:tcPr>
          <w:p w14:paraId="54231F0C" w14:textId="77777777" w:rsidR="00334D13" w:rsidRPr="00334D13" w:rsidRDefault="00334D13" w:rsidP="00334D13">
            <w:pPr>
              <w:spacing w:before="0" w:after="0"/>
              <w:rPr>
                <w:rFonts w:eastAsia="Times New Roman" w:cs="Arial"/>
                <w:sz w:val="20"/>
                <w:szCs w:val="20"/>
                <w:lang w:eastAsia="en-GB"/>
              </w:rPr>
            </w:pPr>
          </w:p>
        </w:tc>
      </w:tr>
      <w:tr w:rsidR="00334D13" w:rsidRPr="00334D13" w14:paraId="09CB150C" w14:textId="77777777" w:rsidTr="00334D13">
        <w:trPr>
          <w:trHeight w:val="260"/>
        </w:trPr>
        <w:tc>
          <w:tcPr>
            <w:tcW w:w="9820" w:type="dxa"/>
            <w:tcBorders>
              <w:top w:val="nil"/>
              <w:left w:val="nil"/>
              <w:bottom w:val="nil"/>
              <w:right w:val="nil"/>
            </w:tcBorders>
            <w:shd w:val="clear" w:color="000000" w:fill="FFFFFF"/>
            <w:vAlign w:val="bottom"/>
            <w:hideMark/>
          </w:tcPr>
          <w:p w14:paraId="3B5011E3" w14:textId="77777777" w:rsidR="00334D13" w:rsidRPr="00334D13" w:rsidRDefault="00334D13" w:rsidP="00334D13">
            <w:pPr>
              <w:spacing w:before="0" w:after="0"/>
              <w:rPr>
                <w:rFonts w:eastAsia="Times New Roman" w:cs="Arial"/>
                <w:b/>
                <w:bCs/>
                <w:sz w:val="20"/>
                <w:szCs w:val="20"/>
                <w:lang w:eastAsia="en-GB"/>
              </w:rPr>
            </w:pPr>
            <w:r w:rsidRPr="00334D13">
              <w:rPr>
                <w:rFonts w:eastAsia="Times New Roman" w:cs="Arial"/>
                <w:b/>
                <w:bCs/>
                <w:sz w:val="20"/>
                <w:szCs w:val="20"/>
                <w:lang w:eastAsia="en-GB"/>
              </w:rPr>
              <w:t>4.6.2 Full Actuarial (Funding) Valuation</w:t>
            </w:r>
          </w:p>
        </w:tc>
      </w:tr>
      <w:tr w:rsidR="00334D13" w:rsidRPr="00334D13" w14:paraId="628CC8E7" w14:textId="77777777" w:rsidTr="00334D13">
        <w:trPr>
          <w:trHeight w:val="120"/>
        </w:trPr>
        <w:tc>
          <w:tcPr>
            <w:tcW w:w="9820" w:type="dxa"/>
            <w:tcBorders>
              <w:top w:val="nil"/>
              <w:left w:val="nil"/>
              <w:bottom w:val="nil"/>
              <w:right w:val="nil"/>
            </w:tcBorders>
            <w:shd w:val="clear" w:color="auto" w:fill="auto"/>
            <w:vAlign w:val="bottom"/>
            <w:hideMark/>
          </w:tcPr>
          <w:p w14:paraId="4EF33032" w14:textId="77777777" w:rsidR="00334D13" w:rsidRPr="00334D13" w:rsidRDefault="00334D13" w:rsidP="00334D13">
            <w:pPr>
              <w:spacing w:before="0" w:after="0"/>
              <w:rPr>
                <w:rFonts w:eastAsia="Times New Roman" w:cs="Arial"/>
                <w:b/>
                <w:bCs/>
                <w:sz w:val="20"/>
                <w:szCs w:val="20"/>
                <w:lang w:eastAsia="en-GB"/>
              </w:rPr>
            </w:pPr>
          </w:p>
        </w:tc>
      </w:tr>
      <w:tr w:rsidR="00334D13" w:rsidRPr="00334D13" w14:paraId="0F12495A" w14:textId="77777777" w:rsidTr="00334D13">
        <w:trPr>
          <w:trHeight w:val="790"/>
        </w:trPr>
        <w:tc>
          <w:tcPr>
            <w:tcW w:w="9820" w:type="dxa"/>
            <w:tcBorders>
              <w:top w:val="nil"/>
              <w:left w:val="nil"/>
              <w:bottom w:val="nil"/>
              <w:right w:val="nil"/>
            </w:tcBorders>
            <w:shd w:val="clear" w:color="auto" w:fill="auto"/>
            <w:vAlign w:val="center"/>
            <w:hideMark/>
          </w:tcPr>
          <w:p w14:paraId="4E041E7C" w14:textId="77777777" w:rsidR="00334D13" w:rsidRPr="00334D13" w:rsidRDefault="00334D13" w:rsidP="00334D13">
            <w:pPr>
              <w:spacing w:before="0" w:after="0"/>
              <w:rPr>
                <w:rFonts w:eastAsia="Times New Roman" w:cs="Arial"/>
                <w:sz w:val="20"/>
                <w:szCs w:val="20"/>
                <w:lang w:eastAsia="en-GB"/>
              </w:rPr>
            </w:pPr>
            <w:r w:rsidRPr="00334D13">
              <w:rPr>
                <w:rFonts w:eastAsia="Times New Roman" w:cs="Arial"/>
                <w:sz w:val="20"/>
                <w:szCs w:val="20"/>
                <w:lang w:eastAsia="en-GB"/>
              </w:rPr>
              <w:t xml:space="preserve">The purpose of this valuation is to assess the level of liability in respect of the benefits due under the schemes (taking into account recent demographic experience), and to recommend contribution rates payable by employees and employers. </w:t>
            </w:r>
          </w:p>
        </w:tc>
      </w:tr>
      <w:tr w:rsidR="00334D13" w:rsidRPr="00334D13" w14:paraId="21E616F2" w14:textId="77777777" w:rsidTr="00334D13">
        <w:trPr>
          <w:trHeight w:val="120"/>
        </w:trPr>
        <w:tc>
          <w:tcPr>
            <w:tcW w:w="9820" w:type="dxa"/>
            <w:tcBorders>
              <w:top w:val="nil"/>
              <w:left w:val="nil"/>
              <w:bottom w:val="nil"/>
              <w:right w:val="nil"/>
            </w:tcBorders>
            <w:shd w:val="clear" w:color="auto" w:fill="auto"/>
            <w:vAlign w:val="bottom"/>
            <w:hideMark/>
          </w:tcPr>
          <w:p w14:paraId="4B94AE0D" w14:textId="77777777" w:rsidR="00334D13" w:rsidRPr="00334D13" w:rsidRDefault="00334D13" w:rsidP="00334D13">
            <w:pPr>
              <w:spacing w:before="0" w:after="0"/>
              <w:rPr>
                <w:rFonts w:eastAsia="Times New Roman" w:cs="Arial"/>
                <w:sz w:val="20"/>
                <w:szCs w:val="20"/>
                <w:lang w:eastAsia="en-GB"/>
              </w:rPr>
            </w:pPr>
          </w:p>
        </w:tc>
      </w:tr>
      <w:tr w:rsidR="00334D13" w:rsidRPr="00334D13" w14:paraId="27916233" w14:textId="77777777" w:rsidTr="00334D13">
        <w:trPr>
          <w:trHeight w:val="1690"/>
        </w:trPr>
        <w:tc>
          <w:tcPr>
            <w:tcW w:w="9820" w:type="dxa"/>
            <w:tcBorders>
              <w:top w:val="nil"/>
              <w:left w:val="nil"/>
              <w:bottom w:val="nil"/>
              <w:right w:val="nil"/>
            </w:tcBorders>
            <w:shd w:val="clear" w:color="auto" w:fill="auto"/>
            <w:vAlign w:val="center"/>
            <w:hideMark/>
          </w:tcPr>
          <w:p w14:paraId="130AFCD0" w14:textId="77777777" w:rsidR="00334D13" w:rsidRPr="00334D13" w:rsidRDefault="00334D13" w:rsidP="00334D13">
            <w:pPr>
              <w:spacing w:before="0" w:after="0"/>
              <w:rPr>
                <w:rFonts w:eastAsia="Times New Roman" w:cs="Arial"/>
                <w:sz w:val="20"/>
                <w:szCs w:val="20"/>
                <w:lang w:eastAsia="en-GB"/>
              </w:rPr>
            </w:pPr>
            <w:r w:rsidRPr="00334D13">
              <w:rPr>
                <w:rFonts w:eastAsia="Times New Roman" w:cs="Arial"/>
                <w:sz w:val="20"/>
                <w:szCs w:val="20"/>
                <w:lang w:eastAsia="en-GB"/>
              </w:rPr>
              <w:t>The latest actuarial valuation undertaken for the NHS Pension Scheme was completed as at 31 March 2020. The results of this valuation set the employer contribution rate payable from 1 April 2024 to 23.7% of pensionable pay. The core cost cap cost of the scheme was calculated to be outside of the 3% cost cap corridor as at 31 March 2020. However, when the wider economic situation was taken into account through the economic cost cap cost of the scheme, the cost cap corridor was not similarly breached. As a result, there was no impact on the member benefit structure or contribution rates.</w:t>
            </w:r>
          </w:p>
        </w:tc>
      </w:tr>
    </w:tbl>
    <w:p w14:paraId="56B6B499" w14:textId="34CE3605" w:rsidR="00BD3885" w:rsidRDefault="00BD3885" w:rsidP="00C70A7F">
      <w:pPr>
        <w:spacing w:before="0" w:after="200" w:line="276" w:lineRule="auto"/>
      </w:pPr>
    </w:p>
    <w:p w14:paraId="65FB35B5" w14:textId="77777777" w:rsidR="00BD3885" w:rsidRDefault="00BD3885">
      <w:pPr>
        <w:spacing w:before="0" w:after="200" w:line="276" w:lineRule="auto"/>
      </w:pPr>
      <w:r>
        <w:br w:type="page"/>
      </w:r>
    </w:p>
    <w:tbl>
      <w:tblPr>
        <w:tblW w:w="9004" w:type="dxa"/>
        <w:tblLook w:val="04A0" w:firstRow="1" w:lastRow="0" w:firstColumn="1" w:lastColumn="0" w:noHBand="0" w:noVBand="1"/>
      </w:tblPr>
      <w:tblGrid>
        <w:gridCol w:w="5980"/>
        <w:gridCol w:w="272"/>
        <w:gridCol w:w="1300"/>
        <w:gridCol w:w="272"/>
        <w:gridCol w:w="1180"/>
      </w:tblGrid>
      <w:tr w:rsidR="004A4C61" w:rsidRPr="004A4C61" w14:paraId="23FC4057" w14:textId="77777777" w:rsidTr="004A4C61">
        <w:trPr>
          <w:trHeight w:val="260"/>
        </w:trPr>
        <w:tc>
          <w:tcPr>
            <w:tcW w:w="9004" w:type="dxa"/>
            <w:gridSpan w:val="5"/>
            <w:tcBorders>
              <w:top w:val="nil"/>
              <w:left w:val="nil"/>
              <w:bottom w:val="nil"/>
              <w:right w:val="nil"/>
            </w:tcBorders>
            <w:shd w:val="clear" w:color="auto" w:fill="auto"/>
            <w:noWrap/>
            <w:vAlign w:val="bottom"/>
            <w:hideMark/>
          </w:tcPr>
          <w:p w14:paraId="092322D7" w14:textId="247E3CD8" w:rsidR="004A4C61" w:rsidRPr="004A4C61" w:rsidRDefault="004A4C61" w:rsidP="004A4C61">
            <w:pPr>
              <w:spacing w:before="0" w:after="0"/>
              <w:rPr>
                <w:rFonts w:eastAsia="Times New Roman" w:cs="Arial"/>
                <w:i/>
                <w:iCs/>
                <w:sz w:val="20"/>
                <w:szCs w:val="20"/>
                <w:lang w:eastAsia="en-GB"/>
              </w:rPr>
            </w:pPr>
            <w:r w:rsidRPr="004A4C61">
              <w:rPr>
                <w:rFonts w:eastAsia="Times New Roman" w:cs="Arial"/>
                <w:i/>
                <w:iCs/>
                <w:sz w:val="20"/>
                <w:szCs w:val="20"/>
                <w:lang w:eastAsia="en-GB"/>
              </w:rPr>
              <w:lastRenderedPageBreak/>
              <w:t>NHS Mid and South Essex Integrated Care Board - Statutory Accounts 2023-24</w:t>
            </w:r>
          </w:p>
        </w:tc>
      </w:tr>
      <w:tr w:rsidR="004A4C61" w:rsidRPr="004A4C61" w14:paraId="662DD148" w14:textId="77777777" w:rsidTr="004A4C61">
        <w:trPr>
          <w:trHeight w:val="250"/>
        </w:trPr>
        <w:tc>
          <w:tcPr>
            <w:tcW w:w="5980" w:type="dxa"/>
            <w:tcBorders>
              <w:top w:val="nil"/>
              <w:left w:val="nil"/>
              <w:bottom w:val="nil"/>
              <w:right w:val="nil"/>
            </w:tcBorders>
            <w:shd w:val="clear" w:color="000000" w:fill="FFFFFF"/>
            <w:noWrap/>
            <w:vAlign w:val="bottom"/>
            <w:hideMark/>
          </w:tcPr>
          <w:p w14:paraId="1F3CFFDB"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2303B85"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0F681152"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66D2C84"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45519780"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r>
      <w:tr w:rsidR="004A4C61" w:rsidRPr="004A4C61" w14:paraId="6EF57068" w14:textId="77777777" w:rsidTr="004A4C61">
        <w:trPr>
          <w:trHeight w:val="260"/>
        </w:trPr>
        <w:tc>
          <w:tcPr>
            <w:tcW w:w="5980" w:type="dxa"/>
            <w:tcBorders>
              <w:top w:val="nil"/>
              <w:left w:val="nil"/>
              <w:bottom w:val="nil"/>
              <w:right w:val="nil"/>
            </w:tcBorders>
            <w:shd w:val="clear" w:color="000000" w:fill="FFFFFF"/>
            <w:noWrap/>
            <w:vAlign w:val="bottom"/>
            <w:hideMark/>
          </w:tcPr>
          <w:p w14:paraId="06C29173"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5 Operating Expenses</w:t>
            </w:r>
          </w:p>
        </w:tc>
        <w:tc>
          <w:tcPr>
            <w:tcW w:w="272" w:type="dxa"/>
            <w:tcBorders>
              <w:top w:val="nil"/>
              <w:left w:val="nil"/>
              <w:bottom w:val="nil"/>
              <w:right w:val="nil"/>
            </w:tcBorders>
            <w:shd w:val="clear" w:color="000000" w:fill="FFFFFF"/>
            <w:noWrap/>
            <w:vAlign w:val="bottom"/>
            <w:hideMark/>
          </w:tcPr>
          <w:p w14:paraId="71529788"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088C2370"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33829E0"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1CAB33F8"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r>
      <w:tr w:rsidR="004A4C61" w:rsidRPr="004A4C61" w14:paraId="3A18179C" w14:textId="77777777" w:rsidTr="004A4C61">
        <w:trPr>
          <w:trHeight w:val="520"/>
        </w:trPr>
        <w:tc>
          <w:tcPr>
            <w:tcW w:w="5980" w:type="dxa"/>
            <w:tcBorders>
              <w:top w:val="nil"/>
              <w:left w:val="nil"/>
              <w:bottom w:val="nil"/>
              <w:right w:val="nil"/>
            </w:tcBorders>
            <w:shd w:val="clear" w:color="000000" w:fill="FFFFFF"/>
            <w:noWrap/>
            <w:vAlign w:val="bottom"/>
            <w:hideMark/>
          </w:tcPr>
          <w:p w14:paraId="0F0FE790"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03327D9" w14:textId="77777777" w:rsidR="004A4C61" w:rsidRPr="004A4C61" w:rsidRDefault="004A4C61" w:rsidP="004A4C61">
            <w:pPr>
              <w:spacing w:before="0" w:after="0"/>
              <w:jc w:val="center"/>
              <w:rPr>
                <w:rFonts w:eastAsia="Times New Roman" w:cs="Arial"/>
                <w:b/>
                <w:bCs/>
                <w:sz w:val="20"/>
                <w:szCs w:val="20"/>
                <w:lang w:eastAsia="en-GB"/>
              </w:rPr>
            </w:pPr>
            <w:r w:rsidRPr="004A4C61">
              <w:rPr>
                <w:rFonts w:eastAsia="Times New Roman" w:cs="Arial"/>
                <w:b/>
                <w:bCs/>
                <w:sz w:val="20"/>
                <w:szCs w:val="20"/>
                <w:lang w:eastAsia="en-GB"/>
              </w:rPr>
              <w:t> </w:t>
            </w:r>
          </w:p>
        </w:tc>
        <w:tc>
          <w:tcPr>
            <w:tcW w:w="1300" w:type="dxa"/>
            <w:tcBorders>
              <w:top w:val="nil"/>
              <w:left w:val="nil"/>
              <w:bottom w:val="nil"/>
              <w:right w:val="nil"/>
            </w:tcBorders>
            <w:shd w:val="clear" w:color="000000" w:fill="FFFFFF"/>
            <w:vAlign w:val="bottom"/>
            <w:hideMark/>
          </w:tcPr>
          <w:p w14:paraId="758C93EF" w14:textId="77777777" w:rsidR="004A4C61" w:rsidRPr="004A4C61" w:rsidRDefault="004A4C61" w:rsidP="004A4C61">
            <w:pPr>
              <w:spacing w:before="0" w:after="0"/>
              <w:jc w:val="right"/>
              <w:rPr>
                <w:rFonts w:eastAsia="Times New Roman" w:cs="Arial"/>
                <w:b/>
                <w:bCs/>
                <w:sz w:val="20"/>
                <w:szCs w:val="20"/>
                <w:lang w:eastAsia="en-GB"/>
              </w:rPr>
            </w:pPr>
            <w:r w:rsidRPr="004A4C61">
              <w:rPr>
                <w:rFonts w:eastAsia="Times New Roman" w:cs="Arial"/>
                <w:b/>
                <w:bCs/>
                <w:sz w:val="20"/>
                <w:szCs w:val="20"/>
                <w:lang w:eastAsia="en-GB"/>
              </w:rPr>
              <w:t>1-Apr-23 to 31-Mar-24</w:t>
            </w:r>
          </w:p>
        </w:tc>
        <w:tc>
          <w:tcPr>
            <w:tcW w:w="272" w:type="dxa"/>
            <w:tcBorders>
              <w:top w:val="nil"/>
              <w:left w:val="nil"/>
              <w:bottom w:val="nil"/>
              <w:right w:val="nil"/>
            </w:tcBorders>
            <w:shd w:val="clear" w:color="000000" w:fill="FFFFFF"/>
            <w:noWrap/>
            <w:vAlign w:val="bottom"/>
            <w:hideMark/>
          </w:tcPr>
          <w:p w14:paraId="2D142B71" w14:textId="77777777" w:rsidR="004A4C61" w:rsidRPr="004A4C61" w:rsidRDefault="004A4C61" w:rsidP="004A4C61">
            <w:pPr>
              <w:spacing w:before="0" w:after="0"/>
              <w:jc w:val="right"/>
              <w:rPr>
                <w:rFonts w:eastAsia="Times New Roman" w:cs="Arial"/>
                <w:b/>
                <w:bCs/>
                <w:sz w:val="20"/>
                <w:szCs w:val="20"/>
                <w:lang w:eastAsia="en-GB"/>
              </w:rPr>
            </w:pPr>
            <w:r w:rsidRPr="004A4C61">
              <w:rPr>
                <w:rFonts w:eastAsia="Times New Roman" w:cs="Arial"/>
                <w:b/>
                <w:bCs/>
                <w:sz w:val="20"/>
                <w:szCs w:val="20"/>
                <w:lang w:eastAsia="en-GB"/>
              </w:rPr>
              <w:t> </w:t>
            </w:r>
          </w:p>
        </w:tc>
        <w:tc>
          <w:tcPr>
            <w:tcW w:w="1180" w:type="dxa"/>
            <w:tcBorders>
              <w:top w:val="nil"/>
              <w:left w:val="nil"/>
              <w:bottom w:val="nil"/>
              <w:right w:val="nil"/>
            </w:tcBorders>
            <w:shd w:val="clear" w:color="000000" w:fill="FFFFFF"/>
            <w:vAlign w:val="bottom"/>
            <w:hideMark/>
          </w:tcPr>
          <w:p w14:paraId="79D34C03"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1-Jul-22 to 31-Mar-23</w:t>
            </w:r>
          </w:p>
        </w:tc>
      </w:tr>
      <w:tr w:rsidR="004A4C61" w:rsidRPr="004A4C61" w14:paraId="095C4D88" w14:textId="77777777" w:rsidTr="004A4C61">
        <w:trPr>
          <w:trHeight w:val="260"/>
        </w:trPr>
        <w:tc>
          <w:tcPr>
            <w:tcW w:w="5980" w:type="dxa"/>
            <w:tcBorders>
              <w:top w:val="nil"/>
              <w:left w:val="nil"/>
              <w:bottom w:val="nil"/>
              <w:right w:val="nil"/>
            </w:tcBorders>
            <w:shd w:val="clear" w:color="000000" w:fill="FFFFFF"/>
            <w:noWrap/>
            <w:vAlign w:val="bottom"/>
            <w:hideMark/>
          </w:tcPr>
          <w:p w14:paraId="494E93B6"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685975D" w14:textId="77777777" w:rsidR="004A4C61" w:rsidRPr="004A4C61" w:rsidRDefault="004A4C61" w:rsidP="004A4C61">
            <w:pPr>
              <w:spacing w:before="0" w:after="0"/>
              <w:jc w:val="center"/>
              <w:rPr>
                <w:rFonts w:eastAsia="Times New Roman" w:cs="Arial"/>
                <w:b/>
                <w:bCs/>
                <w:sz w:val="20"/>
                <w:szCs w:val="20"/>
                <w:lang w:eastAsia="en-GB"/>
              </w:rPr>
            </w:pPr>
            <w:r w:rsidRPr="004A4C61">
              <w:rPr>
                <w:rFonts w:eastAsia="Times New Roman" w:cs="Arial"/>
                <w:b/>
                <w:bCs/>
                <w:sz w:val="20"/>
                <w:szCs w:val="20"/>
                <w:lang w:eastAsia="en-GB"/>
              </w:rPr>
              <w:t> </w:t>
            </w:r>
          </w:p>
        </w:tc>
        <w:tc>
          <w:tcPr>
            <w:tcW w:w="1300" w:type="dxa"/>
            <w:tcBorders>
              <w:top w:val="nil"/>
              <w:left w:val="nil"/>
              <w:bottom w:val="nil"/>
              <w:right w:val="nil"/>
            </w:tcBorders>
            <w:shd w:val="clear" w:color="000000" w:fill="FFFFFF"/>
            <w:vAlign w:val="bottom"/>
            <w:hideMark/>
          </w:tcPr>
          <w:p w14:paraId="2E0CBA5B" w14:textId="77777777" w:rsidR="004A4C61" w:rsidRPr="004A4C61" w:rsidRDefault="004A4C61" w:rsidP="004A4C61">
            <w:pPr>
              <w:spacing w:before="0" w:after="0"/>
              <w:jc w:val="right"/>
              <w:rPr>
                <w:rFonts w:eastAsia="Times New Roman" w:cs="Arial"/>
                <w:b/>
                <w:bCs/>
                <w:sz w:val="20"/>
                <w:szCs w:val="20"/>
                <w:lang w:eastAsia="en-GB"/>
              </w:rPr>
            </w:pPr>
            <w:r w:rsidRPr="004A4C61">
              <w:rPr>
                <w:rFonts w:eastAsia="Times New Roman" w:cs="Arial"/>
                <w:b/>
                <w:bCs/>
                <w:sz w:val="20"/>
                <w:szCs w:val="20"/>
                <w:lang w:eastAsia="en-GB"/>
              </w:rPr>
              <w:t>(1 Year)</w:t>
            </w:r>
          </w:p>
        </w:tc>
        <w:tc>
          <w:tcPr>
            <w:tcW w:w="272" w:type="dxa"/>
            <w:tcBorders>
              <w:top w:val="nil"/>
              <w:left w:val="nil"/>
              <w:bottom w:val="nil"/>
              <w:right w:val="nil"/>
            </w:tcBorders>
            <w:shd w:val="clear" w:color="000000" w:fill="FFFFFF"/>
            <w:noWrap/>
            <w:vAlign w:val="bottom"/>
            <w:hideMark/>
          </w:tcPr>
          <w:p w14:paraId="3955FA4B" w14:textId="77777777" w:rsidR="004A4C61" w:rsidRPr="004A4C61" w:rsidRDefault="004A4C61" w:rsidP="004A4C61">
            <w:pPr>
              <w:spacing w:before="0" w:after="0"/>
              <w:jc w:val="right"/>
              <w:rPr>
                <w:rFonts w:eastAsia="Times New Roman" w:cs="Arial"/>
                <w:b/>
                <w:bCs/>
                <w:sz w:val="20"/>
                <w:szCs w:val="20"/>
                <w:lang w:eastAsia="en-GB"/>
              </w:rPr>
            </w:pPr>
            <w:r w:rsidRPr="004A4C61">
              <w:rPr>
                <w:rFonts w:eastAsia="Times New Roman" w:cs="Arial"/>
                <w:b/>
                <w:bCs/>
                <w:sz w:val="20"/>
                <w:szCs w:val="20"/>
                <w:lang w:eastAsia="en-GB"/>
              </w:rPr>
              <w:t> </w:t>
            </w:r>
          </w:p>
        </w:tc>
        <w:tc>
          <w:tcPr>
            <w:tcW w:w="1180" w:type="dxa"/>
            <w:tcBorders>
              <w:top w:val="nil"/>
              <w:left w:val="nil"/>
              <w:bottom w:val="nil"/>
              <w:right w:val="nil"/>
            </w:tcBorders>
            <w:shd w:val="clear" w:color="000000" w:fill="FFFFFF"/>
            <w:vAlign w:val="bottom"/>
            <w:hideMark/>
          </w:tcPr>
          <w:p w14:paraId="326FE2CB"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(9 Months)</w:t>
            </w:r>
          </w:p>
        </w:tc>
      </w:tr>
      <w:tr w:rsidR="004A4C61" w:rsidRPr="004A4C61" w14:paraId="75E758BE" w14:textId="77777777" w:rsidTr="004A4C61">
        <w:trPr>
          <w:trHeight w:val="260"/>
        </w:trPr>
        <w:tc>
          <w:tcPr>
            <w:tcW w:w="5980" w:type="dxa"/>
            <w:tcBorders>
              <w:top w:val="nil"/>
              <w:left w:val="nil"/>
              <w:bottom w:val="nil"/>
              <w:right w:val="nil"/>
            </w:tcBorders>
            <w:shd w:val="clear" w:color="000000" w:fill="FFFFFF"/>
            <w:noWrap/>
            <w:vAlign w:val="bottom"/>
            <w:hideMark/>
          </w:tcPr>
          <w:p w14:paraId="35170E55"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08DA7FF" w14:textId="77777777" w:rsidR="004A4C61" w:rsidRPr="004A4C61" w:rsidRDefault="004A4C61" w:rsidP="004A4C61">
            <w:pPr>
              <w:spacing w:before="0" w:after="0"/>
              <w:jc w:val="center"/>
              <w:rPr>
                <w:rFonts w:eastAsia="Times New Roman" w:cs="Arial"/>
                <w:b/>
                <w:bCs/>
                <w:sz w:val="20"/>
                <w:szCs w:val="20"/>
                <w:lang w:eastAsia="en-GB"/>
              </w:rPr>
            </w:pPr>
            <w:r w:rsidRPr="004A4C61">
              <w:rPr>
                <w:rFonts w:eastAsia="Times New Roman" w:cs="Arial"/>
                <w:b/>
                <w:bCs/>
                <w:sz w:val="20"/>
                <w:szCs w:val="20"/>
                <w:lang w:eastAsia="en-GB"/>
              </w:rPr>
              <w:t> </w:t>
            </w:r>
          </w:p>
        </w:tc>
        <w:tc>
          <w:tcPr>
            <w:tcW w:w="1300" w:type="dxa"/>
            <w:tcBorders>
              <w:top w:val="nil"/>
              <w:left w:val="nil"/>
              <w:bottom w:val="nil"/>
              <w:right w:val="nil"/>
            </w:tcBorders>
            <w:shd w:val="clear" w:color="000000" w:fill="FFFFFF"/>
            <w:noWrap/>
            <w:vAlign w:val="bottom"/>
            <w:hideMark/>
          </w:tcPr>
          <w:p w14:paraId="6572C8A9" w14:textId="77777777" w:rsidR="004A4C61" w:rsidRPr="004A4C61" w:rsidRDefault="004A4C61" w:rsidP="004A4C61">
            <w:pPr>
              <w:spacing w:before="0" w:after="0"/>
              <w:jc w:val="right"/>
              <w:rPr>
                <w:rFonts w:eastAsia="Times New Roman" w:cs="Arial"/>
                <w:b/>
                <w:bCs/>
                <w:sz w:val="20"/>
                <w:szCs w:val="20"/>
                <w:lang w:eastAsia="en-GB"/>
              </w:rPr>
            </w:pPr>
            <w:r w:rsidRPr="004A4C61">
              <w:rPr>
                <w:rFonts w:eastAsia="Times New Roman" w:cs="Arial"/>
                <w:b/>
                <w:bCs/>
                <w:sz w:val="20"/>
                <w:szCs w:val="20"/>
                <w:lang w:eastAsia="en-GB"/>
              </w:rPr>
              <w:t>Total</w:t>
            </w:r>
          </w:p>
        </w:tc>
        <w:tc>
          <w:tcPr>
            <w:tcW w:w="272" w:type="dxa"/>
            <w:tcBorders>
              <w:top w:val="nil"/>
              <w:left w:val="nil"/>
              <w:bottom w:val="nil"/>
              <w:right w:val="nil"/>
            </w:tcBorders>
            <w:shd w:val="clear" w:color="000000" w:fill="FFFFFF"/>
            <w:noWrap/>
            <w:vAlign w:val="bottom"/>
            <w:hideMark/>
          </w:tcPr>
          <w:p w14:paraId="7F88F23A" w14:textId="77777777" w:rsidR="004A4C61" w:rsidRPr="004A4C61" w:rsidRDefault="004A4C61" w:rsidP="004A4C61">
            <w:pPr>
              <w:spacing w:before="0" w:after="0"/>
              <w:jc w:val="right"/>
              <w:rPr>
                <w:rFonts w:eastAsia="Times New Roman" w:cs="Arial"/>
                <w:b/>
                <w:bCs/>
                <w:sz w:val="20"/>
                <w:szCs w:val="20"/>
                <w:lang w:eastAsia="en-GB"/>
              </w:rPr>
            </w:pPr>
            <w:r w:rsidRPr="004A4C61">
              <w:rPr>
                <w:rFonts w:eastAsia="Times New Roman" w:cs="Arial"/>
                <w:b/>
                <w:bCs/>
                <w:sz w:val="20"/>
                <w:szCs w:val="20"/>
                <w:lang w:eastAsia="en-GB"/>
              </w:rPr>
              <w:t> </w:t>
            </w:r>
          </w:p>
        </w:tc>
        <w:tc>
          <w:tcPr>
            <w:tcW w:w="1180" w:type="dxa"/>
            <w:tcBorders>
              <w:top w:val="nil"/>
              <w:left w:val="nil"/>
              <w:bottom w:val="nil"/>
              <w:right w:val="nil"/>
            </w:tcBorders>
            <w:shd w:val="clear" w:color="000000" w:fill="FFFFFF"/>
            <w:noWrap/>
            <w:vAlign w:val="bottom"/>
            <w:hideMark/>
          </w:tcPr>
          <w:p w14:paraId="43C19E6B"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Total</w:t>
            </w:r>
          </w:p>
        </w:tc>
      </w:tr>
      <w:tr w:rsidR="004A4C61" w:rsidRPr="004A4C61" w14:paraId="4C63A313" w14:textId="77777777" w:rsidTr="004A4C61">
        <w:trPr>
          <w:trHeight w:val="260"/>
        </w:trPr>
        <w:tc>
          <w:tcPr>
            <w:tcW w:w="5980" w:type="dxa"/>
            <w:tcBorders>
              <w:top w:val="nil"/>
              <w:left w:val="nil"/>
              <w:bottom w:val="nil"/>
              <w:right w:val="nil"/>
            </w:tcBorders>
            <w:shd w:val="clear" w:color="000000" w:fill="FFFFFF"/>
            <w:noWrap/>
            <w:vAlign w:val="bottom"/>
            <w:hideMark/>
          </w:tcPr>
          <w:p w14:paraId="4744641D"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5C18660" w14:textId="77777777" w:rsidR="004A4C61" w:rsidRPr="004A4C61" w:rsidRDefault="004A4C61" w:rsidP="004A4C61">
            <w:pPr>
              <w:spacing w:before="0" w:after="0"/>
              <w:jc w:val="center"/>
              <w:rPr>
                <w:rFonts w:eastAsia="Times New Roman" w:cs="Arial"/>
                <w:b/>
                <w:bCs/>
                <w:sz w:val="20"/>
                <w:szCs w:val="20"/>
                <w:lang w:eastAsia="en-GB"/>
              </w:rPr>
            </w:pPr>
            <w:r w:rsidRPr="004A4C61">
              <w:rPr>
                <w:rFonts w:eastAsia="Times New Roman" w:cs="Arial"/>
                <w:b/>
                <w:bCs/>
                <w:sz w:val="20"/>
                <w:szCs w:val="20"/>
                <w:lang w:eastAsia="en-GB"/>
              </w:rPr>
              <w:t> </w:t>
            </w:r>
          </w:p>
        </w:tc>
        <w:tc>
          <w:tcPr>
            <w:tcW w:w="1300" w:type="dxa"/>
            <w:tcBorders>
              <w:top w:val="nil"/>
              <w:left w:val="nil"/>
              <w:bottom w:val="nil"/>
              <w:right w:val="nil"/>
            </w:tcBorders>
            <w:shd w:val="clear" w:color="000000" w:fill="FFFFFF"/>
            <w:noWrap/>
            <w:vAlign w:val="bottom"/>
            <w:hideMark/>
          </w:tcPr>
          <w:p w14:paraId="0C4CE28D" w14:textId="77777777" w:rsidR="004A4C61" w:rsidRPr="004A4C61" w:rsidRDefault="004A4C61" w:rsidP="004A4C61">
            <w:pPr>
              <w:spacing w:before="0" w:after="0"/>
              <w:jc w:val="right"/>
              <w:rPr>
                <w:rFonts w:eastAsia="Times New Roman" w:cs="Arial"/>
                <w:b/>
                <w:bCs/>
                <w:sz w:val="20"/>
                <w:szCs w:val="20"/>
                <w:lang w:eastAsia="en-GB"/>
              </w:rPr>
            </w:pPr>
            <w:r w:rsidRPr="004A4C61">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bottom"/>
            <w:hideMark/>
          </w:tcPr>
          <w:p w14:paraId="7C9BEE3F" w14:textId="77777777" w:rsidR="004A4C61" w:rsidRPr="004A4C61" w:rsidRDefault="004A4C61" w:rsidP="004A4C61">
            <w:pPr>
              <w:spacing w:before="0" w:after="0"/>
              <w:jc w:val="right"/>
              <w:rPr>
                <w:rFonts w:eastAsia="Times New Roman" w:cs="Arial"/>
                <w:b/>
                <w:bCs/>
                <w:sz w:val="20"/>
                <w:szCs w:val="20"/>
                <w:lang w:eastAsia="en-GB"/>
              </w:rPr>
            </w:pPr>
            <w:r w:rsidRPr="004A4C61">
              <w:rPr>
                <w:rFonts w:eastAsia="Times New Roman" w:cs="Arial"/>
                <w:b/>
                <w:bCs/>
                <w:sz w:val="20"/>
                <w:szCs w:val="20"/>
                <w:lang w:eastAsia="en-GB"/>
              </w:rPr>
              <w:t> </w:t>
            </w:r>
          </w:p>
        </w:tc>
        <w:tc>
          <w:tcPr>
            <w:tcW w:w="1180" w:type="dxa"/>
            <w:tcBorders>
              <w:top w:val="nil"/>
              <w:left w:val="nil"/>
              <w:bottom w:val="nil"/>
              <w:right w:val="nil"/>
            </w:tcBorders>
            <w:shd w:val="clear" w:color="000000" w:fill="FFFFFF"/>
            <w:noWrap/>
            <w:vAlign w:val="bottom"/>
            <w:hideMark/>
          </w:tcPr>
          <w:p w14:paraId="050FDB7B"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£'000</w:t>
            </w:r>
          </w:p>
        </w:tc>
      </w:tr>
      <w:tr w:rsidR="004A4C61" w:rsidRPr="004A4C61" w14:paraId="31FDEC8B" w14:textId="77777777" w:rsidTr="004A4C61">
        <w:trPr>
          <w:trHeight w:val="260"/>
        </w:trPr>
        <w:tc>
          <w:tcPr>
            <w:tcW w:w="5980" w:type="dxa"/>
            <w:tcBorders>
              <w:top w:val="nil"/>
              <w:left w:val="nil"/>
              <w:bottom w:val="nil"/>
              <w:right w:val="nil"/>
            </w:tcBorders>
            <w:shd w:val="clear" w:color="000000" w:fill="FFFFFF"/>
            <w:noWrap/>
            <w:vAlign w:val="bottom"/>
            <w:hideMark/>
          </w:tcPr>
          <w:p w14:paraId="67C65F4C"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Purchase of goods and services</w:t>
            </w:r>
          </w:p>
        </w:tc>
        <w:tc>
          <w:tcPr>
            <w:tcW w:w="272" w:type="dxa"/>
            <w:tcBorders>
              <w:top w:val="nil"/>
              <w:left w:val="nil"/>
              <w:bottom w:val="nil"/>
              <w:right w:val="nil"/>
            </w:tcBorders>
            <w:shd w:val="clear" w:color="000000" w:fill="FFFFFF"/>
            <w:noWrap/>
            <w:vAlign w:val="bottom"/>
            <w:hideMark/>
          </w:tcPr>
          <w:p w14:paraId="4042E52A"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615E4E14"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9E63C97"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10AF5934"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r>
      <w:tr w:rsidR="004A4C61" w:rsidRPr="004A4C61" w14:paraId="0FB79087" w14:textId="77777777" w:rsidTr="004A4C61">
        <w:trPr>
          <w:trHeight w:val="250"/>
        </w:trPr>
        <w:tc>
          <w:tcPr>
            <w:tcW w:w="5980" w:type="dxa"/>
            <w:tcBorders>
              <w:top w:val="nil"/>
              <w:left w:val="nil"/>
              <w:bottom w:val="nil"/>
              <w:right w:val="nil"/>
            </w:tcBorders>
            <w:shd w:val="clear" w:color="000000" w:fill="FFFFFF"/>
            <w:noWrap/>
            <w:vAlign w:val="bottom"/>
            <w:hideMark/>
          </w:tcPr>
          <w:p w14:paraId="7568635D"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Services from other ICBs and NHS England</w:t>
            </w:r>
          </w:p>
        </w:tc>
        <w:tc>
          <w:tcPr>
            <w:tcW w:w="272" w:type="dxa"/>
            <w:tcBorders>
              <w:top w:val="nil"/>
              <w:left w:val="nil"/>
              <w:bottom w:val="nil"/>
              <w:right w:val="nil"/>
            </w:tcBorders>
            <w:shd w:val="clear" w:color="000000" w:fill="FFFFFF"/>
            <w:noWrap/>
            <w:vAlign w:val="bottom"/>
            <w:hideMark/>
          </w:tcPr>
          <w:p w14:paraId="40B8E2F1"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0FE710A5"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6,702</w:t>
            </w:r>
          </w:p>
        </w:tc>
        <w:tc>
          <w:tcPr>
            <w:tcW w:w="272" w:type="dxa"/>
            <w:tcBorders>
              <w:top w:val="nil"/>
              <w:left w:val="nil"/>
              <w:bottom w:val="nil"/>
              <w:right w:val="nil"/>
            </w:tcBorders>
            <w:shd w:val="clear" w:color="000000" w:fill="FFFFFF"/>
            <w:noWrap/>
            <w:vAlign w:val="bottom"/>
            <w:hideMark/>
          </w:tcPr>
          <w:p w14:paraId="2E763C4B"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08F3E57D"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5,295</w:t>
            </w:r>
          </w:p>
        </w:tc>
      </w:tr>
      <w:tr w:rsidR="004A4C61" w:rsidRPr="004A4C61" w14:paraId="4BFB35C0" w14:textId="77777777" w:rsidTr="004A4C61">
        <w:trPr>
          <w:trHeight w:val="250"/>
        </w:trPr>
        <w:tc>
          <w:tcPr>
            <w:tcW w:w="5980" w:type="dxa"/>
            <w:tcBorders>
              <w:top w:val="nil"/>
              <w:left w:val="nil"/>
              <w:bottom w:val="nil"/>
              <w:right w:val="nil"/>
            </w:tcBorders>
            <w:shd w:val="clear" w:color="000000" w:fill="FFFFFF"/>
            <w:noWrap/>
            <w:vAlign w:val="bottom"/>
            <w:hideMark/>
          </w:tcPr>
          <w:p w14:paraId="103053A7"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Services from Foundation Trusts</w:t>
            </w:r>
          </w:p>
        </w:tc>
        <w:tc>
          <w:tcPr>
            <w:tcW w:w="272" w:type="dxa"/>
            <w:tcBorders>
              <w:top w:val="nil"/>
              <w:left w:val="nil"/>
              <w:bottom w:val="nil"/>
              <w:right w:val="nil"/>
            </w:tcBorders>
            <w:shd w:val="clear" w:color="000000" w:fill="FFFFFF"/>
            <w:noWrap/>
            <w:vAlign w:val="bottom"/>
            <w:hideMark/>
          </w:tcPr>
          <w:p w14:paraId="2905E185"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61A97977"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1,481,685</w:t>
            </w:r>
          </w:p>
        </w:tc>
        <w:tc>
          <w:tcPr>
            <w:tcW w:w="272" w:type="dxa"/>
            <w:tcBorders>
              <w:top w:val="nil"/>
              <w:left w:val="nil"/>
              <w:bottom w:val="nil"/>
              <w:right w:val="nil"/>
            </w:tcBorders>
            <w:shd w:val="clear" w:color="000000" w:fill="FFFFFF"/>
            <w:noWrap/>
            <w:vAlign w:val="bottom"/>
            <w:hideMark/>
          </w:tcPr>
          <w:p w14:paraId="3DA5B561"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192C1A57"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1,046,688</w:t>
            </w:r>
          </w:p>
        </w:tc>
      </w:tr>
      <w:tr w:rsidR="004A4C61" w:rsidRPr="004A4C61" w14:paraId="3059DF44" w14:textId="77777777" w:rsidTr="004A4C61">
        <w:trPr>
          <w:trHeight w:val="250"/>
        </w:trPr>
        <w:tc>
          <w:tcPr>
            <w:tcW w:w="5980" w:type="dxa"/>
            <w:tcBorders>
              <w:top w:val="nil"/>
              <w:left w:val="nil"/>
              <w:bottom w:val="nil"/>
              <w:right w:val="nil"/>
            </w:tcBorders>
            <w:shd w:val="clear" w:color="000000" w:fill="FFFFFF"/>
            <w:noWrap/>
            <w:vAlign w:val="bottom"/>
            <w:hideMark/>
          </w:tcPr>
          <w:p w14:paraId="7F49DECA"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Services from other NHS Trusts</w:t>
            </w:r>
          </w:p>
        </w:tc>
        <w:tc>
          <w:tcPr>
            <w:tcW w:w="272" w:type="dxa"/>
            <w:tcBorders>
              <w:top w:val="nil"/>
              <w:left w:val="nil"/>
              <w:bottom w:val="nil"/>
              <w:right w:val="nil"/>
            </w:tcBorders>
            <w:shd w:val="clear" w:color="000000" w:fill="FFFFFF"/>
            <w:noWrap/>
            <w:vAlign w:val="bottom"/>
            <w:hideMark/>
          </w:tcPr>
          <w:p w14:paraId="4FF4D5A1"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7EB47134"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149,995</w:t>
            </w:r>
          </w:p>
        </w:tc>
        <w:tc>
          <w:tcPr>
            <w:tcW w:w="272" w:type="dxa"/>
            <w:tcBorders>
              <w:top w:val="nil"/>
              <w:left w:val="nil"/>
              <w:bottom w:val="nil"/>
              <w:right w:val="nil"/>
            </w:tcBorders>
            <w:shd w:val="clear" w:color="000000" w:fill="FFFFFF"/>
            <w:noWrap/>
            <w:vAlign w:val="bottom"/>
            <w:hideMark/>
          </w:tcPr>
          <w:p w14:paraId="6B67D16C"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08DA0E0E"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96,974</w:t>
            </w:r>
          </w:p>
        </w:tc>
      </w:tr>
      <w:tr w:rsidR="004A4C61" w:rsidRPr="004A4C61" w14:paraId="7864DDAF" w14:textId="77777777" w:rsidTr="004A4C61">
        <w:trPr>
          <w:trHeight w:val="250"/>
        </w:trPr>
        <w:tc>
          <w:tcPr>
            <w:tcW w:w="5980" w:type="dxa"/>
            <w:tcBorders>
              <w:top w:val="nil"/>
              <w:left w:val="nil"/>
              <w:bottom w:val="nil"/>
              <w:right w:val="nil"/>
            </w:tcBorders>
            <w:shd w:val="clear" w:color="000000" w:fill="FFFFFF"/>
            <w:noWrap/>
            <w:vAlign w:val="bottom"/>
            <w:hideMark/>
          </w:tcPr>
          <w:p w14:paraId="02D705AE"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Services from Other WGA bodies</w:t>
            </w:r>
          </w:p>
        </w:tc>
        <w:tc>
          <w:tcPr>
            <w:tcW w:w="272" w:type="dxa"/>
            <w:tcBorders>
              <w:top w:val="nil"/>
              <w:left w:val="nil"/>
              <w:bottom w:val="nil"/>
              <w:right w:val="nil"/>
            </w:tcBorders>
            <w:shd w:val="clear" w:color="000000" w:fill="FFFFFF"/>
            <w:noWrap/>
            <w:vAlign w:val="bottom"/>
            <w:hideMark/>
          </w:tcPr>
          <w:p w14:paraId="0E018CC0"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6C815F7E"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1</w:t>
            </w:r>
          </w:p>
        </w:tc>
        <w:tc>
          <w:tcPr>
            <w:tcW w:w="272" w:type="dxa"/>
            <w:tcBorders>
              <w:top w:val="nil"/>
              <w:left w:val="nil"/>
              <w:bottom w:val="nil"/>
              <w:right w:val="nil"/>
            </w:tcBorders>
            <w:shd w:val="clear" w:color="000000" w:fill="FFFFFF"/>
            <w:noWrap/>
            <w:vAlign w:val="bottom"/>
            <w:hideMark/>
          </w:tcPr>
          <w:p w14:paraId="3A394907"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42B36CE1"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762</w:t>
            </w:r>
          </w:p>
        </w:tc>
      </w:tr>
      <w:tr w:rsidR="004A4C61" w:rsidRPr="004A4C61" w14:paraId="77A59446" w14:textId="77777777" w:rsidTr="004A4C61">
        <w:trPr>
          <w:trHeight w:val="250"/>
        </w:trPr>
        <w:tc>
          <w:tcPr>
            <w:tcW w:w="5980" w:type="dxa"/>
            <w:tcBorders>
              <w:top w:val="nil"/>
              <w:left w:val="nil"/>
              <w:bottom w:val="nil"/>
              <w:right w:val="nil"/>
            </w:tcBorders>
            <w:shd w:val="clear" w:color="000000" w:fill="FFFFFF"/>
            <w:noWrap/>
            <w:vAlign w:val="bottom"/>
            <w:hideMark/>
          </w:tcPr>
          <w:p w14:paraId="50997CA2"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Purchase of healthcare from non-NHS bodies</w:t>
            </w:r>
          </w:p>
        </w:tc>
        <w:tc>
          <w:tcPr>
            <w:tcW w:w="272" w:type="dxa"/>
            <w:tcBorders>
              <w:top w:val="nil"/>
              <w:left w:val="nil"/>
              <w:bottom w:val="nil"/>
              <w:right w:val="nil"/>
            </w:tcBorders>
            <w:shd w:val="clear" w:color="000000" w:fill="FFFFFF"/>
            <w:noWrap/>
            <w:vAlign w:val="bottom"/>
            <w:hideMark/>
          </w:tcPr>
          <w:p w14:paraId="2B4F28A5"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16D71AF6"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457,335</w:t>
            </w:r>
          </w:p>
        </w:tc>
        <w:tc>
          <w:tcPr>
            <w:tcW w:w="272" w:type="dxa"/>
            <w:tcBorders>
              <w:top w:val="nil"/>
              <w:left w:val="nil"/>
              <w:bottom w:val="nil"/>
              <w:right w:val="nil"/>
            </w:tcBorders>
            <w:shd w:val="clear" w:color="000000" w:fill="FFFFFF"/>
            <w:noWrap/>
            <w:vAlign w:val="bottom"/>
            <w:hideMark/>
          </w:tcPr>
          <w:p w14:paraId="5531FAC0"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796D781B"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352,257</w:t>
            </w:r>
          </w:p>
        </w:tc>
      </w:tr>
      <w:tr w:rsidR="004A4C61" w:rsidRPr="004A4C61" w14:paraId="61D2F660" w14:textId="77777777" w:rsidTr="004A4C61">
        <w:trPr>
          <w:trHeight w:val="250"/>
        </w:trPr>
        <w:tc>
          <w:tcPr>
            <w:tcW w:w="5980" w:type="dxa"/>
            <w:tcBorders>
              <w:top w:val="nil"/>
              <w:left w:val="nil"/>
              <w:bottom w:val="nil"/>
              <w:right w:val="nil"/>
            </w:tcBorders>
            <w:shd w:val="clear" w:color="000000" w:fill="FFFFFF"/>
            <w:noWrap/>
            <w:vAlign w:val="bottom"/>
            <w:hideMark/>
          </w:tcPr>
          <w:p w14:paraId="263633FF"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Purchase of social care</w:t>
            </w:r>
          </w:p>
        </w:tc>
        <w:tc>
          <w:tcPr>
            <w:tcW w:w="272" w:type="dxa"/>
            <w:tcBorders>
              <w:top w:val="nil"/>
              <w:left w:val="nil"/>
              <w:bottom w:val="nil"/>
              <w:right w:val="nil"/>
            </w:tcBorders>
            <w:shd w:val="clear" w:color="000000" w:fill="FFFFFF"/>
            <w:noWrap/>
            <w:vAlign w:val="bottom"/>
            <w:hideMark/>
          </w:tcPr>
          <w:p w14:paraId="08758D24"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20B446D7"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590</w:t>
            </w:r>
          </w:p>
        </w:tc>
        <w:tc>
          <w:tcPr>
            <w:tcW w:w="272" w:type="dxa"/>
            <w:tcBorders>
              <w:top w:val="nil"/>
              <w:left w:val="nil"/>
              <w:bottom w:val="nil"/>
              <w:right w:val="nil"/>
            </w:tcBorders>
            <w:shd w:val="clear" w:color="000000" w:fill="FFFFFF"/>
            <w:noWrap/>
            <w:vAlign w:val="bottom"/>
            <w:hideMark/>
          </w:tcPr>
          <w:p w14:paraId="3F0E78C0"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293B4501"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87</w:t>
            </w:r>
          </w:p>
        </w:tc>
      </w:tr>
      <w:tr w:rsidR="004A4C61" w:rsidRPr="004A4C61" w14:paraId="7BB58F3A" w14:textId="77777777" w:rsidTr="004A4C61">
        <w:trPr>
          <w:trHeight w:val="250"/>
        </w:trPr>
        <w:tc>
          <w:tcPr>
            <w:tcW w:w="5980" w:type="dxa"/>
            <w:tcBorders>
              <w:top w:val="nil"/>
              <w:left w:val="nil"/>
              <w:bottom w:val="nil"/>
              <w:right w:val="nil"/>
            </w:tcBorders>
            <w:shd w:val="clear" w:color="000000" w:fill="FFFFFF"/>
            <w:noWrap/>
            <w:vAlign w:val="bottom"/>
            <w:hideMark/>
          </w:tcPr>
          <w:p w14:paraId="7542B7DC"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General dental services and personal dental services</w:t>
            </w:r>
          </w:p>
        </w:tc>
        <w:tc>
          <w:tcPr>
            <w:tcW w:w="272" w:type="dxa"/>
            <w:tcBorders>
              <w:top w:val="nil"/>
              <w:left w:val="nil"/>
              <w:bottom w:val="nil"/>
              <w:right w:val="nil"/>
            </w:tcBorders>
            <w:shd w:val="clear" w:color="000000" w:fill="FFFFFF"/>
            <w:noWrap/>
            <w:vAlign w:val="bottom"/>
            <w:hideMark/>
          </w:tcPr>
          <w:p w14:paraId="1B945DD9"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25E1091A"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76,371</w:t>
            </w:r>
          </w:p>
        </w:tc>
        <w:tc>
          <w:tcPr>
            <w:tcW w:w="272" w:type="dxa"/>
            <w:tcBorders>
              <w:top w:val="nil"/>
              <w:left w:val="nil"/>
              <w:bottom w:val="nil"/>
              <w:right w:val="nil"/>
            </w:tcBorders>
            <w:shd w:val="clear" w:color="000000" w:fill="FFFFFF"/>
            <w:noWrap/>
            <w:vAlign w:val="bottom"/>
            <w:hideMark/>
          </w:tcPr>
          <w:p w14:paraId="4526F7EC"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0301EB89"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w:t>
            </w:r>
          </w:p>
        </w:tc>
      </w:tr>
      <w:tr w:rsidR="004A4C61" w:rsidRPr="004A4C61" w14:paraId="6DE18840" w14:textId="77777777" w:rsidTr="004A4C61">
        <w:trPr>
          <w:trHeight w:val="250"/>
        </w:trPr>
        <w:tc>
          <w:tcPr>
            <w:tcW w:w="5980" w:type="dxa"/>
            <w:tcBorders>
              <w:top w:val="nil"/>
              <w:left w:val="nil"/>
              <w:bottom w:val="nil"/>
              <w:right w:val="nil"/>
            </w:tcBorders>
            <w:shd w:val="clear" w:color="000000" w:fill="FFFFFF"/>
            <w:noWrap/>
            <w:vAlign w:val="bottom"/>
            <w:hideMark/>
          </w:tcPr>
          <w:p w14:paraId="7F44A791"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Prescribing costs</w:t>
            </w:r>
          </w:p>
        </w:tc>
        <w:tc>
          <w:tcPr>
            <w:tcW w:w="272" w:type="dxa"/>
            <w:tcBorders>
              <w:top w:val="nil"/>
              <w:left w:val="nil"/>
              <w:bottom w:val="nil"/>
              <w:right w:val="nil"/>
            </w:tcBorders>
            <w:shd w:val="clear" w:color="000000" w:fill="FFFFFF"/>
            <w:noWrap/>
            <w:vAlign w:val="bottom"/>
            <w:hideMark/>
          </w:tcPr>
          <w:p w14:paraId="07DD746B"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55C7E165"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214,805</w:t>
            </w:r>
          </w:p>
        </w:tc>
        <w:tc>
          <w:tcPr>
            <w:tcW w:w="272" w:type="dxa"/>
            <w:tcBorders>
              <w:top w:val="nil"/>
              <w:left w:val="nil"/>
              <w:bottom w:val="nil"/>
              <w:right w:val="nil"/>
            </w:tcBorders>
            <w:shd w:val="clear" w:color="000000" w:fill="FFFFFF"/>
            <w:noWrap/>
            <w:vAlign w:val="bottom"/>
            <w:hideMark/>
          </w:tcPr>
          <w:p w14:paraId="701EC631"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67A63238"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158,178</w:t>
            </w:r>
          </w:p>
        </w:tc>
      </w:tr>
      <w:tr w:rsidR="004A4C61" w:rsidRPr="004A4C61" w14:paraId="1AE14F8D" w14:textId="77777777" w:rsidTr="004A4C61">
        <w:trPr>
          <w:trHeight w:val="250"/>
        </w:trPr>
        <w:tc>
          <w:tcPr>
            <w:tcW w:w="5980" w:type="dxa"/>
            <w:tcBorders>
              <w:top w:val="nil"/>
              <w:left w:val="nil"/>
              <w:bottom w:val="nil"/>
              <w:right w:val="nil"/>
            </w:tcBorders>
            <w:shd w:val="clear" w:color="000000" w:fill="FFFFFF"/>
            <w:noWrap/>
            <w:vAlign w:val="bottom"/>
            <w:hideMark/>
          </w:tcPr>
          <w:p w14:paraId="0034ED66"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Pharmaceutical services</w:t>
            </w:r>
          </w:p>
        </w:tc>
        <w:tc>
          <w:tcPr>
            <w:tcW w:w="272" w:type="dxa"/>
            <w:tcBorders>
              <w:top w:val="nil"/>
              <w:left w:val="nil"/>
              <w:bottom w:val="nil"/>
              <w:right w:val="nil"/>
            </w:tcBorders>
            <w:shd w:val="clear" w:color="000000" w:fill="FFFFFF"/>
            <w:noWrap/>
            <w:vAlign w:val="bottom"/>
            <w:hideMark/>
          </w:tcPr>
          <w:p w14:paraId="09841622"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2B51D30C"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37,115</w:t>
            </w:r>
          </w:p>
        </w:tc>
        <w:tc>
          <w:tcPr>
            <w:tcW w:w="272" w:type="dxa"/>
            <w:tcBorders>
              <w:top w:val="nil"/>
              <w:left w:val="nil"/>
              <w:bottom w:val="nil"/>
              <w:right w:val="nil"/>
            </w:tcBorders>
            <w:shd w:val="clear" w:color="000000" w:fill="FFFFFF"/>
            <w:noWrap/>
            <w:vAlign w:val="bottom"/>
            <w:hideMark/>
          </w:tcPr>
          <w:p w14:paraId="7D1A3A27"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7235F412"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w:t>
            </w:r>
          </w:p>
        </w:tc>
      </w:tr>
      <w:tr w:rsidR="004A4C61" w:rsidRPr="004A4C61" w14:paraId="7BA32057" w14:textId="77777777" w:rsidTr="004A4C61">
        <w:trPr>
          <w:trHeight w:val="250"/>
        </w:trPr>
        <w:tc>
          <w:tcPr>
            <w:tcW w:w="5980" w:type="dxa"/>
            <w:tcBorders>
              <w:top w:val="nil"/>
              <w:left w:val="nil"/>
              <w:bottom w:val="nil"/>
              <w:right w:val="nil"/>
            </w:tcBorders>
            <w:shd w:val="clear" w:color="000000" w:fill="FFFFFF"/>
            <w:noWrap/>
            <w:vAlign w:val="bottom"/>
            <w:hideMark/>
          </w:tcPr>
          <w:p w14:paraId="50B5952F"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General ophthalmic services</w:t>
            </w:r>
          </w:p>
        </w:tc>
        <w:tc>
          <w:tcPr>
            <w:tcW w:w="272" w:type="dxa"/>
            <w:tcBorders>
              <w:top w:val="nil"/>
              <w:left w:val="nil"/>
              <w:bottom w:val="nil"/>
              <w:right w:val="nil"/>
            </w:tcBorders>
            <w:shd w:val="clear" w:color="000000" w:fill="FFFFFF"/>
            <w:noWrap/>
            <w:vAlign w:val="bottom"/>
            <w:hideMark/>
          </w:tcPr>
          <w:p w14:paraId="6129186B"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009AB3BE"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11,759</w:t>
            </w:r>
          </w:p>
        </w:tc>
        <w:tc>
          <w:tcPr>
            <w:tcW w:w="272" w:type="dxa"/>
            <w:tcBorders>
              <w:top w:val="nil"/>
              <w:left w:val="nil"/>
              <w:bottom w:val="nil"/>
              <w:right w:val="nil"/>
            </w:tcBorders>
            <w:shd w:val="clear" w:color="000000" w:fill="FFFFFF"/>
            <w:noWrap/>
            <w:vAlign w:val="bottom"/>
            <w:hideMark/>
          </w:tcPr>
          <w:p w14:paraId="49EE1E98"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4F188B41"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3</w:t>
            </w:r>
          </w:p>
        </w:tc>
      </w:tr>
      <w:tr w:rsidR="004A4C61" w:rsidRPr="004A4C61" w14:paraId="5F373CB3" w14:textId="77777777" w:rsidTr="004A4C61">
        <w:trPr>
          <w:trHeight w:val="250"/>
        </w:trPr>
        <w:tc>
          <w:tcPr>
            <w:tcW w:w="5980" w:type="dxa"/>
            <w:tcBorders>
              <w:top w:val="nil"/>
              <w:left w:val="nil"/>
              <w:bottom w:val="nil"/>
              <w:right w:val="nil"/>
            </w:tcBorders>
            <w:shd w:val="clear" w:color="000000" w:fill="FFFFFF"/>
            <w:noWrap/>
            <w:vAlign w:val="bottom"/>
            <w:hideMark/>
          </w:tcPr>
          <w:p w14:paraId="3C1CA0BE"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GPMS/APMS and PCTMS</w:t>
            </w:r>
          </w:p>
        </w:tc>
        <w:tc>
          <w:tcPr>
            <w:tcW w:w="272" w:type="dxa"/>
            <w:tcBorders>
              <w:top w:val="nil"/>
              <w:left w:val="nil"/>
              <w:bottom w:val="nil"/>
              <w:right w:val="nil"/>
            </w:tcBorders>
            <w:shd w:val="clear" w:color="000000" w:fill="FFFFFF"/>
            <w:noWrap/>
            <w:vAlign w:val="bottom"/>
            <w:hideMark/>
          </w:tcPr>
          <w:p w14:paraId="314F6BAC"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4EE2665F"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221,879</w:t>
            </w:r>
          </w:p>
        </w:tc>
        <w:tc>
          <w:tcPr>
            <w:tcW w:w="272" w:type="dxa"/>
            <w:tcBorders>
              <w:top w:val="nil"/>
              <w:left w:val="nil"/>
              <w:bottom w:val="nil"/>
              <w:right w:val="nil"/>
            </w:tcBorders>
            <w:shd w:val="clear" w:color="000000" w:fill="FFFFFF"/>
            <w:noWrap/>
            <w:vAlign w:val="bottom"/>
            <w:hideMark/>
          </w:tcPr>
          <w:p w14:paraId="5E7E2FE3"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2A000E74"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148,446</w:t>
            </w:r>
          </w:p>
        </w:tc>
      </w:tr>
      <w:tr w:rsidR="004A4C61" w:rsidRPr="004A4C61" w14:paraId="7B37CDE3" w14:textId="77777777" w:rsidTr="004A4C61">
        <w:trPr>
          <w:trHeight w:val="250"/>
        </w:trPr>
        <w:tc>
          <w:tcPr>
            <w:tcW w:w="5980" w:type="dxa"/>
            <w:tcBorders>
              <w:top w:val="nil"/>
              <w:left w:val="nil"/>
              <w:bottom w:val="nil"/>
              <w:right w:val="nil"/>
            </w:tcBorders>
            <w:shd w:val="clear" w:color="000000" w:fill="FFFFFF"/>
            <w:noWrap/>
            <w:vAlign w:val="bottom"/>
            <w:hideMark/>
          </w:tcPr>
          <w:p w14:paraId="65208095"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Supplies and services – clinical</w:t>
            </w:r>
          </w:p>
        </w:tc>
        <w:tc>
          <w:tcPr>
            <w:tcW w:w="272" w:type="dxa"/>
            <w:tcBorders>
              <w:top w:val="nil"/>
              <w:left w:val="nil"/>
              <w:bottom w:val="nil"/>
              <w:right w:val="nil"/>
            </w:tcBorders>
            <w:shd w:val="clear" w:color="000000" w:fill="FFFFFF"/>
            <w:noWrap/>
            <w:vAlign w:val="bottom"/>
            <w:hideMark/>
          </w:tcPr>
          <w:p w14:paraId="2AF1C100"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1785F3EB"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68</w:t>
            </w:r>
          </w:p>
        </w:tc>
        <w:tc>
          <w:tcPr>
            <w:tcW w:w="272" w:type="dxa"/>
            <w:tcBorders>
              <w:top w:val="nil"/>
              <w:left w:val="nil"/>
              <w:bottom w:val="nil"/>
              <w:right w:val="nil"/>
            </w:tcBorders>
            <w:shd w:val="clear" w:color="000000" w:fill="FFFFFF"/>
            <w:noWrap/>
            <w:vAlign w:val="bottom"/>
            <w:hideMark/>
          </w:tcPr>
          <w:p w14:paraId="08EB4CD3"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45EEF4F2"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52</w:t>
            </w:r>
          </w:p>
        </w:tc>
      </w:tr>
      <w:tr w:rsidR="004A4C61" w:rsidRPr="004A4C61" w14:paraId="5A185D1D" w14:textId="77777777" w:rsidTr="004A4C61">
        <w:trPr>
          <w:trHeight w:val="250"/>
        </w:trPr>
        <w:tc>
          <w:tcPr>
            <w:tcW w:w="5980" w:type="dxa"/>
            <w:tcBorders>
              <w:top w:val="nil"/>
              <w:left w:val="nil"/>
              <w:bottom w:val="nil"/>
              <w:right w:val="nil"/>
            </w:tcBorders>
            <w:shd w:val="clear" w:color="000000" w:fill="FFFFFF"/>
            <w:noWrap/>
            <w:vAlign w:val="bottom"/>
            <w:hideMark/>
          </w:tcPr>
          <w:p w14:paraId="26E285D6"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Supplies and services – general</w:t>
            </w:r>
          </w:p>
        </w:tc>
        <w:tc>
          <w:tcPr>
            <w:tcW w:w="272" w:type="dxa"/>
            <w:tcBorders>
              <w:top w:val="nil"/>
              <w:left w:val="nil"/>
              <w:bottom w:val="nil"/>
              <w:right w:val="nil"/>
            </w:tcBorders>
            <w:shd w:val="clear" w:color="000000" w:fill="FFFFFF"/>
            <w:noWrap/>
            <w:vAlign w:val="bottom"/>
            <w:hideMark/>
          </w:tcPr>
          <w:p w14:paraId="5B352CB2"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22008D38"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24,204</w:t>
            </w:r>
          </w:p>
        </w:tc>
        <w:tc>
          <w:tcPr>
            <w:tcW w:w="272" w:type="dxa"/>
            <w:tcBorders>
              <w:top w:val="nil"/>
              <w:left w:val="nil"/>
              <w:bottom w:val="nil"/>
              <w:right w:val="nil"/>
            </w:tcBorders>
            <w:shd w:val="clear" w:color="000000" w:fill="FFFFFF"/>
            <w:noWrap/>
            <w:vAlign w:val="bottom"/>
            <w:hideMark/>
          </w:tcPr>
          <w:p w14:paraId="0A366E0C"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65286786"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19,736</w:t>
            </w:r>
          </w:p>
        </w:tc>
      </w:tr>
      <w:tr w:rsidR="004A4C61" w:rsidRPr="004A4C61" w14:paraId="56392DD9" w14:textId="77777777" w:rsidTr="004A4C61">
        <w:trPr>
          <w:trHeight w:val="250"/>
        </w:trPr>
        <w:tc>
          <w:tcPr>
            <w:tcW w:w="5980" w:type="dxa"/>
            <w:tcBorders>
              <w:top w:val="nil"/>
              <w:left w:val="nil"/>
              <w:bottom w:val="nil"/>
              <w:right w:val="nil"/>
            </w:tcBorders>
            <w:shd w:val="clear" w:color="000000" w:fill="FFFFFF"/>
            <w:noWrap/>
            <w:vAlign w:val="bottom"/>
            <w:hideMark/>
          </w:tcPr>
          <w:p w14:paraId="73B90EC7"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Consultancy services</w:t>
            </w:r>
          </w:p>
        </w:tc>
        <w:tc>
          <w:tcPr>
            <w:tcW w:w="272" w:type="dxa"/>
            <w:tcBorders>
              <w:top w:val="nil"/>
              <w:left w:val="nil"/>
              <w:bottom w:val="nil"/>
              <w:right w:val="nil"/>
            </w:tcBorders>
            <w:shd w:val="clear" w:color="000000" w:fill="FFFFFF"/>
            <w:noWrap/>
            <w:vAlign w:val="bottom"/>
            <w:hideMark/>
          </w:tcPr>
          <w:p w14:paraId="1D78E20E"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4184ED01"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782</w:t>
            </w:r>
          </w:p>
        </w:tc>
        <w:tc>
          <w:tcPr>
            <w:tcW w:w="272" w:type="dxa"/>
            <w:tcBorders>
              <w:top w:val="nil"/>
              <w:left w:val="nil"/>
              <w:bottom w:val="nil"/>
              <w:right w:val="nil"/>
            </w:tcBorders>
            <w:shd w:val="clear" w:color="000000" w:fill="FFFFFF"/>
            <w:noWrap/>
            <w:vAlign w:val="bottom"/>
            <w:hideMark/>
          </w:tcPr>
          <w:p w14:paraId="238528DD"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467D7689"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1,287</w:t>
            </w:r>
          </w:p>
        </w:tc>
      </w:tr>
      <w:tr w:rsidR="004A4C61" w:rsidRPr="004A4C61" w14:paraId="04F4D99E" w14:textId="77777777" w:rsidTr="004A4C61">
        <w:trPr>
          <w:trHeight w:val="250"/>
        </w:trPr>
        <w:tc>
          <w:tcPr>
            <w:tcW w:w="5980" w:type="dxa"/>
            <w:tcBorders>
              <w:top w:val="nil"/>
              <w:left w:val="nil"/>
              <w:bottom w:val="nil"/>
              <w:right w:val="nil"/>
            </w:tcBorders>
            <w:shd w:val="clear" w:color="000000" w:fill="FFFFFF"/>
            <w:noWrap/>
            <w:vAlign w:val="bottom"/>
            <w:hideMark/>
          </w:tcPr>
          <w:p w14:paraId="6AA0D3FE"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Establishment</w:t>
            </w:r>
          </w:p>
        </w:tc>
        <w:tc>
          <w:tcPr>
            <w:tcW w:w="272" w:type="dxa"/>
            <w:tcBorders>
              <w:top w:val="nil"/>
              <w:left w:val="nil"/>
              <w:bottom w:val="nil"/>
              <w:right w:val="nil"/>
            </w:tcBorders>
            <w:shd w:val="clear" w:color="000000" w:fill="FFFFFF"/>
            <w:noWrap/>
            <w:vAlign w:val="bottom"/>
            <w:hideMark/>
          </w:tcPr>
          <w:p w14:paraId="36F1A246"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6EEB1997"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2,483</w:t>
            </w:r>
          </w:p>
        </w:tc>
        <w:tc>
          <w:tcPr>
            <w:tcW w:w="272" w:type="dxa"/>
            <w:tcBorders>
              <w:top w:val="nil"/>
              <w:left w:val="nil"/>
              <w:bottom w:val="nil"/>
              <w:right w:val="nil"/>
            </w:tcBorders>
            <w:shd w:val="clear" w:color="000000" w:fill="FFFFFF"/>
            <w:noWrap/>
            <w:vAlign w:val="bottom"/>
            <w:hideMark/>
          </w:tcPr>
          <w:p w14:paraId="4C419E9B"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0C6E77C1"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3,725</w:t>
            </w:r>
          </w:p>
        </w:tc>
      </w:tr>
      <w:tr w:rsidR="004A4C61" w:rsidRPr="004A4C61" w14:paraId="2C02B8E0" w14:textId="77777777" w:rsidTr="004A4C61">
        <w:trPr>
          <w:trHeight w:val="250"/>
        </w:trPr>
        <w:tc>
          <w:tcPr>
            <w:tcW w:w="5980" w:type="dxa"/>
            <w:tcBorders>
              <w:top w:val="nil"/>
              <w:left w:val="nil"/>
              <w:bottom w:val="nil"/>
              <w:right w:val="nil"/>
            </w:tcBorders>
            <w:shd w:val="clear" w:color="000000" w:fill="FFFFFF"/>
            <w:noWrap/>
            <w:vAlign w:val="bottom"/>
            <w:hideMark/>
          </w:tcPr>
          <w:p w14:paraId="404D4635"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Transport</w:t>
            </w:r>
          </w:p>
        </w:tc>
        <w:tc>
          <w:tcPr>
            <w:tcW w:w="272" w:type="dxa"/>
            <w:tcBorders>
              <w:top w:val="nil"/>
              <w:left w:val="nil"/>
              <w:bottom w:val="nil"/>
              <w:right w:val="nil"/>
            </w:tcBorders>
            <w:shd w:val="clear" w:color="000000" w:fill="FFFFFF"/>
            <w:noWrap/>
            <w:vAlign w:val="bottom"/>
            <w:hideMark/>
          </w:tcPr>
          <w:p w14:paraId="6F8B47DA"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4D5065EA"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214</w:t>
            </w:r>
          </w:p>
        </w:tc>
        <w:tc>
          <w:tcPr>
            <w:tcW w:w="272" w:type="dxa"/>
            <w:tcBorders>
              <w:top w:val="nil"/>
              <w:left w:val="nil"/>
              <w:bottom w:val="nil"/>
              <w:right w:val="nil"/>
            </w:tcBorders>
            <w:shd w:val="clear" w:color="000000" w:fill="FFFFFF"/>
            <w:noWrap/>
            <w:vAlign w:val="bottom"/>
            <w:hideMark/>
          </w:tcPr>
          <w:p w14:paraId="20629541"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0104B0E4"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323</w:t>
            </w:r>
          </w:p>
        </w:tc>
      </w:tr>
      <w:tr w:rsidR="004A4C61" w:rsidRPr="004A4C61" w14:paraId="53737D22" w14:textId="77777777" w:rsidTr="004A4C61">
        <w:trPr>
          <w:trHeight w:val="250"/>
        </w:trPr>
        <w:tc>
          <w:tcPr>
            <w:tcW w:w="5980" w:type="dxa"/>
            <w:tcBorders>
              <w:top w:val="nil"/>
              <w:left w:val="nil"/>
              <w:bottom w:val="nil"/>
              <w:right w:val="nil"/>
            </w:tcBorders>
            <w:shd w:val="clear" w:color="000000" w:fill="FFFFFF"/>
            <w:noWrap/>
            <w:vAlign w:val="bottom"/>
            <w:hideMark/>
          </w:tcPr>
          <w:p w14:paraId="7F7B3CFE"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Premises</w:t>
            </w:r>
          </w:p>
        </w:tc>
        <w:tc>
          <w:tcPr>
            <w:tcW w:w="272" w:type="dxa"/>
            <w:tcBorders>
              <w:top w:val="nil"/>
              <w:left w:val="nil"/>
              <w:bottom w:val="nil"/>
              <w:right w:val="nil"/>
            </w:tcBorders>
            <w:shd w:val="clear" w:color="000000" w:fill="FFFFFF"/>
            <w:noWrap/>
            <w:vAlign w:val="bottom"/>
            <w:hideMark/>
          </w:tcPr>
          <w:p w14:paraId="35DFDCE4"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6829D564"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11,944</w:t>
            </w:r>
          </w:p>
        </w:tc>
        <w:tc>
          <w:tcPr>
            <w:tcW w:w="272" w:type="dxa"/>
            <w:tcBorders>
              <w:top w:val="nil"/>
              <w:left w:val="nil"/>
              <w:bottom w:val="nil"/>
              <w:right w:val="nil"/>
            </w:tcBorders>
            <w:shd w:val="clear" w:color="000000" w:fill="FFFFFF"/>
            <w:noWrap/>
            <w:vAlign w:val="bottom"/>
            <w:hideMark/>
          </w:tcPr>
          <w:p w14:paraId="27EC50DF"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2FE731EF"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4,662</w:t>
            </w:r>
          </w:p>
        </w:tc>
      </w:tr>
      <w:tr w:rsidR="004A4C61" w:rsidRPr="004A4C61" w14:paraId="5F90A31F" w14:textId="77777777" w:rsidTr="004A4C61">
        <w:trPr>
          <w:trHeight w:val="250"/>
        </w:trPr>
        <w:tc>
          <w:tcPr>
            <w:tcW w:w="5980" w:type="dxa"/>
            <w:tcBorders>
              <w:top w:val="nil"/>
              <w:left w:val="nil"/>
              <w:bottom w:val="nil"/>
              <w:right w:val="nil"/>
            </w:tcBorders>
            <w:shd w:val="clear" w:color="000000" w:fill="FFFFFF"/>
            <w:noWrap/>
            <w:vAlign w:val="bottom"/>
            <w:hideMark/>
          </w:tcPr>
          <w:p w14:paraId="10945CFE"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Audit fees</w:t>
            </w:r>
          </w:p>
        </w:tc>
        <w:tc>
          <w:tcPr>
            <w:tcW w:w="272" w:type="dxa"/>
            <w:tcBorders>
              <w:top w:val="nil"/>
              <w:left w:val="nil"/>
              <w:bottom w:val="nil"/>
              <w:right w:val="nil"/>
            </w:tcBorders>
            <w:shd w:val="clear" w:color="000000" w:fill="FFFFFF"/>
            <w:noWrap/>
            <w:vAlign w:val="bottom"/>
            <w:hideMark/>
          </w:tcPr>
          <w:p w14:paraId="26C0355F"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36CC40B9"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181</w:t>
            </w:r>
          </w:p>
        </w:tc>
        <w:tc>
          <w:tcPr>
            <w:tcW w:w="272" w:type="dxa"/>
            <w:tcBorders>
              <w:top w:val="nil"/>
              <w:left w:val="nil"/>
              <w:bottom w:val="nil"/>
              <w:right w:val="nil"/>
            </w:tcBorders>
            <w:shd w:val="clear" w:color="000000" w:fill="FFFFFF"/>
            <w:noWrap/>
            <w:vAlign w:val="bottom"/>
            <w:hideMark/>
          </w:tcPr>
          <w:p w14:paraId="54DBD06C"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0FD7A990"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263</w:t>
            </w:r>
          </w:p>
        </w:tc>
      </w:tr>
      <w:tr w:rsidR="004A4C61" w:rsidRPr="004A4C61" w14:paraId="331E7DE2" w14:textId="77777777" w:rsidTr="004A4C61">
        <w:trPr>
          <w:trHeight w:val="250"/>
        </w:trPr>
        <w:tc>
          <w:tcPr>
            <w:tcW w:w="5980" w:type="dxa"/>
            <w:tcBorders>
              <w:top w:val="nil"/>
              <w:left w:val="nil"/>
              <w:bottom w:val="nil"/>
              <w:right w:val="nil"/>
            </w:tcBorders>
            <w:shd w:val="clear" w:color="000000" w:fill="FFFFFF"/>
            <w:noWrap/>
            <w:vAlign w:val="bottom"/>
            <w:hideMark/>
          </w:tcPr>
          <w:p w14:paraId="4ACEC3BD" w14:textId="77777777" w:rsidR="004A4C61" w:rsidRPr="004A4C61" w:rsidRDefault="004A4C61" w:rsidP="004A4C61">
            <w:pPr>
              <w:spacing w:before="0" w:after="0"/>
              <w:rPr>
                <w:rFonts w:eastAsia="Times New Roman" w:cs="Arial"/>
                <w:sz w:val="20"/>
                <w:szCs w:val="20"/>
                <w:u w:val="single"/>
                <w:lang w:eastAsia="en-GB"/>
              </w:rPr>
            </w:pPr>
            <w:r w:rsidRPr="004A4C61">
              <w:rPr>
                <w:rFonts w:eastAsia="Times New Roman" w:cs="Arial"/>
                <w:sz w:val="20"/>
                <w:szCs w:val="20"/>
                <w:u w:val="single"/>
                <w:lang w:eastAsia="en-GB"/>
              </w:rPr>
              <w:t>Other non statutory audit expenditure</w:t>
            </w:r>
          </w:p>
        </w:tc>
        <w:tc>
          <w:tcPr>
            <w:tcW w:w="272" w:type="dxa"/>
            <w:tcBorders>
              <w:top w:val="nil"/>
              <w:left w:val="nil"/>
              <w:bottom w:val="nil"/>
              <w:right w:val="nil"/>
            </w:tcBorders>
            <w:shd w:val="clear" w:color="000000" w:fill="FFFFFF"/>
            <w:noWrap/>
            <w:vAlign w:val="bottom"/>
            <w:hideMark/>
          </w:tcPr>
          <w:p w14:paraId="7937FD94"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74080163"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22A1F15"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54F76D07"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r>
      <w:tr w:rsidR="004A4C61" w:rsidRPr="004A4C61" w14:paraId="199AF59A" w14:textId="77777777" w:rsidTr="004A4C61">
        <w:trPr>
          <w:trHeight w:val="250"/>
        </w:trPr>
        <w:tc>
          <w:tcPr>
            <w:tcW w:w="5980" w:type="dxa"/>
            <w:tcBorders>
              <w:top w:val="nil"/>
              <w:left w:val="nil"/>
              <w:bottom w:val="nil"/>
              <w:right w:val="nil"/>
            </w:tcBorders>
            <w:shd w:val="clear" w:color="000000" w:fill="FFFFFF"/>
            <w:noWrap/>
            <w:vAlign w:val="bottom"/>
            <w:hideMark/>
          </w:tcPr>
          <w:p w14:paraId="33D026DC"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xml:space="preserve">  ·  Other services</w:t>
            </w:r>
          </w:p>
        </w:tc>
        <w:tc>
          <w:tcPr>
            <w:tcW w:w="272" w:type="dxa"/>
            <w:tcBorders>
              <w:top w:val="nil"/>
              <w:left w:val="nil"/>
              <w:bottom w:val="nil"/>
              <w:right w:val="nil"/>
            </w:tcBorders>
            <w:shd w:val="clear" w:color="000000" w:fill="FFFFFF"/>
            <w:noWrap/>
            <w:vAlign w:val="bottom"/>
            <w:hideMark/>
          </w:tcPr>
          <w:p w14:paraId="536FA501"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7D1A0475"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90</w:t>
            </w:r>
          </w:p>
        </w:tc>
        <w:tc>
          <w:tcPr>
            <w:tcW w:w="272" w:type="dxa"/>
            <w:tcBorders>
              <w:top w:val="nil"/>
              <w:left w:val="nil"/>
              <w:bottom w:val="nil"/>
              <w:right w:val="nil"/>
            </w:tcBorders>
            <w:shd w:val="clear" w:color="000000" w:fill="FFFFFF"/>
            <w:noWrap/>
            <w:vAlign w:val="bottom"/>
            <w:hideMark/>
          </w:tcPr>
          <w:p w14:paraId="6A29E853"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64C2A0AD"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33</w:t>
            </w:r>
          </w:p>
        </w:tc>
      </w:tr>
      <w:tr w:rsidR="004A4C61" w:rsidRPr="004A4C61" w14:paraId="4DF3EE2B" w14:textId="77777777" w:rsidTr="004A4C61">
        <w:trPr>
          <w:trHeight w:val="250"/>
        </w:trPr>
        <w:tc>
          <w:tcPr>
            <w:tcW w:w="5980" w:type="dxa"/>
            <w:tcBorders>
              <w:top w:val="nil"/>
              <w:left w:val="nil"/>
              <w:bottom w:val="nil"/>
              <w:right w:val="nil"/>
            </w:tcBorders>
            <w:shd w:val="clear" w:color="000000" w:fill="FFFFFF"/>
            <w:noWrap/>
            <w:vAlign w:val="bottom"/>
            <w:hideMark/>
          </w:tcPr>
          <w:p w14:paraId="68CCC5DF"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Other professional fees</w:t>
            </w:r>
          </w:p>
        </w:tc>
        <w:tc>
          <w:tcPr>
            <w:tcW w:w="272" w:type="dxa"/>
            <w:tcBorders>
              <w:top w:val="nil"/>
              <w:left w:val="nil"/>
              <w:bottom w:val="nil"/>
              <w:right w:val="nil"/>
            </w:tcBorders>
            <w:shd w:val="clear" w:color="000000" w:fill="FFFFFF"/>
            <w:noWrap/>
            <w:vAlign w:val="bottom"/>
            <w:hideMark/>
          </w:tcPr>
          <w:p w14:paraId="12CFED4E"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4DCF9563"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4,956</w:t>
            </w:r>
          </w:p>
        </w:tc>
        <w:tc>
          <w:tcPr>
            <w:tcW w:w="272" w:type="dxa"/>
            <w:tcBorders>
              <w:top w:val="nil"/>
              <w:left w:val="nil"/>
              <w:bottom w:val="nil"/>
              <w:right w:val="nil"/>
            </w:tcBorders>
            <w:shd w:val="clear" w:color="000000" w:fill="FFFFFF"/>
            <w:noWrap/>
            <w:vAlign w:val="bottom"/>
            <w:hideMark/>
          </w:tcPr>
          <w:p w14:paraId="2FA2DED1"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164AC854"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2,294</w:t>
            </w:r>
          </w:p>
        </w:tc>
      </w:tr>
      <w:tr w:rsidR="004A4C61" w:rsidRPr="004A4C61" w14:paraId="1917C22D" w14:textId="77777777" w:rsidTr="004A4C61">
        <w:trPr>
          <w:trHeight w:val="250"/>
        </w:trPr>
        <w:tc>
          <w:tcPr>
            <w:tcW w:w="5980" w:type="dxa"/>
            <w:tcBorders>
              <w:top w:val="nil"/>
              <w:left w:val="nil"/>
              <w:bottom w:val="nil"/>
              <w:right w:val="nil"/>
            </w:tcBorders>
            <w:shd w:val="clear" w:color="000000" w:fill="FFFFFF"/>
            <w:noWrap/>
            <w:vAlign w:val="bottom"/>
            <w:hideMark/>
          </w:tcPr>
          <w:p w14:paraId="2204D58B"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Legal fees</w:t>
            </w:r>
          </w:p>
        </w:tc>
        <w:tc>
          <w:tcPr>
            <w:tcW w:w="272" w:type="dxa"/>
            <w:tcBorders>
              <w:top w:val="nil"/>
              <w:left w:val="nil"/>
              <w:bottom w:val="nil"/>
              <w:right w:val="nil"/>
            </w:tcBorders>
            <w:shd w:val="clear" w:color="000000" w:fill="FFFFFF"/>
            <w:noWrap/>
            <w:vAlign w:val="bottom"/>
            <w:hideMark/>
          </w:tcPr>
          <w:p w14:paraId="2E80FAE2"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25256B39"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327</w:t>
            </w:r>
          </w:p>
        </w:tc>
        <w:tc>
          <w:tcPr>
            <w:tcW w:w="272" w:type="dxa"/>
            <w:tcBorders>
              <w:top w:val="nil"/>
              <w:left w:val="nil"/>
              <w:bottom w:val="nil"/>
              <w:right w:val="nil"/>
            </w:tcBorders>
            <w:shd w:val="clear" w:color="000000" w:fill="FFFFFF"/>
            <w:noWrap/>
            <w:vAlign w:val="bottom"/>
            <w:hideMark/>
          </w:tcPr>
          <w:p w14:paraId="278F293F"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3A2E30ED"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360</w:t>
            </w:r>
          </w:p>
        </w:tc>
      </w:tr>
      <w:tr w:rsidR="004A4C61" w:rsidRPr="004A4C61" w14:paraId="386F4C6F" w14:textId="77777777" w:rsidTr="004A4C61">
        <w:trPr>
          <w:trHeight w:val="250"/>
        </w:trPr>
        <w:tc>
          <w:tcPr>
            <w:tcW w:w="5980" w:type="dxa"/>
            <w:tcBorders>
              <w:top w:val="nil"/>
              <w:left w:val="nil"/>
              <w:bottom w:val="nil"/>
              <w:right w:val="nil"/>
            </w:tcBorders>
            <w:shd w:val="clear" w:color="000000" w:fill="FFFFFF"/>
            <w:noWrap/>
            <w:vAlign w:val="bottom"/>
            <w:hideMark/>
          </w:tcPr>
          <w:p w14:paraId="3F80F62A" w14:textId="540548A0"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Education, training</w:t>
            </w:r>
            <w:r w:rsidR="00464E76">
              <w:rPr>
                <w:rFonts w:eastAsia="Times New Roman" w:cs="Arial"/>
                <w:sz w:val="20"/>
                <w:szCs w:val="20"/>
                <w:lang w:eastAsia="en-GB"/>
              </w:rPr>
              <w:t>,</w:t>
            </w:r>
            <w:r w:rsidRPr="004A4C61">
              <w:rPr>
                <w:rFonts w:eastAsia="Times New Roman" w:cs="Arial"/>
                <w:sz w:val="20"/>
                <w:szCs w:val="20"/>
                <w:lang w:eastAsia="en-GB"/>
              </w:rPr>
              <w:t xml:space="preserve"> and conferences</w:t>
            </w:r>
          </w:p>
        </w:tc>
        <w:tc>
          <w:tcPr>
            <w:tcW w:w="272" w:type="dxa"/>
            <w:tcBorders>
              <w:top w:val="nil"/>
              <w:left w:val="nil"/>
              <w:bottom w:val="nil"/>
              <w:right w:val="nil"/>
            </w:tcBorders>
            <w:shd w:val="clear" w:color="000000" w:fill="FFFFFF"/>
            <w:noWrap/>
            <w:vAlign w:val="bottom"/>
            <w:hideMark/>
          </w:tcPr>
          <w:p w14:paraId="51707D7A"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638A9174"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(192)</w:t>
            </w:r>
          </w:p>
        </w:tc>
        <w:tc>
          <w:tcPr>
            <w:tcW w:w="272" w:type="dxa"/>
            <w:tcBorders>
              <w:top w:val="nil"/>
              <w:left w:val="nil"/>
              <w:bottom w:val="nil"/>
              <w:right w:val="nil"/>
            </w:tcBorders>
            <w:shd w:val="clear" w:color="000000" w:fill="FFFFFF"/>
            <w:noWrap/>
            <w:vAlign w:val="bottom"/>
            <w:hideMark/>
          </w:tcPr>
          <w:p w14:paraId="55FAEAB4"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160AD3E2"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610</w:t>
            </w:r>
          </w:p>
        </w:tc>
      </w:tr>
      <w:tr w:rsidR="004A4C61" w:rsidRPr="004A4C61" w14:paraId="4D792FED" w14:textId="77777777" w:rsidTr="004A4C61">
        <w:trPr>
          <w:trHeight w:val="260"/>
        </w:trPr>
        <w:tc>
          <w:tcPr>
            <w:tcW w:w="5980" w:type="dxa"/>
            <w:tcBorders>
              <w:top w:val="nil"/>
              <w:left w:val="nil"/>
              <w:bottom w:val="nil"/>
              <w:right w:val="nil"/>
            </w:tcBorders>
            <w:shd w:val="clear" w:color="000000" w:fill="FFFFFF"/>
            <w:noWrap/>
            <w:vAlign w:val="bottom"/>
            <w:hideMark/>
          </w:tcPr>
          <w:p w14:paraId="20D4152B"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 xml:space="preserve"> Total purchase of goods and services</w:t>
            </w:r>
          </w:p>
        </w:tc>
        <w:tc>
          <w:tcPr>
            <w:tcW w:w="272" w:type="dxa"/>
            <w:tcBorders>
              <w:top w:val="nil"/>
              <w:left w:val="nil"/>
              <w:bottom w:val="nil"/>
              <w:right w:val="nil"/>
            </w:tcBorders>
            <w:shd w:val="clear" w:color="000000" w:fill="FFFFFF"/>
            <w:noWrap/>
            <w:vAlign w:val="bottom"/>
            <w:hideMark/>
          </w:tcPr>
          <w:p w14:paraId="033CDA1B"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 </w:t>
            </w:r>
          </w:p>
        </w:tc>
        <w:tc>
          <w:tcPr>
            <w:tcW w:w="1300" w:type="dxa"/>
            <w:tcBorders>
              <w:top w:val="single" w:sz="4" w:space="0" w:color="auto"/>
              <w:left w:val="nil"/>
              <w:bottom w:val="single" w:sz="4" w:space="0" w:color="auto"/>
              <w:right w:val="nil"/>
            </w:tcBorders>
            <w:shd w:val="clear" w:color="000000" w:fill="FFFFFF"/>
            <w:noWrap/>
            <w:vAlign w:val="bottom"/>
            <w:hideMark/>
          </w:tcPr>
          <w:p w14:paraId="5087FC39" w14:textId="77777777" w:rsidR="004A4C61" w:rsidRPr="004A4C61" w:rsidRDefault="004A4C61" w:rsidP="004A4C61">
            <w:pPr>
              <w:spacing w:before="0" w:after="0"/>
              <w:jc w:val="right"/>
              <w:rPr>
                <w:rFonts w:eastAsia="Times New Roman" w:cs="Arial"/>
                <w:b/>
                <w:bCs/>
                <w:sz w:val="20"/>
                <w:szCs w:val="20"/>
                <w:lang w:eastAsia="en-GB"/>
              </w:rPr>
            </w:pPr>
            <w:r w:rsidRPr="004A4C61">
              <w:rPr>
                <w:rFonts w:eastAsia="Times New Roman" w:cs="Arial"/>
                <w:b/>
                <w:bCs/>
                <w:sz w:val="20"/>
                <w:szCs w:val="20"/>
                <w:lang w:eastAsia="en-GB"/>
              </w:rPr>
              <w:t>2,703,294</w:t>
            </w:r>
          </w:p>
        </w:tc>
        <w:tc>
          <w:tcPr>
            <w:tcW w:w="272" w:type="dxa"/>
            <w:tcBorders>
              <w:top w:val="nil"/>
              <w:left w:val="nil"/>
              <w:bottom w:val="nil"/>
              <w:right w:val="nil"/>
            </w:tcBorders>
            <w:shd w:val="clear" w:color="000000" w:fill="FFFFFF"/>
            <w:noWrap/>
            <w:vAlign w:val="bottom"/>
            <w:hideMark/>
          </w:tcPr>
          <w:p w14:paraId="0BE3FC51"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 </w:t>
            </w:r>
          </w:p>
        </w:tc>
        <w:tc>
          <w:tcPr>
            <w:tcW w:w="1180" w:type="dxa"/>
            <w:tcBorders>
              <w:top w:val="single" w:sz="4" w:space="0" w:color="auto"/>
              <w:left w:val="nil"/>
              <w:bottom w:val="single" w:sz="4" w:space="0" w:color="auto"/>
              <w:right w:val="nil"/>
            </w:tcBorders>
            <w:shd w:val="clear" w:color="000000" w:fill="FFFFFF"/>
            <w:noWrap/>
            <w:vAlign w:val="bottom"/>
            <w:hideMark/>
          </w:tcPr>
          <w:p w14:paraId="44535F3B" w14:textId="77777777" w:rsidR="004A4C61" w:rsidRPr="004A4C61" w:rsidRDefault="004A4C61" w:rsidP="004A4C61">
            <w:pPr>
              <w:spacing w:before="0" w:after="0"/>
              <w:jc w:val="right"/>
              <w:rPr>
                <w:rFonts w:eastAsia="Times New Roman" w:cs="Arial"/>
                <w:b/>
                <w:bCs/>
                <w:sz w:val="20"/>
                <w:szCs w:val="20"/>
                <w:lang w:eastAsia="en-GB"/>
              </w:rPr>
            </w:pPr>
            <w:r w:rsidRPr="004A4C61">
              <w:rPr>
                <w:rFonts w:eastAsia="Times New Roman" w:cs="Arial"/>
                <w:b/>
                <w:bCs/>
                <w:sz w:val="20"/>
                <w:szCs w:val="20"/>
                <w:lang w:eastAsia="en-GB"/>
              </w:rPr>
              <w:t>1,842,034</w:t>
            </w:r>
          </w:p>
        </w:tc>
      </w:tr>
      <w:tr w:rsidR="004A4C61" w:rsidRPr="004A4C61" w14:paraId="44CC7A1F" w14:textId="77777777" w:rsidTr="004A4C61">
        <w:trPr>
          <w:trHeight w:val="260"/>
        </w:trPr>
        <w:tc>
          <w:tcPr>
            <w:tcW w:w="5980" w:type="dxa"/>
            <w:tcBorders>
              <w:top w:val="nil"/>
              <w:left w:val="nil"/>
              <w:bottom w:val="nil"/>
              <w:right w:val="nil"/>
            </w:tcBorders>
            <w:shd w:val="clear" w:color="000000" w:fill="FFFFFF"/>
            <w:noWrap/>
            <w:vAlign w:val="bottom"/>
            <w:hideMark/>
          </w:tcPr>
          <w:p w14:paraId="3D307A9A"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7DC482E"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28C9C535"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5F9F5A71"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7F5D993B"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r>
      <w:tr w:rsidR="004A4C61" w:rsidRPr="004A4C61" w14:paraId="2A531348" w14:textId="77777777" w:rsidTr="004A4C61">
        <w:trPr>
          <w:trHeight w:val="260"/>
        </w:trPr>
        <w:tc>
          <w:tcPr>
            <w:tcW w:w="5980" w:type="dxa"/>
            <w:tcBorders>
              <w:top w:val="nil"/>
              <w:left w:val="nil"/>
              <w:bottom w:val="nil"/>
              <w:right w:val="nil"/>
            </w:tcBorders>
            <w:shd w:val="clear" w:color="000000" w:fill="FFFFFF"/>
            <w:noWrap/>
            <w:vAlign w:val="bottom"/>
            <w:hideMark/>
          </w:tcPr>
          <w:p w14:paraId="7375E3AE"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Depreciation charges</w:t>
            </w:r>
          </w:p>
        </w:tc>
        <w:tc>
          <w:tcPr>
            <w:tcW w:w="272" w:type="dxa"/>
            <w:tcBorders>
              <w:top w:val="nil"/>
              <w:left w:val="nil"/>
              <w:bottom w:val="nil"/>
              <w:right w:val="nil"/>
            </w:tcBorders>
            <w:shd w:val="clear" w:color="000000" w:fill="FFFFFF"/>
            <w:noWrap/>
            <w:vAlign w:val="bottom"/>
            <w:hideMark/>
          </w:tcPr>
          <w:p w14:paraId="0CAC840C"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51528152"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65381322"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3342F238"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r>
      <w:tr w:rsidR="004A4C61" w:rsidRPr="004A4C61" w14:paraId="0F65B9D2" w14:textId="77777777" w:rsidTr="004A4C61">
        <w:trPr>
          <w:trHeight w:val="250"/>
        </w:trPr>
        <w:tc>
          <w:tcPr>
            <w:tcW w:w="5980" w:type="dxa"/>
            <w:tcBorders>
              <w:top w:val="nil"/>
              <w:left w:val="nil"/>
              <w:bottom w:val="nil"/>
              <w:right w:val="nil"/>
            </w:tcBorders>
            <w:shd w:val="clear" w:color="000000" w:fill="FFFFFF"/>
            <w:noWrap/>
            <w:vAlign w:val="bottom"/>
            <w:hideMark/>
          </w:tcPr>
          <w:p w14:paraId="501768D4"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Depreciation</w:t>
            </w:r>
          </w:p>
        </w:tc>
        <w:tc>
          <w:tcPr>
            <w:tcW w:w="272" w:type="dxa"/>
            <w:tcBorders>
              <w:top w:val="nil"/>
              <w:left w:val="nil"/>
              <w:bottom w:val="nil"/>
              <w:right w:val="nil"/>
            </w:tcBorders>
            <w:shd w:val="clear" w:color="000000" w:fill="FFFFFF"/>
            <w:noWrap/>
            <w:vAlign w:val="bottom"/>
            <w:hideMark/>
          </w:tcPr>
          <w:p w14:paraId="2D1D6548"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5BC353F2"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462</w:t>
            </w:r>
          </w:p>
        </w:tc>
        <w:tc>
          <w:tcPr>
            <w:tcW w:w="272" w:type="dxa"/>
            <w:tcBorders>
              <w:top w:val="nil"/>
              <w:left w:val="nil"/>
              <w:bottom w:val="nil"/>
              <w:right w:val="nil"/>
            </w:tcBorders>
            <w:shd w:val="clear" w:color="000000" w:fill="FFFFFF"/>
            <w:noWrap/>
            <w:vAlign w:val="bottom"/>
            <w:hideMark/>
          </w:tcPr>
          <w:p w14:paraId="6F784E1E"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7559C19E"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505</w:t>
            </w:r>
          </w:p>
        </w:tc>
      </w:tr>
      <w:tr w:rsidR="004A4C61" w:rsidRPr="004A4C61" w14:paraId="71A111AA" w14:textId="77777777" w:rsidTr="004A4C61">
        <w:trPr>
          <w:trHeight w:val="260"/>
        </w:trPr>
        <w:tc>
          <w:tcPr>
            <w:tcW w:w="5980" w:type="dxa"/>
            <w:tcBorders>
              <w:top w:val="nil"/>
              <w:left w:val="nil"/>
              <w:bottom w:val="nil"/>
              <w:right w:val="nil"/>
            </w:tcBorders>
            <w:shd w:val="clear" w:color="000000" w:fill="FFFFFF"/>
            <w:noWrap/>
            <w:vAlign w:val="bottom"/>
            <w:hideMark/>
          </w:tcPr>
          <w:p w14:paraId="4C9664A9"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Total depreciation charges</w:t>
            </w:r>
          </w:p>
        </w:tc>
        <w:tc>
          <w:tcPr>
            <w:tcW w:w="272" w:type="dxa"/>
            <w:tcBorders>
              <w:top w:val="nil"/>
              <w:left w:val="nil"/>
              <w:bottom w:val="nil"/>
              <w:right w:val="nil"/>
            </w:tcBorders>
            <w:shd w:val="clear" w:color="000000" w:fill="FFFFFF"/>
            <w:noWrap/>
            <w:vAlign w:val="bottom"/>
            <w:hideMark/>
          </w:tcPr>
          <w:p w14:paraId="40A08A26"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 </w:t>
            </w:r>
          </w:p>
        </w:tc>
        <w:tc>
          <w:tcPr>
            <w:tcW w:w="1300" w:type="dxa"/>
            <w:tcBorders>
              <w:top w:val="single" w:sz="4" w:space="0" w:color="auto"/>
              <w:left w:val="nil"/>
              <w:bottom w:val="single" w:sz="4" w:space="0" w:color="auto"/>
              <w:right w:val="nil"/>
            </w:tcBorders>
            <w:shd w:val="clear" w:color="000000" w:fill="FFFFFF"/>
            <w:noWrap/>
            <w:vAlign w:val="bottom"/>
            <w:hideMark/>
          </w:tcPr>
          <w:p w14:paraId="69E0BD14" w14:textId="77777777" w:rsidR="004A4C61" w:rsidRPr="004A4C61" w:rsidRDefault="004A4C61" w:rsidP="004A4C61">
            <w:pPr>
              <w:spacing w:before="0" w:after="0"/>
              <w:jc w:val="right"/>
              <w:rPr>
                <w:rFonts w:eastAsia="Times New Roman" w:cs="Arial"/>
                <w:b/>
                <w:bCs/>
                <w:sz w:val="20"/>
                <w:szCs w:val="20"/>
                <w:lang w:eastAsia="en-GB"/>
              </w:rPr>
            </w:pPr>
            <w:r w:rsidRPr="004A4C61">
              <w:rPr>
                <w:rFonts w:eastAsia="Times New Roman" w:cs="Arial"/>
                <w:b/>
                <w:bCs/>
                <w:sz w:val="20"/>
                <w:szCs w:val="20"/>
                <w:lang w:eastAsia="en-GB"/>
              </w:rPr>
              <w:t>462</w:t>
            </w:r>
          </w:p>
        </w:tc>
        <w:tc>
          <w:tcPr>
            <w:tcW w:w="272" w:type="dxa"/>
            <w:tcBorders>
              <w:top w:val="nil"/>
              <w:left w:val="nil"/>
              <w:bottom w:val="nil"/>
              <w:right w:val="nil"/>
            </w:tcBorders>
            <w:shd w:val="clear" w:color="000000" w:fill="FFFFFF"/>
            <w:noWrap/>
            <w:vAlign w:val="bottom"/>
            <w:hideMark/>
          </w:tcPr>
          <w:p w14:paraId="6DC289F8"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 </w:t>
            </w:r>
          </w:p>
        </w:tc>
        <w:tc>
          <w:tcPr>
            <w:tcW w:w="1180" w:type="dxa"/>
            <w:tcBorders>
              <w:top w:val="single" w:sz="4" w:space="0" w:color="auto"/>
              <w:left w:val="nil"/>
              <w:bottom w:val="single" w:sz="4" w:space="0" w:color="auto"/>
              <w:right w:val="nil"/>
            </w:tcBorders>
            <w:shd w:val="clear" w:color="000000" w:fill="FFFFFF"/>
            <w:noWrap/>
            <w:vAlign w:val="bottom"/>
            <w:hideMark/>
          </w:tcPr>
          <w:p w14:paraId="5B33E9E6" w14:textId="77777777" w:rsidR="004A4C61" w:rsidRPr="004A4C61" w:rsidRDefault="004A4C61" w:rsidP="004A4C61">
            <w:pPr>
              <w:spacing w:before="0" w:after="0"/>
              <w:jc w:val="right"/>
              <w:rPr>
                <w:rFonts w:eastAsia="Times New Roman" w:cs="Arial"/>
                <w:b/>
                <w:bCs/>
                <w:sz w:val="20"/>
                <w:szCs w:val="20"/>
                <w:lang w:eastAsia="en-GB"/>
              </w:rPr>
            </w:pPr>
            <w:r w:rsidRPr="004A4C61">
              <w:rPr>
                <w:rFonts w:eastAsia="Times New Roman" w:cs="Arial"/>
                <w:b/>
                <w:bCs/>
                <w:sz w:val="20"/>
                <w:szCs w:val="20"/>
                <w:lang w:eastAsia="en-GB"/>
              </w:rPr>
              <w:t>505</w:t>
            </w:r>
          </w:p>
        </w:tc>
      </w:tr>
      <w:tr w:rsidR="004A4C61" w:rsidRPr="004A4C61" w14:paraId="7685E2D9" w14:textId="77777777" w:rsidTr="004A4C61">
        <w:trPr>
          <w:trHeight w:val="260"/>
        </w:trPr>
        <w:tc>
          <w:tcPr>
            <w:tcW w:w="5980" w:type="dxa"/>
            <w:tcBorders>
              <w:top w:val="nil"/>
              <w:left w:val="nil"/>
              <w:bottom w:val="nil"/>
              <w:right w:val="nil"/>
            </w:tcBorders>
            <w:shd w:val="clear" w:color="000000" w:fill="FFFFFF"/>
            <w:noWrap/>
            <w:vAlign w:val="bottom"/>
            <w:hideMark/>
          </w:tcPr>
          <w:p w14:paraId="4B2FA34A"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D982386"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5097BD1F"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683F2866"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59FDBE99"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r>
      <w:tr w:rsidR="004A4C61" w:rsidRPr="004A4C61" w14:paraId="401683F8" w14:textId="77777777" w:rsidTr="004A4C61">
        <w:trPr>
          <w:trHeight w:val="260"/>
        </w:trPr>
        <w:tc>
          <w:tcPr>
            <w:tcW w:w="5980" w:type="dxa"/>
            <w:tcBorders>
              <w:top w:val="nil"/>
              <w:left w:val="nil"/>
              <w:bottom w:val="nil"/>
              <w:right w:val="nil"/>
            </w:tcBorders>
            <w:shd w:val="clear" w:color="000000" w:fill="FFFFFF"/>
            <w:noWrap/>
            <w:vAlign w:val="bottom"/>
            <w:hideMark/>
          </w:tcPr>
          <w:p w14:paraId="095C94EC"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Provision expense</w:t>
            </w:r>
          </w:p>
        </w:tc>
        <w:tc>
          <w:tcPr>
            <w:tcW w:w="272" w:type="dxa"/>
            <w:tcBorders>
              <w:top w:val="nil"/>
              <w:left w:val="nil"/>
              <w:bottom w:val="nil"/>
              <w:right w:val="nil"/>
            </w:tcBorders>
            <w:shd w:val="clear" w:color="000000" w:fill="FFFFFF"/>
            <w:noWrap/>
            <w:vAlign w:val="bottom"/>
            <w:hideMark/>
          </w:tcPr>
          <w:p w14:paraId="3FC9DF67"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3E8C38B3"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24681368"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47BD313B"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r>
      <w:tr w:rsidR="004A4C61" w:rsidRPr="004A4C61" w14:paraId="212828C5" w14:textId="77777777" w:rsidTr="004A4C61">
        <w:trPr>
          <w:trHeight w:val="250"/>
        </w:trPr>
        <w:tc>
          <w:tcPr>
            <w:tcW w:w="5980" w:type="dxa"/>
            <w:tcBorders>
              <w:top w:val="nil"/>
              <w:left w:val="nil"/>
              <w:bottom w:val="nil"/>
              <w:right w:val="nil"/>
            </w:tcBorders>
            <w:shd w:val="clear" w:color="000000" w:fill="FFFFFF"/>
            <w:noWrap/>
            <w:vAlign w:val="bottom"/>
            <w:hideMark/>
          </w:tcPr>
          <w:p w14:paraId="3AD18B46"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Provisions</w:t>
            </w:r>
          </w:p>
        </w:tc>
        <w:tc>
          <w:tcPr>
            <w:tcW w:w="272" w:type="dxa"/>
            <w:tcBorders>
              <w:top w:val="nil"/>
              <w:left w:val="nil"/>
              <w:bottom w:val="nil"/>
              <w:right w:val="nil"/>
            </w:tcBorders>
            <w:shd w:val="clear" w:color="000000" w:fill="FFFFFF"/>
            <w:noWrap/>
            <w:vAlign w:val="bottom"/>
            <w:hideMark/>
          </w:tcPr>
          <w:p w14:paraId="13D8CF87"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7F9E3260"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(8,931)</w:t>
            </w:r>
          </w:p>
        </w:tc>
        <w:tc>
          <w:tcPr>
            <w:tcW w:w="272" w:type="dxa"/>
            <w:tcBorders>
              <w:top w:val="nil"/>
              <w:left w:val="nil"/>
              <w:bottom w:val="nil"/>
              <w:right w:val="nil"/>
            </w:tcBorders>
            <w:shd w:val="clear" w:color="000000" w:fill="FFFFFF"/>
            <w:noWrap/>
            <w:vAlign w:val="bottom"/>
            <w:hideMark/>
          </w:tcPr>
          <w:p w14:paraId="72FF7FE3"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4EDA20C6"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4,043</w:t>
            </w:r>
          </w:p>
        </w:tc>
      </w:tr>
      <w:tr w:rsidR="004A4C61" w:rsidRPr="004A4C61" w14:paraId="5E05CECF" w14:textId="77777777" w:rsidTr="004A4C61">
        <w:trPr>
          <w:trHeight w:val="260"/>
        </w:trPr>
        <w:tc>
          <w:tcPr>
            <w:tcW w:w="5980" w:type="dxa"/>
            <w:tcBorders>
              <w:top w:val="nil"/>
              <w:left w:val="nil"/>
              <w:bottom w:val="nil"/>
              <w:right w:val="nil"/>
            </w:tcBorders>
            <w:shd w:val="clear" w:color="000000" w:fill="FFFFFF"/>
            <w:noWrap/>
            <w:vAlign w:val="bottom"/>
            <w:hideMark/>
          </w:tcPr>
          <w:p w14:paraId="1CB0C311"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Total provision expense</w:t>
            </w:r>
          </w:p>
        </w:tc>
        <w:tc>
          <w:tcPr>
            <w:tcW w:w="272" w:type="dxa"/>
            <w:tcBorders>
              <w:top w:val="nil"/>
              <w:left w:val="nil"/>
              <w:bottom w:val="nil"/>
              <w:right w:val="nil"/>
            </w:tcBorders>
            <w:shd w:val="clear" w:color="000000" w:fill="FFFFFF"/>
            <w:noWrap/>
            <w:vAlign w:val="bottom"/>
            <w:hideMark/>
          </w:tcPr>
          <w:p w14:paraId="4438312D"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 </w:t>
            </w:r>
          </w:p>
        </w:tc>
        <w:tc>
          <w:tcPr>
            <w:tcW w:w="1300" w:type="dxa"/>
            <w:tcBorders>
              <w:top w:val="single" w:sz="4" w:space="0" w:color="auto"/>
              <w:left w:val="nil"/>
              <w:bottom w:val="single" w:sz="4" w:space="0" w:color="auto"/>
              <w:right w:val="nil"/>
            </w:tcBorders>
            <w:shd w:val="clear" w:color="000000" w:fill="FFFFFF"/>
            <w:noWrap/>
            <w:vAlign w:val="bottom"/>
            <w:hideMark/>
          </w:tcPr>
          <w:p w14:paraId="3AC3688F" w14:textId="77777777" w:rsidR="004A4C61" w:rsidRPr="004A4C61" w:rsidRDefault="004A4C61" w:rsidP="004A4C61">
            <w:pPr>
              <w:spacing w:before="0" w:after="0"/>
              <w:jc w:val="right"/>
              <w:rPr>
                <w:rFonts w:eastAsia="Times New Roman" w:cs="Arial"/>
                <w:b/>
                <w:bCs/>
                <w:sz w:val="20"/>
                <w:szCs w:val="20"/>
                <w:lang w:eastAsia="en-GB"/>
              </w:rPr>
            </w:pPr>
            <w:r w:rsidRPr="004A4C61">
              <w:rPr>
                <w:rFonts w:eastAsia="Times New Roman" w:cs="Arial"/>
                <w:b/>
                <w:bCs/>
                <w:sz w:val="20"/>
                <w:szCs w:val="20"/>
                <w:lang w:eastAsia="en-GB"/>
              </w:rPr>
              <w:t>(8,931)</w:t>
            </w:r>
          </w:p>
        </w:tc>
        <w:tc>
          <w:tcPr>
            <w:tcW w:w="272" w:type="dxa"/>
            <w:tcBorders>
              <w:top w:val="nil"/>
              <w:left w:val="nil"/>
              <w:bottom w:val="nil"/>
              <w:right w:val="nil"/>
            </w:tcBorders>
            <w:shd w:val="clear" w:color="000000" w:fill="FFFFFF"/>
            <w:noWrap/>
            <w:vAlign w:val="bottom"/>
            <w:hideMark/>
          </w:tcPr>
          <w:p w14:paraId="758F0E49"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 </w:t>
            </w:r>
          </w:p>
        </w:tc>
        <w:tc>
          <w:tcPr>
            <w:tcW w:w="1180" w:type="dxa"/>
            <w:tcBorders>
              <w:top w:val="single" w:sz="4" w:space="0" w:color="auto"/>
              <w:left w:val="nil"/>
              <w:bottom w:val="single" w:sz="4" w:space="0" w:color="auto"/>
              <w:right w:val="nil"/>
            </w:tcBorders>
            <w:shd w:val="clear" w:color="000000" w:fill="FFFFFF"/>
            <w:noWrap/>
            <w:vAlign w:val="bottom"/>
            <w:hideMark/>
          </w:tcPr>
          <w:p w14:paraId="0C240CA5" w14:textId="77777777" w:rsidR="004A4C61" w:rsidRPr="004A4C61" w:rsidRDefault="004A4C61" w:rsidP="004A4C61">
            <w:pPr>
              <w:spacing w:before="0" w:after="0"/>
              <w:jc w:val="right"/>
              <w:rPr>
                <w:rFonts w:eastAsia="Times New Roman" w:cs="Arial"/>
                <w:b/>
                <w:bCs/>
                <w:sz w:val="20"/>
                <w:szCs w:val="20"/>
                <w:lang w:eastAsia="en-GB"/>
              </w:rPr>
            </w:pPr>
            <w:r w:rsidRPr="004A4C61">
              <w:rPr>
                <w:rFonts w:eastAsia="Times New Roman" w:cs="Arial"/>
                <w:b/>
                <w:bCs/>
                <w:sz w:val="20"/>
                <w:szCs w:val="20"/>
                <w:lang w:eastAsia="en-GB"/>
              </w:rPr>
              <w:t>4,043</w:t>
            </w:r>
          </w:p>
        </w:tc>
      </w:tr>
      <w:tr w:rsidR="004A4C61" w:rsidRPr="004A4C61" w14:paraId="1477AEF8" w14:textId="77777777" w:rsidTr="004A4C61">
        <w:trPr>
          <w:trHeight w:val="260"/>
        </w:trPr>
        <w:tc>
          <w:tcPr>
            <w:tcW w:w="5980" w:type="dxa"/>
            <w:tcBorders>
              <w:top w:val="nil"/>
              <w:left w:val="nil"/>
              <w:bottom w:val="nil"/>
              <w:right w:val="nil"/>
            </w:tcBorders>
            <w:shd w:val="clear" w:color="000000" w:fill="FFFFFF"/>
            <w:noWrap/>
            <w:vAlign w:val="bottom"/>
            <w:hideMark/>
          </w:tcPr>
          <w:p w14:paraId="1FDBD63C"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FB67903"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264D514B"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7F345E9E"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171ED254"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r>
      <w:tr w:rsidR="004A4C61" w:rsidRPr="004A4C61" w14:paraId="33E313A8" w14:textId="77777777" w:rsidTr="004A4C61">
        <w:trPr>
          <w:trHeight w:val="260"/>
        </w:trPr>
        <w:tc>
          <w:tcPr>
            <w:tcW w:w="5980" w:type="dxa"/>
            <w:tcBorders>
              <w:top w:val="nil"/>
              <w:left w:val="nil"/>
              <w:bottom w:val="nil"/>
              <w:right w:val="nil"/>
            </w:tcBorders>
            <w:shd w:val="clear" w:color="000000" w:fill="FFFFFF"/>
            <w:noWrap/>
            <w:vAlign w:val="bottom"/>
            <w:hideMark/>
          </w:tcPr>
          <w:p w14:paraId="4E801A63"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Other operating expenditure</w:t>
            </w:r>
          </w:p>
        </w:tc>
        <w:tc>
          <w:tcPr>
            <w:tcW w:w="272" w:type="dxa"/>
            <w:tcBorders>
              <w:top w:val="nil"/>
              <w:left w:val="nil"/>
              <w:bottom w:val="nil"/>
              <w:right w:val="nil"/>
            </w:tcBorders>
            <w:shd w:val="clear" w:color="000000" w:fill="FFFFFF"/>
            <w:noWrap/>
            <w:vAlign w:val="bottom"/>
            <w:hideMark/>
          </w:tcPr>
          <w:p w14:paraId="23812DF2"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2DCC588F"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136E2FE8"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0530957A"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r>
      <w:tr w:rsidR="004A4C61" w:rsidRPr="004A4C61" w14:paraId="227F1C54" w14:textId="77777777" w:rsidTr="004A4C61">
        <w:trPr>
          <w:trHeight w:val="250"/>
        </w:trPr>
        <w:tc>
          <w:tcPr>
            <w:tcW w:w="5980" w:type="dxa"/>
            <w:tcBorders>
              <w:top w:val="nil"/>
              <w:left w:val="nil"/>
              <w:bottom w:val="nil"/>
              <w:right w:val="nil"/>
            </w:tcBorders>
            <w:shd w:val="clear" w:color="000000" w:fill="FFFFFF"/>
            <w:noWrap/>
            <w:vAlign w:val="bottom"/>
            <w:hideMark/>
          </w:tcPr>
          <w:p w14:paraId="2975DF90"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Chair and non-executive members</w:t>
            </w:r>
          </w:p>
        </w:tc>
        <w:tc>
          <w:tcPr>
            <w:tcW w:w="272" w:type="dxa"/>
            <w:tcBorders>
              <w:top w:val="nil"/>
              <w:left w:val="nil"/>
              <w:bottom w:val="nil"/>
              <w:right w:val="nil"/>
            </w:tcBorders>
            <w:shd w:val="clear" w:color="000000" w:fill="FFFFFF"/>
            <w:noWrap/>
            <w:vAlign w:val="bottom"/>
            <w:hideMark/>
          </w:tcPr>
          <w:p w14:paraId="2A0E4E63"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01E1F2DA"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170</w:t>
            </w:r>
          </w:p>
        </w:tc>
        <w:tc>
          <w:tcPr>
            <w:tcW w:w="272" w:type="dxa"/>
            <w:tcBorders>
              <w:top w:val="nil"/>
              <w:left w:val="nil"/>
              <w:bottom w:val="nil"/>
              <w:right w:val="nil"/>
            </w:tcBorders>
            <w:shd w:val="clear" w:color="000000" w:fill="FFFFFF"/>
            <w:noWrap/>
            <w:vAlign w:val="bottom"/>
            <w:hideMark/>
          </w:tcPr>
          <w:p w14:paraId="542E423A"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0DAF8B49"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110</w:t>
            </w:r>
          </w:p>
        </w:tc>
      </w:tr>
      <w:tr w:rsidR="004A4C61" w:rsidRPr="004A4C61" w14:paraId="0E2AC38F" w14:textId="77777777" w:rsidTr="004A4C61">
        <w:trPr>
          <w:trHeight w:val="250"/>
        </w:trPr>
        <w:tc>
          <w:tcPr>
            <w:tcW w:w="5980" w:type="dxa"/>
            <w:tcBorders>
              <w:top w:val="nil"/>
              <w:left w:val="nil"/>
              <w:bottom w:val="nil"/>
              <w:right w:val="nil"/>
            </w:tcBorders>
            <w:shd w:val="clear" w:color="000000" w:fill="FFFFFF"/>
            <w:noWrap/>
            <w:vAlign w:val="bottom"/>
            <w:hideMark/>
          </w:tcPr>
          <w:p w14:paraId="016E8DD3"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Grants to other bodies</w:t>
            </w:r>
          </w:p>
        </w:tc>
        <w:tc>
          <w:tcPr>
            <w:tcW w:w="272" w:type="dxa"/>
            <w:tcBorders>
              <w:top w:val="nil"/>
              <w:left w:val="nil"/>
              <w:bottom w:val="nil"/>
              <w:right w:val="nil"/>
            </w:tcBorders>
            <w:shd w:val="clear" w:color="000000" w:fill="FFFFFF"/>
            <w:noWrap/>
            <w:vAlign w:val="bottom"/>
            <w:hideMark/>
          </w:tcPr>
          <w:p w14:paraId="094379D3"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7CA54088"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363</w:t>
            </w:r>
          </w:p>
        </w:tc>
        <w:tc>
          <w:tcPr>
            <w:tcW w:w="272" w:type="dxa"/>
            <w:tcBorders>
              <w:top w:val="nil"/>
              <w:left w:val="nil"/>
              <w:bottom w:val="nil"/>
              <w:right w:val="nil"/>
            </w:tcBorders>
            <w:shd w:val="clear" w:color="000000" w:fill="FFFFFF"/>
            <w:noWrap/>
            <w:vAlign w:val="bottom"/>
            <w:hideMark/>
          </w:tcPr>
          <w:p w14:paraId="6AA9A58A"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09409898"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9,112</w:t>
            </w:r>
          </w:p>
        </w:tc>
      </w:tr>
      <w:tr w:rsidR="004A4C61" w:rsidRPr="004A4C61" w14:paraId="1AE5FE62" w14:textId="77777777" w:rsidTr="004A4C61">
        <w:trPr>
          <w:trHeight w:val="250"/>
        </w:trPr>
        <w:tc>
          <w:tcPr>
            <w:tcW w:w="5980" w:type="dxa"/>
            <w:tcBorders>
              <w:top w:val="nil"/>
              <w:left w:val="nil"/>
              <w:bottom w:val="nil"/>
              <w:right w:val="nil"/>
            </w:tcBorders>
            <w:shd w:val="clear" w:color="000000" w:fill="FFFFFF"/>
            <w:noWrap/>
            <w:vAlign w:val="bottom"/>
            <w:hideMark/>
          </w:tcPr>
          <w:p w14:paraId="199CEB3E"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Other expenditure</w:t>
            </w:r>
          </w:p>
        </w:tc>
        <w:tc>
          <w:tcPr>
            <w:tcW w:w="272" w:type="dxa"/>
            <w:tcBorders>
              <w:top w:val="nil"/>
              <w:left w:val="nil"/>
              <w:bottom w:val="nil"/>
              <w:right w:val="nil"/>
            </w:tcBorders>
            <w:shd w:val="clear" w:color="000000" w:fill="FFFFFF"/>
            <w:noWrap/>
            <w:vAlign w:val="bottom"/>
            <w:hideMark/>
          </w:tcPr>
          <w:p w14:paraId="33F95608"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7F6646B2"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24</w:t>
            </w:r>
          </w:p>
        </w:tc>
        <w:tc>
          <w:tcPr>
            <w:tcW w:w="272" w:type="dxa"/>
            <w:tcBorders>
              <w:top w:val="nil"/>
              <w:left w:val="nil"/>
              <w:bottom w:val="nil"/>
              <w:right w:val="nil"/>
            </w:tcBorders>
            <w:shd w:val="clear" w:color="000000" w:fill="FFFFFF"/>
            <w:noWrap/>
            <w:vAlign w:val="bottom"/>
            <w:hideMark/>
          </w:tcPr>
          <w:p w14:paraId="11B31A0C"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1EFAE9BF" w14:textId="77777777" w:rsidR="004A4C61" w:rsidRPr="004A4C61" w:rsidRDefault="004A4C61" w:rsidP="004A4C61">
            <w:pPr>
              <w:spacing w:before="0" w:after="0"/>
              <w:jc w:val="right"/>
              <w:rPr>
                <w:rFonts w:eastAsia="Times New Roman" w:cs="Arial"/>
                <w:sz w:val="20"/>
                <w:szCs w:val="20"/>
                <w:lang w:eastAsia="en-GB"/>
              </w:rPr>
            </w:pPr>
            <w:r w:rsidRPr="004A4C61">
              <w:rPr>
                <w:rFonts w:eastAsia="Times New Roman" w:cs="Arial"/>
                <w:sz w:val="20"/>
                <w:szCs w:val="20"/>
                <w:lang w:eastAsia="en-GB"/>
              </w:rPr>
              <w:t>114</w:t>
            </w:r>
          </w:p>
        </w:tc>
      </w:tr>
      <w:tr w:rsidR="004A4C61" w:rsidRPr="004A4C61" w14:paraId="49D0844E" w14:textId="77777777" w:rsidTr="004A4C61">
        <w:trPr>
          <w:trHeight w:val="260"/>
        </w:trPr>
        <w:tc>
          <w:tcPr>
            <w:tcW w:w="5980" w:type="dxa"/>
            <w:tcBorders>
              <w:top w:val="nil"/>
              <w:left w:val="nil"/>
              <w:bottom w:val="nil"/>
              <w:right w:val="nil"/>
            </w:tcBorders>
            <w:shd w:val="clear" w:color="000000" w:fill="FFFFFF"/>
            <w:noWrap/>
            <w:vAlign w:val="bottom"/>
            <w:hideMark/>
          </w:tcPr>
          <w:p w14:paraId="045CBFB6"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Total other operating expenditure</w:t>
            </w:r>
          </w:p>
        </w:tc>
        <w:tc>
          <w:tcPr>
            <w:tcW w:w="272" w:type="dxa"/>
            <w:tcBorders>
              <w:top w:val="nil"/>
              <w:left w:val="nil"/>
              <w:bottom w:val="nil"/>
              <w:right w:val="nil"/>
            </w:tcBorders>
            <w:shd w:val="clear" w:color="000000" w:fill="FFFFFF"/>
            <w:noWrap/>
            <w:vAlign w:val="bottom"/>
            <w:hideMark/>
          </w:tcPr>
          <w:p w14:paraId="75334EE1"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 </w:t>
            </w:r>
          </w:p>
        </w:tc>
        <w:tc>
          <w:tcPr>
            <w:tcW w:w="1300" w:type="dxa"/>
            <w:tcBorders>
              <w:top w:val="single" w:sz="4" w:space="0" w:color="auto"/>
              <w:left w:val="nil"/>
              <w:bottom w:val="single" w:sz="4" w:space="0" w:color="auto"/>
              <w:right w:val="nil"/>
            </w:tcBorders>
            <w:shd w:val="clear" w:color="000000" w:fill="FFFFFF"/>
            <w:noWrap/>
            <w:vAlign w:val="bottom"/>
            <w:hideMark/>
          </w:tcPr>
          <w:p w14:paraId="4C65FC8F" w14:textId="77777777" w:rsidR="004A4C61" w:rsidRPr="004A4C61" w:rsidRDefault="004A4C61" w:rsidP="004A4C61">
            <w:pPr>
              <w:spacing w:before="0" w:after="0"/>
              <w:jc w:val="right"/>
              <w:rPr>
                <w:rFonts w:eastAsia="Times New Roman" w:cs="Arial"/>
                <w:b/>
                <w:bCs/>
                <w:sz w:val="20"/>
                <w:szCs w:val="20"/>
                <w:lang w:eastAsia="en-GB"/>
              </w:rPr>
            </w:pPr>
            <w:r w:rsidRPr="004A4C61">
              <w:rPr>
                <w:rFonts w:eastAsia="Times New Roman" w:cs="Arial"/>
                <w:b/>
                <w:bCs/>
                <w:sz w:val="20"/>
                <w:szCs w:val="20"/>
                <w:lang w:eastAsia="en-GB"/>
              </w:rPr>
              <w:t>557</w:t>
            </w:r>
          </w:p>
        </w:tc>
        <w:tc>
          <w:tcPr>
            <w:tcW w:w="272" w:type="dxa"/>
            <w:tcBorders>
              <w:top w:val="nil"/>
              <w:left w:val="nil"/>
              <w:bottom w:val="nil"/>
              <w:right w:val="nil"/>
            </w:tcBorders>
            <w:shd w:val="clear" w:color="000000" w:fill="FFFFFF"/>
            <w:noWrap/>
            <w:vAlign w:val="bottom"/>
            <w:hideMark/>
          </w:tcPr>
          <w:p w14:paraId="7F96C64C"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 </w:t>
            </w:r>
          </w:p>
        </w:tc>
        <w:tc>
          <w:tcPr>
            <w:tcW w:w="1180" w:type="dxa"/>
            <w:tcBorders>
              <w:top w:val="single" w:sz="4" w:space="0" w:color="auto"/>
              <w:left w:val="nil"/>
              <w:bottom w:val="single" w:sz="4" w:space="0" w:color="auto"/>
              <w:right w:val="nil"/>
            </w:tcBorders>
            <w:shd w:val="clear" w:color="000000" w:fill="FFFFFF"/>
            <w:noWrap/>
            <w:vAlign w:val="bottom"/>
            <w:hideMark/>
          </w:tcPr>
          <w:p w14:paraId="56425555" w14:textId="77777777" w:rsidR="004A4C61" w:rsidRPr="004A4C61" w:rsidRDefault="004A4C61" w:rsidP="004A4C61">
            <w:pPr>
              <w:spacing w:before="0" w:after="0"/>
              <w:jc w:val="right"/>
              <w:rPr>
                <w:rFonts w:eastAsia="Times New Roman" w:cs="Arial"/>
                <w:b/>
                <w:bCs/>
                <w:sz w:val="20"/>
                <w:szCs w:val="20"/>
                <w:lang w:eastAsia="en-GB"/>
              </w:rPr>
            </w:pPr>
            <w:r w:rsidRPr="004A4C61">
              <w:rPr>
                <w:rFonts w:eastAsia="Times New Roman" w:cs="Arial"/>
                <w:b/>
                <w:bCs/>
                <w:sz w:val="20"/>
                <w:szCs w:val="20"/>
                <w:lang w:eastAsia="en-GB"/>
              </w:rPr>
              <w:t>9,336</w:t>
            </w:r>
          </w:p>
        </w:tc>
      </w:tr>
      <w:tr w:rsidR="004A4C61" w:rsidRPr="004A4C61" w14:paraId="5AAA5329" w14:textId="77777777" w:rsidTr="004A4C61">
        <w:trPr>
          <w:trHeight w:val="260"/>
        </w:trPr>
        <w:tc>
          <w:tcPr>
            <w:tcW w:w="5980" w:type="dxa"/>
            <w:tcBorders>
              <w:top w:val="nil"/>
              <w:left w:val="nil"/>
              <w:bottom w:val="nil"/>
              <w:right w:val="nil"/>
            </w:tcBorders>
            <w:shd w:val="clear" w:color="000000" w:fill="FFFFFF"/>
            <w:noWrap/>
            <w:vAlign w:val="bottom"/>
            <w:hideMark/>
          </w:tcPr>
          <w:p w14:paraId="5F7089CA"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B62E1F8"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300" w:type="dxa"/>
            <w:tcBorders>
              <w:top w:val="nil"/>
              <w:left w:val="nil"/>
              <w:bottom w:val="nil"/>
              <w:right w:val="nil"/>
            </w:tcBorders>
            <w:shd w:val="clear" w:color="000000" w:fill="FFFFFF"/>
            <w:noWrap/>
            <w:vAlign w:val="bottom"/>
            <w:hideMark/>
          </w:tcPr>
          <w:p w14:paraId="1B83F443"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303E69E9"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c>
          <w:tcPr>
            <w:tcW w:w="1180" w:type="dxa"/>
            <w:tcBorders>
              <w:top w:val="nil"/>
              <w:left w:val="nil"/>
              <w:bottom w:val="nil"/>
              <w:right w:val="nil"/>
            </w:tcBorders>
            <w:shd w:val="clear" w:color="000000" w:fill="FFFFFF"/>
            <w:noWrap/>
            <w:vAlign w:val="bottom"/>
            <w:hideMark/>
          </w:tcPr>
          <w:p w14:paraId="6571D2A1" w14:textId="77777777" w:rsidR="004A4C61" w:rsidRPr="004A4C61" w:rsidRDefault="004A4C61" w:rsidP="004A4C61">
            <w:pPr>
              <w:spacing w:before="0" w:after="0"/>
              <w:rPr>
                <w:rFonts w:eastAsia="Times New Roman" w:cs="Arial"/>
                <w:sz w:val="20"/>
                <w:szCs w:val="20"/>
                <w:lang w:eastAsia="en-GB"/>
              </w:rPr>
            </w:pPr>
            <w:r w:rsidRPr="004A4C61">
              <w:rPr>
                <w:rFonts w:eastAsia="Times New Roman" w:cs="Arial"/>
                <w:sz w:val="20"/>
                <w:szCs w:val="20"/>
                <w:lang w:eastAsia="en-GB"/>
              </w:rPr>
              <w:t> </w:t>
            </w:r>
          </w:p>
        </w:tc>
      </w:tr>
      <w:tr w:rsidR="004A4C61" w:rsidRPr="004A4C61" w14:paraId="7FAB72E6" w14:textId="77777777" w:rsidTr="004A4C61">
        <w:trPr>
          <w:trHeight w:val="260"/>
        </w:trPr>
        <w:tc>
          <w:tcPr>
            <w:tcW w:w="5980" w:type="dxa"/>
            <w:tcBorders>
              <w:top w:val="nil"/>
              <w:left w:val="nil"/>
              <w:bottom w:val="nil"/>
              <w:right w:val="nil"/>
            </w:tcBorders>
            <w:shd w:val="clear" w:color="000000" w:fill="FFFFFF"/>
            <w:noWrap/>
            <w:vAlign w:val="bottom"/>
            <w:hideMark/>
          </w:tcPr>
          <w:p w14:paraId="53454295"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Total operating expenditure</w:t>
            </w:r>
          </w:p>
        </w:tc>
        <w:tc>
          <w:tcPr>
            <w:tcW w:w="272" w:type="dxa"/>
            <w:tcBorders>
              <w:top w:val="nil"/>
              <w:left w:val="nil"/>
              <w:bottom w:val="nil"/>
              <w:right w:val="nil"/>
            </w:tcBorders>
            <w:shd w:val="clear" w:color="000000" w:fill="FFFFFF"/>
            <w:noWrap/>
            <w:vAlign w:val="bottom"/>
            <w:hideMark/>
          </w:tcPr>
          <w:p w14:paraId="23181D2E"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 </w:t>
            </w:r>
          </w:p>
        </w:tc>
        <w:tc>
          <w:tcPr>
            <w:tcW w:w="1300" w:type="dxa"/>
            <w:tcBorders>
              <w:top w:val="single" w:sz="4" w:space="0" w:color="auto"/>
              <w:left w:val="nil"/>
              <w:bottom w:val="single" w:sz="4" w:space="0" w:color="auto"/>
              <w:right w:val="nil"/>
            </w:tcBorders>
            <w:shd w:val="clear" w:color="000000" w:fill="FFFFFF"/>
            <w:noWrap/>
            <w:vAlign w:val="bottom"/>
            <w:hideMark/>
          </w:tcPr>
          <w:p w14:paraId="6F243963" w14:textId="77777777" w:rsidR="004A4C61" w:rsidRPr="004A4C61" w:rsidRDefault="004A4C61" w:rsidP="004A4C61">
            <w:pPr>
              <w:spacing w:before="0" w:after="0"/>
              <w:jc w:val="right"/>
              <w:rPr>
                <w:rFonts w:eastAsia="Times New Roman" w:cs="Arial"/>
                <w:b/>
                <w:bCs/>
                <w:sz w:val="20"/>
                <w:szCs w:val="20"/>
                <w:lang w:eastAsia="en-GB"/>
              </w:rPr>
            </w:pPr>
            <w:r w:rsidRPr="004A4C61">
              <w:rPr>
                <w:rFonts w:eastAsia="Times New Roman" w:cs="Arial"/>
                <w:b/>
                <w:bCs/>
                <w:sz w:val="20"/>
                <w:szCs w:val="20"/>
                <w:lang w:eastAsia="en-GB"/>
              </w:rPr>
              <w:t>2,695,382</w:t>
            </w:r>
          </w:p>
        </w:tc>
        <w:tc>
          <w:tcPr>
            <w:tcW w:w="272" w:type="dxa"/>
            <w:tcBorders>
              <w:top w:val="nil"/>
              <w:left w:val="nil"/>
              <w:bottom w:val="nil"/>
              <w:right w:val="nil"/>
            </w:tcBorders>
            <w:shd w:val="clear" w:color="000000" w:fill="FFFFFF"/>
            <w:noWrap/>
            <w:vAlign w:val="bottom"/>
            <w:hideMark/>
          </w:tcPr>
          <w:p w14:paraId="5BBA7656" w14:textId="77777777" w:rsidR="004A4C61" w:rsidRPr="004A4C61" w:rsidRDefault="004A4C61" w:rsidP="004A4C61">
            <w:pPr>
              <w:spacing w:before="0" w:after="0"/>
              <w:rPr>
                <w:rFonts w:eastAsia="Times New Roman" w:cs="Arial"/>
                <w:b/>
                <w:bCs/>
                <w:sz w:val="20"/>
                <w:szCs w:val="20"/>
                <w:lang w:eastAsia="en-GB"/>
              </w:rPr>
            </w:pPr>
            <w:r w:rsidRPr="004A4C61">
              <w:rPr>
                <w:rFonts w:eastAsia="Times New Roman" w:cs="Arial"/>
                <w:b/>
                <w:bCs/>
                <w:sz w:val="20"/>
                <w:szCs w:val="20"/>
                <w:lang w:eastAsia="en-GB"/>
              </w:rPr>
              <w:t> </w:t>
            </w:r>
          </w:p>
        </w:tc>
        <w:tc>
          <w:tcPr>
            <w:tcW w:w="1180" w:type="dxa"/>
            <w:tcBorders>
              <w:top w:val="single" w:sz="4" w:space="0" w:color="auto"/>
              <w:left w:val="nil"/>
              <w:bottom w:val="single" w:sz="4" w:space="0" w:color="auto"/>
              <w:right w:val="nil"/>
            </w:tcBorders>
            <w:shd w:val="clear" w:color="000000" w:fill="FFFFFF"/>
            <w:noWrap/>
            <w:vAlign w:val="bottom"/>
            <w:hideMark/>
          </w:tcPr>
          <w:p w14:paraId="1B5AA653" w14:textId="77777777" w:rsidR="004A4C61" w:rsidRPr="004A4C61" w:rsidRDefault="004A4C61" w:rsidP="004A4C61">
            <w:pPr>
              <w:spacing w:before="0" w:after="0"/>
              <w:jc w:val="right"/>
              <w:rPr>
                <w:rFonts w:eastAsia="Times New Roman" w:cs="Arial"/>
                <w:b/>
                <w:bCs/>
                <w:sz w:val="20"/>
                <w:szCs w:val="20"/>
                <w:lang w:eastAsia="en-GB"/>
              </w:rPr>
            </w:pPr>
            <w:r w:rsidRPr="004A4C61">
              <w:rPr>
                <w:rFonts w:eastAsia="Times New Roman" w:cs="Arial"/>
                <w:b/>
                <w:bCs/>
                <w:sz w:val="20"/>
                <w:szCs w:val="20"/>
                <w:lang w:eastAsia="en-GB"/>
              </w:rPr>
              <w:t>1,855,919</w:t>
            </w:r>
          </w:p>
        </w:tc>
      </w:tr>
    </w:tbl>
    <w:p w14:paraId="700B1B6C" w14:textId="77777777" w:rsidR="00464E76" w:rsidRDefault="00464E76">
      <w:pPr>
        <w:spacing w:before="0" w:after="200" w:line="276" w:lineRule="auto"/>
      </w:pPr>
      <w:r>
        <w:br w:type="page"/>
      </w:r>
    </w:p>
    <w:tbl>
      <w:tblPr>
        <w:tblW w:w="10876" w:type="dxa"/>
        <w:tblInd w:w="-709" w:type="dxa"/>
        <w:tblLook w:val="04A0" w:firstRow="1" w:lastRow="0" w:firstColumn="1" w:lastColumn="0" w:noHBand="0" w:noVBand="1"/>
      </w:tblPr>
      <w:tblGrid>
        <w:gridCol w:w="4537"/>
        <w:gridCol w:w="284"/>
        <w:gridCol w:w="1323"/>
        <w:gridCol w:w="272"/>
        <w:gridCol w:w="1429"/>
        <w:gridCol w:w="272"/>
        <w:gridCol w:w="1287"/>
        <w:gridCol w:w="272"/>
        <w:gridCol w:w="1200"/>
      </w:tblGrid>
      <w:tr w:rsidR="00887260" w:rsidRPr="00887260" w14:paraId="16DBCC58" w14:textId="77777777" w:rsidTr="00BF03D6">
        <w:trPr>
          <w:trHeight w:val="260"/>
        </w:trPr>
        <w:tc>
          <w:tcPr>
            <w:tcW w:w="10876" w:type="dxa"/>
            <w:gridSpan w:val="9"/>
            <w:tcBorders>
              <w:top w:val="nil"/>
              <w:left w:val="nil"/>
              <w:bottom w:val="nil"/>
            </w:tcBorders>
            <w:shd w:val="clear" w:color="auto" w:fill="auto"/>
            <w:noWrap/>
            <w:vAlign w:val="bottom"/>
            <w:hideMark/>
          </w:tcPr>
          <w:p w14:paraId="6CC684A6" w14:textId="7A44BA8D" w:rsidR="00887260" w:rsidRPr="00887260" w:rsidRDefault="00887260" w:rsidP="009158F2">
            <w:pPr>
              <w:spacing w:before="0" w:after="0"/>
              <w:contextualSpacing/>
              <w:rPr>
                <w:rFonts w:ascii="Times New Roman" w:eastAsia="Times New Roman" w:hAnsi="Times New Roman" w:cs="Times New Roman"/>
                <w:sz w:val="20"/>
                <w:szCs w:val="20"/>
                <w:lang w:eastAsia="en-GB"/>
              </w:rPr>
            </w:pPr>
            <w:r w:rsidRPr="00887260">
              <w:rPr>
                <w:rFonts w:eastAsia="Times New Roman" w:cs="Arial"/>
                <w:i/>
                <w:iCs/>
                <w:sz w:val="20"/>
                <w:szCs w:val="20"/>
                <w:lang w:eastAsia="en-GB"/>
              </w:rPr>
              <w:lastRenderedPageBreak/>
              <w:t>NHS Mid and South Essex Integrated Care Board - Statutory Accounts 2023-24</w:t>
            </w:r>
          </w:p>
        </w:tc>
      </w:tr>
      <w:tr w:rsidR="00887260" w:rsidRPr="00887260" w14:paraId="203064CF" w14:textId="77777777" w:rsidTr="003764CB">
        <w:trPr>
          <w:trHeight w:val="250"/>
        </w:trPr>
        <w:tc>
          <w:tcPr>
            <w:tcW w:w="4537" w:type="dxa"/>
            <w:tcBorders>
              <w:top w:val="nil"/>
              <w:left w:val="nil"/>
              <w:bottom w:val="nil"/>
              <w:right w:val="nil"/>
            </w:tcBorders>
            <w:shd w:val="clear" w:color="000000" w:fill="FFFFFF"/>
            <w:noWrap/>
            <w:vAlign w:val="bottom"/>
            <w:hideMark/>
          </w:tcPr>
          <w:p w14:paraId="093AFF26"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84" w:type="dxa"/>
            <w:tcBorders>
              <w:top w:val="nil"/>
              <w:left w:val="nil"/>
              <w:bottom w:val="nil"/>
              <w:right w:val="nil"/>
            </w:tcBorders>
            <w:shd w:val="clear" w:color="000000" w:fill="FFFFFF"/>
            <w:noWrap/>
            <w:vAlign w:val="bottom"/>
            <w:hideMark/>
          </w:tcPr>
          <w:p w14:paraId="375B0A9B"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323" w:type="dxa"/>
            <w:tcBorders>
              <w:top w:val="nil"/>
              <w:left w:val="nil"/>
              <w:bottom w:val="nil"/>
              <w:right w:val="nil"/>
            </w:tcBorders>
            <w:shd w:val="clear" w:color="auto" w:fill="auto"/>
            <w:noWrap/>
            <w:vAlign w:val="bottom"/>
            <w:hideMark/>
          </w:tcPr>
          <w:p w14:paraId="3AB29FD2" w14:textId="77777777" w:rsidR="00887260" w:rsidRPr="00887260" w:rsidRDefault="00887260" w:rsidP="009158F2">
            <w:pPr>
              <w:spacing w:before="0" w:after="0"/>
              <w:contextualSpacing/>
              <w:rPr>
                <w:rFonts w:eastAsia="Times New Roman" w:cs="Arial"/>
                <w:sz w:val="20"/>
                <w:szCs w:val="20"/>
                <w:lang w:eastAsia="en-GB"/>
              </w:rPr>
            </w:pPr>
          </w:p>
        </w:tc>
        <w:tc>
          <w:tcPr>
            <w:tcW w:w="272" w:type="dxa"/>
            <w:tcBorders>
              <w:top w:val="nil"/>
              <w:left w:val="nil"/>
              <w:bottom w:val="nil"/>
              <w:right w:val="nil"/>
            </w:tcBorders>
            <w:shd w:val="clear" w:color="auto" w:fill="auto"/>
            <w:noWrap/>
            <w:vAlign w:val="bottom"/>
            <w:hideMark/>
          </w:tcPr>
          <w:p w14:paraId="71AA0803"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429" w:type="dxa"/>
            <w:tcBorders>
              <w:top w:val="nil"/>
              <w:left w:val="nil"/>
              <w:bottom w:val="nil"/>
              <w:right w:val="nil"/>
            </w:tcBorders>
            <w:shd w:val="clear" w:color="auto" w:fill="auto"/>
            <w:noWrap/>
            <w:vAlign w:val="bottom"/>
            <w:hideMark/>
          </w:tcPr>
          <w:p w14:paraId="23025B4B"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2C751DFF"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287" w:type="dxa"/>
            <w:tcBorders>
              <w:top w:val="nil"/>
              <w:left w:val="nil"/>
              <w:bottom w:val="nil"/>
              <w:right w:val="nil"/>
            </w:tcBorders>
            <w:shd w:val="clear" w:color="auto" w:fill="auto"/>
            <w:noWrap/>
            <w:vAlign w:val="bottom"/>
            <w:hideMark/>
          </w:tcPr>
          <w:p w14:paraId="240C79A2"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0DA305F6"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200" w:type="dxa"/>
            <w:tcBorders>
              <w:top w:val="nil"/>
              <w:left w:val="nil"/>
              <w:bottom w:val="nil"/>
              <w:right w:val="nil"/>
            </w:tcBorders>
            <w:shd w:val="clear" w:color="auto" w:fill="auto"/>
            <w:noWrap/>
            <w:vAlign w:val="bottom"/>
            <w:hideMark/>
          </w:tcPr>
          <w:p w14:paraId="42285422"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r>
      <w:tr w:rsidR="003764CB" w:rsidRPr="00887260" w14:paraId="09534B70" w14:textId="77777777" w:rsidTr="003764CB">
        <w:trPr>
          <w:trHeight w:val="260"/>
        </w:trPr>
        <w:tc>
          <w:tcPr>
            <w:tcW w:w="4537" w:type="dxa"/>
            <w:tcBorders>
              <w:top w:val="nil"/>
              <w:left w:val="nil"/>
              <w:bottom w:val="nil"/>
              <w:right w:val="nil"/>
            </w:tcBorders>
            <w:shd w:val="clear" w:color="auto" w:fill="auto"/>
            <w:noWrap/>
            <w:vAlign w:val="bottom"/>
            <w:hideMark/>
          </w:tcPr>
          <w:p w14:paraId="7B982579"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6 Payment Compliance Reporting</w:t>
            </w:r>
          </w:p>
        </w:tc>
        <w:tc>
          <w:tcPr>
            <w:tcW w:w="284" w:type="dxa"/>
            <w:tcBorders>
              <w:top w:val="nil"/>
              <w:left w:val="nil"/>
              <w:bottom w:val="nil"/>
              <w:right w:val="nil"/>
            </w:tcBorders>
            <w:shd w:val="clear" w:color="auto" w:fill="auto"/>
            <w:noWrap/>
            <w:vAlign w:val="bottom"/>
            <w:hideMark/>
          </w:tcPr>
          <w:p w14:paraId="16E28FB7" w14:textId="77777777" w:rsidR="00887260" w:rsidRPr="00887260" w:rsidRDefault="00887260" w:rsidP="009158F2">
            <w:pPr>
              <w:spacing w:before="0" w:after="0"/>
              <w:contextualSpacing/>
              <w:rPr>
                <w:rFonts w:eastAsia="Times New Roman" w:cs="Arial"/>
                <w:b/>
                <w:bCs/>
                <w:sz w:val="20"/>
                <w:szCs w:val="20"/>
                <w:lang w:eastAsia="en-GB"/>
              </w:rPr>
            </w:pPr>
          </w:p>
        </w:tc>
        <w:tc>
          <w:tcPr>
            <w:tcW w:w="1323" w:type="dxa"/>
            <w:tcBorders>
              <w:top w:val="nil"/>
              <w:left w:val="nil"/>
              <w:bottom w:val="nil"/>
              <w:right w:val="nil"/>
            </w:tcBorders>
            <w:shd w:val="clear" w:color="auto" w:fill="auto"/>
            <w:noWrap/>
            <w:vAlign w:val="bottom"/>
            <w:hideMark/>
          </w:tcPr>
          <w:p w14:paraId="0CB02398"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5C5235F7"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429" w:type="dxa"/>
            <w:tcBorders>
              <w:top w:val="nil"/>
              <w:left w:val="nil"/>
              <w:bottom w:val="nil"/>
              <w:right w:val="nil"/>
            </w:tcBorders>
            <w:shd w:val="clear" w:color="auto" w:fill="auto"/>
            <w:noWrap/>
            <w:vAlign w:val="bottom"/>
            <w:hideMark/>
          </w:tcPr>
          <w:p w14:paraId="58ED23F7"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1C898F67"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287" w:type="dxa"/>
            <w:tcBorders>
              <w:top w:val="nil"/>
              <w:left w:val="nil"/>
              <w:bottom w:val="nil"/>
              <w:right w:val="nil"/>
            </w:tcBorders>
            <w:shd w:val="clear" w:color="auto" w:fill="auto"/>
            <w:noWrap/>
            <w:vAlign w:val="bottom"/>
            <w:hideMark/>
          </w:tcPr>
          <w:p w14:paraId="644F1FA2"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4A7D730D"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200" w:type="dxa"/>
            <w:tcBorders>
              <w:top w:val="nil"/>
              <w:left w:val="nil"/>
              <w:bottom w:val="nil"/>
              <w:right w:val="nil"/>
            </w:tcBorders>
            <w:shd w:val="clear" w:color="auto" w:fill="auto"/>
            <w:noWrap/>
            <w:vAlign w:val="bottom"/>
            <w:hideMark/>
          </w:tcPr>
          <w:p w14:paraId="49B39476"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r>
      <w:tr w:rsidR="00887260" w:rsidRPr="00887260" w14:paraId="15ACA6F9" w14:textId="77777777" w:rsidTr="003764CB">
        <w:trPr>
          <w:trHeight w:val="250"/>
        </w:trPr>
        <w:tc>
          <w:tcPr>
            <w:tcW w:w="4537" w:type="dxa"/>
            <w:tcBorders>
              <w:top w:val="nil"/>
              <w:left w:val="nil"/>
              <w:bottom w:val="nil"/>
              <w:right w:val="nil"/>
            </w:tcBorders>
            <w:shd w:val="clear" w:color="000000" w:fill="FFFFFF"/>
            <w:noWrap/>
            <w:vAlign w:val="bottom"/>
            <w:hideMark/>
          </w:tcPr>
          <w:p w14:paraId="5B81AF9F"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84" w:type="dxa"/>
            <w:tcBorders>
              <w:top w:val="nil"/>
              <w:left w:val="nil"/>
              <w:bottom w:val="nil"/>
              <w:right w:val="nil"/>
            </w:tcBorders>
            <w:shd w:val="clear" w:color="000000" w:fill="FFFFFF"/>
            <w:noWrap/>
            <w:vAlign w:val="bottom"/>
            <w:hideMark/>
          </w:tcPr>
          <w:p w14:paraId="193B5FD9"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323" w:type="dxa"/>
            <w:tcBorders>
              <w:top w:val="nil"/>
              <w:left w:val="nil"/>
              <w:bottom w:val="nil"/>
              <w:right w:val="nil"/>
            </w:tcBorders>
            <w:shd w:val="clear" w:color="auto" w:fill="auto"/>
            <w:noWrap/>
            <w:vAlign w:val="bottom"/>
            <w:hideMark/>
          </w:tcPr>
          <w:p w14:paraId="15D8CFB1" w14:textId="77777777" w:rsidR="00887260" w:rsidRPr="00887260" w:rsidRDefault="00887260" w:rsidP="009158F2">
            <w:pPr>
              <w:spacing w:before="0" w:after="0"/>
              <w:contextualSpacing/>
              <w:rPr>
                <w:rFonts w:eastAsia="Times New Roman" w:cs="Arial"/>
                <w:sz w:val="20"/>
                <w:szCs w:val="20"/>
                <w:lang w:eastAsia="en-GB"/>
              </w:rPr>
            </w:pPr>
          </w:p>
        </w:tc>
        <w:tc>
          <w:tcPr>
            <w:tcW w:w="272" w:type="dxa"/>
            <w:tcBorders>
              <w:top w:val="nil"/>
              <w:left w:val="nil"/>
              <w:bottom w:val="nil"/>
              <w:right w:val="nil"/>
            </w:tcBorders>
            <w:shd w:val="clear" w:color="auto" w:fill="auto"/>
            <w:noWrap/>
            <w:vAlign w:val="bottom"/>
            <w:hideMark/>
          </w:tcPr>
          <w:p w14:paraId="39A47432"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429" w:type="dxa"/>
            <w:tcBorders>
              <w:top w:val="nil"/>
              <w:left w:val="nil"/>
              <w:bottom w:val="nil"/>
              <w:right w:val="nil"/>
            </w:tcBorders>
            <w:shd w:val="clear" w:color="auto" w:fill="auto"/>
            <w:noWrap/>
            <w:vAlign w:val="bottom"/>
            <w:hideMark/>
          </w:tcPr>
          <w:p w14:paraId="750A7329"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2CF0D34C"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287" w:type="dxa"/>
            <w:tcBorders>
              <w:top w:val="nil"/>
              <w:left w:val="nil"/>
              <w:bottom w:val="nil"/>
              <w:right w:val="nil"/>
            </w:tcBorders>
            <w:shd w:val="clear" w:color="auto" w:fill="auto"/>
            <w:noWrap/>
            <w:vAlign w:val="bottom"/>
            <w:hideMark/>
          </w:tcPr>
          <w:p w14:paraId="2DE6D790"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0BE877B2"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200" w:type="dxa"/>
            <w:tcBorders>
              <w:top w:val="nil"/>
              <w:left w:val="nil"/>
              <w:bottom w:val="nil"/>
              <w:right w:val="nil"/>
            </w:tcBorders>
            <w:shd w:val="clear" w:color="auto" w:fill="auto"/>
            <w:noWrap/>
            <w:vAlign w:val="bottom"/>
            <w:hideMark/>
          </w:tcPr>
          <w:p w14:paraId="7044ACF8"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r>
      <w:tr w:rsidR="003764CB" w:rsidRPr="00887260" w14:paraId="143BC511" w14:textId="77777777" w:rsidTr="003764CB">
        <w:trPr>
          <w:trHeight w:val="260"/>
        </w:trPr>
        <w:tc>
          <w:tcPr>
            <w:tcW w:w="4537" w:type="dxa"/>
            <w:tcBorders>
              <w:top w:val="nil"/>
              <w:left w:val="nil"/>
              <w:bottom w:val="nil"/>
              <w:right w:val="nil"/>
            </w:tcBorders>
            <w:shd w:val="clear" w:color="auto" w:fill="auto"/>
            <w:noWrap/>
            <w:vAlign w:val="bottom"/>
            <w:hideMark/>
          </w:tcPr>
          <w:p w14:paraId="1B8E621F"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6.1 Better Payment Practice Code</w:t>
            </w:r>
          </w:p>
        </w:tc>
        <w:tc>
          <w:tcPr>
            <w:tcW w:w="284" w:type="dxa"/>
            <w:tcBorders>
              <w:top w:val="nil"/>
              <w:left w:val="nil"/>
              <w:bottom w:val="nil"/>
              <w:right w:val="nil"/>
            </w:tcBorders>
            <w:shd w:val="clear" w:color="auto" w:fill="auto"/>
            <w:noWrap/>
            <w:vAlign w:val="bottom"/>
            <w:hideMark/>
          </w:tcPr>
          <w:p w14:paraId="4056F390" w14:textId="77777777" w:rsidR="00887260" w:rsidRPr="00887260" w:rsidRDefault="00887260" w:rsidP="009158F2">
            <w:pPr>
              <w:spacing w:before="0" w:after="0"/>
              <w:contextualSpacing/>
              <w:rPr>
                <w:rFonts w:eastAsia="Times New Roman" w:cs="Arial"/>
                <w:b/>
                <w:bCs/>
                <w:sz w:val="20"/>
                <w:szCs w:val="20"/>
                <w:lang w:eastAsia="en-GB"/>
              </w:rPr>
            </w:pPr>
          </w:p>
        </w:tc>
        <w:tc>
          <w:tcPr>
            <w:tcW w:w="1323" w:type="dxa"/>
            <w:tcBorders>
              <w:top w:val="nil"/>
              <w:left w:val="nil"/>
              <w:bottom w:val="nil"/>
              <w:right w:val="nil"/>
            </w:tcBorders>
            <w:shd w:val="clear" w:color="auto" w:fill="auto"/>
            <w:noWrap/>
            <w:vAlign w:val="bottom"/>
            <w:hideMark/>
          </w:tcPr>
          <w:p w14:paraId="62CAACE8"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14583912"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429" w:type="dxa"/>
            <w:tcBorders>
              <w:top w:val="nil"/>
              <w:left w:val="nil"/>
              <w:bottom w:val="nil"/>
              <w:right w:val="nil"/>
            </w:tcBorders>
            <w:shd w:val="clear" w:color="auto" w:fill="auto"/>
            <w:noWrap/>
            <w:vAlign w:val="bottom"/>
            <w:hideMark/>
          </w:tcPr>
          <w:p w14:paraId="17921386"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5A03C70E"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287" w:type="dxa"/>
            <w:tcBorders>
              <w:top w:val="nil"/>
              <w:left w:val="nil"/>
              <w:bottom w:val="nil"/>
              <w:right w:val="nil"/>
            </w:tcBorders>
            <w:shd w:val="clear" w:color="auto" w:fill="auto"/>
            <w:noWrap/>
            <w:vAlign w:val="bottom"/>
            <w:hideMark/>
          </w:tcPr>
          <w:p w14:paraId="5DF859F2"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1B9F8E67"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200" w:type="dxa"/>
            <w:tcBorders>
              <w:top w:val="nil"/>
              <w:left w:val="nil"/>
              <w:bottom w:val="nil"/>
              <w:right w:val="nil"/>
            </w:tcBorders>
            <w:shd w:val="clear" w:color="auto" w:fill="auto"/>
            <w:noWrap/>
            <w:vAlign w:val="bottom"/>
            <w:hideMark/>
          </w:tcPr>
          <w:p w14:paraId="5326D810"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r>
      <w:tr w:rsidR="003764CB" w:rsidRPr="00887260" w14:paraId="2D8A1F2D" w14:textId="77777777" w:rsidTr="003764CB">
        <w:trPr>
          <w:trHeight w:val="120"/>
        </w:trPr>
        <w:tc>
          <w:tcPr>
            <w:tcW w:w="4537" w:type="dxa"/>
            <w:tcBorders>
              <w:top w:val="nil"/>
              <w:left w:val="nil"/>
              <w:bottom w:val="nil"/>
              <w:right w:val="nil"/>
            </w:tcBorders>
            <w:shd w:val="clear" w:color="auto" w:fill="auto"/>
            <w:noWrap/>
            <w:vAlign w:val="bottom"/>
            <w:hideMark/>
          </w:tcPr>
          <w:p w14:paraId="5403DC31"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84" w:type="dxa"/>
            <w:tcBorders>
              <w:top w:val="nil"/>
              <w:left w:val="nil"/>
              <w:bottom w:val="nil"/>
              <w:right w:val="nil"/>
            </w:tcBorders>
            <w:shd w:val="clear" w:color="auto" w:fill="auto"/>
            <w:noWrap/>
            <w:vAlign w:val="bottom"/>
            <w:hideMark/>
          </w:tcPr>
          <w:p w14:paraId="3323146D"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323" w:type="dxa"/>
            <w:tcBorders>
              <w:top w:val="nil"/>
              <w:left w:val="nil"/>
              <w:bottom w:val="nil"/>
              <w:right w:val="nil"/>
            </w:tcBorders>
            <w:shd w:val="clear" w:color="auto" w:fill="auto"/>
            <w:noWrap/>
            <w:vAlign w:val="bottom"/>
            <w:hideMark/>
          </w:tcPr>
          <w:p w14:paraId="63D35E28"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3ED00617"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429" w:type="dxa"/>
            <w:tcBorders>
              <w:top w:val="nil"/>
              <w:left w:val="nil"/>
              <w:bottom w:val="nil"/>
              <w:right w:val="nil"/>
            </w:tcBorders>
            <w:shd w:val="clear" w:color="auto" w:fill="auto"/>
            <w:noWrap/>
            <w:vAlign w:val="bottom"/>
            <w:hideMark/>
          </w:tcPr>
          <w:p w14:paraId="4D8666DD"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38250334"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287" w:type="dxa"/>
            <w:tcBorders>
              <w:top w:val="nil"/>
              <w:left w:val="nil"/>
              <w:bottom w:val="nil"/>
              <w:right w:val="nil"/>
            </w:tcBorders>
            <w:shd w:val="clear" w:color="auto" w:fill="auto"/>
            <w:noWrap/>
            <w:vAlign w:val="bottom"/>
            <w:hideMark/>
          </w:tcPr>
          <w:p w14:paraId="7EF8B056"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2591DA44"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200" w:type="dxa"/>
            <w:tcBorders>
              <w:top w:val="nil"/>
              <w:left w:val="nil"/>
              <w:bottom w:val="nil"/>
              <w:right w:val="nil"/>
            </w:tcBorders>
            <w:shd w:val="clear" w:color="auto" w:fill="auto"/>
            <w:noWrap/>
            <w:vAlign w:val="bottom"/>
            <w:hideMark/>
          </w:tcPr>
          <w:p w14:paraId="676F2277"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r>
      <w:tr w:rsidR="00887260" w:rsidRPr="00887260" w14:paraId="7DB8AA1A" w14:textId="77777777" w:rsidTr="003764CB">
        <w:trPr>
          <w:trHeight w:val="520"/>
        </w:trPr>
        <w:tc>
          <w:tcPr>
            <w:tcW w:w="4537" w:type="dxa"/>
            <w:tcBorders>
              <w:top w:val="nil"/>
              <w:left w:val="nil"/>
              <w:bottom w:val="nil"/>
              <w:right w:val="nil"/>
            </w:tcBorders>
            <w:shd w:val="clear" w:color="auto" w:fill="auto"/>
            <w:noWrap/>
            <w:vAlign w:val="bottom"/>
            <w:hideMark/>
          </w:tcPr>
          <w:p w14:paraId="26DAC310"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Measure of compliance</w:t>
            </w:r>
          </w:p>
        </w:tc>
        <w:tc>
          <w:tcPr>
            <w:tcW w:w="284" w:type="dxa"/>
            <w:tcBorders>
              <w:top w:val="nil"/>
              <w:left w:val="nil"/>
              <w:bottom w:val="nil"/>
              <w:right w:val="nil"/>
            </w:tcBorders>
            <w:shd w:val="clear" w:color="auto" w:fill="auto"/>
            <w:noWrap/>
            <w:vAlign w:val="bottom"/>
            <w:hideMark/>
          </w:tcPr>
          <w:p w14:paraId="3179FBC1" w14:textId="77777777" w:rsidR="00887260" w:rsidRPr="00887260" w:rsidRDefault="00887260" w:rsidP="009158F2">
            <w:pPr>
              <w:spacing w:before="0" w:after="0"/>
              <w:contextualSpacing/>
              <w:rPr>
                <w:rFonts w:eastAsia="Times New Roman" w:cs="Arial"/>
                <w:b/>
                <w:bCs/>
                <w:sz w:val="20"/>
                <w:szCs w:val="20"/>
                <w:lang w:eastAsia="en-GB"/>
              </w:rPr>
            </w:pPr>
          </w:p>
        </w:tc>
        <w:tc>
          <w:tcPr>
            <w:tcW w:w="1323" w:type="dxa"/>
            <w:tcBorders>
              <w:top w:val="nil"/>
              <w:left w:val="nil"/>
              <w:bottom w:val="nil"/>
              <w:right w:val="nil"/>
            </w:tcBorders>
            <w:shd w:val="clear" w:color="auto" w:fill="auto"/>
            <w:vAlign w:val="bottom"/>
            <w:hideMark/>
          </w:tcPr>
          <w:p w14:paraId="2FBBE4C5"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1-Apr-23 to 31-Mar-24</w:t>
            </w:r>
          </w:p>
        </w:tc>
        <w:tc>
          <w:tcPr>
            <w:tcW w:w="272" w:type="dxa"/>
            <w:tcBorders>
              <w:top w:val="nil"/>
              <w:left w:val="nil"/>
              <w:bottom w:val="nil"/>
              <w:right w:val="nil"/>
            </w:tcBorders>
            <w:shd w:val="clear" w:color="auto" w:fill="auto"/>
            <w:vAlign w:val="bottom"/>
            <w:hideMark/>
          </w:tcPr>
          <w:p w14:paraId="5644223F" w14:textId="77777777" w:rsidR="00887260" w:rsidRPr="00887260" w:rsidRDefault="00887260" w:rsidP="009158F2">
            <w:pPr>
              <w:spacing w:before="0" w:after="0"/>
              <w:contextualSpacing/>
              <w:jc w:val="right"/>
              <w:rPr>
                <w:rFonts w:eastAsia="Times New Roman" w:cs="Arial"/>
                <w:b/>
                <w:bCs/>
                <w:sz w:val="20"/>
                <w:szCs w:val="20"/>
                <w:lang w:eastAsia="en-GB"/>
              </w:rPr>
            </w:pPr>
          </w:p>
        </w:tc>
        <w:tc>
          <w:tcPr>
            <w:tcW w:w="1429" w:type="dxa"/>
            <w:tcBorders>
              <w:top w:val="nil"/>
              <w:left w:val="nil"/>
              <w:bottom w:val="nil"/>
              <w:right w:val="nil"/>
            </w:tcBorders>
            <w:shd w:val="clear" w:color="auto" w:fill="auto"/>
            <w:vAlign w:val="bottom"/>
            <w:hideMark/>
          </w:tcPr>
          <w:p w14:paraId="0EE2AC12"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1-Apr-23 to 31-Mar-24</w:t>
            </w:r>
          </w:p>
        </w:tc>
        <w:tc>
          <w:tcPr>
            <w:tcW w:w="272" w:type="dxa"/>
            <w:tcBorders>
              <w:top w:val="nil"/>
              <w:left w:val="nil"/>
              <w:bottom w:val="nil"/>
              <w:right w:val="nil"/>
            </w:tcBorders>
            <w:shd w:val="clear" w:color="auto" w:fill="auto"/>
            <w:vAlign w:val="bottom"/>
            <w:hideMark/>
          </w:tcPr>
          <w:p w14:paraId="28EFF892" w14:textId="77777777" w:rsidR="00887260" w:rsidRPr="00887260" w:rsidRDefault="00887260" w:rsidP="009158F2">
            <w:pPr>
              <w:spacing w:before="0" w:after="0"/>
              <w:contextualSpacing/>
              <w:jc w:val="right"/>
              <w:rPr>
                <w:rFonts w:eastAsia="Times New Roman" w:cs="Arial"/>
                <w:b/>
                <w:bCs/>
                <w:sz w:val="20"/>
                <w:szCs w:val="20"/>
                <w:lang w:eastAsia="en-GB"/>
              </w:rPr>
            </w:pPr>
          </w:p>
        </w:tc>
        <w:tc>
          <w:tcPr>
            <w:tcW w:w="1287" w:type="dxa"/>
            <w:tcBorders>
              <w:top w:val="nil"/>
              <w:left w:val="nil"/>
              <w:bottom w:val="nil"/>
              <w:right w:val="nil"/>
            </w:tcBorders>
            <w:shd w:val="clear" w:color="auto" w:fill="auto"/>
            <w:vAlign w:val="bottom"/>
            <w:hideMark/>
          </w:tcPr>
          <w:p w14:paraId="191FBE33"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1-Jul-22 to 31-Mar-23</w:t>
            </w:r>
          </w:p>
        </w:tc>
        <w:tc>
          <w:tcPr>
            <w:tcW w:w="272" w:type="dxa"/>
            <w:tcBorders>
              <w:top w:val="nil"/>
              <w:left w:val="nil"/>
              <w:bottom w:val="nil"/>
              <w:right w:val="nil"/>
            </w:tcBorders>
            <w:shd w:val="clear" w:color="auto" w:fill="auto"/>
            <w:vAlign w:val="bottom"/>
            <w:hideMark/>
          </w:tcPr>
          <w:p w14:paraId="71D0771A" w14:textId="77777777" w:rsidR="00887260" w:rsidRPr="00887260" w:rsidRDefault="00887260" w:rsidP="009158F2">
            <w:pPr>
              <w:spacing w:before="0" w:after="0"/>
              <w:contextualSpacing/>
              <w:jc w:val="right"/>
              <w:rPr>
                <w:rFonts w:eastAsia="Times New Roman" w:cs="Arial"/>
                <w:sz w:val="20"/>
                <w:szCs w:val="20"/>
                <w:lang w:eastAsia="en-GB"/>
              </w:rPr>
            </w:pPr>
          </w:p>
        </w:tc>
        <w:tc>
          <w:tcPr>
            <w:tcW w:w="1200" w:type="dxa"/>
            <w:tcBorders>
              <w:top w:val="nil"/>
              <w:left w:val="nil"/>
              <w:bottom w:val="nil"/>
              <w:right w:val="nil"/>
            </w:tcBorders>
            <w:shd w:val="clear" w:color="auto" w:fill="auto"/>
            <w:vAlign w:val="bottom"/>
            <w:hideMark/>
          </w:tcPr>
          <w:p w14:paraId="657612B6"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1-Jul-22 to 31-Mar-23</w:t>
            </w:r>
          </w:p>
        </w:tc>
      </w:tr>
      <w:tr w:rsidR="003764CB" w:rsidRPr="00887260" w14:paraId="6E22F4FD" w14:textId="77777777" w:rsidTr="003764CB">
        <w:trPr>
          <w:trHeight w:val="260"/>
        </w:trPr>
        <w:tc>
          <w:tcPr>
            <w:tcW w:w="4537" w:type="dxa"/>
            <w:tcBorders>
              <w:top w:val="nil"/>
              <w:left w:val="nil"/>
              <w:bottom w:val="nil"/>
              <w:right w:val="nil"/>
            </w:tcBorders>
            <w:shd w:val="clear" w:color="auto" w:fill="auto"/>
            <w:noWrap/>
            <w:vAlign w:val="bottom"/>
            <w:hideMark/>
          </w:tcPr>
          <w:p w14:paraId="3062AD6B" w14:textId="77777777" w:rsidR="00887260" w:rsidRPr="00887260" w:rsidRDefault="00887260" w:rsidP="009158F2">
            <w:pPr>
              <w:spacing w:before="0" w:after="0"/>
              <w:contextualSpacing/>
              <w:jc w:val="right"/>
              <w:rPr>
                <w:rFonts w:eastAsia="Times New Roman" w:cs="Arial"/>
                <w:sz w:val="20"/>
                <w:szCs w:val="20"/>
                <w:lang w:eastAsia="en-GB"/>
              </w:rPr>
            </w:pPr>
          </w:p>
        </w:tc>
        <w:tc>
          <w:tcPr>
            <w:tcW w:w="284" w:type="dxa"/>
            <w:tcBorders>
              <w:top w:val="nil"/>
              <w:left w:val="nil"/>
              <w:bottom w:val="nil"/>
              <w:right w:val="nil"/>
            </w:tcBorders>
            <w:shd w:val="clear" w:color="auto" w:fill="auto"/>
            <w:noWrap/>
            <w:vAlign w:val="bottom"/>
            <w:hideMark/>
          </w:tcPr>
          <w:p w14:paraId="54A3B304"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323" w:type="dxa"/>
            <w:tcBorders>
              <w:top w:val="nil"/>
              <w:left w:val="nil"/>
              <w:bottom w:val="nil"/>
              <w:right w:val="nil"/>
            </w:tcBorders>
            <w:shd w:val="clear" w:color="auto" w:fill="auto"/>
            <w:noWrap/>
            <w:vAlign w:val="bottom"/>
            <w:hideMark/>
          </w:tcPr>
          <w:p w14:paraId="271795CB"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Number</w:t>
            </w:r>
          </w:p>
        </w:tc>
        <w:tc>
          <w:tcPr>
            <w:tcW w:w="272" w:type="dxa"/>
            <w:tcBorders>
              <w:top w:val="nil"/>
              <w:left w:val="nil"/>
              <w:bottom w:val="nil"/>
              <w:right w:val="nil"/>
            </w:tcBorders>
            <w:shd w:val="clear" w:color="auto" w:fill="auto"/>
            <w:noWrap/>
            <w:vAlign w:val="bottom"/>
            <w:hideMark/>
          </w:tcPr>
          <w:p w14:paraId="4EDA5174" w14:textId="77777777" w:rsidR="00887260" w:rsidRPr="00887260" w:rsidRDefault="00887260" w:rsidP="009158F2">
            <w:pPr>
              <w:spacing w:before="0" w:after="0"/>
              <w:contextualSpacing/>
              <w:jc w:val="right"/>
              <w:rPr>
                <w:rFonts w:eastAsia="Times New Roman" w:cs="Arial"/>
                <w:b/>
                <w:bCs/>
                <w:sz w:val="20"/>
                <w:szCs w:val="20"/>
                <w:lang w:eastAsia="en-GB"/>
              </w:rPr>
            </w:pPr>
          </w:p>
        </w:tc>
        <w:tc>
          <w:tcPr>
            <w:tcW w:w="1429" w:type="dxa"/>
            <w:tcBorders>
              <w:top w:val="nil"/>
              <w:left w:val="nil"/>
              <w:bottom w:val="nil"/>
              <w:right w:val="nil"/>
            </w:tcBorders>
            <w:shd w:val="clear" w:color="auto" w:fill="auto"/>
            <w:noWrap/>
            <w:vAlign w:val="bottom"/>
            <w:hideMark/>
          </w:tcPr>
          <w:p w14:paraId="2873BEA3"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£'000</w:t>
            </w:r>
          </w:p>
        </w:tc>
        <w:tc>
          <w:tcPr>
            <w:tcW w:w="272" w:type="dxa"/>
            <w:tcBorders>
              <w:top w:val="nil"/>
              <w:left w:val="nil"/>
              <w:bottom w:val="nil"/>
              <w:right w:val="nil"/>
            </w:tcBorders>
            <w:shd w:val="clear" w:color="auto" w:fill="auto"/>
            <w:noWrap/>
            <w:vAlign w:val="bottom"/>
            <w:hideMark/>
          </w:tcPr>
          <w:p w14:paraId="7B65317A" w14:textId="77777777" w:rsidR="00887260" w:rsidRPr="00887260" w:rsidRDefault="00887260" w:rsidP="009158F2">
            <w:pPr>
              <w:spacing w:before="0" w:after="0"/>
              <w:contextualSpacing/>
              <w:jc w:val="right"/>
              <w:rPr>
                <w:rFonts w:eastAsia="Times New Roman" w:cs="Arial"/>
                <w:b/>
                <w:bCs/>
                <w:sz w:val="20"/>
                <w:szCs w:val="20"/>
                <w:lang w:eastAsia="en-GB"/>
              </w:rPr>
            </w:pPr>
          </w:p>
        </w:tc>
        <w:tc>
          <w:tcPr>
            <w:tcW w:w="1287" w:type="dxa"/>
            <w:tcBorders>
              <w:top w:val="nil"/>
              <w:left w:val="nil"/>
              <w:bottom w:val="nil"/>
              <w:right w:val="nil"/>
            </w:tcBorders>
            <w:shd w:val="clear" w:color="auto" w:fill="auto"/>
            <w:noWrap/>
            <w:vAlign w:val="bottom"/>
            <w:hideMark/>
          </w:tcPr>
          <w:p w14:paraId="74281359"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Number</w:t>
            </w:r>
          </w:p>
        </w:tc>
        <w:tc>
          <w:tcPr>
            <w:tcW w:w="272" w:type="dxa"/>
            <w:tcBorders>
              <w:top w:val="nil"/>
              <w:left w:val="nil"/>
              <w:bottom w:val="nil"/>
              <w:right w:val="nil"/>
            </w:tcBorders>
            <w:shd w:val="clear" w:color="auto" w:fill="auto"/>
            <w:noWrap/>
            <w:vAlign w:val="bottom"/>
            <w:hideMark/>
          </w:tcPr>
          <w:p w14:paraId="407B2B41" w14:textId="77777777" w:rsidR="00887260" w:rsidRPr="00887260" w:rsidRDefault="00887260" w:rsidP="009158F2">
            <w:pPr>
              <w:spacing w:before="0" w:after="0"/>
              <w:contextualSpacing/>
              <w:jc w:val="right"/>
              <w:rPr>
                <w:rFonts w:eastAsia="Times New Roman" w:cs="Arial"/>
                <w:sz w:val="20"/>
                <w:szCs w:val="20"/>
                <w:lang w:eastAsia="en-GB"/>
              </w:rPr>
            </w:pPr>
          </w:p>
        </w:tc>
        <w:tc>
          <w:tcPr>
            <w:tcW w:w="1200" w:type="dxa"/>
            <w:tcBorders>
              <w:top w:val="nil"/>
              <w:left w:val="nil"/>
              <w:bottom w:val="nil"/>
              <w:right w:val="nil"/>
            </w:tcBorders>
            <w:shd w:val="clear" w:color="auto" w:fill="auto"/>
            <w:noWrap/>
            <w:vAlign w:val="bottom"/>
            <w:hideMark/>
          </w:tcPr>
          <w:p w14:paraId="50372212"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£'000</w:t>
            </w:r>
          </w:p>
        </w:tc>
      </w:tr>
      <w:tr w:rsidR="00887260" w:rsidRPr="00887260" w14:paraId="3EB38D9E" w14:textId="77777777" w:rsidTr="003764CB">
        <w:trPr>
          <w:trHeight w:val="260"/>
        </w:trPr>
        <w:tc>
          <w:tcPr>
            <w:tcW w:w="4537" w:type="dxa"/>
            <w:tcBorders>
              <w:top w:val="nil"/>
              <w:left w:val="nil"/>
              <w:bottom w:val="nil"/>
              <w:right w:val="nil"/>
            </w:tcBorders>
            <w:shd w:val="clear" w:color="000000" w:fill="FFFFFF"/>
            <w:noWrap/>
            <w:vAlign w:val="bottom"/>
            <w:hideMark/>
          </w:tcPr>
          <w:p w14:paraId="4E1D6FB1"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Non-NHS payables</w:t>
            </w:r>
          </w:p>
        </w:tc>
        <w:tc>
          <w:tcPr>
            <w:tcW w:w="284" w:type="dxa"/>
            <w:tcBorders>
              <w:top w:val="nil"/>
              <w:left w:val="nil"/>
              <w:bottom w:val="nil"/>
              <w:right w:val="nil"/>
            </w:tcBorders>
            <w:shd w:val="clear" w:color="000000" w:fill="FFFFFF"/>
            <w:noWrap/>
            <w:vAlign w:val="bottom"/>
            <w:hideMark/>
          </w:tcPr>
          <w:p w14:paraId="5A52B4C9"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1323" w:type="dxa"/>
            <w:tcBorders>
              <w:top w:val="nil"/>
              <w:left w:val="nil"/>
              <w:bottom w:val="nil"/>
              <w:right w:val="nil"/>
            </w:tcBorders>
            <w:shd w:val="clear" w:color="000000" w:fill="FFFFFF"/>
            <w:noWrap/>
            <w:vAlign w:val="bottom"/>
            <w:hideMark/>
          </w:tcPr>
          <w:p w14:paraId="31EE7AE8"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4EDE1BC"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429" w:type="dxa"/>
            <w:tcBorders>
              <w:top w:val="nil"/>
              <w:left w:val="nil"/>
              <w:bottom w:val="nil"/>
              <w:right w:val="nil"/>
            </w:tcBorders>
            <w:shd w:val="clear" w:color="000000" w:fill="FFFFFF"/>
            <w:noWrap/>
            <w:vAlign w:val="bottom"/>
            <w:hideMark/>
          </w:tcPr>
          <w:p w14:paraId="54F9BFC3"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C3E8D36"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56BBFD46"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4F04A2A"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1159D7AC"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r>
      <w:tr w:rsidR="00887260" w:rsidRPr="00887260" w14:paraId="588B4B6E" w14:textId="77777777" w:rsidTr="003764CB">
        <w:trPr>
          <w:trHeight w:val="270"/>
        </w:trPr>
        <w:tc>
          <w:tcPr>
            <w:tcW w:w="4537" w:type="dxa"/>
            <w:tcBorders>
              <w:top w:val="nil"/>
              <w:left w:val="nil"/>
              <w:bottom w:val="nil"/>
              <w:right w:val="nil"/>
            </w:tcBorders>
            <w:shd w:val="clear" w:color="000000" w:fill="FFFFFF"/>
            <w:noWrap/>
            <w:vAlign w:val="center"/>
            <w:hideMark/>
          </w:tcPr>
          <w:p w14:paraId="094CBFB7" w14:textId="77777777" w:rsidR="00887260" w:rsidRPr="00887260" w:rsidRDefault="00887260" w:rsidP="003764CB">
            <w:pPr>
              <w:spacing w:before="0" w:after="0"/>
              <w:contextualSpacing/>
              <w:rPr>
                <w:rFonts w:eastAsia="Times New Roman" w:cs="Arial"/>
                <w:sz w:val="20"/>
                <w:szCs w:val="20"/>
                <w:lang w:eastAsia="en-GB"/>
              </w:rPr>
            </w:pPr>
            <w:r w:rsidRPr="00887260">
              <w:rPr>
                <w:rFonts w:eastAsia="Times New Roman" w:cs="Arial"/>
                <w:sz w:val="20"/>
                <w:szCs w:val="20"/>
                <w:lang w:eastAsia="en-GB"/>
              </w:rPr>
              <w:t>Total non-NHS trade invoices paid in the year</w:t>
            </w:r>
          </w:p>
        </w:tc>
        <w:tc>
          <w:tcPr>
            <w:tcW w:w="284" w:type="dxa"/>
            <w:tcBorders>
              <w:top w:val="nil"/>
              <w:left w:val="nil"/>
              <w:bottom w:val="nil"/>
              <w:right w:val="nil"/>
            </w:tcBorders>
            <w:shd w:val="clear" w:color="000000" w:fill="FFFFFF"/>
            <w:noWrap/>
            <w:vAlign w:val="center"/>
            <w:hideMark/>
          </w:tcPr>
          <w:p w14:paraId="606396BC" w14:textId="77777777" w:rsidR="00887260" w:rsidRPr="00887260" w:rsidRDefault="00887260" w:rsidP="003764CB">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323" w:type="dxa"/>
            <w:tcBorders>
              <w:top w:val="nil"/>
              <w:left w:val="nil"/>
              <w:bottom w:val="nil"/>
              <w:right w:val="nil"/>
            </w:tcBorders>
            <w:shd w:val="clear" w:color="000000" w:fill="FFFFFF"/>
            <w:noWrap/>
            <w:vAlign w:val="center"/>
            <w:hideMark/>
          </w:tcPr>
          <w:p w14:paraId="679AA088" w14:textId="77777777" w:rsidR="00887260" w:rsidRPr="00887260" w:rsidRDefault="00887260" w:rsidP="003764CB">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xml:space="preserve">        57,325 </w:t>
            </w:r>
          </w:p>
        </w:tc>
        <w:tc>
          <w:tcPr>
            <w:tcW w:w="272" w:type="dxa"/>
            <w:tcBorders>
              <w:top w:val="nil"/>
              <w:left w:val="nil"/>
              <w:bottom w:val="nil"/>
              <w:right w:val="nil"/>
            </w:tcBorders>
            <w:shd w:val="clear" w:color="000000" w:fill="FFFFFF"/>
            <w:noWrap/>
            <w:vAlign w:val="center"/>
            <w:hideMark/>
          </w:tcPr>
          <w:p w14:paraId="320D7360" w14:textId="77777777" w:rsidR="00887260" w:rsidRPr="00887260" w:rsidRDefault="00887260" w:rsidP="003764CB">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429" w:type="dxa"/>
            <w:tcBorders>
              <w:top w:val="nil"/>
              <w:left w:val="nil"/>
              <w:bottom w:val="nil"/>
              <w:right w:val="nil"/>
            </w:tcBorders>
            <w:shd w:val="clear" w:color="000000" w:fill="FFFFFF"/>
            <w:noWrap/>
            <w:vAlign w:val="center"/>
            <w:hideMark/>
          </w:tcPr>
          <w:p w14:paraId="490FE7EA" w14:textId="77777777" w:rsidR="00887260" w:rsidRPr="00887260" w:rsidRDefault="00887260" w:rsidP="003764CB">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xml:space="preserve">      847,172 </w:t>
            </w:r>
          </w:p>
        </w:tc>
        <w:tc>
          <w:tcPr>
            <w:tcW w:w="272" w:type="dxa"/>
            <w:tcBorders>
              <w:top w:val="nil"/>
              <w:left w:val="nil"/>
              <w:bottom w:val="nil"/>
              <w:right w:val="nil"/>
            </w:tcBorders>
            <w:shd w:val="clear" w:color="000000" w:fill="FFFFFF"/>
            <w:noWrap/>
            <w:vAlign w:val="center"/>
            <w:hideMark/>
          </w:tcPr>
          <w:p w14:paraId="0240E523" w14:textId="77777777" w:rsidR="00887260" w:rsidRPr="00887260" w:rsidRDefault="00887260" w:rsidP="003764CB">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center"/>
            <w:hideMark/>
          </w:tcPr>
          <w:p w14:paraId="0EA31D20" w14:textId="77777777" w:rsidR="00887260" w:rsidRPr="00887260" w:rsidRDefault="00887260" w:rsidP="003764CB">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xml:space="preserve">       42,108 </w:t>
            </w:r>
          </w:p>
        </w:tc>
        <w:tc>
          <w:tcPr>
            <w:tcW w:w="272" w:type="dxa"/>
            <w:tcBorders>
              <w:top w:val="nil"/>
              <w:left w:val="nil"/>
              <w:bottom w:val="nil"/>
              <w:right w:val="nil"/>
            </w:tcBorders>
            <w:shd w:val="clear" w:color="000000" w:fill="FFFFFF"/>
            <w:noWrap/>
            <w:vAlign w:val="center"/>
            <w:hideMark/>
          </w:tcPr>
          <w:p w14:paraId="22A10AF4" w14:textId="77777777" w:rsidR="00887260" w:rsidRPr="00887260" w:rsidRDefault="00887260" w:rsidP="003764CB">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center"/>
            <w:hideMark/>
          </w:tcPr>
          <w:p w14:paraId="172DF135" w14:textId="71087B4B" w:rsidR="00887260" w:rsidRPr="00887260" w:rsidRDefault="00887260" w:rsidP="003764CB">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xml:space="preserve">    523,153</w:t>
            </w:r>
          </w:p>
        </w:tc>
      </w:tr>
      <w:tr w:rsidR="009158F2" w:rsidRPr="00887260" w14:paraId="188FF875" w14:textId="77777777" w:rsidTr="00BF03D6">
        <w:trPr>
          <w:trHeight w:val="270"/>
        </w:trPr>
        <w:tc>
          <w:tcPr>
            <w:tcW w:w="4821" w:type="dxa"/>
            <w:gridSpan w:val="2"/>
            <w:tcBorders>
              <w:top w:val="nil"/>
              <w:left w:val="nil"/>
              <w:bottom w:val="nil"/>
              <w:right w:val="nil"/>
            </w:tcBorders>
            <w:shd w:val="clear" w:color="000000" w:fill="FFFFFF"/>
            <w:noWrap/>
            <w:vAlign w:val="center"/>
            <w:hideMark/>
          </w:tcPr>
          <w:p w14:paraId="20B28833" w14:textId="333DE341" w:rsidR="009158F2" w:rsidRPr="00887260" w:rsidRDefault="009158F2" w:rsidP="003764CB">
            <w:pPr>
              <w:spacing w:before="0" w:after="0"/>
              <w:contextualSpacing/>
              <w:rPr>
                <w:rFonts w:eastAsia="Times New Roman" w:cs="Arial"/>
                <w:sz w:val="20"/>
                <w:szCs w:val="20"/>
                <w:lang w:eastAsia="en-GB"/>
              </w:rPr>
            </w:pPr>
            <w:r w:rsidRPr="00887260">
              <w:rPr>
                <w:rFonts w:eastAsia="Times New Roman" w:cs="Arial"/>
                <w:sz w:val="20"/>
                <w:szCs w:val="20"/>
                <w:lang w:eastAsia="en-GB"/>
              </w:rPr>
              <w:t>Total non-NHS trade Invoices paid within target</w:t>
            </w:r>
          </w:p>
        </w:tc>
        <w:tc>
          <w:tcPr>
            <w:tcW w:w="1323" w:type="dxa"/>
            <w:tcBorders>
              <w:top w:val="nil"/>
              <w:left w:val="nil"/>
              <w:bottom w:val="nil"/>
              <w:right w:val="nil"/>
            </w:tcBorders>
            <w:shd w:val="clear" w:color="000000" w:fill="FFFFFF"/>
            <w:noWrap/>
            <w:vAlign w:val="center"/>
            <w:hideMark/>
          </w:tcPr>
          <w:p w14:paraId="7C1FC1CC" w14:textId="77777777" w:rsidR="009158F2" w:rsidRPr="00887260" w:rsidRDefault="009158F2" w:rsidP="003764CB">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xml:space="preserve">        55,645 </w:t>
            </w:r>
          </w:p>
        </w:tc>
        <w:tc>
          <w:tcPr>
            <w:tcW w:w="272" w:type="dxa"/>
            <w:tcBorders>
              <w:top w:val="nil"/>
              <w:left w:val="nil"/>
              <w:bottom w:val="nil"/>
              <w:right w:val="nil"/>
            </w:tcBorders>
            <w:shd w:val="clear" w:color="000000" w:fill="FFFFFF"/>
            <w:noWrap/>
            <w:vAlign w:val="center"/>
            <w:hideMark/>
          </w:tcPr>
          <w:p w14:paraId="695AB4EE" w14:textId="77777777" w:rsidR="009158F2" w:rsidRPr="00887260" w:rsidRDefault="009158F2" w:rsidP="003764CB">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429" w:type="dxa"/>
            <w:tcBorders>
              <w:top w:val="nil"/>
              <w:left w:val="nil"/>
              <w:bottom w:val="nil"/>
              <w:right w:val="nil"/>
            </w:tcBorders>
            <w:shd w:val="clear" w:color="000000" w:fill="FFFFFF"/>
            <w:noWrap/>
            <w:vAlign w:val="center"/>
            <w:hideMark/>
          </w:tcPr>
          <w:p w14:paraId="57DBF82F" w14:textId="77777777" w:rsidR="009158F2" w:rsidRPr="00887260" w:rsidRDefault="009158F2" w:rsidP="003764CB">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xml:space="preserve">      788,329 </w:t>
            </w:r>
          </w:p>
        </w:tc>
        <w:tc>
          <w:tcPr>
            <w:tcW w:w="272" w:type="dxa"/>
            <w:tcBorders>
              <w:top w:val="nil"/>
              <w:left w:val="nil"/>
              <w:bottom w:val="nil"/>
              <w:right w:val="nil"/>
            </w:tcBorders>
            <w:shd w:val="clear" w:color="000000" w:fill="FFFFFF"/>
            <w:noWrap/>
            <w:vAlign w:val="center"/>
            <w:hideMark/>
          </w:tcPr>
          <w:p w14:paraId="2CCD083B" w14:textId="77777777" w:rsidR="009158F2" w:rsidRPr="00887260" w:rsidRDefault="009158F2" w:rsidP="003764CB">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center"/>
            <w:hideMark/>
          </w:tcPr>
          <w:p w14:paraId="50C17B27" w14:textId="77777777" w:rsidR="009158F2" w:rsidRPr="00887260" w:rsidRDefault="009158F2" w:rsidP="003764CB">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xml:space="preserve">       40,563 </w:t>
            </w:r>
          </w:p>
        </w:tc>
        <w:tc>
          <w:tcPr>
            <w:tcW w:w="272" w:type="dxa"/>
            <w:tcBorders>
              <w:top w:val="nil"/>
              <w:left w:val="nil"/>
              <w:bottom w:val="nil"/>
              <w:right w:val="nil"/>
            </w:tcBorders>
            <w:shd w:val="clear" w:color="000000" w:fill="FFFFFF"/>
            <w:noWrap/>
            <w:vAlign w:val="center"/>
            <w:hideMark/>
          </w:tcPr>
          <w:p w14:paraId="299E5818" w14:textId="77777777" w:rsidR="009158F2" w:rsidRPr="00887260" w:rsidRDefault="009158F2" w:rsidP="003764CB">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center"/>
            <w:hideMark/>
          </w:tcPr>
          <w:p w14:paraId="3AA64ACA" w14:textId="5B4E9720" w:rsidR="009158F2" w:rsidRPr="00887260" w:rsidRDefault="009158F2" w:rsidP="003764CB">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xml:space="preserve">    495,465 </w:t>
            </w:r>
          </w:p>
        </w:tc>
      </w:tr>
      <w:tr w:rsidR="00887260" w:rsidRPr="00887260" w14:paraId="4009BE4F" w14:textId="77777777" w:rsidTr="003764CB">
        <w:trPr>
          <w:trHeight w:val="520"/>
        </w:trPr>
        <w:tc>
          <w:tcPr>
            <w:tcW w:w="4537" w:type="dxa"/>
            <w:tcBorders>
              <w:top w:val="nil"/>
              <w:left w:val="nil"/>
              <w:bottom w:val="nil"/>
              <w:right w:val="nil"/>
            </w:tcBorders>
            <w:shd w:val="clear" w:color="000000" w:fill="FFFFFF"/>
            <w:vAlign w:val="center"/>
            <w:hideMark/>
          </w:tcPr>
          <w:p w14:paraId="663B6882"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Percentage of non-NHS trade invoices paid within target</w:t>
            </w:r>
          </w:p>
        </w:tc>
        <w:tc>
          <w:tcPr>
            <w:tcW w:w="284" w:type="dxa"/>
            <w:tcBorders>
              <w:top w:val="nil"/>
              <w:left w:val="nil"/>
              <w:bottom w:val="nil"/>
              <w:right w:val="nil"/>
            </w:tcBorders>
            <w:shd w:val="clear" w:color="000000" w:fill="FFFFFF"/>
            <w:vAlign w:val="center"/>
            <w:hideMark/>
          </w:tcPr>
          <w:p w14:paraId="1025326C"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1323" w:type="dxa"/>
            <w:tcBorders>
              <w:top w:val="nil"/>
              <w:left w:val="nil"/>
              <w:bottom w:val="nil"/>
              <w:right w:val="nil"/>
            </w:tcBorders>
            <w:shd w:val="clear" w:color="000000" w:fill="FFFFFF"/>
            <w:noWrap/>
            <w:vAlign w:val="center"/>
            <w:hideMark/>
          </w:tcPr>
          <w:p w14:paraId="7E0C21FC"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97.07%</w:t>
            </w:r>
          </w:p>
        </w:tc>
        <w:tc>
          <w:tcPr>
            <w:tcW w:w="272" w:type="dxa"/>
            <w:tcBorders>
              <w:top w:val="nil"/>
              <w:left w:val="nil"/>
              <w:bottom w:val="nil"/>
              <w:right w:val="nil"/>
            </w:tcBorders>
            <w:shd w:val="clear" w:color="000000" w:fill="FFFFFF"/>
            <w:noWrap/>
            <w:vAlign w:val="center"/>
            <w:hideMark/>
          </w:tcPr>
          <w:p w14:paraId="3280CF10"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 </w:t>
            </w:r>
          </w:p>
        </w:tc>
        <w:tc>
          <w:tcPr>
            <w:tcW w:w="1429" w:type="dxa"/>
            <w:tcBorders>
              <w:top w:val="nil"/>
              <w:left w:val="nil"/>
              <w:bottom w:val="nil"/>
              <w:right w:val="nil"/>
            </w:tcBorders>
            <w:shd w:val="clear" w:color="000000" w:fill="FFFFFF"/>
            <w:noWrap/>
            <w:vAlign w:val="center"/>
            <w:hideMark/>
          </w:tcPr>
          <w:p w14:paraId="12945EE0"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93.05%</w:t>
            </w:r>
          </w:p>
        </w:tc>
        <w:tc>
          <w:tcPr>
            <w:tcW w:w="272" w:type="dxa"/>
            <w:tcBorders>
              <w:top w:val="nil"/>
              <w:left w:val="nil"/>
              <w:bottom w:val="nil"/>
              <w:right w:val="nil"/>
            </w:tcBorders>
            <w:shd w:val="clear" w:color="000000" w:fill="FFFFFF"/>
            <w:noWrap/>
            <w:vAlign w:val="center"/>
            <w:hideMark/>
          </w:tcPr>
          <w:p w14:paraId="6108647B"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 </w:t>
            </w:r>
          </w:p>
        </w:tc>
        <w:tc>
          <w:tcPr>
            <w:tcW w:w="1287" w:type="dxa"/>
            <w:tcBorders>
              <w:top w:val="nil"/>
              <w:left w:val="nil"/>
              <w:bottom w:val="nil"/>
              <w:right w:val="nil"/>
            </w:tcBorders>
            <w:shd w:val="clear" w:color="000000" w:fill="FFFFFF"/>
            <w:noWrap/>
            <w:vAlign w:val="center"/>
            <w:hideMark/>
          </w:tcPr>
          <w:p w14:paraId="1A03A9DD"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96.33%</w:t>
            </w:r>
          </w:p>
        </w:tc>
        <w:tc>
          <w:tcPr>
            <w:tcW w:w="272" w:type="dxa"/>
            <w:tcBorders>
              <w:top w:val="nil"/>
              <w:left w:val="nil"/>
              <w:bottom w:val="nil"/>
              <w:right w:val="nil"/>
            </w:tcBorders>
            <w:shd w:val="clear" w:color="000000" w:fill="FFFFFF"/>
            <w:noWrap/>
            <w:vAlign w:val="center"/>
            <w:hideMark/>
          </w:tcPr>
          <w:p w14:paraId="19983B56"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 </w:t>
            </w:r>
          </w:p>
        </w:tc>
        <w:tc>
          <w:tcPr>
            <w:tcW w:w="1200" w:type="dxa"/>
            <w:tcBorders>
              <w:top w:val="nil"/>
              <w:left w:val="nil"/>
              <w:bottom w:val="nil"/>
              <w:right w:val="nil"/>
            </w:tcBorders>
            <w:shd w:val="clear" w:color="000000" w:fill="FFFFFF"/>
            <w:noWrap/>
            <w:vAlign w:val="center"/>
            <w:hideMark/>
          </w:tcPr>
          <w:p w14:paraId="002900A1"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94.71%</w:t>
            </w:r>
          </w:p>
        </w:tc>
      </w:tr>
      <w:tr w:rsidR="00887260" w:rsidRPr="00887260" w14:paraId="653B8E8D" w14:textId="77777777" w:rsidTr="003764CB">
        <w:trPr>
          <w:trHeight w:val="180"/>
        </w:trPr>
        <w:tc>
          <w:tcPr>
            <w:tcW w:w="4537" w:type="dxa"/>
            <w:tcBorders>
              <w:top w:val="nil"/>
              <w:left w:val="nil"/>
              <w:bottom w:val="nil"/>
              <w:right w:val="nil"/>
            </w:tcBorders>
            <w:shd w:val="clear" w:color="000000" w:fill="FFFFFF"/>
            <w:noWrap/>
            <w:vAlign w:val="bottom"/>
            <w:hideMark/>
          </w:tcPr>
          <w:p w14:paraId="50D6C1C7"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84" w:type="dxa"/>
            <w:tcBorders>
              <w:top w:val="nil"/>
              <w:left w:val="nil"/>
              <w:bottom w:val="nil"/>
              <w:right w:val="nil"/>
            </w:tcBorders>
            <w:shd w:val="clear" w:color="000000" w:fill="FFFFFF"/>
            <w:noWrap/>
            <w:vAlign w:val="bottom"/>
            <w:hideMark/>
          </w:tcPr>
          <w:p w14:paraId="59D4D8CA"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323" w:type="dxa"/>
            <w:tcBorders>
              <w:top w:val="nil"/>
              <w:left w:val="nil"/>
              <w:bottom w:val="nil"/>
              <w:right w:val="nil"/>
            </w:tcBorders>
            <w:shd w:val="clear" w:color="000000" w:fill="FFFFFF"/>
            <w:noWrap/>
            <w:vAlign w:val="bottom"/>
            <w:hideMark/>
          </w:tcPr>
          <w:p w14:paraId="558DB3FE"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383F05B8"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429" w:type="dxa"/>
            <w:tcBorders>
              <w:top w:val="nil"/>
              <w:left w:val="nil"/>
              <w:bottom w:val="nil"/>
              <w:right w:val="nil"/>
            </w:tcBorders>
            <w:shd w:val="clear" w:color="000000" w:fill="FFFFFF"/>
            <w:noWrap/>
            <w:vAlign w:val="bottom"/>
            <w:hideMark/>
          </w:tcPr>
          <w:p w14:paraId="64CB33A4"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2890593"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3DA7C0EE"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7A12CD8"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2D425820"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r>
      <w:tr w:rsidR="00887260" w:rsidRPr="00887260" w14:paraId="0A617C95" w14:textId="77777777" w:rsidTr="003764CB">
        <w:trPr>
          <w:trHeight w:val="260"/>
        </w:trPr>
        <w:tc>
          <w:tcPr>
            <w:tcW w:w="4537" w:type="dxa"/>
            <w:tcBorders>
              <w:top w:val="nil"/>
              <w:left w:val="nil"/>
              <w:bottom w:val="nil"/>
              <w:right w:val="nil"/>
            </w:tcBorders>
            <w:shd w:val="clear" w:color="000000" w:fill="FFFFFF"/>
            <w:noWrap/>
            <w:vAlign w:val="bottom"/>
            <w:hideMark/>
          </w:tcPr>
          <w:p w14:paraId="38D8A9A4"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NHS payables</w:t>
            </w:r>
          </w:p>
        </w:tc>
        <w:tc>
          <w:tcPr>
            <w:tcW w:w="284" w:type="dxa"/>
            <w:tcBorders>
              <w:top w:val="nil"/>
              <w:left w:val="nil"/>
              <w:bottom w:val="nil"/>
              <w:right w:val="nil"/>
            </w:tcBorders>
            <w:shd w:val="clear" w:color="000000" w:fill="FFFFFF"/>
            <w:noWrap/>
            <w:vAlign w:val="bottom"/>
            <w:hideMark/>
          </w:tcPr>
          <w:p w14:paraId="6AF0BA10"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1323" w:type="dxa"/>
            <w:tcBorders>
              <w:top w:val="nil"/>
              <w:left w:val="nil"/>
              <w:bottom w:val="nil"/>
              <w:right w:val="nil"/>
            </w:tcBorders>
            <w:shd w:val="clear" w:color="000000" w:fill="FFFFFF"/>
            <w:noWrap/>
            <w:vAlign w:val="bottom"/>
            <w:hideMark/>
          </w:tcPr>
          <w:p w14:paraId="301EEE93"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DB3537F"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429" w:type="dxa"/>
            <w:tcBorders>
              <w:top w:val="nil"/>
              <w:left w:val="nil"/>
              <w:bottom w:val="nil"/>
              <w:right w:val="nil"/>
            </w:tcBorders>
            <w:shd w:val="clear" w:color="000000" w:fill="FFFFFF"/>
            <w:noWrap/>
            <w:vAlign w:val="bottom"/>
            <w:hideMark/>
          </w:tcPr>
          <w:p w14:paraId="5396FDA9"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28E2405"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0208B5AD"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32E69DE"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46A03015"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r>
      <w:tr w:rsidR="00887260" w:rsidRPr="00887260" w14:paraId="5EC2C321" w14:textId="77777777" w:rsidTr="003764CB">
        <w:trPr>
          <w:trHeight w:val="270"/>
        </w:trPr>
        <w:tc>
          <w:tcPr>
            <w:tcW w:w="4537" w:type="dxa"/>
            <w:tcBorders>
              <w:top w:val="nil"/>
              <w:left w:val="nil"/>
              <w:bottom w:val="nil"/>
              <w:right w:val="nil"/>
            </w:tcBorders>
            <w:shd w:val="clear" w:color="000000" w:fill="FFFFFF"/>
            <w:noWrap/>
            <w:vAlign w:val="center"/>
            <w:hideMark/>
          </w:tcPr>
          <w:p w14:paraId="58F529A2"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Total NHS trade invoices paid in the year</w:t>
            </w:r>
          </w:p>
        </w:tc>
        <w:tc>
          <w:tcPr>
            <w:tcW w:w="284" w:type="dxa"/>
            <w:tcBorders>
              <w:top w:val="nil"/>
              <w:left w:val="nil"/>
              <w:bottom w:val="nil"/>
              <w:right w:val="nil"/>
            </w:tcBorders>
            <w:shd w:val="clear" w:color="000000" w:fill="FFFFFF"/>
            <w:noWrap/>
            <w:vAlign w:val="center"/>
            <w:hideMark/>
          </w:tcPr>
          <w:p w14:paraId="504B0CF5"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323" w:type="dxa"/>
            <w:tcBorders>
              <w:top w:val="nil"/>
              <w:left w:val="nil"/>
              <w:bottom w:val="nil"/>
              <w:right w:val="nil"/>
            </w:tcBorders>
            <w:shd w:val="clear" w:color="000000" w:fill="FFFFFF"/>
            <w:noWrap/>
            <w:vAlign w:val="center"/>
            <w:hideMark/>
          </w:tcPr>
          <w:p w14:paraId="6A3CFC6D"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xml:space="preserve">          1,610 </w:t>
            </w:r>
          </w:p>
        </w:tc>
        <w:tc>
          <w:tcPr>
            <w:tcW w:w="272" w:type="dxa"/>
            <w:tcBorders>
              <w:top w:val="nil"/>
              <w:left w:val="nil"/>
              <w:bottom w:val="nil"/>
              <w:right w:val="nil"/>
            </w:tcBorders>
            <w:shd w:val="clear" w:color="000000" w:fill="FFFFFF"/>
            <w:noWrap/>
            <w:vAlign w:val="center"/>
            <w:hideMark/>
          </w:tcPr>
          <w:p w14:paraId="40ACD13E"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429" w:type="dxa"/>
            <w:tcBorders>
              <w:top w:val="nil"/>
              <w:left w:val="nil"/>
              <w:bottom w:val="nil"/>
              <w:right w:val="nil"/>
            </w:tcBorders>
            <w:shd w:val="clear" w:color="000000" w:fill="FFFFFF"/>
            <w:noWrap/>
            <w:vAlign w:val="center"/>
            <w:hideMark/>
          </w:tcPr>
          <w:p w14:paraId="40E403BA"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xml:space="preserve">   1,688,030 </w:t>
            </w:r>
          </w:p>
        </w:tc>
        <w:tc>
          <w:tcPr>
            <w:tcW w:w="272" w:type="dxa"/>
            <w:tcBorders>
              <w:top w:val="nil"/>
              <w:left w:val="nil"/>
              <w:bottom w:val="nil"/>
              <w:right w:val="nil"/>
            </w:tcBorders>
            <w:shd w:val="clear" w:color="000000" w:fill="FFFFFF"/>
            <w:noWrap/>
            <w:vAlign w:val="center"/>
            <w:hideMark/>
          </w:tcPr>
          <w:p w14:paraId="066FC600"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center"/>
            <w:hideMark/>
          </w:tcPr>
          <w:p w14:paraId="090B8FCC"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xml:space="preserve">           983 </w:t>
            </w:r>
          </w:p>
        </w:tc>
        <w:tc>
          <w:tcPr>
            <w:tcW w:w="272" w:type="dxa"/>
            <w:tcBorders>
              <w:top w:val="nil"/>
              <w:left w:val="nil"/>
              <w:bottom w:val="nil"/>
              <w:right w:val="nil"/>
            </w:tcBorders>
            <w:shd w:val="clear" w:color="000000" w:fill="FFFFFF"/>
            <w:noWrap/>
            <w:vAlign w:val="center"/>
            <w:hideMark/>
          </w:tcPr>
          <w:p w14:paraId="1B983584"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center"/>
            <w:hideMark/>
          </w:tcPr>
          <w:p w14:paraId="3949C978" w14:textId="6D6ECFD3"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xml:space="preserve"> 1,165,895 </w:t>
            </w:r>
          </w:p>
        </w:tc>
      </w:tr>
      <w:tr w:rsidR="00887260" w:rsidRPr="00887260" w14:paraId="318C784D" w14:textId="77777777" w:rsidTr="003764CB">
        <w:trPr>
          <w:trHeight w:val="270"/>
        </w:trPr>
        <w:tc>
          <w:tcPr>
            <w:tcW w:w="4537" w:type="dxa"/>
            <w:tcBorders>
              <w:top w:val="nil"/>
              <w:left w:val="nil"/>
              <w:bottom w:val="nil"/>
              <w:right w:val="nil"/>
            </w:tcBorders>
            <w:shd w:val="clear" w:color="000000" w:fill="FFFFFF"/>
            <w:noWrap/>
            <w:vAlign w:val="center"/>
            <w:hideMark/>
          </w:tcPr>
          <w:p w14:paraId="70C4AE37"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Total NHS trade invoices paid within target</w:t>
            </w:r>
          </w:p>
        </w:tc>
        <w:tc>
          <w:tcPr>
            <w:tcW w:w="284" w:type="dxa"/>
            <w:tcBorders>
              <w:top w:val="nil"/>
              <w:left w:val="nil"/>
              <w:bottom w:val="nil"/>
              <w:right w:val="nil"/>
            </w:tcBorders>
            <w:shd w:val="clear" w:color="000000" w:fill="FFFFFF"/>
            <w:noWrap/>
            <w:vAlign w:val="center"/>
            <w:hideMark/>
          </w:tcPr>
          <w:p w14:paraId="445C5D08"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323" w:type="dxa"/>
            <w:tcBorders>
              <w:top w:val="nil"/>
              <w:left w:val="nil"/>
              <w:bottom w:val="nil"/>
              <w:right w:val="nil"/>
            </w:tcBorders>
            <w:shd w:val="clear" w:color="000000" w:fill="FFFFFF"/>
            <w:noWrap/>
            <w:vAlign w:val="center"/>
            <w:hideMark/>
          </w:tcPr>
          <w:p w14:paraId="2669C8DC"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xml:space="preserve">          1,541 </w:t>
            </w:r>
          </w:p>
        </w:tc>
        <w:tc>
          <w:tcPr>
            <w:tcW w:w="272" w:type="dxa"/>
            <w:tcBorders>
              <w:top w:val="nil"/>
              <w:left w:val="nil"/>
              <w:bottom w:val="nil"/>
              <w:right w:val="nil"/>
            </w:tcBorders>
            <w:shd w:val="clear" w:color="000000" w:fill="FFFFFF"/>
            <w:noWrap/>
            <w:vAlign w:val="center"/>
            <w:hideMark/>
          </w:tcPr>
          <w:p w14:paraId="434B684D"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429" w:type="dxa"/>
            <w:tcBorders>
              <w:top w:val="nil"/>
              <w:left w:val="nil"/>
              <w:bottom w:val="nil"/>
              <w:right w:val="nil"/>
            </w:tcBorders>
            <w:shd w:val="clear" w:color="000000" w:fill="FFFFFF"/>
            <w:noWrap/>
            <w:vAlign w:val="center"/>
            <w:hideMark/>
          </w:tcPr>
          <w:p w14:paraId="3EED3DA5"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xml:space="preserve">   1,683,761 </w:t>
            </w:r>
          </w:p>
        </w:tc>
        <w:tc>
          <w:tcPr>
            <w:tcW w:w="272" w:type="dxa"/>
            <w:tcBorders>
              <w:top w:val="nil"/>
              <w:left w:val="nil"/>
              <w:bottom w:val="nil"/>
              <w:right w:val="nil"/>
            </w:tcBorders>
            <w:shd w:val="clear" w:color="000000" w:fill="FFFFFF"/>
            <w:noWrap/>
            <w:vAlign w:val="center"/>
            <w:hideMark/>
          </w:tcPr>
          <w:p w14:paraId="2E62BD75"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center"/>
            <w:hideMark/>
          </w:tcPr>
          <w:p w14:paraId="1D0AF52B"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xml:space="preserve">           929 </w:t>
            </w:r>
          </w:p>
        </w:tc>
        <w:tc>
          <w:tcPr>
            <w:tcW w:w="272" w:type="dxa"/>
            <w:tcBorders>
              <w:top w:val="nil"/>
              <w:left w:val="nil"/>
              <w:bottom w:val="nil"/>
              <w:right w:val="nil"/>
            </w:tcBorders>
            <w:shd w:val="clear" w:color="000000" w:fill="FFFFFF"/>
            <w:noWrap/>
            <w:vAlign w:val="center"/>
            <w:hideMark/>
          </w:tcPr>
          <w:p w14:paraId="486C26EC"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center"/>
            <w:hideMark/>
          </w:tcPr>
          <w:p w14:paraId="781DFD54" w14:textId="4F27BAED"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xml:space="preserve"> 1,161,666 </w:t>
            </w:r>
          </w:p>
        </w:tc>
      </w:tr>
      <w:tr w:rsidR="00887260" w:rsidRPr="00887260" w14:paraId="5703439E" w14:textId="77777777" w:rsidTr="003764CB">
        <w:trPr>
          <w:trHeight w:val="520"/>
        </w:trPr>
        <w:tc>
          <w:tcPr>
            <w:tcW w:w="4537" w:type="dxa"/>
            <w:tcBorders>
              <w:top w:val="nil"/>
              <w:left w:val="nil"/>
              <w:bottom w:val="nil"/>
              <w:right w:val="nil"/>
            </w:tcBorders>
            <w:shd w:val="clear" w:color="000000" w:fill="FFFFFF"/>
            <w:vAlign w:val="center"/>
            <w:hideMark/>
          </w:tcPr>
          <w:p w14:paraId="74EFF451"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Percentage of NHS trade invoices paid within target</w:t>
            </w:r>
          </w:p>
        </w:tc>
        <w:tc>
          <w:tcPr>
            <w:tcW w:w="284" w:type="dxa"/>
            <w:tcBorders>
              <w:top w:val="nil"/>
              <w:left w:val="nil"/>
              <w:bottom w:val="nil"/>
              <w:right w:val="nil"/>
            </w:tcBorders>
            <w:shd w:val="clear" w:color="000000" w:fill="FFFFFF"/>
            <w:vAlign w:val="center"/>
            <w:hideMark/>
          </w:tcPr>
          <w:p w14:paraId="347CB92B"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1323" w:type="dxa"/>
            <w:tcBorders>
              <w:top w:val="nil"/>
              <w:left w:val="nil"/>
              <w:bottom w:val="nil"/>
              <w:right w:val="nil"/>
            </w:tcBorders>
            <w:shd w:val="clear" w:color="000000" w:fill="FFFFFF"/>
            <w:noWrap/>
            <w:vAlign w:val="center"/>
            <w:hideMark/>
          </w:tcPr>
          <w:p w14:paraId="2FD87645"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95.71%</w:t>
            </w:r>
          </w:p>
        </w:tc>
        <w:tc>
          <w:tcPr>
            <w:tcW w:w="272" w:type="dxa"/>
            <w:tcBorders>
              <w:top w:val="nil"/>
              <w:left w:val="nil"/>
              <w:bottom w:val="nil"/>
              <w:right w:val="nil"/>
            </w:tcBorders>
            <w:shd w:val="clear" w:color="000000" w:fill="FFFFFF"/>
            <w:noWrap/>
            <w:vAlign w:val="center"/>
            <w:hideMark/>
          </w:tcPr>
          <w:p w14:paraId="1E3E1221"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 </w:t>
            </w:r>
          </w:p>
        </w:tc>
        <w:tc>
          <w:tcPr>
            <w:tcW w:w="1429" w:type="dxa"/>
            <w:tcBorders>
              <w:top w:val="nil"/>
              <w:left w:val="nil"/>
              <w:bottom w:val="nil"/>
              <w:right w:val="nil"/>
            </w:tcBorders>
            <w:shd w:val="clear" w:color="000000" w:fill="FFFFFF"/>
            <w:noWrap/>
            <w:vAlign w:val="center"/>
            <w:hideMark/>
          </w:tcPr>
          <w:p w14:paraId="4E4A4664"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99.75%</w:t>
            </w:r>
          </w:p>
        </w:tc>
        <w:tc>
          <w:tcPr>
            <w:tcW w:w="272" w:type="dxa"/>
            <w:tcBorders>
              <w:top w:val="nil"/>
              <w:left w:val="nil"/>
              <w:bottom w:val="nil"/>
              <w:right w:val="nil"/>
            </w:tcBorders>
            <w:shd w:val="clear" w:color="000000" w:fill="FFFFFF"/>
            <w:noWrap/>
            <w:vAlign w:val="center"/>
            <w:hideMark/>
          </w:tcPr>
          <w:p w14:paraId="127B5255"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 </w:t>
            </w:r>
          </w:p>
        </w:tc>
        <w:tc>
          <w:tcPr>
            <w:tcW w:w="1287" w:type="dxa"/>
            <w:tcBorders>
              <w:top w:val="nil"/>
              <w:left w:val="nil"/>
              <w:bottom w:val="nil"/>
              <w:right w:val="nil"/>
            </w:tcBorders>
            <w:shd w:val="clear" w:color="000000" w:fill="FFFFFF"/>
            <w:noWrap/>
            <w:vAlign w:val="center"/>
            <w:hideMark/>
          </w:tcPr>
          <w:p w14:paraId="20123EDA"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94.51%</w:t>
            </w:r>
          </w:p>
        </w:tc>
        <w:tc>
          <w:tcPr>
            <w:tcW w:w="272" w:type="dxa"/>
            <w:tcBorders>
              <w:top w:val="nil"/>
              <w:left w:val="nil"/>
              <w:bottom w:val="nil"/>
              <w:right w:val="nil"/>
            </w:tcBorders>
            <w:shd w:val="clear" w:color="000000" w:fill="FFFFFF"/>
            <w:noWrap/>
            <w:vAlign w:val="center"/>
            <w:hideMark/>
          </w:tcPr>
          <w:p w14:paraId="7701FEF8"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 </w:t>
            </w:r>
          </w:p>
        </w:tc>
        <w:tc>
          <w:tcPr>
            <w:tcW w:w="1200" w:type="dxa"/>
            <w:tcBorders>
              <w:top w:val="nil"/>
              <w:left w:val="nil"/>
              <w:bottom w:val="nil"/>
              <w:right w:val="nil"/>
            </w:tcBorders>
            <w:shd w:val="clear" w:color="000000" w:fill="FFFFFF"/>
            <w:noWrap/>
            <w:vAlign w:val="center"/>
            <w:hideMark/>
          </w:tcPr>
          <w:p w14:paraId="229F5EC4"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99.64%</w:t>
            </w:r>
          </w:p>
        </w:tc>
      </w:tr>
      <w:tr w:rsidR="00887260" w:rsidRPr="00887260" w14:paraId="005E56FA" w14:textId="77777777" w:rsidTr="003764CB">
        <w:trPr>
          <w:trHeight w:val="250"/>
        </w:trPr>
        <w:tc>
          <w:tcPr>
            <w:tcW w:w="4537" w:type="dxa"/>
            <w:tcBorders>
              <w:top w:val="nil"/>
              <w:left w:val="nil"/>
              <w:bottom w:val="nil"/>
              <w:right w:val="nil"/>
            </w:tcBorders>
            <w:shd w:val="clear" w:color="000000" w:fill="FFFFFF"/>
            <w:noWrap/>
            <w:vAlign w:val="bottom"/>
            <w:hideMark/>
          </w:tcPr>
          <w:p w14:paraId="3345EA01"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84" w:type="dxa"/>
            <w:tcBorders>
              <w:top w:val="nil"/>
              <w:left w:val="nil"/>
              <w:bottom w:val="nil"/>
              <w:right w:val="nil"/>
            </w:tcBorders>
            <w:shd w:val="clear" w:color="000000" w:fill="FFFFFF"/>
            <w:noWrap/>
            <w:vAlign w:val="bottom"/>
            <w:hideMark/>
          </w:tcPr>
          <w:p w14:paraId="1C2EE788"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323" w:type="dxa"/>
            <w:tcBorders>
              <w:top w:val="nil"/>
              <w:left w:val="nil"/>
              <w:bottom w:val="nil"/>
              <w:right w:val="nil"/>
            </w:tcBorders>
            <w:shd w:val="clear" w:color="000000" w:fill="FFFFFF"/>
            <w:noWrap/>
            <w:vAlign w:val="bottom"/>
            <w:hideMark/>
          </w:tcPr>
          <w:p w14:paraId="4E75049A"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A3E6A9F"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429" w:type="dxa"/>
            <w:tcBorders>
              <w:top w:val="nil"/>
              <w:left w:val="nil"/>
              <w:bottom w:val="nil"/>
              <w:right w:val="nil"/>
            </w:tcBorders>
            <w:shd w:val="clear" w:color="000000" w:fill="FFFFFF"/>
            <w:noWrap/>
            <w:vAlign w:val="bottom"/>
            <w:hideMark/>
          </w:tcPr>
          <w:p w14:paraId="478D5E6E"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156C87CB"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7FA22473"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A5D4857"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37ACEF1F"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r>
      <w:tr w:rsidR="00887260" w:rsidRPr="00887260" w14:paraId="155BFA96" w14:textId="77777777" w:rsidTr="003764CB">
        <w:trPr>
          <w:trHeight w:val="250"/>
        </w:trPr>
        <w:tc>
          <w:tcPr>
            <w:tcW w:w="4537" w:type="dxa"/>
            <w:tcBorders>
              <w:top w:val="nil"/>
              <w:left w:val="nil"/>
              <w:bottom w:val="nil"/>
              <w:right w:val="nil"/>
            </w:tcBorders>
            <w:shd w:val="clear" w:color="000000" w:fill="FFFFFF"/>
            <w:noWrap/>
            <w:vAlign w:val="bottom"/>
            <w:hideMark/>
          </w:tcPr>
          <w:p w14:paraId="3E3B58B6"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84" w:type="dxa"/>
            <w:tcBorders>
              <w:top w:val="nil"/>
              <w:left w:val="nil"/>
              <w:bottom w:val="nil"/>
              <w:right w:val="nil"/>
            </w:tcBorders>
            <w:shd w:val="clear" w:color="000000" w:fill="FFFFFF"/>
            <w:noWrap/>
            <w:vAlign w:val="bottom"/>
            <w:hideMark/>
          </w:tcPr>
          <w:p w14:paraId="05C71830"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323" w:type="dxa"/>
            <w:tcBorders>
              <w:top w:val="nil"/>
              <w:left w:val="nil"/>
              <w:bottom w:val="nil"/>
              <w:right w:val="nil"/>
            </w:tcBorders>
            <w:shd w:val="clear" w:color="000000" w:fill="FFFFFF"/>
            <w:noWrap/>
            <w:vAlign w:val="bottom"/>
            <w:hideMark/>
          </w:tcPr>
          <w:p w14:paraId="41F791AD"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19C6214"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429" w:type="dxa"/>
            <w:tcBorders>
              <w:top w:val="nil"/>
              <w:left w:val="nil"/>
              <w:bottom w:val="nil"/>
              <w:right w:val="nil"/>
            </w:tcBorders>
            <w:shd w:val="clear" w:color="000000" w:fill="FFFFFF"/>
            <w:noWrap/>
            <w:vAlign w:val="bottom"/>
            <w:hideMark/>
          </w:tcPr>
          <w:p w14:paraId="776B76FF"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0C11DC1"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3B9F5E8A"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BFA9D7C"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08789796"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r>
      <w:tr w:rsidR="0004149A" w:rsidRPr="00887260" w14:paraId="44A4169D" w14:textId="77777777" w:rsidTr="00BF03D6">
        <w:trPr>
          <w:trHeight w:val="260"/>
        </w:trPr>
        <w:tc>
          <w:tcPr>
            <w:tcW w:w="7845" w:type="dxa"/>
            <w:gridSpan w:val="5"/>
            <w:tcBorders>
              <w:top w:val="nil"/>
              <w:left w:val="nil"/>
              <w:bottom w:val="nil"/>
              <w:right w:val="nil"/>
            </w:tcBorders>
            <w:shd w:val="clear" w:color="000000" w:fill="FFFFFF"/>
            <w:noWrap/>
            <w:vAlign w:val="bottom"/>
            <w:hideMark/>
          </w:tcPr>
          <w:p w14:paraId="7E04348F" w14:textId="63A88158" w:rsidR="0004149A" w:rsidRPr="00887260" w:rsidRDefault="0004149A"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6.2 The Late Payment of Commercial Debts (Interest) Act 1998</w:t>
            </w:r>
          </w:p>
        </w:tc>
        <w:tc>
          <w:tcPr>
            <w:tcW w:w="272" w:type="dxa"/>
            <w:tcBorders>
              <w:top w:val="nil"/>
              <w:left w:val="nil"/>
              <w:bottom w:val="nil"/>
              <w:right w:val="nil"/>
            </w:tcBorders>
            <w:shd w:val="clear" w:color="000000" w:fill="FFFFFF"/>
            <w:noWrap/>
            <w:vAlign w:val="bottom"/>
            <w:hideMark/>
          </w:tcPr>
          <w:p w14:paraId="02614AF6" w14:textId="77777777" w:rsidR="0004149A" w:rsidRPr="00887260" w:rsidRDefault="0004149A"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69858054" w14:textId="77777777" w:rsidR="0004149A" w:rsidRPr="00887260" w:rsidRDefault="0004149A"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19902DD" w14:textId="77777777" w:rsidR="0004149A" w:rsidRPr="00887260" w:rsidRDefault="0004149A"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260FBBCB" w14:textId="77777777" w:rsidR="0004149A" w:rsidRPr="00887260" w:rsidRDefault="0004149A"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r>
      <w:tr w:rsidR="00887260" w:rsidRPr="00887260" w14:paraId="14BC2BE8" w14:textId="77777777" w:rsidTr="003764CB">
        <w:trPr>
          <w:trHeight w:val="120"/>
        </w:trPr>
        <w:tc>
          <w:tcPr>
            <w:tcW w:w="4537" w:type="dxa"/>
            <w:tcBorders>
              <w:top w:val="nil"/>
              <w:left w:val="nil"/>
              <w:bottom w:val="nil"/>
              <w:right w:val="nil"/>
            </w:tcBorders>
            <w:shd w:val="clear" w:color="000000" w:fill="FFFFFF"/>
            <w:noWrap/>
            <w:vAlign w:val="bottom"/>
            <w:hideMark/>
          </w:tcPr>
          <w:p w14:paraId="660463E4"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284" w:type="dxa"/>
            <w:tcBorders>
              <w:top w:val="nil"/>
              <w:left w:val="nil"/>
              <w:bottom w:val="nil"/>
              <w:right w:val="nil"/>
            </w:tcBorders>
            <w:shd w:val="clear" w:color="000000" w:fill="FFFFFF"/>
            <w:noWrap/>
            <w:vAlign w:val="bottom"/>
            <w:hideMark/>
          </w:tcPr>
          <w:p w14:paraId="51792062"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1323" w:type="dxa"/>
            <w:tcBorders>
              <w:top w:val="nil"/>
              <w:left w:val="nil"/>
              <w:bottom w:val="nil"/>
              <w:right w:val="nil"/>
            </w:tcBorders>
            <w:shd w:val="clear" w:color="000000" w:fill="FFFFFF"/>
            <w:noWrap/>
            <w:vAlign w:val="bottom"/>
            <w:hideMark/>
          </w:tcPr>
          <w:p w14:paraId="2EDC216D"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DFB138F"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429" w:type="dxa"/>
            <w:tcBorders>
              <w:top w:val="nil"/>
              <w:left w:val="nil"/>
              <w:bottom w:val="nil"/>
              <w:right w:val="nil"/>
            </w:tcBorders>
            <w:shd w:val="clear" w:color="000000" w:fill="FFFFFF"/>
            <w:noWrap/>
            <w:vAlign w:val="bottom"/>
            <w:hideMark/>
          </w:tcPr>
          <w:p w14:paraId="342A414C"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417CD1C"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30249678"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6AD57A2"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430793C1"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r>
      <w:tr w:rsidR="00887260" w:rsidRPr="00887260" w14:paraId="748E78D3" w14:textId="77777777" w:rsidTr="003764CB">
        <w:trPr>
          <w:trHeight w:val="520"/>
        </w:trPr>
        <w:tc>
          <w:tcPr>
            <w:tcW w:w="4537" w:type="dxa"/>
            <w:tcBorders>
              <w:top w:val="nil"/>
              <w:left w:val="nil"/>
              <w:bottom w:val="nil"/>
              <w:right w:val="nil"/>
            </w:tcBorders>
            <w:shd w:val="clear" w:color="auto" w:fill="auto"/>
            <w:noWrap/>
            <w:vAlign w:val="bottom"/>
            <w:hideMark/>
          </w:tcPr>
          <w:p w14:paraId="11ED2020" w14:textId="77777777" w:rsidR="00887260" w:rsidRPr="00887260" w:rsidRDefault="00887260" w:rsidP="009158F2">
            <w:pPr>
              <w:spacing w:before="0" w:after="0"/>
              <w:contextualSpacing/>
              <w:rPr>
                <w:rFonts w:eastAsia="Times New Roman" w:cs="Arial"/>
                <w:sz w:val="20"/>
                <w:szCs w:val="20"/>
                <w:lang w:eastAsia="en-GB"/>
              </w:rPr>
            </w:pPr>
          </w:p>
        </w:tc>
        <w:tc>
          <w:tcPr>
            <w:tcW w:w="284" w:type="dxa"/>
            <w:tcBorders>
              <w:top w:val="nil"/>
              <w:left w:val="nil"/>
              <w:bottom w:val="nil"/>
              <w:right w:val="nil"/>
            </w:tcBorders>
            <w:shd w:val="clear" w:color="auto" w:fill="auto"/>
            <w:noWrap/>
            <w:vAlign w:val="bottom"/>
            <w:hideMark/>
          </w:tcPr>
          <w:p w14:paraId="50F631FB"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323" w:type="dxa"/>
            <w:tcBorders>
              <w:top w:val="nil"/>
              <w:left w:val="nil"/>
              <w:bottom w:val="nil"/>
              <w:right w:val="nil"/>
            </w:tcBorders>
            <w:shd w:val="clear" w:color="000000" w:fill="FFFFFF"/>
            <w:noWrap/>
            <w:vAlign w:val="bottom"/>
            <w:hideMark/>
          </w:tcPr>
          <w:p w14:paraId="0FE85988"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FBF66BC"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429" w:type="dxa"/>
            <w:tcBorders>
              <w:top w:val="nil"/>
              <w:left w:val="nil"/>
              <w:bottom w:val="nil"/>
              <w:right w:val="nil"/>
            </w:tcBorders>
            <w:shd w:val="clear" w:color="000000" w:fill="FFFFFF"/>
            <w:noWrap/>
            <w:vAlign w:val="bottom"/>
            <w:hideMark/>
          </w:tcPr>
          <w:p w14:paraId="4CD51A34"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65B29EA"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287" w:type="dxa"/>
            <w:tcBorders>
              <w:top w:val="nil"/>
              <w:left w:val="nil"/>
              <w:bottom w:val="nil"/>
              <w:right w:val="nil"/>
            </w:tcBorders>
            <w:shd w:val="clear" w:color="000000" w:fill="FFFFFF"/>
            <w:vAlign w:val="bottom"/>
            <w:hideMark/>
          </w:tcPr>
          <w:p w14:paraId="1263B480"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1-Apr-23 to 31-Mar-24</w:t>
            </w:r>
          </w:p>
        </w:tc>
        <w:tc>
          <w:tcPr>
            <w:tcW w:w="272" w:type="dxa"/>
            <w:tcBorders>
              <w:top w:val="nil"/>
              <w:left w:val="nil"/>
              <w:bottom w:val="nil"/>
              <w:right w:val="nil"/>
            </w:tcBorders>
            <w:shd w:val="clear" w:color="000000" w:fill="FFFFFF"/>
            <w:vAlign w:val="bottom"/>
            <w:hideMark/>
          </w:tcPr>
          <w:p w14:paraId="161058B6"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 </w:t>
            </w:r>
          </w:p>
        </w:tc>
        <w:tc>
          <w:tcPr>
            <w:tcW w:w="1200" w:type="dxa"/>
            <w:tcBorders>
              <w:top w:val="nil"/>
              <w:left w:val="nil"/>
              <w:bottom w:val="nil"/>
              <w:right w:val="nil"/>
            </w:tcBorders>
            <w:shd w:val="clear" w:color="000000" w:fill="FFFFFF"/>
            <w:vAlign w:val="bottom"/>
            <w:hideMark/>
          </w:tcPr>
          <w:p w14:paraId="0C27F92A"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1-Jul-22 to 31-Mar-23</w:t>
            </w:r>
          </w:p>
        </w:tc>
      </w:tr>
      <w:tr w:rsidR="00887260" w:rsidRPr="00887260" w14:paraId="4F9653C1" w14:textId="77777777" w:rsidTr="003764CB">
        <w:trPr>
          <w:trHeight w:val="260"/>
        </w:trPr>
        <w:tc>
          <w:tcPr>
            <w:tcW w:w="4537" w:type="dxa"/>
            <w:tcBorders>
              <w:top w:val="nil"/>
              <w:left w:val="nil"/>
              <w:bottom w:val="nil"/>
              <w:right w:val="nil"/>
            </w:tcBorders>
            <w:shd w:val="clear" w:color="000000" w:fill="FFFFFF"/>
            <w:noWrap/>
            <w:vAlign w:val="bottom"/>
            <w:hideMark/>
          </w:tcPr>
          <w:p w14:paraId="18BE3C2D"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84" w:type="dxa"/>
            <w:tcBorders>
              <w:top w:val="nil"/>
              <w:left w:val="nil"/>
              <w:bottom w:val="nil"/>
              <w:right w:val="nil"/>
            </w:tcBorders>
            <w:shd w:val="clear" w:color="000000" w:fill="FFFFFF"/>
            <w:noWrap/>
            <w:vAlign w:val="bottom"/>
            <w:hideMark/>
          </w:tcPr>
          <w:p w14:paraId="55175832"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323" w:type="dxa"/>
            <w:tcBorders>
              <w:top w:val="nil"/>
              <w:left w:val="nil"/>
              <w:bottom w:val="nil"/>
              <w:right w:val="nil"/>
            </w:tcBorders>
            <w:shd w:val="clear" w:color="000000" w:fill="FFFFFF"/>
            <w:noWrap/>
            <w:vAlign w:val="bottom"/>
            <w:hideMark/>
          </w:tcPr>
          <w:p w14:paraId="7B9F6BCC"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DF7780F"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429" w:type="dxa"/>
            <w:tcBorders>
              <w:top w:val="nil"/>
              <w:left w:val="nil"/>
              <w:bottom w:val="nil"/>
              <w:right w:val="nil"/>
            </w:tcBorders>
            <w:shd w:val="clear" w:color="000000" w:fill="FFFFFF"/>
            <w:noWrap/>
            <w:vAlign w:val="bottom"/>
            <w:hideMark/>
          </w:tcPr>
          <w:p w14:paraId="09C5902C"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B38AEB7"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48938E4D"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bottom"/>
            <w:hideMark/>
          </w:tcPr>
          <w:p w14:paraId="5FC7087F"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 </w:t>
            </w:r>
          </w:p>
        </w:tc>
        <w:tc>
          <w:tcPr>
            <w:tcW w:w="1200" w:type="dxa"/>
            <w:tcBorders>
              <w:top w:val="nil"/>
              <w:left w:val="nil"/>
              <w:bottom w:val="nil"/>
              <w:right w:val="nil"/>
            </w:tcBorders>
            <w:shd w:val="clear" w:color="000000" w:fill="FFFFFF"/>
            <w:noWrap/>
            <w:vAlign w:val="bottom"/>
            <w:hideMark/>
          </w:tcPr>
          <w:p w14:paraId="719DD8E2"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£'000</w:t>
            </w:r>
          </w:p>
        </w:tc>
      </w:tr>
      <w:tr w:rsidR="00887260" w:rsidRPr="00887260" w14:paraId="2B366C56" w14:textId="77777777" w:rsidTr="003764CB">
        <w:trPr>
          <w:trHeight w:val="120"/>
        </w:trPr>
        <w:tc>
          <w:tcPr>
            <w:tcW w:w="4537" w:type="dxa"/>
            <w:tcBorders>
              <w:top w:val="nil"/>
              <w:left w:val="nil"/>
              <w:bottom w:val="nil"/>
              <w:right w:val="nil"/>
            </w:tcBorders>
            <w:shd w:val="clear" w:color="000000" w:fill="FFFFFF"/>
            <w:noWrap/>
            <w:vAlign w:val="bottom"/>
            <w:hideMark/>
          </w:tcPr>
          <w:p w14:paraId="5518047B"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84" w:type="dxa"/>
            <w:tcBorders>
              <w:top w:val="nil"/>
              <w:left w:val="nil"/>
              <w:bottom w:val="nil"/>
              <w:right w:val="nil"/>
            </w:tcBorders>
            <w:shd w:val="clear" w:color="000000" w:fill="FFFFFF"/>
            <w:noWrap/>
            <w:vAlign w:val="bottom"/>
            <w:hideMark/>
          </w:tcPr>
          <w:p w14:paraId="1570B5B5"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323" w:type="dxa"/>
            <w:tcBorders>
              <w:top w:val="nil"/>
              <w:left w:val="nil"/>
              <w:bottom w:val="nil"/>
              <w:right w:val="nil"/>
            </w:tcBorders>
            <w:shd w:val="clear" w:color="000000" w:fill="FFFFFF"/>
            <w:noWrap/>
            <w:vAlign w:val="bottom"/>
            <w:hideMark/>
          </w:tcPr>
          <w:p w14:paraId="1FF79E1F"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979DC08"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429" w:type="dxa"/>
            <w:tcBorders>
              <w:top w:val="nil"/>
              <w:left w:val="nil"/>
              <w:bottom w:val="nil"/>
              <w:right w:val="nil"/>
            </w:tcBorders>
            <w:shd w:val="clear" w:color="000000" w:fill="FFFFFF"/>
            <w:noWrap/>
            <w:vAlign w:val="bottom"/>
            <w:hideMark/>
          </w:tcPr>
          <w:p w14:paraId="52FB17C4"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5CB9399"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6DE9FC71"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4866D2B"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7416D6AC"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r>
      <w:tr w:rsidR="00887260" w:rsidRPr="00887260" w14:paraId="70613113" w14:textId="77777777" w:rsidTr="003764CB">
        <w:trPr>
          <w:trHeight w:val="250"/>
        </w:trPr>
        <w:tc>
          <w:tcPr>
            <w:tcW w:w="4537" w:type="dxa"/>
            <w:tcBorders>
              <w:top w:val="nil"/>
              <w:left w:val="nil"/>
              <w:bottom w:val="nil"/>
              <w:right w:val="nil"/>
            </w:tcBorders>
            <w:shd w:val="clear" w:color="000000" w:fill="FFFFFF"/>
            <w:noWrap/>
            <w:vAlign w:val="bottom"/>
            <w:hideMark/>
          </w:tcPr>
          <w:p w14:paraId="61E6EFCA"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Amounts included in finance costs from claims made under this legislation</w:t>
            </w:r>
          </w:p>
        </w:tc>
        <w:tc>
          <w:tcPr>
            <w:tcW w:w="284" w:type="dxa"/>
            <w:tcBorders>
              <w:top w:val="nil"/>
              <w:left w:val="nil"/>
              <w:bottom w:val="nil"/>
              <w:right w:val="nil"/>
            </w:tcBorders>
            <w:shd w:val="clear" w:color="000000" w:fill="FFFFFF"/>
            <w:noWrap/>
            <w:vAlign w:val="bottom"/>
            <w:hideMark/>
          </w:tcPr>
          <w:p w14:paraId="7389FC56"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323" w:type="dxa"/>
            <w:tcBorders>
              <w:top w:val="nil"/>
              <w:left w:val="nil"/>
              <w:bottom w:val="nil"/>
              <w:right w:val="nil"/>
            </w:tcBorders>
            <w:shd w:val="clear" w:color="000000" w:fill="FFFFFF"/>
            <w:noWrap/>
            <w:vAlign w:val="bottom"/>
            <w:hideMark/>
          </w:tcPr>
          <w:p w14:paraId="0FA254EC"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1A0A7F1"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429" w:type="dxa"/>
            <w:tcBorders>
              <w:top w:val="nil"/>
              <w:left w:val="nil"/>
              <w:bottom w:val="nil"/>
              <w:right w:val="nil"/>
            </w:tcBorders>
            <w:shd w:val="clear" w:color="000000" w:fill="FFFFFF"/>
            <w:noWrap/>
            <w:vAlign w:val="bottom"/>
            <w:hideMark/>
          </w:tcPr>
          <w:p w14:paraId="6B57A9F5"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1D1FFAF1"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6EEAA86B"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1</w:t>
            </w:r>
          </w:p>
        </w:tc>
        <w:tc>
          <w:tcPr>
            <w:tcW w:w="272" w:type="dxa"/>
            <w:tcBorders>
              <w:top w:val="nil"/>
              <w:left w:val="nil"/>
              <w:bottom w:val="nil"/>
              <w:right w:val="nil"/>
            </w:tcBorders>
            <w:shd w:val="clear" w:color="000000" w:fill="FFFFFF"/>
            <w:noWrap/>
            <w:vAlign w:val="bottom"/>
            <w:hideMark/>
          </w:tcPr>
          <w:p w14:paraId="3B4C0BE7"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6F7180A5"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w:t>
            </w:r>
          </w:p>
        </w:tc>
      </w:tr>
      <w:tr w:rsidR="00887260" w:rsidRPr="00887260" w14:paraId="58E2F2EC" w14:textId="77777777" w:rsidTr="003764CB">
        <w:trPr>
          <w:trHeight w:val="260"/>
        </w:trPr>
        <w:tc>
          <w:tcPr>
            <w:tcW w:w="4537" w:type="dxa"/>
            <w:tcBorders>
              <w:top w:val="nil"/>
              <w:left w:val="nil"/>
              <w:bottom w:val="nil"/>
              <w:right w:val="nil"/>
            </w:tcBorders>
            <w:shd w:val="clear" w:color="000000" w:fill="FFFFFF"/>
            <w:noWrap/>
            <w:vAlign w:val="bottom"/>
            <w:hideMark/>
          </w:tcPr>
          <w:p w14:paraId="5BA49EE9"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Total</w:t>
            </w:r>
          </w:p>
        </w:tc>
        <w:tc>
          <w:tcPr>
            <w:tcW w:w="284" w:type="dxa"/>
            <w:tcBorders>
              <w:top w:val="nil"/>
              <w:left w:val="nil"/>
              <w:bottom w:val="nil"/>
              <w:right w:val="nil"/>
            </w:tcBorders>
            <w:shd w:val="clear" w:color="000000" w:fill="FFFFFF"/>
            <w:noWrap/>
            <w:vAlign w:val="bottom"/>
            <w:hideMark/>
          </w:tcPr>
          <w:p w14:paraId="557137F8"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1323" w:type="dxa"/>
            <w:tcBorders>
              <w:top w:val="nil"/>
              <w:left w:val="nil"/>
              <w:bottom w:val="nil"/>
              <w:right w:val="nil"/>
            </w:tcBorders>
            <w:shd w:val="clear" w:color="000000" w:fill="FFFFFF"/>
            <w:noWrap/>
            <w:vAlign w:val="bottom"/>
            <w:hideMark/>
          </w:tcPr>
          <w:p w14:paraId="737D1170"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2012E88E"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1429" w:type="dxa"/>
            <w:tcBorders>
              <w:top w:val="nil"/>
              <w:left w:val="nil"/>
              <w:bottom w:val="nil"/>
              <w:right w:val="nil"/>
            </w:tcBorders>
            <w:shd w:val="clear" w:color="000000" w:fill="FFFFFF"/>
            <w:noWrap/>
            <w:vAlign w:val="bottom"/>
            <w:hideMark/>
          </w:tcPr>
          <w:p w14:paraId="10705499"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406A3039"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1287" w:type="dxa"/>
            <w:tcBorders>
              <w:top w:val="single" w:sz="4" w:space="0" w:color="auto"/>
              <w:left w:val="nil"/>
              <w:bottom w:val="single" w:sz="4" w:space="0" w:color="auto"/>
              <w:right w:val="nil"/>
            </w:tcBorders>
            <w:shd w:val="clear" w:color="000000" w:fill="FFFFFF"/>
            <w:noWrap/>
            <w:vAlign w:val="bottom"/>
            <w:hideMark/>
          </w:tcPr>
          <w:p w14:paraId="44C8CEDA"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1</w:t>
            </w:r>
          </w:p>
        </w:tc>
        <w:tc>
          <w:tcPr>
            <w:tcW w:w="272" w:type="dxa"/>
            <w:tcBorders>
              <w:top w:val="nil"/>
              <w:left w:val="nil"/>
              <w:bottom w:val="nil"/>
              <w:right w:val="nil"/>
            </w:tcBorders>
            <w:shd w:val="clear" w:color="000000" w:fill="FFFFFF"/>
            <w:noWrap/>
            <w:vAlign w:val="bottom"/>
            <w:hideMark/>
          </w:tcPr>
          <w:p w14:paraId="66B45A5C"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1200" w:type="dxa"/>
            <w:tcBorders>
              <w:top w:val="single" w:sz="4" w:space="0" w:color="auto"/>
              <w:left w:val="nil"/>
              <w:bottom w:val="single" w:sz="4" w:space="0" w:color="auto"/>
              <w:right w:val="nil"/>
            </w:tcBorders>
            <w:shd w:val="clear" w:color="000000" w:fill="FFFFFF"/>
            <w:noWrap/>
            <w:vAlign w:val="bottom"/>
            <w:hideMark/>
          </w:tcPr>
          <w:p w14:paraId="2FFB5B1B"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w:t>
            </w:r>
          </w:p>
        </w:tc>
      </w:tr>
      <w:tr w:rsidR="00887260" w:rsidRPr="00887260" w14:paraId="19C87C11" w14:textId="77777777" w:rsidTr="003764CB">
        <w:trPr>
          <w:trHeight w:val="260"/>
        </w:trPr>
        <w:tc>
          <w:tcPr>
            <w:tcW w:w="4537" w:type="dxa"/>
            <w:tcBorders>
              <w:top w:val="nil"/>
              <w:left w:val="nil"/>
              <w:bottom w:val="nil"/>
              <w:right w:val="nil"/>
            </w:tcBorders>
            <w:shd w:val="clear" w:color="000000" w:fill="FFFFFF"/>
            <w:noWrap/>
            <w:vAlign w:val="bottom"/>
            <w:hideMark/>
          </w:tcPr>
          <w:p w14:paraId="158E38F4"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284" w:type="dxa"/>
            <w:tcBorders>
              <w:top w:val="nil"/>
              <w:left w:val="nil"/>
              <w:bottom w:val="nil"/>
              <w:right w:val="nil"/>
            </w:tcBorders>
            <w:shd w:val="clear" w:color="000000" w:fill="FFFFFF"/>
            <w:noWrap/>
            <w:vAlign w:val="bottom"/>
            <w:hideMark/>
          </w:tcPr>
          <w:p w14:paraId="0C2BADBA"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1323" w:type="dxa"/>
            <w:tcBorders>
              <w:top w:val="nil"/>
              <w:left w:val="nil"/>
              <w:bottom w:val="nil"/>
              <w:right w:val="nil"/>
            </w:tcBorders>
            <w:shd w:val="clear" w:color="000000" w:fill="FFFFFF"/>
            <w:noWrap/>
            <w:vAlign w:val="bottom"/>
            <w:hideMark/>
          </w:tcPr>
          <w:p w14:paraId="02B47E2F"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61597ABC"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1429" w:type="dxa"/>
            <w:tcBorders>
              <w:top w:val="nil"/>
              <w:left w:val="nil"/>
              <w:bottom w:val="nil"/>
              <w:right w:val="nil"/>
            </w:tcBorders>
            <w:shd w:val="clear" w:color="000000" w:fill="FFFFFF"/>
            <w:noWrap/>
            <w:vAlign w:val="bottom"/>
            <w:hideMark/>
          </w:tcPr>
          <w:p w14:paraId="40C657D7"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14249FE9"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1287" w:type="dxa"/>
            <w:tcBorders>
              <w:top w:val="nil"/>
              <w:left w:val="nil"/>
              <w:bottom w:val="nil"/>
              <w:right w:val="nil"/>
            </w:tcBorders>
            <w:shd w:val="clear" w:color="000000" w:fill="FFFFFF"/>
            <w:noWrap/>
            <w:vAlign w:val="bottom"/>
            <w:hideMark/>
          </w:tcPr>
          <w:p w14:paraId="5C176816"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090107E9"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0799290D"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r>
      <w:tr w:rsidR="00887260" w:rsidRPr="00887260" w14:paraId="723F6106" w14:textId="77777777" w:rsidTr="003764CB">
        <w:trPr>
          <w:trHeight w:val="260"/>
        </w:trPr>
        <w:tc>
          <w:tcPr>
            <w:tcW w:w="4537" w:type="dxa"/>
            <w:tcBorders>
              <w:top w:val="nil"/>
              <w:left w:val="nil"/>
              <w:bottom w:val="nil"/>
              <w:right w:val="nil"/>
            </w:tcBorders>
            <w:shd w:val="clear" w:color="000000" w:fill="FFFFFF"/>
            <w:noWrap/>
            <w:vAlign w:val="bottom"/>
            <w:hideMark/>
          </w:tcPr>
          <w:p w14:paraId="3B4C4F53"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284" w:type="dxa"/>
            <w:tcBorders>
              <w:top w:val="nil"/>
              <w:left w:val="nil"/>
              <w:bottom w:val="nil"/>
              <w:right w:val="nil"/>
            </w:tcBorders>
            <w:shd w:val="clear" w:color="000000" w:fill="FFFFFF"/>
            <w:noWrap/>
            <w:vAlign w:val="bottom"/>
            <w:hideMark/>
          </w:tcPr>
          <w:p w14:paraId="798BF100"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1323" w:type="dxa"/>
            <w:tcBorders>
              <w:top w:val="nil"/>
              <w:left w:val="nil"/>
              <w:bottom w:val="nil"/>
              <w:right w:val="nil"/>
            </w:tcBorders>
            <w:shd w:val="clear" w:color="000000" w:fill="FFFFFF"/>
            <w:noWrap/>
            <w:vAlign w:val="bottom"/>
            <w:hideMark/>
          </w:tcPr>
          <w:p w14:paraId="08A982A4"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6A0587F2"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1429" w:type="dxa"/>
            <w:tcBorders>
              <w:top w:val="nil"/>
              <w:left w:val="nil"/>
              <w:bottom w:val="nil"/>
              <w:right w:val="nil"/>
            </w:tcBorders>
            <w:shd w:val="clear" w:color="000000" w:fill="FFFFFF"/>
            <w:noWrap/>
            <w:vAlign w:val="bottom"/>
            <w:hideMark/>
          </w:tcPr>
          <w:p w14:paraId="713D3BDB"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552E44CE"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1287" w:type="dxa"/>
            <w:tcBorders>
              <w:top w:val="nil"/>
              <w:left w:val="nil"/>
              <w:bottom w:val="nil"/>
              <w:right w:val="nil"/>
            </w:tcBorders>
            <w:shd w:val="clear" w:color="000000" w:fill="FFFFFF"/>
            <w:noWrap/>
            <w:vAlign w:val="bottom"/>
            <w:hideMark/>
          </w:tcPr>
          <w:p w14:paraId="6B12839A"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404F92F2"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47C52C40"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r>
      <w:tr w:rsidR="00887260" w:rsidRPr="00887260" w14:paraId="14EDCA15" w14:textId="77777777" w:rsidTr="003764CB">
        <w:trPr>
          <w:trHeight w:val="260"/>
        </w:trPr>
        <w:tc>
          <w:tcPr>
            <w:tcW w:w="4537" w:type="dxa"/>
            <w:tcBorders>
              <w:top w:val="nil"/>
              <w:left w:val="nil"/>
              <w:bottom w:val="nil"/>
              <w:right w:val="nil"/>
            </w:tcBorders>
            <w:shd w:val="clear" w:color="auto" w:fill="auto"/>
            <w:noWrap/>
            <w:vAlign w:val="bottom"/>
            <w:hideMark/>
          </w:tcPr>
          <w:p w14:paraId="047A11DA"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7 Other Gains and Losses</w:t>
            </w:r>
          </w:p>
        </w:tc>
        <w:tc>
          <w:tcPr>
            <w:tcW w:w="284" w:type="dxa"/>
            <w:tcBorders>
              <w:top w:val="nil"/>
              <w:left w:val="nil"/>
              <w:bottom w:val="nil"/>
              <w:right w:val="nil"/>
            </w:tcBorders>
            <w:shd w:val="clear" w:color="auto" w:fill="auto"/>
            <w:noWrap/>
            <w:vAlign w:val="bottom"/>
            <w:hideMark/>
          </w:tcPr>
          <w:p w14:paraId="5A0B969C" w14:textId="77777777" w:rsidR="00887260" w:rsidRPr="00887260" w:rsidRDefault="00887260" w:rsidP="009158F2">
            <w:pPr>
              <w:spacing w:before="0" w:after="0"/>
              <w:contextualSpacing/>
              <w:rPr>
                <w:rFonts w:eastAsia="Times New Roman" w:cs="Arial"/>
                <w:b/>
                <w:bCs/>
                <w:sz w:val="20"/>
                <w:szCs w:val="20"/>
                <w:lang w:eastAsia="en-GB"/>
              </w:rPr>
            </w:pPr>
          </w:p>
        </w:tc>
        <w:tc>
          <w:tcPr>
            <w:tcW w:w="1323" w:type="dxa"/>
            <w:tcBorders>
              <w:top w:val="nil"/>
              <w:left w:val="nil"/>
              <w:bottom w:val="nil"/>
              <w:right w:val="nil"/>
            </w:tcBorders>
            <w:shd w:val="clear" w:color="auto" w:fill="auto"/>
            <w:noWrap/>
            <w:vAlign w:val="bottom"/>
            <w:hideMark/>
          </w:tcPr>
          <w:p w14:paraId="099DC447"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047F96F6"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429" w:type="dxa"/>
            <w:tcBorders>
              <w:top w:val="nil"/>
              <w:left w:val="nil"/>
              <w:bottom w:val="nil"/>
              <w:right w:val="nil"/>
            </w:tcBorders>
            <w:shd w:val="clear" w:color="auto" w:fill="auto"/>
            <w:noWrap/>
            <w:vAlign w:val="bottom"/>
            <w:hideMark/>
          </w:tcPr>
          <w:p w14:paraId="2DCF1391"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7C2E5DFD"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287" w:type="dxa"/>
            <w:tcBorders>
              <w:top w:val="nil"/>
              <w:left w:val="nil"/>
              <w:bottom w:val="nil"/>
              <w:right w:val="nil"/>
            </w:tcBorders>
            <w:shd w:val="clear" w:color="000000" w:fill="FFFFFF"/>
            <w:noWrap/>
            <w:vAlign w:val="bottom"/>
            <w:hideMark/>
          </w:tcPr>
          <w:p w14:paraId="19D8BB95"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2AA10298"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1200" w:type="dxa"/>
            <w:tcBorders>
              <w:top w:val="nil"/>
              <w:left w:val="nil"/>
              <w:bottom w:val="nil"/>
              <w:right w:val="nil"/>
            </w:tcBorders>
            <w:shd w:val="clear" w:color="000000" w:fill="FFFFFF"/>
            <w:noWrap/>
            <w:vAlign w:val="bottom"/>
            <w:hideMark/>
          </w:tcPr>
          <w:p w14:paraId="7DED5549"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r>
      <w:tr w:rsidR="00887260" w:rsidRPr="00887260" w14:paraId="646EBEB0" w14:textId="77777777" w:rsidTr="003764CB">
        <w:trPr>
          <w:trHeight w:val="520"/>
        </w:trPr>
        <w:tc>
          <w:tcPr>
            <w:tcW w:w="4537" w:type="dxa"/>
            <w:tcBorders>
              <w:top w:val="nil"/>
              <w:left w:val="nil"/>
              <w:bottom w:val="nil"/>
              <w:right w:val="nil"/>
            </w:tcBorders>
            <w:shd w:val="clear" w:color="auto" w:fill="auto"/>
            <w:noWrap/>
            <w:vAlign w:val="bottom"/>
            <w:hideMark/>
          </w:tcPr>
          <w:p w14:paraId="715A73D0" w14:textId="77777777" w:rsidR="00887260" w:rsidRPr="00887260" w:rsidRDefault="00887260" w:rsidP="009158F2">
            <w:pPr>
              <w:spacing w:before="0" w:after="0"/>
              <w:contextualSpacing/>
              <w:rPr>
                <w:rFonts w:eastAsia="Times New Roman" w:cs="Arial"/>
                <w:b/>
                <w:bCs/>
                <w:sz w:val="20"/>
                <w:szCs w:val="20"/>
                <w:lang w:eastAsia="en-GB"/>
              </w:rPr>
            </w:pPr>
          </w:p>
        </w:tc>
        <w:tc>
          <w:tcPr>
            <w:tcW w:w="284" w:type="dxa"/>
            <w:tcBorders>
              <w:top w:val="nil"/>
              <w:left w:val="nil"/>
              <w:bottom w:val="nil"/>
              <w:right w:val="nil"/>
            </w:tcBorders>
            <w:shd w:val="clear" w:color="auto" w:fill="auto"/>
            <w:noWrap/>
            <w:vAlign w:val="bottom"/>
            <w:hideMark/>
          </w:tcPr>
          <w:p w14:paraId="3619E26F"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323" w:type="dxa"/>
            <w:tcBorders>
              <w:top w:val="nil"/>
              <w:left w:val="nil"/>
              <w:bottom w:val="nil"/>
              <w:right w:val="nil"/>
            </w:tcBorders>
            <w:shd w:val="clear" w:color="auto" w:fill="auto"/>
            <w:noWrap/>
            <w:vAlign w:val="bottom"/>
            <w:hideMark/>
          </w:tcPr>
          <w:p w14:paraId="1A1084C8"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06C2B8F0"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429" w:type="dxa"/>
            <w:tcBorders>
              <w:top w:val="nil"/>
              <w:left w:val="nil"/>
              <w:bottom w:val="nil"/>
              <w:right w:val="nil"/>
            </w:tcBorders>
            <w:shd w:val="clear" w:color="auto" w:fill="auto"/>
            <w:noWrap/>
            <w:vAlign w:val="bottom"/>
            <w:hideMark/>
          </w:tcPr>
          <w:p w14:paraId="773D7F37"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0D464B62"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287" w:type="dxa"/>
            <w:tcBorders>
              <w:top w:val="nil"/>
              <w:left w:val="nil"/>
              <w:bottom w:val="nil"/>
              <w:right w:val="nil"/>
            </w:tcBorders>
            <w:shd w:val="clear" w:color="000000" w:fill="FFFFFF"/>
            <w:vAlign w:val="bottom"/>
            <w:hideMark/>
          </w:tcPr>
          <w:p w14:paraId="5CC69F61"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1-Apr-23 to 31-Mar-24</w:t>
            </w:r>
          </w:p>
        </w:tc>
        <w:tc>
          <w:tcPr>
            <w:tcW w:w="272" w:type="dxa"/>
            <w:tcBorders>
              <w:top w:val="nil"/>
              <w:left w:val="nil"/>
              <w:bottom w:val="nil"/>
              <w:right w:val="nil"/>
            </w:tcBorders>
            <w:shd w:val="clear" w:color="000000" w:fill="FFFFFF"/>
            <w:noWrap/>
            <w:vAlign w:val="bottom"/>
            <w:hideMark/>
          </w:tcPr>
          <w:p w14:paraId="4ADD2F98"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200" w:type="dxa"/>
            <w:tcBorders>
              <w:top w:val="nil"/>
              <w:left w:val="nil"/>
              <w:bottom w:val="nil"/>
              <w:right w:val="nil"/>
            </w:tcBorders>
            <w:shd w:val="clear" w:color="auto" w:fill="auto"/>
            <w:vAlign w:val="bottom"/>
            <w:hideMark/>
          </w:tcPr>
          <w:p w14:paraId="2277AE84"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1-Jul-22 to 31-Mar-23</w:t>
            </w:r>
          </w:p>
        </w:tc>
      </w:tr>
      <w:tr w:rsidR="00887260" w:rsidRPr="00887260" w14:paraId="3CE9BC48" w14:textId="77777777" w:rsidTr="003764CB">
        <w:trPr>
          <w:trHeight w:val="260"/>
        </w:trPr>
        <w:tc>
          <w:tcPr>
            <w:tcW w:w="4537" w:type="dxa"/>
            <w:tcBorders>
              <w:top w:val="nil"/>
              <w:left w:val="nil"/>
              <w:bottom w:val="nil"/>
              <w:right w:val="nil"/>
            </w:tcBorders>
            <w:shd w:val="clear" w:color="auto" w:fill="auto"/>
            <w:noWrap/>
            <w:vAlign w:val="bottom"/>
            <w:hideMark/>
          </w:tcPr>
          <w:p w14:paraId="079663BF" w14:textId="77777777" w:rsidR="00887260" w:rsidRPr="00887260" w:rsidRDefault="00887260" w:rsidP="009158F2">
            <w:pPr>
              <w:spacing w:before="0" w:after="0"/>
              <w:contextualSpacing/>
              <w:jc w:val="right"/>
              <w:rPr>
                <w:rFonts w:eastAsia="Times New Roman" w:cs="Arial"/>
                <w:sz w:val="20"/>
                <w:szCs w:val="20"/>
                <w:lang w:eastAsia="en-GB"/>
              </w:rPr>
            </w:pPr>
          </w:p>
        </w:tc>
        <w:tc>
          <w:tcPr>
            <w:tcW w:w="284" w:type="dxa"/>
            <w:tcBorders>
              <w:top w:val="nil"/>
              <w:left w:val="nil"/>
              <w:bottom w:val="nil"/>
              <w:right w:val="nil"/>
            </w:tcBorders>
            <w:shd w:val="clear" w:color="auto" w:fill="auto"/>
            <w:noWrap/>
            <w:vAlign w:val="bottom"/>
            <w:hideMark/>
          </w:tcPr>
          <w:p w14:paraId="2F7D48E4"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323" w:type="dxa"/>
            <w:tcBorders>
              <w:top w:val="nil"/>
              <w:left w:val="nil"/>
              <w:bottom w:val="nil"/>
              <w:right w:val="nil"/>
            </w:tcBorders>
            <w:shd w:val="clear" w:color="auto" w:fill="auto"/>
            <w:noWrap/>
            <w:vAlign w:val="bottom"/>
            <w:hideMark/>
          </w:tcPr>
          <w:p w14:paraId="746216A3"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720B53D0"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429" w:type="dxa"/>
            <w:tcBorders>
              <w:top w:val="nil"/>
              <w:left w:val="nil"/>
              <w:bottom w:val="nil"/>
              <w:right w:val="nil"/>
            </w:tcBorders>
            <w:shd w:val="clear" w:color="auto" w:fill="auto"/>
            <w:noWrap/>
            <w:vAlign w:val="bottom"/>
            <w:hideMark/>
          </w:tcPr>
          <w:p w14:paraId="379B4248"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5A4A9766"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287" w:type="dxa"/>
            <w:tcBorders>
              <w:top w:val="nil"/>
              <w:left w:val="nil"/>
              <w:bottom w:val="nil"/>
              <w:right w:val="nil"/>
            </w:tcBorders>
            <w:shd w:val="clear" w:color="000000" w:fill="FFFFFF"/>
            <w:noWrap/>
            <w:vAlign w:val="bottom"/>
            <w:hideMark/>
          </w:tcPr>
          <w:p w14:paraId="7A9F1CB0"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bottom"/>
            <w:hideMark/>
          </w:tcPr>
          <w:p w14:paraId="451C76B6"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7002F7CF" w14:textId="77777777" w:rsidR="00887260" w:rsidRPr="00887260" w:rsidRDefault="00887260"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£'000</w:t>
            </w:r>
          </w:p>
        </w:tc>
      </w:tr>
      <w:tr w:rsidR="00887260" w:rsidRPr="00887260" w14:paraId="42643497" w14:textId="77777777" w:rsidTr="003764CB">
        <w:trPr>
          <w:trHeight w:val="120"/>
        </w:trPr>
        <w:tc>
          <w:tcPr>
            <w:tcW w:w="4537" w:type="dxa"/>
            <w:tcBorders>
              <w:top w:val="nil"/>
              <w:left w:val="nil"/>
              <w:bottom w:val="nil"/>
              <w:right w:val="nil"/>
            </w:tcBorders>
            <w:shd w:val="clear" w:color="auto" w:fill="auto"/>
            <w:noWrap/>
            <w:vAlign w:val="bottom"/>
            <w:hideMark/>
          </w:tcPr>
          <w:p w14:paraId="6DE8E833" w14:textId="77777777" w:rsidR="00887260" w:rsidRPr="00887260" w:rsidRDefault="00887260" w:rsidP="009158F2">
            <w:pPr>
              <w:spacing w:before="0" w:after="0"/>
              <w:contextualSpacing/>
              <w:jc w:val="right"/>
              <w:rPr>
                <w:rFonts w:eastAsia="Times New Roman" w:cs="Arial"/>
                <w:sz w:val="20"/>
                <w:szCs w:val="20"/>
                <w:lang w:eastAsia="en-GB"/>
              </w:rPr>
            </w:pPr>
          </w:p>
        </w:tc>
        <w:tc>
          <w:tcPr>
            <w:tcW w:w="284" w:type="dxa"/>
            <w:tcBorders>
              <w:top w:val="nil"/>
              <w:left w:val="nil"/>
              <w:bottom w:val="nil"/>
              <w:right w:val="nil"/>
            </w:tcBorders>
            <w:shd w:val="clear" w:color="auto" w:fill="auto"/>
            <w:noWrap/>
            <w:vAlign w:val="bottom"/>
            <w:hideMark/>
          </w:tcPr>
          <w:p w14:paraId="1B20E8C3"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323" w:type="dxa"/>
            <w:tcBorders>
              <w:top w:val="nil"/>
              <w:left w:val="nil"/>
              <w:bottom w:val="nil"/>
              <w:right w:val="nil"/>
            </w:tcBorders>
            <w:shd w:val="clear" w:color="auto" w:fill="auto"/>
            <w:noWrap/>
            <w:vAlign w:val="bottom"/>
            <w:hideMark/>
          </w:tcPr>
          <w:p w14:paraId="588E3A9C"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636B4E3B"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429" w:type="dxa"/>
            <w:tcBorders>
              <w:top w:val="nil"/>
              <w:left w:val="nil"/>
              <w:bottom w:val="nil"/>
              <w:right w:val="nil"/>
            </w:tcBorders>
            <w:shd w:val="clear" w:color="auto" w:fill="auto"/>
            <w:noWrap/>
            <w:vAlign w:val="bottom"/>
            <w:hideMark/>
          </w:tcPr>
          <w:p w14:paraId="26A52C4A"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29A0DA37"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287" w:type="dxa"/>
            <w:tcBorders>
              <w:top w:val="nil"/>
              <w:left w:val="nil"/>
              <w:bottom w:val="nil"/>
              <w:right w:val="nil"/>
            </w:tcBorders>
            <w:shd w:val="clear" w:color="000000" w:fill="FFFFFF"/>
            <w:noWrap/>
            <w:vAlign w:val="bottom"/>
            <w:hideMark/>
          </w:tcPr>
          <w:p w14:paraId="1AE046D3"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909D423"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791C0121" w14:textId="77777777" w:rsidR="00887260" w:rsidRPr="00887260" w:rsidRDefault="00887260"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r>
      <w:tr w:rsidR="0004149A" w:rsidRPr="00887260" w14:paraId="7ED6DBC0" w14:textId="77777777" w:rsidTr="00BF03D6">
        <w:trPr>
          <w:trHeight w:val="250"/>
        </w:trPr>
        <w:tc>
          <w:tcPr>
            <w:tcW w:w="7845" w:type="dxa"/>
            <w:gridSpan w:val="5"/>
            <w:tcBorders>
              <w:top w:val="nil"/>
              <w:left w:val="nil"/>
              <w:bottom w:val="nil"/>
              <w:right w:val="nil"/>
            </w:tcBorders>
            <w:shd w:val="clear" w:color="auto" w:fill="auto"/>
            <w:noWrap/>
            <w:vAlign w:val="bottom"/>
            <w:hideMark/>
          </w:tcPr>
          <w:p w14:paraId="5CE07994" w14:textId="46F48FAC" w:rsidR="0004149A" w:rsidRPr="00887260" w:rsidRDefault="0004149A" w:rsidP="009158F2">
            <w:pPr>
              <w:spacing w:before="0" w:after="0"/>
              <w:contextualSpacing/>
              <w:rPr>
                <w:rFonts w:ascii="Times New Roman" w:eastAsia="Times New Roman" w:hAnsi="Times New Roman" w:cs="Times New Roman"/>
                <w:sz w:val="20"/>
                <w:szCs w:val="20"/>
                <w:lang w:eastAsia="en-GB"/>
              </w:rPr>
            </w:pPr>
            <w:r w:rsidRPr="00887260">
              <w:rPr>
                <w:rFonts w:eastAsia="Times New Roman" w:cs="Arial"/>
                <w:sz w:val="20"/>
                <w:szCs w:val="20"/>
                <w:lang w:eastAsia="en-GB"/>
              </w:rPr>
              <w:t>Gain/(loss) on disposal of right-of-use assets other than by sale</w:t>
            </w:r>
          </w:p>
        </w:tc>
        <w:tc>
          <w:tcPr>
            <w:tcW w:w="272" w:type="dxa"/>
            <w:tcBorders>
              <w:top w:val="nil"/>
              <w:left w:val="nil"/>
              <w:bottom w:val="nil"/>
              <w:right w:val="nil"/>
            </w:tcBorders>
            <w:shd w:val="clear" w:color="auto" w:fill="auto"/>
            <w:noWrap/>
            <w:vAlign w:val="bottom"/>
            <w:hideMark/>
          </w:tcPr>
          <w:p w14:paraId="2AA51D33" w14:textId="77777777" w:rsidR="0004149A" w:rsidRPr="00887260" w:rsidRDefault="0004149A" w:rsidP="009158F2">
            <w:pPr>
              <w:spacing w:before="0" w:after="0"/>
              <w:contextualSpacing/>
              <w:rPr>
                <w:rFonts w:ascii="Times New Roman" w:eastAsia="Times New Roman" w:hAnsi="Times New Roman" w:cs="Times New Roman"/>
                <w:sz w:val="20"/>
                <w:szCs w:val="20"/>
                <w:lang w:eastAsia="en-GB"/>
              </w:rPr>
            </w:pPr>
          </w:p>
        </w:tc>
        <w:tc>
          <w:tcPr>
            <w:tcW w:w="1287" w:type="dxa"/>
            <w:tcBorders>
              <w:top w:val="nil"/>
              <w:left w:val="nil"/>
              <w:bottom w:val="nil"/>
              <w:right w:val="nil"/>
            </w:tcBorders>
            <w:shd w:val="clear" w:color="000000" w:fill="FFFFFF"/>
            <w:noWrap/>
            <w:vAlign w:val="bottom"/>
            <w:hideMark/>
          </w:tcPr>
          <w:p w14:paraId="1B5DFFBA" w14:textId="77777777" w:rsidR="0004149A" w:rsidRPr="00887260" w:rsidRDefault="0004149A"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6</w:t>
            </w:r>
          </w:p>
        </w:tc>
        <w:tc>
          <w:tcPr>
            <w:tcW w:w="272" w:type="dxa"/>
            <w:tcBorders>
              <w:top w:val="nil"/>
              <w:left w:val="nil"/>
              <w:bottom w:val="nil"/>
              <w:right w:val="nil"/>
            </w:tcBorders>
            <w:shd w:val="clear" w:color="000000" w:fill="FFFFFF"/>
            <w:noWrap/>
            <w:vAlign w:val="bottom"/>
            <w:hideMark/>
          </w:tcPr>
          <w:p w14:paraId="00284004" w14:textId="77777777" w:rsidR="0004149A" w:rsidRPr="00887260" w:rsidRDefault="0004149A" w:rsidP="009158F2">
            <w:pPr>
              <w:spacing w:before="0" w:after="0"/>
              <w:contextualSpacing/>
              <w:rPr>
                <w:rFonts w:eastAsia="Times New Roman" w:cs="Arial"/>
                <w:sz w:val="20"/>
                <w:szCs w:val="20"/>
                <w:lang w:eastAsia="en-GB"/>
              </w:rPr>
            </w:pPr>
            <w:r w:rsidRPr="00887260">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232C8AD5" w14:textId="77777777" w:rsidR="0004149A" w:rsidRPr="00887260" w:rsidRDefault="0004149A" w:rsidP="009158F2">
            <w:pPr>
              <w:spacing w:before="0" w:after="0"/>
              <w:contextualSpacing/>
              <w:jc w:val="right"/>
              <w:rPr>
                <w:rFonts w:eastAsia="Times New Roman" w:cs="Arial"/>
                <w:sz w:val="20"/>
                <w:szCs w:val="20"/>
                <w:lang w:eastAsia="en-GB"/>
              </w:rPr>
            </w:pPr>
            <w:r w:rsidRPr="00887260">
              <w:rPr>
                <w:rFonts w:eastAsia="Times New Roman" w:cs="Arial"/>
                <w:sz w:val="20"/>
                <w:szCs w:val="20"/>
                <w:lang w:eastAsia="en-GB"/>
              </w:rPr>
              <w:t>(6)</w:t>
            </w:r>
          </w:p>
        </w:tc>
      </w:tr>
      <w:tr w:rsidR="00887260" w:rsidRPr="00887260" w14:paraId="410857F1" w14:textId="77777777" w:rsidTr="003764CB">
        <w:trPr>
          <w:trHeight w:val="260"/>
        </w:trPr>
        <w:tc>
          <w:tcPr>
            <w:tcW w:w="4537" w:type="dxa"/>
            <w:tcBorders>
              <w:top w:val="nil"/>
              <w:left w:val="nil"/>
              <w:bottom w:val="nil"/>
              <w:right w:val="nil"/>
            </w:tcBorders>
            <w:shd w:val="clear" w:color="auto" w:fill="auto"/>
            <w:noWrap/>
            <w:vAlign w:val="bottom"/>
            <w:hideMark/>
          </w:tcPr>
          <w:p w14:paraId="13B96331"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Total</w:t>
            </w:r>
          </w:p>
        </w:tc>
        <w:tc>
          <w:tcPr>
            <w:tcW w:w="284" w:type="dxa"/>
            <w:tcBorders>
              <w:top w:val="nil"/>
              <w:left w:val="nil"/>
              <w:bottom w:val="nil"/>
              <w:right w:val="nil"/>
            </w:tcBorders>
            <w:shd w:val="clear" w:color="auto" w:fill="auto"/>
            <w:noWrap/>
            <w:vAlign w:val="bottom"/>
            <w:hideMark/>
          </w:tcPr>
          <w:p w14:paraId="4A1F0DD1" w14:textId="77777777" w:rsidR="00887260" w:rsidRPr="00887260" w:rsidRDefault="00887260" w:rsidP="009158F2">
            <w:pPr>
              <w:spacing w:before="0" w:after="0"/>
              <w:contextualSpacing/>
              <w:rPr>
                <w:rFonts w:eastAsia="Times New Roman" w:cs="Arial"/>
                <w:b/>
                <w:bCs/>
                <w:sz w:val="20"/>
                <w:szCs w:val="20"/>
                <w:lang w:eastAsia="en-GB"/>
              </w:rPr>
            </w:pPr>
          </w:p>
        </w:tc>
        <w:tc>
          <w:tcPr>
            <w:tcW w:w="1323" w:type="dxa"/>
            <w:tcBorders>
              <w:top w:val="nil"/>
              <w:left w:val="nil"/>
              <w:bottom w:val="nil"/>
              <w:right w:val="nil"/>
            </w:tcBorders>
            <w:shd w:val="clear" w:color="auto" w:fill="auto"/>
            <w:noWrap/>
            <w:vAlign w:val="bottom"/>
            <w:hideMark/>
          </w:tcPr>
          <w:p w14:paraId="2461DB8D"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593074C8"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429" w:type="dxa"/>
            <w:tcBorders>
              <w:top w:val="nil"/>
              <w:left w:val="nil"/>
              <w:bottom w:val="nil"/>
              <w:right w:val="nil"/>
            </w:tcBorders>
            <w:shd w:val="clear" w:color="auto" w:fill="auto"/>
            <w:noWrap/>
            <w:vAlign w:val="bottom"/>
            <w:hideMark/>
          </w:tcPr>
          <w:p w14:paraId="32FCFE37"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2EB14A7D" w14:textId="77777777" w:rsidR="00887260" w:rsidRPr="00887260" w:rsidRDefault="00887260" w:rsidP="009158F2">
            <w:pPr>
              <w:spacing w:before="0" w:after="0"/>
              <w:contextualSpacing/>
              <w:rPr>
                <w:rFonts w:ascii="Times New Roman" w:eastAsia="Times New Roman" w:hAnsi="Times New Roman" w:cs="Times New Roman"/>
                <w:sz w:val="20"/>
                <w:szCs w:val="20"/>
                <w:lang w:eastAsia="en-GB"/>
              </w:rPr>
            </w:pPr>
          </w:p>
        </w:tc>
        <w:tc>
          <w:tcPr>
            <w:tcW w:w="1287" w:type="dxa"/>
            <w:tcBorders>
              <w:top w:val="single" w:sz="4" w:space="0" w:color="auto"/>
              <w:left w:val="nil"/>
              <w:bottom w:val="single" w:sz="4" w:space="0" w:color="auto"/>
              <w:right w:val="nil"/>
            </w:tcBorders>
            <w:shd w:val="clear" w:color="000000" w:fill="FFFFFF"/>
            <w:noWrap/>
            <w:vAlign w:val="bottom"/>
            <w:hideMark/>
          </w:tcPr>
          <w:p w14:paraId="62837453"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6</w:t>
            </w:r>
          </w:p>
        </w:tc>
        <w:tc>
          <w:tcPr>
            <w:tcW w:w="272" w:type="dxa"/>
            <w:tcBorders>
              <w:top w:val="nil"/>
              <w:left w:val="nil"/>
              <w:bottom w:val="nil"/>
              <w:right w:val="nil"/>
            </w:tcBorders>
            <w:shd w:val="clear" w:color="000000" w:fill="FFFFFF"/>
            <w:noWrap/>
            <w:vAlign w:val="bottom"/>
            <w:hideMark/>
          </w:tcPr>
          <w:p w14:paraId="681288F7" w14:textId="77777777" w:rsidR="00887260" w:rsidRPr="00887260" w:rsidRDefault="00887260" w:rsidP="009158F2">
            <w:pPr>
              <w:spacing w:before="0" w:after="0"/>
              <w:contextualSpacing/>
              <w:rPr>
                <w:rFonts w:eastAsia="Times New Roman" w:cs="Arial"/>
                <w:b/>
                <w:bCs/>
                <w:sz w:val="20"/>
                <w:szCs w:val="20"/>
                <w:lang w:eastAsia="en-GB"/>
              </w:rPr>
            </w:pPr>
            <w:r w:rsidRPr="00887260">
              <w:rPr>
                <w:rFonts w:eastAsia="Times New Roman" w:cs="Arial"/>
                <w:b/>
                <w:bCs/>
                <w:sz w:val="20"/>
                <w:szCs w:val="20"/>
                <w:lang w:eastAsia="en-GB"/>
              </w:rPr>
              <w:t> </w:t>
            </w:r>
          </w:p>
        </w:tc>
        <w:tc>
          <w:tcPr>
            <w:tcW w:w="1200" w:type="dxa"/>
            <w:tcBorders>
              <w:top w:val="single" w:sz="4" w:space="0" w:color="auto"/>
              <w:left w:val="nil"/>
              <w:bottom w:val="single" w:sz="4" w:space="0" w:color="auto"/>
              <w:right w:val="nil"/>
            </w:tcBorders>
            <w:shd w:val="clear" w:color="000000" w:fill="FFFFFF"/>
            <w:noWrap/>
            <w:vAlign w:val="bottom"/>
            <w:hideMark/>
          </w:tcPr>
          <w:p w14:paraId="2A1D4C64" w14:textId="77777777" w:rsidR="00887260" w:rsidRPr="00887260" w:rsidRDefault="00887260" w:rsidP="009158F2">
            <w:pPr>
              <w:spacing w:before="0" w:after="0"/>
              <w:contextualSpacing/>
              <w:jc w:val="right"/>
              <w:rPr>
                <w:rFonts w:eastAsia="Times New Roman" w:cs="Arial"/>
                <w:b/>
                <w:bCs/>
                <w:sz w:val="20"/>
                <w:szCs w:val="20"/>
                <w:lang w:eastAsia="en-GB"/>
              </w:rPr>
            </w:pPr>
            <w:r w:rsidRPr="00887260">
              <w:rPr>
                <w:rFonts w:eastAsia="Times New Roman" w:cs="Arial"/>
                <w:b/>
                <w:bCs/>
                <w:sz w:val="20"/>
                <w:szCs w:val="20"/>
                <w:lang w:eastAsia="en-GB"/>
              </w:rPr>
              <w:t>(6)</w:t>
            </w:r>
          </w:p>
        </w:tc>
      </w:tr>
    </w:tbl>
    <w:p w14:paraId="07A1C858" w14:textId="5853BF45" w:rsidR="00061BA6" w:rsidRDefault="00061BA6" w:rsidP="00C70A7F">
      <w:pPr>
        <w:spacing w:before="0" w:after="200" w:line="276" w:lineRule="auto"/>
      </w:pPr>
    </w:p>
    <w:p w14:paraId="1FDDAAC3" w14:textId="77777777" w:rsidR="00061BA6" w:rsidRDefault="00061BA6">
      <w:pPr>
        <w:spacing w:before="0" w:after="200" w:line="276" w:lineRule="auto"/>
      </w:pPr>
      <w:r>
        <w:br w:type="page"/>
      </w:r>
    </w:p>
    <w:tbl>
      <w:tblPr>
        <w:tblW w:w="9324" w:type="dxa"/>
        <w:tblLook w:val="04A0" w:firstRow="1" w:lastRow="0" w:firstColumn="1" w:lastColumn="0" w:noHBand="0" w:noVBand="1"/>
      </w:tblPr>
      <w:tblGrid>
        <w:gridCol w:w="6260"/>
        <w:gridCol w:w="272"/>
        <w:gridCol w:w="1320"/>
        <w:gridCol w:w="272"/>
        <w:gridCol w:w="1200"/>
      </w:tblGrid>
      <w:tr w:rsidR="00061BA6" w:rsidRPr="00061BA6" w14:paraId="79457684" w14:textId="77777777" w:rsidTr="00061BA6">
        <w:trPr>
          <w:trHeight w:val="260"/>
        </w:trPr>
        <w:tc>
          <w:tcPr>
            <w:tcW w:w="9324" w:type="dxa"/>
            <w:gridSpan w:val="5"/>
            <w:tcBorders>
              <w:top w:val="nil"/>
              <w:left w:val="nil"/>
              <w:bottom w:val="nil"/>
            </w:tcBorders>
            <w:shd w:val="clear" w:color="auto" w:fill="auto"/>
            <w:noWrap/>
            <w:vAlign w:val="bottom"/>
            <w:hideMark/>
          </w:tcPr>
          <w:p w14:paraId="4663AF36" w14:textId="374A6C67" w:rsidR="00061BA6" w:rsidRPr="00061BA6" w:rsidRDefault="00061BA6" w:rsidP="00061BA6">
            <w:pPr>
              <w:spacing w:before="0" w:after="0"/>
              <w:rPr>
                <w:rFonts w:ascii="Times New Roman" w:eastAsia="Times New Roman" w:hAnsi="Times New Roman" w:cs="Times New Roman"/>
                <w:sz w:val="20"/>
                <w:szCs w:val="20"/>
                <w:lang w:eastAsia="en-GB"/>
              </w:rPr>
            </w:pPr>
            <w:r w:rsidRPr="00061BA6">
              <w:rPr>
                <w:rFonts w:eastAsia="Times New Roman" w:cs="Arial"/>
                <w:i/>
                <w:iCs/>
                <w:sz w:val="20"/>
                <w:szCs w:val="20"/>
                <w:lang w:eastAsia="en-GB"/>
              </w:rPr>
              <w:lastRenderedPageBreak/>
              <w:t>NHS Mid and South Essex Integrated Care Board - Statutory Accounts 2023-24</w:t>
            </w:r>
          </w:p>
        </w:tc>
      </w:tr>
      <w:tr w:rsidR="00061BA6" w:rsidRPr="00061BA6" w14:paraId="223DBB26" w14:textId="77777777" w:rsidTr="00061BA6">
        <w:trPr>
          <w:trHeight w:val="250"/>
        </w:trPr>
        <w:tc>
          <w:tcPr>
            <w:tcW w:w="6260" w:type="dxa"/>
            <w:tcBorders>
              <w:top w:val="nil"/>
              <w:left w:val="nil"/>
              <w:bottom w:val="nil"/>
              <w:right w:val="nil"/>
            </w:tcBorders>
            <w:shd w:val="clear" w:color="auto" w:fill="auto"/>
            <w:noWrap/>
            <w:vAlign w:val="bottom"/>
            <w:hideMark/>
          </w:tcPr>
          <w:p w14:paraId="78E0A63A"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5D55FE13"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c>
          <w:tcPr>
            <w:tcW w:w="1320" w:type="dxa"/>
            <w:tcBorders>
              <w:top w:val="nil"/>
              <w:left w:val="nil"/>
              <w:bottom w:val="nil"/>
              <w:right w:val="nil"/>
            </w:tcBorders>
            <w:shd w:val="clear" w:color="auto" w:fill="auto"/>
            <w:noWrap/>
            <w:vAlign w:val="bottom"/>
            <w:hideMark/>
          </w:tcPr>
          <w:p w14:paraId="4700F43F"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0AA6EA75"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c>
          <w:tcPr>
            <w:tcW w:w="1200" w:type="dxa"/>
            <w:tcBorders>
              <w:top w:val="nil"/>
              <w:left w:val="nil"/>
              <w:bottom w:val="nil"/>
              <w:right w:val="nil"/>
            </w:tcBorders>
            <w:shd w:val="clear" w:color="auto" w:fill="auto"/>
            <w:noWrap/>
            <w:vAlign w:val="bottom"/>
            <w:hideMark/>
          </w:tcPr>
          <w:p w14:paraId="407D4E9D"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r>
      <w:tr w:rsidR="00061BA6" w:rsidRPr="00061BA6" w14:paraId="126EACED" w14:textId="77777777" w:rsidTr="00061BA6">
        <w:trPr>
          <w:trHeight w:val="260"/>
        </w:trPr>
        <w:tc>
          <w:tcPr>
            <w:tcW w:w="6260" w:type="dxa"/>
            <w:tcBorders>
              <w:top w:val="nil"/>
              <w:left w:val="nil"/>
              <w:bottom w:val="nil"/>
              <w:right w:val="nil"/>
            </w:tcBorders>
            <w:shd w:val="clear" w:color="auto" w:fill="auto"/>
            <w:noWrap/>
            <w:vAlign w:val="bottom"/>
            <w:hideMark/>
          </w:tcPr>
          <w:p w14:paraId="354159AD" w14:textId="77777777" w:rsidR="00061BA6" w:rsidRPr="00061BA6" w:rsidRDefault="00061BA6" w:rsidP="00061BA6">
            <w:pPr>
              <w:spacing w:before="0" w:after="0"/>
              <w:rPr>
                <w:rFonts w:eastAsia="Times New Roman" w:cs="Arial"/>
                <w:b/>
                <w:bCs/>
                <w:sz w:val="20"/>
                <w:szCs w:val="20"/>
                <w:lang w:eastAsia="en-GB"/>
              </w:rPr>
            </w:pPr>
            <w:r w:rsidRPr="00061BA6">
              <w:rPr>
                <w:rFonts w:eastAsia="Times New Roman" w:cs="Arial"/>
                <w:b/>
                <w:bCs/>
                <w:sz w:val="20"/>
                <w:szCs w:val="20"/>
                <w:lang w:eastAsia="en-GB"/>
              </w:rPr>
              <w:t>8 Finance Costs</w:t>
            </w:r>
          </w:p>
        </w:tc>
        <w:tc>
          <w:tcPr>
            <w:tcW w:w="272" w:type="dxa"/>
            <w:tcBorders>
              <w:top w:val="nil"/>
              <w:left w:val="nil"/>
              <w:bottom w:val="nil"/>
              <w:right w:val="nil"/>
            </w:tcBorders>
            <w:shd w:val="clear" w:color="auto" w:fill="auto"/>
            <w:noWrap/>
            <w:vAlign w:val="bottom"/>
            <w:hideMark/>
          </w:tcPr>
          <w:p w14:paraId="271A1685" w14:textId="77777777" w:rsidR="00061BA6" w:rsidRPr="00061BA6" w:rsidRDefault="00061BA6" w:rsidP="00061BA6">
            <w:pPr>
              <w:spacing w:before="0" w:after="0"/>
              <w:rPr>
                <w:rFonts w:eastAsia="Times New Roman" w:cs="Arial"/>
                <w:b/>
                <w:bCs/>
                <w:sz w:val="20"/>
                <w:szCs w:val="20"/>
                <w:lang w:eastAsia="en-GB"/>
              </w:rPr>
            </w:pPr>
          </w:p>
        </w:tc>
        <w:tc>
          <w:tcPr>
            <w:tcW w:w="1320" w:type="dxa"/>
            <w:tcBorders>
              <w:top w:val="nil"/>
              <w:left w:val="nil"/>
              <w:bottom w:val="nil"/>
              <w:right w:val="nil"/>
            </w:tcBorders>
            <w:shd w:val="clear" w:color="auto" w:fill="auto"/>
            <w:noWrap/>
            <w:vAlign w:val="bottom"/>
            <w:hideMark/>
          </w:tcPr>
          <w:p w14:paraId="2EDEA989"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000000" w:fill="FFFFFF"/>
            <w:noWrap/>
            <w:vAlign w:val="bottom"/>
            <w:hideMark/>
          </w:tcPr>
          <w:p w14:paraId="2F1AAF9B"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2DCFA80C"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r>
      <w:tr w:rsidR="00061BA6" w:rsidRPr="00061BA6" w14:paraId="5E49B8AC" w14:textId="77777777" w:rsidTr="00061BA6">
        <w:trPr>
          <w:trHeight w:val="120"/>
        </w:trPr>
        <w:tc>
          <w:tcPr>
            <w:tcW w:w="6260" w:type="dxa"/>
            <w:tcBorders>
              <w:top w:val="nil"/>
              <w:left w:val="nil"/>
              <w:bottom w:val="nil"/>
              <w:right w:val="nil"/>
            </w:tcBorders>
            <w:shd w:val="clear" w:color="auto" w:fill="auto"/>
            <w:noWrap/>
            <w:vAlign w:val="bottom"/>
            <w:hideMark/>
          </w:tcPr>
          <w:p w14:paraId="3AECCE66" w14:textId="77777777" w:rsidR="00061BA6" w:rsidRPr="00061BA6" w:rsidRDefault="00061BA6" w:rsidP="00061BA6">
            <w:pPr>
              <w:spacing w:before="0" w:after="0"/>
              <w:rPr>
                <w:rFonts w:eastAsia="Times New Roman" w:cs="Arial"/>
                <w:sz w:val="20"/>
                <w:szCs w:val="20"/>
                <w:lang w:eastAsia="en-GB"/>
              </w:rPr>
            </w:pPr>
          </w:p>
        </w:tc>
        <w:tc>
          <w:tcPr>
            <w:tcW w:w="272" w:type="dxa"/>
            <w:tcBorders>
              <w:top w:val="nil"/>
              <w:left w:val="nil"/>
              <w:bottom w:val="nil"/>
              <w:right w:val="nil"/>
            </w:tcBorders>
            <w:shd w:val="clear" w:color="auto" w:fill="auto"/>
            <w:noWrap/>
            <w:vAlign w:val="bottom"/>
            <w:hideMark/>
          </w:tcPr>
          <w:p w14:paraId="29B6F1C7"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c>
          <w:tcPr>
            <w:tcW w:w="1320" w:type="dxa"/>
            <w:tcBorders>
              <w:top w:val="nil"/>
              <w:left w:val="nil"/>
              <w:bottom w:val="nil"/>
              <w:right w:val="nil"/>
            </w:tcBorders>
            <w:shd w:val="clear" w:color="000000" w:fill="FFFFFF"/>
            <w:noWrap/>
            <w:vAlign w:val="bottom"/>
            <w:hideMark/>
          </w:tcPr>
          <w:p w14:paraId="6A662726"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BF8BE0F"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40A03CCF"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r>
      <w:tr w:rsidR="00061BA6" w:rsidRPr="00061BA6" w14:paraId="6D7C4C1D" w14:textId="77777777" w:rsidTr="00061BA6">
        <w:trPr>
          <w:trHeight w:val="520"/>
        </w:trPr>
        <w:tc>
          <w:tcPr>
            <w:tcW w:w="6260" w:type="dxa"/>
            <w:tcBorders>
              <w:top w:val="nil"/>
              <w:left w:val="nil"/>
              <w:bottom w:val="nil"/>
              <w:right w:val="nil"/>
            </w:tcBorders>
            <w:shd w:val="clear" w:color="auto" w:fill="auto"/>
            <w:noWrap/>
            <w:vAlign w:val="bottom"/>
            <w:hideMark/>
          </w:tcPr>
          <w:p w14:paraId="4D3E98C4" w14:textId="77777777" w:rsidR="00061BA6" w:rsidRPr="00061BA6" w:rsidRDefault="00061BA6" w:rsidP="00061BA6">
            <w:pPr>
              <w:spacing w:before="0" w:after="0"/>
              <w:rPr>
                <w:rFonts w:eastAsia="Times New Roman" w:cs="Arial"/>
                <w:sz w:val="20"/>
                <w:szCs w:val="20"/>
                <w:lang w:eastAsia="en-GB"/>
              </w:rPr>
            </w:pPr>
          </w:p>
        </w:tc>
        <w:tc>
          <w:tcPr>
            <w:tcW w:w="272" w:type="dxa"/>
            <w:tcBorders>
              <w:top w:val="nil"/>
              <w:left w:val="nil"/>
              <w:bottom w:val="nil"/>
              <w:right w:val="nil"/>
            </w:tcBorders>
            <w:shd w:val="clear" w:color="auto" w:fill="auto"/>
            <w:noWrap/>
            <w:vAlign w:val="bottom"/>
            <w:hideMark/>
          </w:tcPr>
          <w:p w14:paraId="757781D3"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c>
          <w:tcPr>
            <w:tcW w:w="1320" w:type="dxa"/>
            <w:tcBorders>
              <w:top w:val="nil"/>
              <w:left w:val="nil"/>
              <w:bottom w:val="nil"/>
              <w:right w:val="nil"/>
            </w:tcBorders>
            <w:shd w:val="clear" w:color="000000" w:fill="FFFFFF"/>
            <w:vAlign w:val="bottom"/>
            <w:hideMark/>
          </w:tcPr>
          <w:p w14:paraId="04BC67B4" w14:textId="77777777" w:rsidR="00061BA6" w:rsidRPr="00061BA6" w:rsidRDefault="00061BA6" w:rsidP="00061BA6">
            <w:pPr>
              <w:spacing w:before="0" w:after="0"/>
              <w:jc w:val="right"/>
              <w:rPr>
                <w:rFonts w:eastAsia="Times New Roman" w:cs="Arial"/>
                <w:b/>
                <w:bCs/>
                <w:sz w:val="20"/>
                <w:szCs w:val="20"/>
                <w:lang w:eastAsia="en-GB"/>
              </w:rPr>
            </w:pPr>
            <w:r w:rsidRPr="00061BA6">
              <w:rPr>
                <w:rFonts w:eastAsia="Times New Roman" w:cs="Arial"/>
                <w:b/>
                <w:bCs/>
                <w:sz w:val="20"/>
                <w:szCs w:val="20"/>
                <w:lang w:eastAsia="en-GB"/>
              </w:rPr>
              <w:t>1-Apr-23 to 31-Mar-24</w:t>
            </w:r>
          </w:p>
        </w:tc>
        <w:tc>
          <w:tcPr>
            <w:tcW w:w="272" w:type="dxa"/>
            <w:tcBorders>
              <w:top w:val="nil"/>
              <w:left w:val="nil"/>
              <w:bottom w:val="nil"/>
              <w:right w:val="nil"/>
            </w:tcBorders>
            <w:shd w:val="clear" w:color="000000" w:fill="FFFFFF"/>
            <w:noWrap/>
            <w:vAlign w:val="bottom"/>
            <w:hideMark/>
          </w:tcPr>
          <w:p w14:paraId="4AE3152B"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auto" w:fill="auto"/>
            <w:vAlign w:val="bottom"/>
            <w:hideMark/>
          </w:tcPr>
          <w:p w14:paraId="04AFF5FB"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1-Jul-22 to 31-Mar-23</w:t>
            </w:r>
          </w:p>
        </w:tc>
      </w:tr>
      <w:tr w:rsidR="00061BA6" w:rsidRPr="00061BA6" w14:paraId="40AA9A40" w14:textId="77777777" w:rsidTr="00061BA6">
        <w:trPr>
          <w:trHeight w:val="260"/>
        </w:trPr>
        <w:tc>
          <w:tcPr>
            <w:tcW w:w="6260" w:type="dxa"/>
            <w:tcBorders>
              <w:top w:val="nil"/>
              <w:left w:val="nil"/>
              <w:bottom w:val="nil"/>
              <w:right w:val="nil"/>
            </w:tcBorders>
            <w:shd w:val="clear" w:color="auto" w:fill="auto"/>
            <w:noWrap/>
            <w:vAlign w:val="bottom"/>
            <w:hideMark/>
          </w:tcPr>
          <w:p w14:paraId="5480DBA3" w14:textId="77777777" w:rsidR="00061BA6" w:rsidRPr="00061BA6" w:rsidRDefault="00061BA6" w:rsidP="00061BA6">
            <w:pPr>
              <w:spacing w:before="0" w:after="0"/>
              <w:jc w:val="right"/>
              <w:rPr>
                <w:rFonts w:eastAsia="Times New Roman" w:cs="Arial"/>
                <w:sz w:val="20"/>
                <w:szCs w:val="20"/>
                <w:lang w:eastAsia="en-GB"/>
              </w:rPr>
            </w:pPr>
          </w:p>
        </w:tc>
        <w:tc>
          <w:tcPr>
            <w:tcW w:w="272" w:type="dxa"/>
            <w:tcBorders>
              <w:top w:val="nil"/>
              <w:left w:val="nil"/>
              <w:bottom w:val="nil"/>
              <w:right w:val="nil"/>
            </w:tcBorders>
            <w:shd w:val="clear" w:color="auto" w:fill="auto"/>
            <w:noWrap/>
            <w:vAlign w:val="bottom"/>
            <w:hideMark/>
          </w:tcPr>
          <w:p w14:paraId="6E76D3A7"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c>
          <w:tcPr>
            <w:tcW w:w="1320" w:type="dxa"/>
            <w:tcBorders>
              <w:top w:val="nil"/>
              <w:left w:val="nil"/>
              <w:bottom w:val="nil"/>
              <w:right w:val="nil"/>
            </w:tcBorders>
            <w:shd w:val="clear" w:color="000000" w:fill="FFFFFF"/>
            <w:noWrap/>
            <w:vAlign w:val="bottom"/>
            <w:hideMark/>
          </w:tcPr>
          <w:p w14:paraId="5FA2ACE5" w14:textId="77777777" w:rsidR="00061BA6" w:rsidRPr="00061BA6" w:rsidRDefault="00061BA6" w:rsidP="00061BA6">
            <w:pPr>
              <w:spacing w:before="0" w:after="0"/>
              <w:jc w:val="right"/>
              <w:rPr>
                <w:rFonts w:eastAsia="Times New Roman" w:cs="Arial"/>
                <w:b/>
                <w:bCs/>
                <w:sz w:val="20"/>
                <w:szCs w:val="20"/>
                <w:lang w:eastAsia="en-GB"/>
              </w:rPr>
            </w:pPr>
            <w:r w:rsidRPr="00061BA6">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bottom"/>
            <w:hideMark/>
          </w:tcPr>
          <w:p w14:paraId="7ECFB783"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01C01321"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£'000</w:t>
            </w:r>
          </w:p>
        </w:tc>
      </w:tr>
      <w:tr w:rsidR="00061BA6" w:rsidRPr="00061BA6" w14:paraId="463AD2A5" w14:textId="77777777" w:rsidTr="00061BA6">
        <w:trPr>
          <w:trHeight w:val="120"/>
        </w:trPr>
        <w:tc>
          <w:tcPr>
            <w:tcW w:w="6260" w:type="dxa"/>
            <w:tcBorders>
              <w:top w:val="nil"/>
              <w:left w:val="nil"/>
              <w:bottom w:val="nil"/>
              <w:right w:val="nil"/>
            </w:tcBorders>
            <w:shd w:val="clear" w:color="auto" w:fill="auto"/>
            <w:noWrap/>
            <w:vAlign w:val="bottom"/>
            <w:hideMark/>
          </w:tcPr>
          <w:p w14:paraId="6BEC6B1B" w14:textId="77777777" w:rsidR="00061BA6" w:rsidRPr="00061BA6" w:rsidRDefault="00061BA6" w:rsidP="00061BA6">
            <w:pPr>
              <w:spacing w:before="0" w:after="0"/>
              <w:jc w:val="right"/>
              <w:rPr>
                <w:rFonts w:eastAsia="Times New Roman" w:cs="Arial"/>
                <w:sz w:val="20"/>
                <w:szCs w:val="20"/>
                <w:lang w:eastAsia="en-GB"/>
              </w:rPr>
            </w:pPr>
          </w:p>
        </w:tc>
        <w:tc>
          <w:tcPr>
            <w:tcW w:w="272" w:type="dxa"/>
            <w:tcBorders>
              <w:top w:val="nil"/>
              <w:left w:val="nil"/>
              <w:bottom w:val="nil"/>
              <w:right w:val="nil"/>
            </w:tcBorders>
            <w:shd w:val="clear" w:color="auto" w:fill="auto"/>
            <w:noWrap/>
            <w:vAlign w:val="bottom"/>
            <w:hideMark/>
          </w:tcPr>
          <w:p w14:paraId="67D5E431"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c>
          <w:tcPr>
            <w:tcW w:w="1320" w:type="dxa"/>
            <w:tcBorders>
              <w:top w:val="nil"/>
              <w:left w:val="nil"/>
              <w:bottom w:val="nil"/>
              <w:right w:val="nil"/>
            </w:tcBorders>
            <w:shd w:val="clear" w:color="000000" w:fill="FFFFFF"/>
            <w:noWrap/>
            <w:vAlign w:val="bottom"/>
            <w:hideMark/>
          </w:tcPr>
          <w:p w14:paraId="13A00F89" w14:textId="77777777" w:rsidR="00061BA6" w:rsidRPr="00061BA6" w:rsidRDefault="00061BA6" w:rsidP="00061BA6">
            <w:pPr>
              <w:spacing w:before="0" w:after="0"/>
              <w:jc w:val="right"/>
              <w:rPr>
                <w:rFonts w:eastAsia="Times New Roman" w:cs="Arial"/>
                <w:b/>
                <w:bCs/>
                <w:sz w:val="20"/>
                <w:szCs w:val="20"/>
                <w:lang w:eastAsia="en-GB"/>
              </w:rPr>
            </w:pPr>
            <w:r w:rsidRPr="00061BA6">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7E80A52D"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284DA835"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 </w:t>
            </w:r>
          </w:p>
        </w:tc>
      </w:tr>
      <w:tr w:rsidR="00061BA6" w:rsidRPr="00061BA6" w14:paraId="3C10A4AA" w14:textId="77777777" w:rsidTr="00061BA6">
        <w:trPr>
          <w:trHeight w:val="260"/>
        </w:trPr>
        <w:tc>
          <w:tcPr>
            <w:tcW w:w="6260" w:type="dxa"/>
            <w:tcBorders>
              <w:top w:val="nil"/>
              <w:left w:val="nil"/>
              <w:bottom w:val="nil"/>
              <w:right w:val="nil"/>
            </w:tcBorders>
            <w:shd w:val="clear" w:color="auto" w:fill="auto"/>
            <w:noWrap/>
            <w:vAlign w:val="bottom"/>
            <w:hideMark/>
          </w:tcPr>
          <w:p w14:paraId="59AFD22A" w14:textId="77777777" w:rsidR="00061BA6" w:rsidRPr="00061BA6" w:rsidRDefault="00061BA6" w:rsidP="00061BA6">
            <w:pPr>
              <w:spacing w:before="0" w:after="0"/>
              <w:rPr>
                <w:rFonts w:eastAsia="Times New Roman" w:cs="Arial"/>
                <w:b/>
                <w:bCs/>
                <w:sz w:val="20"/>
                <w:szCs w:val="20"/>
                <w:lang w:eastAsia="en-GB"/>
              </w:rPr>
            </w:pPr>
            <w:r w:rsidRPr="00061BA6">
              <w:rPr>
                <w:rFonts w:eastAsia="Times New Roman" w:cs="Arial"/>
                <w:b/>
                <w:bCs/>
                <w:sz w:val="20"/>
                <w:szCs w:val="20"/>
                <w:lang w:eastAsia="en-GB"/>
              </w:rPr>
              <w:t>Interest</w:t>
            </w:r>
          </w:p>
        </w:tc>
        <w:tc>
          <w:tcPr>
            <w:tcW w:w="272" w:type="dxa"/>
            <w:tcBorders>
              <w:top w:val="nil"/>
              <w:left w:val="nil"/>
              <w:bottom w:val="nil"/>
              <w:right w:val="nil"/>
            </w:tcBorders>
            <w:shd w:val="clear" w:color="auto" w:fill="auto"/>
            <w:noWrap/>
            <w:vAlign w:val="bottom"/>
            <w:hideMark/>
          </w:tcPr>
          <w:p w14:paraId="491E8760" w14:textId="77777777" w:rsidR="00061BA6" w:rsidRPr="00061BA6" w:rsidRDefault="00061BA6" w:rsidP="00061BA6">
            <w:pPr>
              <w:spacing w:before="0" w:after="0"/>
              <w:rPr>
                <w:rFonts w:eastAsia="Times New Roman" w:cs="Arial"/>
                <w:b/>
                <w:bCs/>
                <w:sz w:val="20"/>
                <w:szCs w:val="20"/>
                <w:lang w:eastAsia="en-GB"/>
              </w:rPr>
            </w:pPr>
          </w:p>
        </w:tc>
        <w:tc>
          <w:tcPr>
            <w:tcW w:w="1320" w:type="dxa"/>
            <w:tcBorders>
              <w:top w:val="nil"/>
              <w:left w:val="nil"/>
              <w:bottom w:val="nil"/>
              <w:right w:val="nil"/>
            </w:tcBorders>
            <w:shd w:val="clear" w:color="000000" w:fill="FFFFFF"/>
            <w:noWrap/>
            <w:vAlign w:val="bottom"/>
            <w:hideMark/>
          </w:tcPr>
          <w:p w14:paraId="333C39DA"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8844114"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74C170C8"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r>
      <w:tr w:rsidR="00061BA6" w:rsidRPr="00061BA6" w14:paraId="6714E9E0" w14:textId="77777777" w:rsidTr="00061BA6">
        <w:trPr>
          <w:trHeight w:val="250"/>
        </w:trPr>
        <w:tc>
          <w:tcPr>
            <w:tcW w:w="6260" w:type="dxa"/>
            <w:tcBorders>
              <w:top w:val="nil"/>
              <w:left w:val="nil"/>
              <w:bottom w:val="nil"/>
              <w:right w:val="nil"/>
            </w:tcBorders>
            <w:shd w:val="clear" w:color="auto" w:fill="auto"/>
            <w:noWrap/>
            <w:vAlign w:val="bottom"/>
            <w:hideMark/>
          </w:tcPr>
          <w:p w14:paraId="6589D8E9"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Interest on lease liabilities</w:t>
            </w:r>
          </w:p>
        </w:tc>
        <w:tc>
          <w:tcPr>
            <w:tcW w:w="272" w:type="dxa"/>
            <w:tcBorders>
              <w:top w:val="nil"/>
              <w:left w:val="nil"/>
              <w:bottom w:val="nil"/>
              <w:right w:val="nil"/>
            </w:tcBorders>
            <w:shd w:val="clear" w:color="auto" w:fill="auto"/>
            <w:noWrap/>
            <w:vAlign w:val="bottom"/>
            <w:hideMark/>
          </w:tcPr>
          <w:p w14:paraId="74534399" w14:textId="77777777" w:rsidR="00061BA6" w:rsidRPr="00061BA6" w:rsidRDefault="00061BA6" w:rsidP="00061BA6">
            <w:pPr>
              <w:spacing w:before="0" w:after="0"/>
              <w:rPr>
                <w:rFonts w:eastAsia="Times New Roman" w:cs="Arial"/>
                <w:sz w:val="20"/>
                <w:szCs w:val="20"/>
                <w:lang w:eastAsia="en-GB"/>
              </w:rPr>
            </w:pPr>
          </w:p>
        </w:tc>
        <w:tc>
          <w:tcPr>
            <w:tcW w:w="1320" w:type="dxa"/>
            <w:tcBorders>
              <w:top w:val="nil"/>
              <w:left w:val="nil"/>
              <w:bottom w:val="nil"/>
              <w:right w:val="nil"/>
            </w:tcBorders>
            <w:shd w:val="clear" w:color="000000" w:fill="FFFFFF"/>
            <w:noWrap/>
            <w:vAlign w:val="bottom"/>
            <w:hideMark/>
          </w:tcPr>
          <w:p w14:paraId="3955466F"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20</w:t>
            </w:r>
          </w:p>
        </w:tc>
        <w:tc>
          <w:tcPr>
            <w:tcW w:w="272" w:type="dxa"/>
            <w:tcBorders>
              <w:top w:val="nil"/>
              <w:left w:val="nil"/>
              <w:bottom w:val="nil"/>
              <w:right w:val="nil"/>
            </w:tcBorders>
            <w:shd w:val="clear" w:color="000000" w:fill="FFFFFF"/>
            <w:noWrap/>
            <w:vAlign w:val="bottom"/>
            <w:hideMark/>
          </w:tcPr>
          <w:p w14:paraId="177BE1ED"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0696ED29"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19</w:t>
            </w:r>
          </w:p>
        </w:tc>
      </w:tr>
      <w:tr w:rsidR="00061BA6" w:rsidRPr="00061BA6" w14:paraId="473BBB14" w14:textId="77777777" w:rsidTr="00061BA6">
        <w:trPr>
          <w:trHeight w:val="250"/>
        </w:trPr>
        <w:tc>
          <w:tcPr>
            <w:tcW w:w="6260" w:type="dxa"/>
            <w:tcBorders>
              <w:top w:val="nil"/>
              <w:left w:val="nil"/>
              <w:bottom w:val="nil"/>
              <w:right w:val="nil"/>
            </w:tcBorders>
            <w:shd w:val="clear" w:color="auto" w:fill="auto"/>
            <w:noWrap/>
            <w:vAlign w:val="bottom"/>
            <w:hideMark/>
          </w:tcPr>
          <w:p w14:paraId="285D281E"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Interest on late payment of commercial debt</w:t>
            </w:r>
          </w:p>
        </w:tc>
        <w:tc>
          <w:tcPr>
            <w:tcW w:w="272" w:type="dxa"/>
            <w:tcBorders>
              <w:top w:val="nil"/>
              <w:left w:val="nil"/>
              <w:bottom w:val="nil"/>
              <w:right w:val="nil"/>
            </w:tcBorders>
            <w:shd w:val="clear" w:color="auto" w:fill="auto"/>
            <w:noWrap/>
            <w:vAlign w:val="bottom"/>
            <w:hideMark/>
          </w:tcPr>
          <w:p w14:paraId="18D8D666" w14:textId="77777777" w:rsidR="00061BA6" w:rsidRPr="00061BA6" w:rsidRDefault="00061BA6" w:rsidP="00061BA6">
            <w:pPr>
              <w:spacing w:before="0" w:after="0"/>
              <w:rPr>
                <w:rFonts w:eastAsia="Times New Roman" w:cs="Arial"/>
                <w:sz w:val="20"/>
                <w:szCs w:val="20"/>
                <w:lang w:eastAsia="en-GB"/>
              </w:rPr>
            </w:pPr>
          </w:p>
        </w:tc>
        <w:tc>
          <w:tcPr>
            <w:tcW w:w="1320" w:type="dxa"/>
            <w:tcBorders>
              <w:top w:val="nil"/>
              <w:left w:val="nil"/>
              <w:bottom w:val="nil"/>
              <w:right w:val="nil"/>
            </w:tcBorders>
            <w:shd w:val="clear" w:color="000000" w:fill="FFFFFF"/>
            <w:noWrap/>
            <w:vAlign w:val="bottom"/>
            <w:hideMark/>
          </w:tcPr>
          <w:p w14:paraId="51A5D62E"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1</w:t>
            </w:r>
          </w:p>
        </w:tc>
        <w:tc>
          <w:tcPr>
            <w:tcW w:w="272" w:type="dxa"/>
            <w:tcBorders>
              <w:top w:val="nil"/>
              <w:left w:val="nil"/>
              <w:bottom w:val="nil"/>
              <w:right w:val="nil"/>
            </w:tcBorders>
            <w:shd w:val="clear" w:color="000000" w:fill="FFFFFF"/>
            <w:noWrap/>
            <w:vAlign w:val="bottom"/>
            <w:hideMark/>
          </w:tcPr>
          <w:p w14:paraId="6216755B"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12A10B50"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w:t>
            </w:r>
          </w:p>
        </w:tc>
      </w:tr>
      <w:tr w:rsidR="00061BA6" w:rsidRPr="00061BA6" w14:paraId="5477C474" w14:textId="77777777" w:rsidTr="00061BA6">
        <w:trPr>
          <w:trHeight w:val="260"/>
        </w:trPr>
        <w:tc>
          <w:tcPr>
            <w:tcW w:w="6260" w:type="dxa"/>
            <w:tcBorders>
              <w:top w:val="nil"/>
              <w:left w:val="nil"/>
              <w:bottom w:val="nil"/>
              <w:right w:val="nil"/>
            </w:tcBorders>
            <w:shd w:val="clear" w:color="auto" w:fill="auto"/>
            <w:noWrap/>
            <w:vAlign w:val="bottom"/>
            <w:hideMark/>
          </w:tcPr>
          <w:p w14:paraId="5984BEE3" w14:textId="77777777" w:rsidR="00061BA6" w:rsidRPr="00061BA6" w:rsidRDefault="00061BA6" w:rsidP="00061BA6">
            <w:pPr>
              <w:spacing w:before="0" w:after="0"/>
              <w:rPr>
                <w:rFonts w:eastAsia="Times New Roman" w:cs="Arial"/>
                <w:b/>
                <w:bCs/>
                <w:sz w:val="20"/>
                <w:szCs w:val="20"/>
                <w:lang w:eastAsia="en-GB"/>
              </w:rPr>
            </w:pPr>
            <w:r w:rsidRPr="00061BA6">
              <w:rPr>
                <w:rFonts w:eastAsia="Times New Roman" w:cs="Arial"/>
                <w:b/>
                <w:bCs/>
                <w:sz w:val="20"/>
                <w:szCs w:val="20"/>
                <w:lang w:eastAsia="en-GB"/>
              </w:rPr>
              <w:t>Total interest</w:t>
            </w:r>
          </w:p>
        </w:tc>
        <w:tc>
          <w:tcPr>
            <w:tcW w:w="272" w:type="dxa"/>
            <w:tcBorders>
              <w:top w:val="nil"/>
              <w:left w:val="nil"/>
              <w:bottom w:val="nil"/>
              <w:right w:val="nil"/>
            </w:tcBorders>
            <w:shd w:val="clear" w:color="auto" w:fill="auto"/>
            <w:noWrap/>
            <w:vAlign w:val="bottom"/>
            <w:hideMark/>
          </w:tcPr>
          <w:p w14:paraId="549BF563" w14:textId="77777777" w:rsidR="00061BA6" w:rsidRPr="00061BA6" w:rsidRDefault="00061BA6" w:rsidP="00061BA6">
            <w:pPr>
              <w:spacing w:before="0" w:after="0"/>
              <w:rPr>
                <w:rFonts w:eastAsia="Times New Roman" w:cs="Arial"/>
                <w:b/>
                <w:bCs/>
                <w:sz w:val="20"/>
                <w:szCs w:val="20"/>
                <w:lang w:eastAsia="en-GB"/>
              </w:rPr>
            </w:pPr>
          </w:p>
        </w:tc>
        <w:tc>
          <w:tcPr>
            <w:tcW w:w="1320" w:type="dxa"/>
            <w:tcBorders>
              <w:top w:val="single" w:sz="4" w:space="0" w:color="auto"/>
              <w:left w:val="nil"/>
              <w:bottom w:val="single" w:sz="4" w:space="0" w:color="auto"/>
              <w:right w:val="nil"/>
            </w:tcBorders>
            <w:shd w:val="clear" w:color="000000" w:fill="FFFFFF"/>
            <w:noWrap/>
            <w:vAlign w:val="bottom"/>
            <w:hideMark/>
          </w:tcPr>
          <w:p w14:paraId="7E21B885" w14:textId="77777777" w:rsidR="00061BA6" w:rsidRPr="00061BA6" w:rsidRDefault="00061BA6" w:rsidP="00061BA6">
            <w:pPr>
              <w:spacing w:before="0" w:after="0"/>
              <w:jc w:val="right"/>
              <w:rPr>
                <w:rFonts w:eastAsia="Times New Roman" w:cs="Arial"/>
                <w:b/>
                <w:bCs/>
                <w:sz w:val="20"/>
                <w:szCs w:val="20"/>
                <w:lang w:eastAsia="en-GB"/>
              </w:rPr>
            </w:pPr>
            <w:r w:rsidRPr="00061BA6">
              <w:rPr>
                <w:rFonts w:eastAsia="Times New Roman" w:cs="Arial"/>
                <w:b/>
                <w:bCs/>
                <w:sz w:val="20"/>
                <w:szCs w:val="20"/>
                <w:lang w:eastAsia="en-GB"/>
              </w:rPr>
              <w:t>21</w:t>
            </w:r>
          </w:p>
        </w:tc>
        <w:tc>
          <w:tcPr>
            <w:tcW w:w="272" w:type="dxa"/>
            <w:tcBorders>
              <w:top w:val="nil"/>
              <w:left w:val="nil"/>
              <w:bottom w:val="nil"/>
              <w:right w:val="nil"/>
            </w:tcBorders>
            <w:shd w:val="clear" w:color="000000" w:fill="FFFFFF"/>
            <w:noWrap/>
            <w:vAlign w:val="bottom"/>
            <w:hideMark/>
          </w:tcPr>
          <w:p w14:paraId="6EB0B32F"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single" w:sz="4" w:space="0" w:color="auto"/>
              <w:left w:val="nil"/>
              <w:bottom w:val="single" w:sz="4" w:space="0" w:color="auto"/>
              <w:right w:val="nil"/>
            </w:tcBorders>
            <w:shd w:val="clear" w:color="000000" w:fill="FFFFFF"/>
            <w:noWrap/>
            <w:vAlign w:val="bottom"/>
            <w:hideMark/>
          </w:tcPr>
          <w:p w14:paraId="0BD70F6F" w14:textId="77777777" w:rsidR="00061BA6" w:rsidRPr="00061BA6" w:rsidRDefault="00061BA6" w:rsidP="00061BA6">
            <w:pPr>
              <w:spacing w:before="0" w:after="0"/>
              <w:jc w:val="right"/>
              <w:rPr>
                <w:rFonts w:eastAsia="Times New Roman" w:cs="Arial"/>
                <w:b/>
                <w:bCs/>
                <w:sz w:val="20"/>
                <w:szCs w:val="20"/>
                <w:lang w:eastAsia="en-GB"/>
              </w:rPr>
            </w:pPr>
            <w:r w:rsidRPr="00061BA6">
              <w:rPr>
                <w:rFonts w:eastAsia="Times New Roman" w:cs="Arial"/>
                <w:b/>
                <w:bCs/>
                <w:sz w:val="20"/>
                <w:szCs w:val="20"/>
                <w:lang w:eastAsia="en-GB"/>
              </w:rPr>
              <w:t>19</w:t>
            </w:r>
          </w:p>
        </w:tc>
      </w:tr>
      <w:tr w:rsidR="00061BA6" w:rsidRPr="00061BA6" w14:paraId="67095F08" w14:textId="77777777" w:rsidTr="00061BA6">
        <w:trPr>
          <w:trHeight w:val="250"/>
        </w:trPr>
        <w:tc>
          <w:tcPr>
            <w:tcW w:w="6260" w:type="dxa"/>
            <w:tcBorders>
              <w:top w:val="nil"/>
              <w:left w:val="nil"/>
              <w:bottom w:val="nil"/>
              <w:right w:val="nil"/>
            </w:tcBorders>
            <w:shd w:val="clear" w:color="auto" w:fill="auto"/>
            <w:noWrap/>
            <w:vAlign w:val="bottom"/>
            <w:hideMark/>
          </w:tcPr>
          <w:p w14:paraId="11B879A6" w14:textId="77777777" w:rsidR="00061BA6" w:rsidRPr="00061BA6" w:rsidRDefault="00061BA6" w:rsidP="00061BA6">
            <w:pPr>
              <w:spacing w:before="0" w:after="0"/>
              <w:jc w:val="right"/>
              <w:rPr>
                <w:rFonts w:eastAsia="Times New Roman" w:cs="Arial"/>
                <w:b/>
                <w:bCs/>
                <w:sz w:val="20"/>
                <w:szCs w:val="20"/>
                <w:lang w:eastAsia="en-GB"/>
              </w:rPr>
            </w:pPr>
          </w:p>
        </w:tc>
        <w:tc>
          <w:tcPr>
            <w:tcW w:w="272" w:type="dxa"/>
            <w:tcBorders>
              <w:top w:val="nil"/>
              <w:left w:val="nil"/>
              <w:bottom w:val="nil"/>
              <w:right w:val="nil"/>
            </w:tcBorders>
            <w:shd w:val="clear" w:color="auto" w:fill="auto"/>
            <w:noWrap/>
            <w:vAlign w:val="bottom"/>
            <w:hideMark/>
          </w:tcPr>
          <w:p w14:paraId="6D1F912C"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c>
          <w:tcPr>
            <w:tcW w:w="1320" w:type="dxa"/>
            <w:tcBorders>
              <w:top w:val="nil"/>
              <w:left w:val="nil"/>
              <w:bottom w:val="nil"/>
              <w:right w:val="nil"/>
            </w:tcBorders>
            <w:shd w:val="clear" w:color="000000" w:fill="FFFFFF"/>
            <w:noWrap/>
            <w:vAlign w:val="bottom"/>
            <w:hideMark/>
          </w:tcPr>
          <w:p w14:paraId="6F1123D7"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F98EDCE"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28E7FE09"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r>
      <w:tr w:rsidR="00061BA6" w:rsidRPr="00061BA6" w14:paraId="5CC9B66E" w14:textId="77777777" w:rsidTr="00061BA6">
        <w:trPr>
          <w:trHeight w:val="260"/>
        </w:trPr>
        <w:tc>
          <w:tcPr>
            <w:tcW w:w="6260" w:type="dxa"/>
            <w:tcBorders>
              <w:top w:val="nil"/>
              <w:left w:val="nil"/>
              <w:bottom w:val="nil"/>
              <w:right w:val="nil"/>
            </w:tcBorders>
            <w:shd w:val="clear" w:color="auto" w:fill="auto"/>
            <w:noWrap/>
            <w:vAlign w:val="bottom"/>
            <w:hideMark/>
          </w:tcPr>
          <w:p w14:paraId="6D8FA5D9" w14:textId="77777777" w:rsidR="00061BA6" w:rsidRPr="00061BA6" w:rsidRDefault="00061BA6" w:rsidP="00061BA6">
            <w:pPr>
              <w:spacing w:before="0" w:after="0"/>
              <w:rPr>
                <w:rFonts w:eastAsia="Times New Roman" w:cs="Arial"/>
                <w:b/>
                <w:bCs/>
                <w:sz w:val="20"/>
                <w:szCs w:val="20"/>
                <w:lang w:eastAsia="en-GB"/>
              </w:rPr>
            </w:pPr>
            <w:r w:rsidRPr="00061BA6">
              <w:rPr>
                <w:rFonts w:eastAsia="Times New Roman" w:cs="Arial"/>
                <w:b/>
                <w:bCs/>
                <w:sz w:val="20"/>
                <w:szCs w:val="20"/>
                <w:lang w:eastAsia="en-GB"/>
              </w:rPr>
              <w:t>Total finance costs</w:t>
            </w:r>
          </w:p>
        </w:tc>
        <w:tc>
          <w:tcPr>
            <w:tcW w:w="272" w:type="dxa"/>
            <w:tcBorders>
              <w:top w:val="nil"/>
              <w:left w:val="nil"/>
              <w:bottom w:val="nil"/>
              <w:right w:val="nil"/>
            </w:tcBorders>
            <w:shd w:val="clear" w:color="auto" w:fill="auto"/>
            <w:noWrap/>
            <w:vAlign w:val="bottom"/>
            <w:hideMark/>
          </w:tcPr>
          <w:p w14:paraId="3ADA5DE8" w14:textId="77777777" w:rsidR="00061BA6" w:rsidRPr="00061BA6" w:rsidRDefault="00061BA6" w:rsidP="00061BA6">
            <w:pPr>
              <w:spacing w:before="0" w:after="0"/>
              <w:rPr>
                <w:rFonts w:eastAsia="Times New Roman" w:cs="Arial"/>
                <w:b/>
                <w:bCs/>
                <w:sz w:val="20"/>
                <w:szCs w:val="20"/>
                <w:lang w:eastAsia="en-GB"/>
              </w:rPr>
            </w:pPr>
          </w:p>
        </w:tc>
        <w:tc>
          <w:tcPr>
            <w:tcW w:w="1320" w:type="dxa"/>
            <w:tcBorders>
              <w:top w:val="single" w:sz="4" w:space="0" w:color="auto"/>
              <w:left w:val="nil"/>
              <w:bottom w:val="single" w:sz="4" w:space="0" w:color="auto"/>
              <w:right w:val="nil"/>
            </w:tcBorders>
            <w:shd w:val="clear" w:color="000000" w:fill="FFFFFF"/>
            <w:noWrap/>
            <w:vAlign w:val="bottom"/>
            <w:hideMark/>
          </w:tcPr>
          <w:p w14:paraId="665172A8" w14:textId="77777777" w:rsidR="00061BA6" w:rsidRPr="00061BA6" w:rsidRDefault="00061BA6" w:rsidP="00061BA6">
            <w:pPr>
              <w:spacing w:before="0" w:after="0"/>
              <w:jc w:val="right"/>
              <w:rPr>
                <w:rFonts w:eastAsia="Times New Roman" w:cs="Arial"/>
                <w:b/>
                <w:bCs/>
                <w:sz w:val="20"/>
                <w:szCs w:val="20"/>
                <w:lang w:eastAsia="en-GB"/>
              </w:rPr>
            </w:pPr>
            <w:r w:rsidRPr="00061BA6">
              <w:rPr>
                <w:rFonts w:eastAsia="Times New Roman" w:cs="Arial"/>
                <w:b/>
                <w:bCs/>
                <w:sz w:val="20"/>
                <w:szCs w:val="20"/>
                <w:lang w:eastAsia="en-GB"/>
              </w:rPr>
              <w:t>21</w:t>
            </w:r>
          </w:p>
        </w:tc>
        <w:tc>
          <w:tcPr>
            <w:tcW w:w="272" w:type="dxa"/>
            <w:tcBorders>
              <w:top w:val="nil"/>
              <w:left w:val="nil"/>
              <w:bottom w:val="nil"/>
              <w:right w:val="nil"/>
            </w:tcBorders>
            <w:shd w:val="clear" w:color="000000" w:fill="FFFFFF"/>
            <w:noWrap/>
            <w:vAlign w:val="bottom"/>
            <w:hideMark/>
          </w:tcPr>
          <w:p w14:paraId="5DA88E04" w14:textId="77777777" w:rsidR="00061BA6" w:rsidRPr="00061BA6" w:rsidRDefault="00061BA6" w:rsidP="00061BA6">
            <w:pPr>
              <w:spacing w:before="0" w:after="0"/>
              <w:rPr>
                <w:rFonts w:eastAsia="Times New Roman" w:cs="Arial"/>
                <w:b/>
                <w:bCs/>
                <w:sz w:val="20"/>
                <w:szCs w:val="20"/>
                <w:lang w:eastAsia="en-GB"/>
              </w:rPr>
            </w:pPr>
            <w:r w:rsidRPr="00061BA6">
              <w:rPr>
                <w:rFonts w:eastAsia="Times New Roman" w:cs="Arial"/>
                <w:b/>
                <w:bCs/>
                <w:sz w:val="20"/>
                <w:szCs w:val="20"/>
                <w:lang w:eastAsia="en-GB"/>
              </w:rPr>
              <w:t> </w:t>
            </w:r>
          </w:p>
        </w:tc>
        <w:tc>
          <w:tcPr>
            <w:tcW w:w="1200" w:type="dxa"/>
            <w:tcBorders>
              <w:top w:val="single" w:sz="4" w:space="0" w:color="auto"/>
              <w:left w:val="nil"/>
              <w:bottom w:val="single" w:sz="4" w:space="0" w:color="auto"/>
              <w:right w:val="nil"/>
            </w:tcBorders>
            <w:shd w:val="clear" w:color="000000" w:fill="FFFFFF"/>
            <w:noWrap/>
            <w:vAlign w:val="bottom"/>
            <w:hideMark/>
          </w:tcPr>
          <w:p w14:paraId="265D1A61" w14:textId="77777777" w:rsidR="00061BA6" w:rsidRPr="00061BA6" w:rsidRDefault="00061BA6" w:rsidP="00061BA6">
            <w:pPr>
              <w:spacing w:before="0" w:after="0"/>
              <w:jc w:val="right"/>
              <w:rPr>
                <w:rFonts w:eastAsia="Times New Roman" w:cs="Arial"/>
                <w:b/>
                <w:bCs/>
                <w:sz w:val="20"/>
                <w:szCs w:val="20"/>
                <w:lang w:eastAsia="en-GB"/>
              </w:rPr>
            </w:pPr>
            <w:r w:rsidRPr="00061BA6">
              <w:rPr>
                <w:rFonts w:eastAsia="Times New Roman" w:cs="Arial"/>
                <w:b/>
                <w:bCs/>
                <w:sz w:val="20"/>
                <w:szCs w:val="20"/>
                <w:lang w:eastAsia="en-GB"/>
              </w:rPr>
              <w:t>19</w:t>
            </w:r>
          </w:p>
        </w:tc>
      </w:tr>
      <w:tr w:rsidR="00061BA6" w:rsidRPr="00061BA6" w14:paraId="37E61807" w14:textId="77777777" w:rsidTr="00061BA6">
        <w:trPr>
          <w:trHeight w:val="260"/>
        </w:trPr>
        <w:tc>
          <w:tcPr>
            <w:tcW w:w="6260" w:type="dxa"/>
            <w:tcBorders>
              <w:top w:val="nil"/>
              <w:left w:val="nil"/>
              <w:bottom w:val="nil"/>
              <w:right w:val="nil"/>
            </w:tcBorders>
            <w:shd w:val="clear" w:color="auto" w:fill="auto"/>
            <w:noWrap/>
            <w:vAlign w:val="bottom"/>
            <w:hideMark/>
          </w:tcPr>
          <w:p w14:paraId="416886D5" w14:textId="77777777" w:rsidR="00061BA6" w:rsidRPr="00061BA6" w:rsidRDefault="00061BA6" w:rsidP="00061BA6">
            <w:pPr>
              <w:spacing w:before="0" w:after="0"/>
              <w:jc w:val="right"/>
              <w:rPr>
                <w:rFonts w:eastAsia="Times New Roman" w:cs="Arial"/>
                <w:b/>
                <w:bCs/>
                <w:sz w:val="20"/>
                <w:szCs w:val="20"/>
                <w:lang w:eastAsia="en-GB"/>
              </w:rPr>
            </w:pPr>
          </w:p>
        </w:tc>
        <w:tc>
          <w:tcPr>
            <w:tcW w:w="272" w:type="dxa"/>
            <w:tcBorders>
              <w:top w:val="nil"/>
              <w:left w:val="nil"/>
              <w:bottom w:val="nil"/>
              <w:right w:val="nil"/>
            </w:tcBorders>
            <w:shd w:val="clear" w:color="auto" w:fill="auto"/>
            <w:noWrap/>
            <w:vAlign w:val="bottom"/>
            <w:hideMark/>
          </w:tcPr>
          <w:p w14:paraId="6209704B"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c>
          <w:tcPr>
            <w:tcW w:w="1320" w:type="dxa"/>
            <w:tcBorders>
              <w:top w:val="nil"/>
              <w:left w:val="nil"/>
              <w:bottom w:val="nil"/>
              <w:right w:val="nil"/>
            </w:tcBorders>
            <w:shd w:val="clear" w:color="000000" w:fill="FFFFFF"/>
            <w:noWrap/>
            <w:vAlign w:val="bottom"/>
            <w:hideMark/>
          </w:tcPr>
          <w:p w14:paraId="1F25E210" w14:textId="77777777" w:rsidR="00061BA6" w:rsidRPr="00061BA6" w:rsidRDefault="00061BA6" w:rsidP="00061BA6">
            <w:pPr>
              <w:spacing w:before="0" w:after="0"/>
              <w:rPr>
                <w:rFonts w:eastAsia="Times New Roman" w:cs="Arial"/>
                <w:b/>
                <w:bCs/>
                <w:sz w:val="20"/>
                <w:szCs w:val="20"/>
                <w:lang w:eastAsia="en-GB"/>
              </w:rPr>
            </w:pPr>
            <w:r w:rsidRPr="00061BA6">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0B5E3A1C" w14:textId="77777777" w:rsidR="00061BA6" w:rsidRPr="00061BA6" w:rsidRDefault="00061BA6" w:rsidP="00061BA6">
            <w:pPr>
              <w:spacing w:before="0" w:after="0"/>
              <w:rPr>
                <w:rFonts w:eastAsia="Times New Roman" w:cs="Arial"/>
                <w:b/>
                <w:bCs/>
                <w:sz w:val="20"/>
                <w:szCs w:val="20"/>
                <w:lang w:eastAsia="en-GB"/>
              </w:rPr>
            </w:pPr>
            <w:r w:rsidRPr="00061BA6">
              <w:rPr>
                <w:rFonts w:eastAsia="Times New Roman" w:cs="Arial"/>
                <w:b/>
                <w:bCs/>
                <w:sz w:val="20"/>
                <w:szCs w:val="20"/>
                <w:lang w:eastAsia="en-GB"/>
              </w:rPr>
              <w:t> </w:t>
            </w:r>
          </w:p>
        </w:tc>
        <w:tc>
          <w:tcPr>
            <w:tcW w:w="1200" w:type="dxa"/>
            <w:tcBorders>
              <w:top w:val="nil"/>
              <w:left w:val="nil"/>
              <w:bottom w:val="nil"/>
              <w:right w:val="nil"/>
            </w:tcBorders>
            <w:shd w:val="clear" w:color="000000" w:fill="FFFFFF"/>
            <w:noWrap/>
            <w:vAlign w:val="bottom"/>
            <w:hideMark/>
          </w:tcPr>
          <w:p w14:paraId="38E803C9" w14:textId="77777777" w:rsidR="00061BA6" w:rsidRPr="00061BA6" w:rsidRDefault="00061BA6" w:rsidP="00061BA6">
            <w:pPr>
              <w:spacing w:before="0" w:after="0"/>
              <w:rPr>
                <w:rFonts w:eastAsia="Times New Roman" w:cs="Arial"/>
                <w:b/>
                <w:bCs/>
                <w:sz w:val="20"/>
                <w:szCs w:val="20"/>
                <w:lang w:eastAsia="en-GB"/>
              </w:rPr>
            </w:pPr>
            <w:r w:rsidRPr="00061BA6">
              <w:rPr>
                <w:rFonts w:eastAsia="Times New Roman" w:cs="Arial"/>
                <w:b/>
                <w:bCs/>
                <w:sz w:val="20"/>
                <w:szCs w:val="20"/>
                <w:lang w:eastAsia="en-GB"/>
              </w:rPr>
              <w:t> </w:t>
            </w:r>
          </w:p>
        </w:tc>
      </w:tr>
      <w:tr w:rsidR="00061BA6" w:rsidRPr="00061BA6" w14:paraId="034F2592" w14:textId="77777777" w:rsidTr="00061BA6">
        <w:trPr>
          <w:trHeight w:val="260"/>
        </w:trPr>
        <w:tc>
          <w:tcPr>
            <w:tcW w:w="6260" w:type="dxa"/>
            <w:tcBorders>
              <w:top w:val="nil"/>
              <w:left w:val="nil"/>
              <w:bottom w:val="nil"/>
              <w:right w:val="nil"/>
            </w:tcBorders>
            <w:shd w:val="clear" w:color="auto" w:fill="auto"/>
            <w:noWrap/>
            <w:vAlign w:val="bottom"/>
            <w:hideMark/>
          </w:tcPr>
          <w:p w14:paraId="11348E80" w14:textId="77777777" w:rsidR="00061BA6" w:rsidRPr="00061BA6" w:rsidRDefault="00061BA6" w:rsidP="00061BA6">
            <w:pPr>
              <w:spacing w:before="0" w:after="0"/>
              <w:rPr>
                <w:rFonts w:eastAsia="Times New Roman" w:cs="Arial"/>
                <w:b/>
                <w:bCs/>
                <w:sz w:val="20"/>
                <w:szCs w:val="20"/>
                <w:lang w:eastAsia="en-GB"/>
              </w:rPr>
            </w:pPr>
          </w:p>
        </w:tc>
        <w:tc>
          <w:tcPr>
            <w:tcW w:w="272" w:type="dxa"/>
            <w:tcBorders>
              <w:top w:val="nil"/>
              <w:left w:val="nil"/>
              <w:bottom w:val="nil"/>
              <w:right w:val="nil"/>
            </w:tcBorders>
            <w:shd w:val="clear" w:color="auto" w:fill="auto"/>
            <w:noWrap/>
            <w:vAlign w:val="bottom"/>
            <w:hideMark/>
          </w:tcPr>
          <w:p w14:paraId="284B82B1"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c>
          <w:tcPr>
            <w:tcW w:w="1320" w:type="dxa"/>
            <w:tcBorders>
              <w:top w:val="nil"/>
              <w:left w:val="nil"/>
              <w:bottom w:val="nil"/>
              <w:right w:val="nil"/>
            </w:tcBorders>
            <w:shd w:val="clear" w:color="auto" w:fill="auto"/>
            <w:noWrap/>
            <w:vAlign w:val="bottom"/>
            <w:hideMark/>
          </w:tcPr>
          <w:p w14:paraId="73E190FF"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2F847887"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c>
          <w:tcPr>
            <w:tcW w:w="1200" w:type="dxa"/>
            <w:tcBorders>
              <w:top w:val="nil"/>
              <w:left w:val="nil"/>
              <w:bottom w:val="nil"/>
              <w:right w:val="nil"/>
            </w:tcBorders>
            <w:shd w:val="clear" w:color="auto" w:fill="auto"/>
            <w:noWrap/>
            <w:vAlign w:val="bottom"/>
            <w:hideMark/>
          </w:tcPr>
          <w:p w14:paraId="0810B07B"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r>
      <w:tr w:rsidR="00061BA6" w:rsidRPr="00061BA6" w14:paraId="531CB481" w14:textId="77777777" w:rsidTr="00061BA6">
        <w:trPr>
          <w:trHeight w:val="260"/>
        </w:trPr>
        <w:tc>
          <w:tcPr>
            <w:tcW w:w="6260" w:type="dxa"/>
            <w:tcBorders>
              <w:top w:val="nil"/>
              <w:left w:val="nil"/>
              <w:bottom w:val="nil"/>
              <w:right w:val="nil"/>
            </w:tcBorders>
            <w:shd w:val="clear" w:color="auto" w:fill="auto"/>
            <w:noWrap/>
            <w:vAlign w:val="bottom"/>
            <w:hideMark/>
          </w:tcPr>
          <w:p w14:paraId="0E60FF13" w14:textId="77777777" w:rsidR="00061BA6" w:rsidRPr="00061BA6" w:rsidRDefault="00061BA6" w:rsidP="00061BA6">
            <w:pPr>
              <w:spacing w:before="0" w:after="0"/>
              <w:rPr>
                <w:rFonts w:eastAsia="Times New Roman" w:cs="Arial"/>
                <w:b/>
                <w:bCs/>
                <w:sz w:val="20"/>
                <w:szCs w:val="20"/>
                <w:lang w:eastAsia="en-GB"/>
              </w:rPr>
            </w:pPr>
            <w:r w:rsidRPr="00061BA6">
              <w:rPr>
                <w:rFonts w:eastAsia="Times New Roman" w:cs="Arial"/>
                <w:b/>
                <w:bCs/>
                <w:sz w:val="20"/>
                <w:szCs w:val="20"/>
                <w:lang w:eastAsia="en-GB"/>
              </w:rPr>
              <w:t>9 Net (Loss) on Transfer by Absorption</w:t>
            </w:r>
          </w:p>
        </w:tc>
        <w:tc>
          <w:tcPr>
            <w:tcW w:w="272" w:type="dxa"/>
            <w:tcBorders>
              <w:top w:val="nil"/>
              <w:left w:val="nil"/>
              <w:bottom w:val="nil"/>
              <w:right w:val="nil"/>
            </w:tcBorders>
            <w:shd w:val="clear" w:color="auto" w:fill="auto"/>
            <w:noWrap/>
            <w:vAlign w:val="bottom"/>
            <w:hideMark/>
          </w:tcPr>
          <w:p w14:paraId="3A2635C0" w14:textId="77777777" w:rsidR="00061BA6" w:rsidRPr="00061BA6" w:rsidRDefault="00061BA6" w:rsidP="00061BA6">
            <w:pPr>
              <w:spacing w:before="0" w:after="0"/>
              <w:rPr>
                <w:rFonts w:eastAsia="Times New Roman" w:cs="Arial"/>
                <w:b/>
                <w:bCs/>
                <w:sz w:val="20"/>
                <w:szCs w:val="20"/>
                <w:lang w:eastAsia="en-GB"/>
              </w:rPr>
            </w:pPr>
          </w:p>
        </w:tc>
        <w:tc>
          <w:tcPr>
            <w:tcW w:w="1320" w:type="dxa"/>
            <w:tcBorders>
              <w:top w:val="nil"/>
              <w:left w:val="nil"/>
              <w:bottom w:val="nil"/>
              <w:right w:val="nil"/>
            </w:tcBorders>
            <w:shd w:val="clear" w:color="auto" w:fill="auto"/>
            <w:noWrap/>
            <w:vAlign w:val="bottom"/>
            <w:hideMark/>
          </w:tcPr>
          <w:p w14:paraId="66E8D9EB"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0DFCFE0A"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c>
          <w:tcPr>
            <w:tcW w:w="1200" w:type="dxa"/>
            <w:tcBorders>
              <w:top w:val="nil"/>
              <w:left w:val="nil"/>
              <w:bottom w:val="nil"/>
              <w:right w:val="nil"/>
            </w:tcBorders>
            <w:shd w:val="clear" w:color="auto" w:fill="auto"/>
            <w:noWrap/>
            <w:vAlign w:val="bottom"/>
            <w:hideMark/>
          </w:tcPr>
          <w:p w14:paraId="3DAA8E2A"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r>
      <w:tr w:rsidR="00061BA6" w:rsidRPr="00061BA6" w14:paraId="72809018" w14:textId="77777777" w:rsidTr="00061BA6">
        <w:trPr>
          <w:trHeight w:val="120"/>
        </w:trPr>
        <w:tc>
          <w:tcPr>
            <w:tcW w:w="6260" w:type="dxa"/>
            <w:tcBorders>
              <w:top w:val="nil"/>
              <w:left w:val="nil"/>
              <w:bottom w:val="nil"/>
              <w:right w:val="nil"/>
            </w:tcBorders>
            <w:shd w:val="clear" w:color="auto" w:fill="auto"/>
            <w:noWrap/>
            <w:vAlign w:val="bottom"/>
            <w:hideMark/>
          </w:tcPr>
          <w:p w14:paraId="0F458B23"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79F7821F"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c>
          <w:tcPr>
            <w:tcW w:w="1320" w:type="dxa"/>
            <w:tcBorders>
              <w:top w:val="nil"/>
              <w:left w:val="nil"/>
              <w:bottom w:val="nil"/>
              <w:right w:val="nil"/>
            </w:tcBorders>
            <w:shd w:val="clear" w:color="auto" w:fill="auto"/>
            <w:noWrap/>
            <w:vAlign w:val="bottom"/>
            <w:hideMark/>
          </w:tcPr>
          <w:p w14:paraId="2747D93F"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0A6614A4"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c>
          <w:tcPr>
            <w:tcW w:w="1200" w:type="dxa"/>
            <w:tcBorders>
              <w:top w:val="nil"/>
              <w:left w:val="nil"/>
              <w:bottom w:val="nil"/>
              <w:right w:val="nil"/>
            </w:tcBorders>
            <w:shd w:val="clear" w:color="auto" w:fill="auto"/>
            <w:noWrap/>
            <w:vAlign w:val="bottom"/>
            <w:hideMark/>
          </w:tcPr>
          <w:p w14:paraId="09328763" w14:textId="77777777" w:rsidR="00061BA6" w:rsidRPr="00061BA6" w:rsidRDefault="00061BA6" w:rsidP="00061BA6">
            <w:pPr>
              <w:spacing w:before="0" w:after="0"/>
              <w:rPr>
                <w:rFonts w:ascii="Times New Roman" w:eastAsia="Times New Roman" w:hAnsi="Times New Roman" w:cs="Times New Roman"/>
                <w:sz w:val="20"/>
                <w:szCs w:val="20"/>
                <w:lang w:eastAsia="en-GB"/>
              </w:rPr>
            </w:pPr>
          </w:p>
        </w:tc>
      </w:tr>
      <w:tr w:rsidR="00061BA6" w:rsidRPr="00061BA6" w14:paraId="23BB88F1" w14:textId="77777777" w:rsidTr="00061BA6">
        <w:trPr>
          <w:trHeight w:val="1630"/>
        </w:trPr>
        <w:tc>
          <w:tcPr>
            <w:tcW w:w="9324" w:type="dxa"/>
            <w:gridSpan w:val="5"/>
            <w:tcBorders>
              <w:top w:val="nil"/>
              <w:left w:val="nil"/>
              <w:bottom w:val="nil"/>
              <w:right w:val="nil"/>
            </w:tcBorders>
            <w:shd w:val="clear" w:color="auto" w:fill="auto"/>
            <w:vAlign w:val="center"/>
            <w:hideMark/>
          </w:tcPr>
          <w:p w14:paraId="4924CC39"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xml:space="preserve">Transfers as part of a reorganisation are accounted for by use of absorption accounting in line with the Government Financial Reporting Manual, issued by HM Treasury. The Government Financial Reporting Manual does not require retrospective adoption, so prior year transactions (which have been accounted for under merger accounting) have not been restated. Absorption accounting requires that entities account for their transactions in the period in which they took place, with no restatement of performance required when functions transfer within the public sector. </w:t>
            </w:r>
          </w:p>
        </w:tc>
      </w:tr>
      <w:tr w:rsidR="00061BA6" w:rsidRPr="00061BA6" w14:paraId="36B0B76C" w14:textId="77777777" w:rsidTr="00061BA6">
        <w:trPr>
          <w:trHeight w:val="250"/>
        </w:trPr>
        <w:tc>
          <w:tcPr>
            <w:tcW w:w="6260" w:type="dxa"/>
            <w:tcBorders>
              <w:top w:val="nil"/>
              <w:left w:val="nil"/>
              <w:bottom w:val="nil"/>
              <w:right w:val="nil"/>
            </w:tcBorders>
            <w:shd w:val="clear" w:color="000000" w:fill="FFFFFF"/>
            <w:noWrap/>
            <w:vAlign w:val="bottom"/>
            <w:hideMark/>
          </w:tcPr>
          <w:p w14:paraId="6C813E0B"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35362A8D"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320" w:type="dxa"/>
            <w:tcBorders>
              <w:top w:val="nil"/>
              <w:left w:val="nil"/>
              <w:bottom w:val="nil"/>
              <w:right w:val="nil"/>
            </w:tcBorders>
            <w:shd w:val="clear" w:color="000000" w:fill="FFFFFF"/>
            <w:noWrap/>
            <w:vAlign w:val="bottom"/>
            <w:hideMark/>
          </w:tcPr>
          <w:p w14:paraId="7A0B351E"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1B01AE32"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2A847607"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r>
      <w:tr w:rsidR="00061BA6" w:rsidRPr="00061BA6" w14:paraId="1489FB19" w14:textId="77777777" w:rsidTr="00061BA6">
        <w:trPr>
          <w:trHeight w:val="250"/>
        </w:trPr>
        <w:tc>
          <w:tcPr>
            <w:tcW w:w="6260" w:type="dxa"/>
            <w:tcBorders>
              <w:top w:val="nil"/>
              <w:left w:val="nil"/>
              <w:bottom w:val="nil"/>
              <w:right w:val="nil"/>
            </w:tcBorders>
            <w:shd w:val="clear" w:color="000000" w:fill="FFFFFF"/>
            <w:noWrap/>
            <w:vAlign w:val="bottom"/>
            <w:hideMark/>
          </w:tcPr>
          <w:p w14:paraId="34796BA6"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312388BC"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320" w:type="dxa"/>
            <w:tcBorders>
              <w:top w:val="nil"/>
              <w:left w:val="nil"/>
              <w:bottom w:val="nil"/>
              <w:right w:val="nil"/>
            </w:tcBorders>
            <w:shd w:val="clear" w:color="000000" w:fill="FFFFFF"/>
            <w:noWrap/>
            <w:vAlign w:val="bottom"/>
            <w:hideMark/>
          </w:tcPr>
          <w:p w14:paraId="3B416E70"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83685DE"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3EBA84EB"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r>
      <w:tr w:rsidR="00061BA6" w:rsidRPr="00061BA6" w14:paraId="26A615AB" w14:textId="77777777" w:rsidTr="00061BA6">
        <w:trPr>
          <w:trHeight w:val="520"/>
        </w:trPr>
        <w:tc>
          <w:tcPr>
            <w:tcW w:w="6260" w:type="dxa"/>
            <w:tcBorders>
              <w:top w:val="nil"/>
              <w:left w:val="nil"/>
              <w:bottom w:val="nil"/>
              <w:right w:val="nil"/>
            </w:tcBorders>
            <w:shd w:val="clear" w:color="000000" w:fill="FFFFFF"/>
            <w:noWrap/>
            <w:vAlign w:val="bottom"/>
            <w:hideMark/>
          </w:tcPr>
          <w:p w14:paraId="0C72ABC0"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633AB09"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320" w:type="dxa"/>
            <w:tcBorders>
              <w:top w:val="nil"/>
              <w:left w:val="nil"/>
              <w:bottom w:val="nil"/>
              <w:right w:val="nil"/>
            </w:tcBorders>
            <w:shd w:val="clear" w:color="auto" w:fill="auto"/>
            <w:vAlign w:val="bottom"/>
            <w:hideMark/>
          </w:tcPr>
          <w:p w14:paraId="27353A48" w14:textId="77777777" w:rsidR="00061BA6" w:rsidRPr="00061BA6" w:rsidRDefault="00061BA6" w:rsidP="00061BA6">
            <w:pPr>
              <w:spacing w:before="0" w:after="0"/>
              <w:jc w:val="right"/>
              <w:rPr>
                <w:rFonts w:eastAsia="Times New Roman" w:cs="Arial"/>
                <w:b/>
                <w:bCs/>
                <w:sz w:val="20"/>
                <w:szCs w:val="20"/>
                <w:lang w:eastAsia="en-GB"/>
              </w:rPr>
            </w:pPr>
            <w:r w:rsidRPr="00061BA6">
              <w:rPr>
                <w:rFonts w:eastAsia="Times New Roman" w:cs="Arial"/>
                <w:b/>
                <w:bCs/>
                <w:sz w:val="20"/>
                <w:szCs w:val="20"/>
                <w:lang w:eastAsia="en-GB"/>
              </w:rPr>
              <w:t>1-Apr-23 to 31-Mar-24</w:t>
            </w:r>
          </w:p>
        </w:tc>
        <w:tc>
          <w:tcPr>
            <w:tcW w:w="272" w:type="dxa"/>
            <w:tcBorders>
              <w:top w:val="nil"/>
              <w:left w:val="nil"/>
              <w:bottom w:val="nil"/>
              <w:right w:val="nil"/>
            </w:tcBorders>
            <w:shd w:val="clear" w:color="auto" w:fill="auto"/>
            <w:noWrap/>
            <w:vAlign w:val="bottom"/>
            <w:hideMark/>
          </w:tcPr>
          <w:p w14:paraId="4009B6F8" w14:textId="77777777" w:rsidR="00061BA6" w:rsidRPr="00061BA6" w:rsidRDefault="00061BA6" w:rsidP="00061BA6">
            <w:pPr>
              <w:spacing w:before="0" w:after="0"/>
              <w:jc w:val="right"/>
              <w:rPr>
                <w:rFonts w:eastAsia="Times New Roman" w:cs="Arial"/>
                <w:b/>
                <w:bCs/>
                <w:sz w:val="20"/>
                <w:szCs w:val="20"/>
                <w:lang w:eastAsia="en-GB"/>
              </w:rPr>
            </w:pPr>
          </w:p>
        </w:tc>
        <w:tc>
          <w:tcPr>
            <w:tcW w:w="1200" w:type="dxa"/>
            <w:tcBorders>
              <w:top w:val="nil"/>
              <w:left w:val="nil"/>
              <w:bottom w:val="nil"/>
              <w:right w:val="nil"/>
            </w:tcBorders>
            <w:shd w:val="clear" w:color="000000" w:fill="FFFFFF"/>
            <w:vAlign w:val="bottom"/>
            <w:hideMark/>
          </w:tcPr>
          <w:p w14:paraId="4FBD27A0"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1-Jul-22 to 31-Mar-23</w:t>
            </w:r>
          </w:p>
        </w:tc>
      </w:tr>
      <w:tr w:rsidR="00061BA6" w:rsidRPr="00061BA6" w14:paraId="49140D2B" w14:textId="77777777" w:rsidTr="00061BA6">
        <w:trPr>
          <w:trHeight w:val="260"/>
        </w:trPr>
        <w:tc>
          <w:tcPr>
            <w:tcW w:w="6260" w:type="dxa"/>
            <w:tcBorders>
              <w:top w:val="nil"/>
              <w:left w:val="nil"/>
              <w:bottom w:val="nil"/>
              <w:right w:val="nil"/>
            </w:tcBorders>
            <w:shd w:val="clear" w:color="000000" w:fill="FFFFFF"/>
            <w:noWrap/>
            <w:vAlign w:val="bottom"/>
            <w:hideMark/>
          </w:tcPr>
          <w:p w14:paraId="4C9A1437"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E066CAE"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320" w:type="dxa"/>
            <w:tcBorders>
              <w:top w:val="nil"/>
              <w:left w:val="nil"/>
              <w:bottom w:val="nil"/>
              <w:right w:val="nil"/>
            </w:tcBorders>
            <w:shd w:val="clear" w:color="000000" w:fill="FFFFFF"/>
            <w:vAlign w:val="bottom"/>
            <w:hideMark/>
          </w:tcPr>
          <w:p w14:paraId="67841BDC" w14:textId="77777777" w:rsidR="00061BA6" w:rsidRPr="00061BA6" w:rsidRDefault="00061BA6" w:rsidP="00061BA6">
            <w:pPr>
              <w:spacing w:before="0" w:after="0"/>
              <w:jc w:val="right"/>
              <w:rPr>
                <w:rFonts w:eastAsia="Times New Roman" w:cs="Arial"/>
                <w:b/>
                <w:bCs/>
                <w:sz w:val="20"/>
                <w:szCs w:val="20"/>
                <w:lang w:eastAsia="en-GB"/>
              </w:rPr>
            </w:pPr>
            <w:r w:rsidRPr="00061BA6">
              <w:rPr>
                <w:rFonts w:eastAsia="Times New Roman" w:cs="Arial"/>
                <w:b/>
                <w:bCs/>
                <w:sz w:val="20"/>
                <w:szCs w:val="20"/>
                <w:lang w:eastAsia="en-GB"/>
              </w:rPr>
              <w:t>Total</w:t>
            </w:r>
          </w:p>
        </w:tc>
        <w:tc>
          <w:tcPr>
            <w:tcW w:w="272" w:type="dxa"/>
            <w:tcBorders>
              <w:top w:val="nil"/>
              <w:left w:val="nil"/>
              <w:bottom w:val="nil"/>
              <w:right w:val="nil"/>
            </w:tcBorders>
            <w:shd w:val="clear" w:color="000000" w:fill="FFFFFF"/>
            <w:vAlign w:val="bottom"/>
            <w:hideMark/>
          </w:tcPr>
          <w:p w14:paraId="522DC028"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000000" w:fill="FFFFFF"/>
            <w:vAlign w:val="bottom"/>
            <w:hideMark/>
          </w:tcPr>
          <w:p w14:paraId="40319453"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Total</w:t>
            </w:r>
          </w:p>
        </w:tc>
      </w:tr>
      <w:tr w:rsidR="00061BA6" w:rsidRPr="00061BA6" w14:paraId="7D388459" w14:textId="77777777" w:rsidTr="00061BA6">
        <w:trPr>
          <w:trHeight w:val="260"/>
        </w:trPr>
        <w:tc>
          <w:tcPr>
            <w:tcW w:w="6260" w:type="dxa"/>
            <w:tcBorders>
              <w:top w:val="nil"/>
              <w:left w:val="nil"/>
              <w:bottom w:val="nil"/>
              <w:right w:val="nil"/>
            </w:tcBorders>
            <w:shd w:val="clear" w:color="000000" w:fill="FFFFFF"/>
            <w:noWrap/>
            <w:vAlign w:val="bottom"/>
            <w:hideMark/>
          </w:tcPr>
          <w:p w14:paraId="2149FC5F"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E638282"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320" w:type="dxa"/>
            <w:tcBorders>
              <w:top w:val="nil"/>
              <w:left w:val="nil"/>
              <w:bottom w:val="nil"/>
              <w:right w:val="nil"/>
            </w:tcBorders>
            <w:shd w:val="clear" w:color="auto" w:fill="auto"/>
            <w:noWrap/>
            <w:vAlign w:val="bottom"/>
            <w:hideMark/>
          </w:tcPr>
          <w:p w14:paraId="3A927F55" w14:textId="77777777" w:rsidR="00061BA6" w:rsidRPr="00061BA6" w:rsidRDefault="00061BA6" w:rsidP="00061BA6">
            <w:pPr>
              <w:spacing w:before="0" w:after="0"/>
              <w:jc w:val="right"/>
              <w:rPr>
                <w:rFonts w:eastAsia="Times New Roman" w:cs="Arial"/>
                <w:b/>
                <w:bCs/>
                <w:sz w:val="20"/>
                <w:szCs w:val="20"/>
                <w:lang w:eastAsia="en-GB"/>
              </w:rPr>
            </w:pPr>
            <w:r w:rsidRPr="00061BA6">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bottom"/>
            <w:hideMark/>
          </w:tcPr>
          <w:p w14:paraId="212BAC02"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auto" w:fill="auto"/>
            <w:noWrap/>
            <w:vAlign w:val="bottom"/>
            <w:hideMark/>
          </w:tcPr>
          <w:p w14:paraId="2372912F"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£'000</w:t>
            </w:r>
          </w:p>
        </w:tc>
      </w:tr>
      <w:tr w:rsidR="00061BA6" w:rsidRPr="00061BA6" w14:paraId="27BAB3CA" w14:textId="77777777" w:rsidTr="00061BA6">
        <w:trPr>
          <w:trHeight w:val="120"/>
        </w:trPr>
        <w:tc>
          <w:tcPr>
            <w:tcW w:w="6260" w:type="dxa"/>
            <w:tcBorders>
              <w:top w:val="nil"/>
              <w:left w:val="nil"/>
              <w:bottom w:val="nil"/>
              <w:right w:val="nil"/>
            </w:tcBorders>
            <w:shd w:val="clear" w:color="000000" w:fill="FFFFFF"/>
            <w:noWrap/>
            <w:vAlign w:val="bottom"/>
            <w:hideMark/>
          </w:tcPr>
          <w:p w14:paraId="7C3A4716"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2C60177"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320" w:type="dxa"/>
            <w:tcBorders>
              <w:top w:val="nil"/>
              <w:left w:val="nil"/>
              <w:bottom w:val="nil"/>
              <w:right w:val="nil"/>
            </w:tcBorders>
            <w:shd w:val="clear" w:color="000000" w:fill="FFFFFF"/>
            <w:noWrap/>
            <w:vAlign w:val="bottom"/>
            <w:hideMark/>
          </w:tcPr>
          <w:p w14:paraId="6133106A"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F0998B5"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2E344EAB"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r>
      <w:tr w:rsidR="00061BA6" w:rsidRPr="00061BA6" w14:paraId="225CFD32" w14:textId="77777777" w:rsidTr="00061BA6">
        <w:trPr>
          <w:trHeight w:val="250"/>
        </w:trPr>
        <w:tc>
          <w:tcPr>
            <w:tcW w:w="6260" w:type="dxa"/>
            <w:tcBorders>
              <w:top w:val="nil"/>
              <w:left w:val="nil"/>
              <w:bottom w:val="nil"/>
              <w:right w:val="nil"/>
            </w:tcBorders>
            <w:shd w:val="clear" w:color="000000" w:fill="FFFFFF"/>
            <w:noWrap/>
            <w:vAlign w:val="bottom"/>
            <w:hideMark/>
          </w:tcPr>
          <w:p w14:paraId="409012AA"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Transfer of right-of-use assets</w:t>
            </w:r>
          </w:p>
        </w:tc>
        <w:tc>
          <w:tcPr>
            <w:tcW w:w="272" w:type="dxa"/>
            <w:tcBorders>
              <w:top w:val="nil"/>
              <w:left w:val="nil"/>
              <w:bottom w:val="nil"/>
              <w:right w:val="nil"/>
            </w:tcBorders>
            <w:shd w:val="clear" w:color="000000" w:fill="FFFFFF"/>
            <w:noWrap/>
            <w:vAlign w:val="bottom"/>
            <w:hideMark/>
          </w:tcPr>
          <w:p w14:paraId="7228EC21"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320" w:type="dxa"/>
            <w:tcBorders>
              <w:top w:val="nil"/>
              <w:left w:val="nil"/>
              <w:bottom w:val="nil"/>
              <w:right w:val="nil"/>
            </w:tcBorders>
            <w:shd w:val="clear" w:color="000000" w:fill="FFFFFF"/>
            <w:noWrap/>
            <w:vAlign w:val="bottom"/>
            <w:hideMark/>
          </w:tcPr>
          <w:p w14:paraId="26F7AF2B"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0707BDCC"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4F08DEED"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3,357</w:t>
            </w:r>
          </w:p>
        </w:tc>
      </w:tr>
      <w:tr w:rsidR="00061BA6" w:rsidRPr="00061BA6" w14:paraId="207FF3CA" w14:textId="77777777" w:rsidTr="00061BA6">
        <w:trPr>
          <w:trHeight w:val="250"/>
        </w:trPr>
        <w:tc>
          <w:tcPr>
            <w:tcW w:w="6260" w:type="dxa"/>
            <w:tcBorders>
              <w:top w:val="nil"/>
              <w:left w:val="nil"/>
              <w:bottom w:val="nil"/>
              <w:right w:val="nil"/>
            </w:tcBorders>
            <w:shd w:val="clear" w:color="000000" w:fill="FFFFFF"/>
            <w:noWrap/>
            <w:vAlign w:val="bottom"/>
            <w:hideMark/>
          </w:tcPr>
          <w:p w14:paraId="646A2B7F"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Transfer of cash and cash equivalents</w:t>
            </w:r>
          </w:p>
        </w:tc>
        <w:tc>
          <w:tcPr>
            <w:tcW w:w="272" w:type="dxa"/>
            <w:tcBorders>
              <w:top w:val="nil"/>
              <w:left w:val="nil"/>
              <w:bottom w:val="nil"/>
              <w:right w:val="nil"/>
            </w:tcBorders>
            <w:shd w:val="clear" w:color="000000" w:fill="FFFFFF"/>
            <w:noWrap/>
            <w:vAlign w:val="bottom"/>
            <w:hideMark/>
          </w:tcPr>
          <w:p w14:paraId="58139A27"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320" w:type="dxa"/>
            <w:tcBorders>
              <w:top w:val="nil"/>
              <w:left w:val="nil"/>
              <w:bottom w:val="nil"/>
              <w:right w:val="nil"/>
            </w:tcBorders>
            <w:shd w:val="clear" w:color="000000" w:fill="FFFFFF"/>
            <w:noWrap/>
            <w:vAlign w:val="bottom"/>
            <w:hideMark/>
          </w:tcPr>
          <w:p w14:paraId="030D9D0B"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3C4E5E6D"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2589549E"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5,381</w:t>
            </w:r>
          </w:p>
        </w:tc>
      </w:tr>
      <w:tr w:rsidR="00061BA6" w:rsidRPr="00061BA6" w14:paraId="57C7C0DB" w14:textId="77777777" w:rsidTr="00061BA6">
        <w:trPr>
          <w:trHeight w:val="250"/>
        </w:trPr>
        <w:tc>
          <w:tcPr>
            <w:tcW w:w="6260" w:type="dxa"/>
            <w:tcBorders>
              <w:top w:val="nil"/>
              <w:left w:val="nil"/>
              <w:bottom w:val="nil"/>
              <w:right w:val="nil"/>
            </w:tcBorders>
            <w:shd w:val="clear" w:color="000000" w:fill="FFFFFF"/>
            <w:noWrap/>
            <w:vAlign w:val="bottom"/>
            <w:hideMark/>
          </w:tcPr>
          <w:p w14:paraId="67B83D4F"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Transfer of receivables</w:t>
            </w:r>
          </w:p>
        </w:tc>
        <w:tc>
          <w:tcPr>
            <w:tcW w:w="272" w:type="dxa"/>
            <w:tcBorders>
              <w:top w:val="nil"/>
              <w:left w:val="nil"/>
              <w:bottom w:val="nil"/>
              <w:right w:val="nil"/>
            </w:tcBorders>
            <w:shd w:val="clear" w:color="000000" w:fill="FFFFFF"/>
            <w:noWrap/>
            <w:vAlign w:val="bottom"/>
            <w:hideMark/>
          </w:tcPr>
          <w:p w14:paraId="2214F0FE"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320" w:type="dxa"/>
            <w:tcBorders>
              <w:top w:val="nil"/>
              <w:left w:val="nil"/>
              <w:bottom w:val="nil"/>
              <w:right w:val="nil"/>
            </w:tcBorders>
            <w:shd w:val="clear" w:color="000000" w:fill="FFFFFF"/>
            <w:noWrap/>
            <w:vAlign w:val="bottom"/>
            <w:hideMark/>
          </w:tcPr>
          <w:p w14:paraId="186E0C54"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50DBB401"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17955AC4"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9,015</w:t>
            </w:r>
          </w:p>
        </w:tc>
      </w:tr>
      <w:tr w:rsidR="00061BA6" w:rsidRPr="00061BA6" w14:paraId="5F66555C" w14:textId="77777777" w:rsidTr="00061BA6">
        <w:trPr>
          <w:trHeight w:val="250"/>
        </w:trPr>
        <w:tc>
          <w:tcPr>
            <w:tcW w:w="6260" w:type="dxa"/>
            <w:tcBorders>
              <w:top w:val="nil"/>
              <w:left w:val="nil"/>
              <w:bottom w:val="nil"/>
              <w:right w:val="nil"/>
            </w:tcBorders>
            <w:shd w:val="clear" w:color="000000" w:fill="FFFFFF"/>
            <w:noWrap/>
            <w:vAlign w:val="bottom"/>
            <w:hideMark/>
          </w:tcPr>
          <w:p w14:paraId="253E7F7B"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Transfer of payables</w:t>
            </w:r>
          </w:p>
        </w:tc>
        <w:tc>
          <w:tcPr>
            <w:tcW w:w="272" w:type="dxa"/>
            <w:tcBorders>
              <w:top w:val="nil"/>
              <w:left w:val="nil"/>
              <w:bottom w:val="nil"/>
              <w:right w:val="nil"/>
            </w:tcBorders>
            <w:shd w:val="clear" w:color="000000" w:fill="FFFFFF"/>
            <w:noWrap/>
            <w:vAlign w:val="bottom"/>
            <w:hideMark/>
          </w:tcPr>
          <w:p w14:paraId="69AD5711"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320" w:type="dxa"/>
            <w:tcBorders>
              <w:top w:val="nil"/>
              <w:left w:val="nil"/>
              <w:bottom w:val="nil"/>
              <w:right w:val="nil"/>
            </w:tcBorders>
            <w:shd w:val="clear" w:color="000000" w:fill="FFFFFF"/>
            <w:noWrap/>
            <w:vAlign w:val="bottom"/>
            <w:hideMark/>
          </w:tcPr>
          <w:p w14:paraId="39F208A8"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1542FAF0"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45A17DDD"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(88,148)</w:t>
            </w:r>
          </w:p>
        </w:tc>
      </w:tr>
      <w:tr w:rsidR="00061BA6" w:rsidRPr="00061BA6" w14:paraId="25A2AC1F" w14:textId="77777777" w:rsidTr="00061BA6">
        <w:trPr>
          <w:trHeight w:val="250"/>
        </w:trPr>
        <w:tc>
          <w:tcPr>
            <w:tcW w:w="6260" w:type="dxa"/>
            <w:tcBorders>
              <w:top w:val="nil"/>
              <w:left w:val="nil"/>
              <w:bottom w:val="nil"/>
              <w:right w:val="nil"/>
            </w:tcBorders>
            <w:shd w:val="clear" w:color="000000" w:fill="FFFFFF"/>
            <w:noWrap/>
            <w:vAlign w:val="bottom"/>
            <w:hideMark/>
          </w:tcPr>
          <w:p w14:paraId="73E58E99"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Transfer of provisions</w:t>
            </w:r>
          </w:p>
        </w:tc>
        <w:tc>
          <w:tcPr>
            <w:tcW w:w="272" w:type="dxa"/>
            <w:tcBorders>
              <w:top w:val="nil"/>
              <w:left w:val="nil"/>
              <w:bottom w:val="nil"/>
              <w:right w:val="nil"/>
            </w:tcBorders>
            <w:shd w:val="clear" w:color="000000" w:fill="FFFFFF"/>
            <w:noWrap/>
            <w:vAlign w:val="bottom"/>
            <w:hideMark/>
          </w:tcPr>
          <w:p w14:paraId="489C7E2A"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320" w:type="dxa"/>
            <w:tcBorders>
              <w:top w:val="nil"/>
              <w:left w:val="nil"/>
              <w:bottom w:val="nil"/>
              <w:right w:val="nil"/>
            </w:tcBorders>
            <w:shd w:val="clear" w:color="000000" w:fill="FFFFFF"/>
            <w:noWrap/>
            <w:vAlign w:val="bottom"/>
            <w:hideMark/>
          </w:tcPr>
          <w:p w14:paraId="36A0F164"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575964E4"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1B805752"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(15,696)</w:t>
            </w:r>
          </w:p>
        </w:tc>
      </w:tr>
      <w:tr w:rsidR="00061BA6" w:rsidRPr="00061BA6" w14:paraId="32452885" w14:textId="77777777" w:rsidTr="00061BA6">
        <w:trPr>
          <w:trHeight w:val="250"/>
        </w:trPr>
        <w:tc>
          <w:tcPr>
            <w:tcW w:w="6260" w:type="dxa"/>
            <w:tcBorders>
              <w:top w:val="nil"/>
              <w:left w:val="nil"/>
              <w:bottom w:val="nil"/>
              <w:right w:val="nil"/>
            </w:tcBorders>
            <w:shd w:val="clear" w:color="000000" w:fill="FFFFFF"/>
            <w:noWrap/>
            <w:vAlign w:val="bottom"/>
            <w:hideMark/>
          </w:tcPr>
          <w:p w14:paraId="6CB1F81A"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Transfer of right-of-use liabilities</w:t>
            </w:r>
          </w:p>
        </w:tc>
        <w:tc>
          <w:tcPr>
            <w:tcW w:w="272" w:type="dxa"/>
            <w:tcBorders>
              <w:top w:val="nil"/>
              <w:left w:val="nil"/>
              <w:bottom w:val="nil"/>
              <w:right w:val="nil"/>
            </w:tcBorders>
            <w:shd w:val="clear" w:color="000000" w:fill="FFFFFF"/>
            <w:noWrap/>
            <w:vAlign w:val="bottom"/>
            <w:hideMark/>
          </w:tcPr>
          <w:p w14:paraId="0287EB4B"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320" w:type="dxa"/>
            <w:tcBorders>
              <w:top w:val="nil"/>
              <w:left w:val="nil"/>
              <w:bottom w:val="nil"/>
              <w:right w:val="nil"/>
            </w:tcBorders>
            <w:shd w:val="clear" w:color="000000" w:fill="FFFFFF"/>
            <w:noWrap/>
            <w:vAlign w:val="bottom"/>
            <w:hideMark/>
          </w:tcPr>
          <w:p w14:paraId="335A5AD0"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2C5AAABE"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2D5508F3"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(3,380)</w:t>
            </w:r>
          </w:p>
        </w:tc>
      </w:tr>
      <w:tr w:rsidR="00061BA6" w:rsidRPr="00061BA6" w14:paraId="081EC6C5" w14:textId="77777777" w:rsidTr="00061BA6">
        <w:trPr>
          <w:trHeight w:val="250"/>
        </w:trPr>
        <w:tc>
          <w:tcPr>
            <w:tcW w:w="6260" w:type="dxa"/>
            <w:tcBorders>
              <w:top w:val="nil"/>
              <w:left w:val="nil"/>
              <w:bottom w:val="nil"/>
              <w:right w:val="nil"/>
            </w:tcBorders>
            <w:shd w:val="clear" w:color="000000" w:fill="FFFFFF"/>
            <w:noWrap/>
            <w:vAlign w:val="bottom"/>
            <w:hideMark/>
          </w:tcPr>
          <w:p w14:paraId="223052C8"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Transfer of borrowings</w:t>
            </w:r>
          </w:p>
        </w:tc>
        <w:tc>
          <w:tcPr>
            <w:tcW w:w="272" w:type="dxa"/>
            <w:tcBorders>
              <w:top w:val="nil"/>
              <w:left w:val="nil"/>
              <w:bottom w:val="nil"/>
              <w:right w:val="nil"/>
            </w:tcBorders>
            <w:shd w:val="clear" w:color="000000" w:fill="FFFFFF"/>
            <w:noWrap/>
            <w:vAlign w:val="bottom"/>
            <w:hideMark/>
          </w:tcPr>
          <w:p w14:paraId="32E47BAE"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320" w:type="dxa"/>
            <w:tcBorders>
              <w:top w:val="nil"/>
              <w:left w:val="nil"/>
              <w:bottom w:val="nil"/>
              <w:right w:val="nil"/>
            </w:tcBorders>
            <w:shd w:val="clear" w:color="000000" w:fill="FFFFFF"/>
            <w:noWrap/>
            <w:vAlign w:val="bottom"/>
            <w:hideMark/>
          </w:tcPr>
          <w:p w14:paraId="02697E75"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2425037B"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3B034946"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(2,588)</w:t>
            </w:r>
          </w:p>
        </w:tc>
      </w:tr>
      <w:tr w:rsidR="00061BA6" w:rsidRPr="00061BA6" w14:paraId="79642EA7" w14:textId="77777777" w:rsidTr="00061BA6">
        <w:trPr>
          <w:trHeight w:val="250"/>
        </w:trPr>
        <w:tc>
          <w:tcPr>
            <w:tcW w:w="6260" w:type="dxa"/>
            <w:tcBorders>
              <w:top w:val="nil"/>
              <w:left w:val="nil"/>
              <w:bottom w:val="nil"/>
              <w:right w:val="nil"/>
            </w:tcBorders>
            <w:shd w:val="clear" w:color="000000" w:fill="FFFFFF"/>
            <w:noWrap/>
            <w:vAlign w:val="bottom"/>
            <w:hideMark/>
          </w:tcPr>
          <w:p w14:paraId="1FBC19DB"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Transfer of PUPOC provision</w:t>
            </w:r>
          </w:p>
        </w:tc>
        <w:tc>
          <w:tcPr>
            <w:tcW w:w="272" w:type="dxa"/>
            <w:tcBorders>
              <w:top w:val="nil"/>
              <w:left w:val="nil"/>
              <w:bottom w:val="nil"/>
              <w:right w:val="nil"/>
            </w:tcBorders>
            <w:shd w:val="clear" w:color="000000" w:fill="FFFFFF"/>
            <w:noWrap/>
            <w:vAlign w:val="bottom"/>
            <w:hideMark/>
          </w:tcPr>
          <w:p w14:paraId="0E38B96F"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320" w:type="dxa"/>
            <w:tcBorders>
              <w:top w:val="nil"/>
              <w:left w:val="nil"/>
              <w:bottom w:val="nil"/>
              <w:right w:val="nil"/>
            </w:tcBorders>
            <w:shd w:val="clear" w:color="000000" w:fill="FFFFFF"/>
            <w:noWrap/>
            <w:vAlign w:val="bottom"/>
            <w:hideMark/>
          </w:tcPr>
          <w:p w14:paraId="312E86C1"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60F47320"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1CF18ABD"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(19)</w:t>
            </w:r>
          </w:p>
        </w:tc>
      </w:tr>
      <w:tr w:rsidR="00061BA6" w:rsidRPr="00061BA6" w14:paraId="00148879" w14:textId="77777777" w:rsidTr="00061BA6">
        <w:trPr>
          <w:trHeight w:val="250"/>
        </w:trPr>
        <w:tc>
          <w:tcPr>
            <w:tcW w:w="6260" w:type="dxa"/>
            <w:tcBorders>
              <w:top w:val="nil"/>
              <w:left w:val="nil"/>
              <w:bottom w:val="nil"/>
              <w:right w:val="nil"/>
            </w:tcBorders>
            <w:shd w:val="clear" w:color="000000" w:fill="FFFFFF"/>
            <w:noWrap/>
            <w:vAlign w:val="bottom"/>
            <w:hideMark/>
          </w:tcPr>
          <w:p w14:paraId="135EAD23"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Transfer of PUPOC liability</w:t>
            </w:r>
          </w:p>
        </w:tc>
        <w:tc>
          <w:tcPr>
            <w:tcW w:w="272" w:type="dxa"/>
            <w:tcBorders>
              <w:top w:val="nil"/>
              <w:left w:val="nil"/>
              <w:bottom w:val="nil"/>
              <w:right w:val="nil"/>
            </w:tcBorders>
            <w:shd w:val="clear" w:color="000000" w:fill="FFFFFF"/>
            <w:noWrap/>
            <w:vAlign w:val="bottom"/>
            <w:hideMark/>
          </w:tcPr>
          <w:p w14:paraId="3224E3EB"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320" w:type="dxa"/>
            <w:tcBorders>
              <w:top w:val="nil"/>
              <w:left w:val="nil"/>
              <w:bottom w:val="nil"/>
              <w:right w:val="nil"/>
            </w:tcBorders>
            <w:shd w:val="clear" w:color="000000" w:fill="FFFFFF"/>
            <w:noWrap/>
            <w:vAlign w:val="bottom"/>
            <w:hideMark/>
          </w:tcPr>
          <w:p w14:paraId="4C487DCB"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140EC345" w14:textId="77777777" w:rsidR="00061BA6" w:rsidRPr="00061BA6" w:rsidRDefault="00061BA6" w:rsidP="00061BA6">
            <w:pPr>
              <w:spacing w:before="0" w:after="0"/>
              <w:rPr>
                <w:rFonts w:eastAsia="Times New Roman" w:cs="Arial"/>
                <w:sz w:val="20"/>
                <w:szCs w:val="20"/>
                <w:lang w:eastAsia="en-GB"/>
              </w:rPr>
            </w:pPr>
            <w:r w:rsidRPr="00061BA6">
              <w:rPr>
                <w:rFonts w:eastAsia="Times New Roman" w:cs="Arial"/>
                <w:sz w:val="20"/>
                <w:szCs w:val="20"/>
                <w:lang w:eastAsia="en-GB"/>
              </w:rPr>
              <w:t> </w:t>
            </w:r>
          </w:p>
        </w:tc>
        <w:tc>
          <w:tcPr>
            <w:tcW w:w="1200" w:type="dxa"/>
            <w:tcBorders>
              <w:top w:val="nil"/>
              <w:left w:val="nil"/>
              <w:bottom w:val="nil"/>
              <w:right w:val="nil"/>
            </w:tcBorders>
            <w:shd w:val="clear" w:color="000000" w:fill="FFFFFF"/>
            <w:noWrap/>
            <w:vAlign w:val="bottom"/>
            <w:hideMark/>
          </w:tcPr>
          <w:p w14:paraId="1565DE79" w14:textId="77777777" w:rsidR="00061BA6" w:rsidRPr="00061BA6" w:rsidRDefault="00061BA6" w:rsidP="00061BA6">
            <w:pPr>
              <w:spacing w:before="0" w:after="0"/>
              <w:jc w:val="right"/>
              <w:rPr>
                <w:rFonts w:eastAsia="Times New Roman" w:cs="Arial"/>
                <w:sz w:val="20"/>
                <w:szCs w:val="20"/>
                <w:lang w:eastAsia="en-GB"/>
              </w:rPr>
            </w:pPr>
            <w:r w:rsidRPr="00061BA6">
              <w:rPr>
                <w:rFonts w:eastAsia="Times New Roman" w:cs="Arial"/>
                <w:sz w:val="20"/>
                <w:szCs w:val="20"/>
                <w:lang w:eastAsia="en-GB"/>
              </w:rPr>
              <w:t>(193)</w:t>
            </w:r>
          </w:p>
        </w:tc>
      </w:tr>
      <w:tr w:rsidR="00061BA6" w:rsidRPr="00061BA6" w14:paraId="6723E603" w14:textId="77777777" w:rsidTr="00061BA6">
        <w:trPr>
          <w:trHeight w:val="260"/>
        </w:trPr>
        <w:tc>
          <w:tcPr>
            <w:tcW w:w="6260" w:type="dxa"/>
            <w:tcBorders>
              <w:top w:val="nil"/>
              <w:left w:val="nil"/>
              <w:bottom w:val="nil"/>
              <w:right w:val="nil"/>
            </w:tcBorders>
            <w:shd w:val="clear" w:color="000000" w:fill="FFFFFF"/>
            <w:noWrap/>
            <w:vAlign w:val="bottom"/>
            <w:hideMark/>
          </w:tcPr>
          <w:p w14:paraId="2EC44C7F" w14:textId="77777777" w:rsidR="00061BA6" w:rsidRPr="00061BA6" w:rsidRDefault="00061BA6" w:rsidP="00061BA6">
            <w:pPr>
              <w:spacing w:before="0" w:after="0"/>
              <w:rPr>
                <w:rFonts w:eastAsia="Times New Roman" w:cs="Arial"/>
                <w:b/>
                <w:bCs/>
                <w:sz w:val="20"/>
                <w:szCs w:val="20"/>
                <w:lang w:eastAsia="en-GB"/>
              </w:rPr>
            </w:pPr>
            <w:r w:rsidRPr="00061BA6">
              <w:rPr>
                <w:rFonts w:eastAsia="Times New Roman" w:cs="Arial"/>
                <w:b/>
                <w:bCs/>
                <w:sz w:val="20"/>
                <w:szCs w:val="20"/>
                <w:lang w:eastAsia="en-GB"/>
              </w:rPr>
              <w:t>Net loss on transfers by absorption</w:t>
            </w:r>
          </w:p>
        </w:tc>
        <w:tc>
          <w:tcPr>
            <w:tcW w:w="272" w:type="dxa"/>
            <w:tcBorders>
              <w:top w:val="nil"/>
              <w:left w:val="nil"/>
              <w:bottom w:val="nil"/>
              <w:right w:val="nil"/>
            </w:tcBorders>
            <w:shd w:val="clear" w:color="000000" w:fill="FFFFFF"/>
            <w:noWrap/>
            <w:vAlign w:val="bottom"/>
            <w:hideMark/>
          </w:tcPr>
          <w:p w14:paraId="3BB76301" w14:textId="77777777" w:rsidR="00061BA6" w:rsidRPr="00061BA6" w:rsidRDefault="00061BA6" w:rsidP="00061BA6">
            <w:pPr>
              <w:spacing w:before="0" w:after="0"/>
              <w:rPr>
                <w:rFonts w:eastAsia="Times New Roman" w:cs="Arial"/>
                <w:b/>
                <w:bCs/>
                <w:sz w:val="20"/>
                <w:szCs w:val="20"/>
                <w:lang w:eastAsia="en-GB"/>
              </w:rPr>
            </w:pPr>
            <w:r w:rsidRPr="00061BA6">
              <w:rPr>
                <w:rFonts w:eastAsia="Times New Roman" w:cs="Arial"/>
                <w:b/>
                <w:bCs/>
                <w:sz w:val="20"/>
                <w:szCs w:val="20"/>
                <w:lang w:eastAsia="en-GB"/>
              </w:rPr>
              <w:t> </w:t>
            </w:r>
          </w:p>
        </w:tc>
        <w:tc>
          <w:tcPr>
            <w:tcW w:w="1320" w:type="dxa"/>
            <w:tcBorders>
              <w:top w:val="single" w:sz="4" w:space="0" w:color="auto"/>
              <w:left w:val="nil"/>
              <w:bottom w:val="single" w:sz="4" w:space="0" w:color="auto"/>
              <w:right w:val="nil"/>
            </w:tcBorders>
            <w:shd w:val="clear" w:color="auto" w:fill="auto"/>
            <w:noWrap/>
            <w:vAlign w:val="bottom"/>
            <w:hideMark/>
          </w:tcPr>
          <w:p w14:paraId="055DEDB1" w14:textId="77777777" w:rsidR="00061BA6" w:rsidRPr="00061BA6" w:rsidRDefault="00061BA6" w:rsidP="00061BA6">
            <w:pPr>
              <w:spacing w:before="0" w:after="0"/>
              <w:jc w:val="right"/>
              <w:rPr>
                <w:rFonts w:eastAsia="Times New Roman" w:cs="Arial"/>
                <w:b/>
                <w:bCs/>
                <w:sz w:val="20"/>
                <w:szCs w:val="20"/>
                <w:lang w:eastAsia="en-GB"/>
              </w:rPr>
            </w:pPr>
            <w:r w:rsidRPr="00061BA6">
              <w:rPr>
                <w:rFonts w:eastAsia="Times New Roman" w:cs="Arial"/>
                <w:b/>
                <w:bCs/>
                <w:sz w:val="20"/>
                <w:szCs w:val="20"/>
                <w:lang w:eastAsia="en-GB"/>
              </w:rPr>
              <w:t>-</w:t>
            </w:r>
          </w:p>
        </w:tc>
        <w:tc>
          <w:tcPr>
            <w:tcW w:w="272" w:type="dxa"/>
            <w:tcBorders>
              <w:top w:val="nil"/>
              <w:left w:val="nil"/>
              <w:bottom w:val="nil"/>
              <w:right w:val="nil"/>
            </w:tcBorders>
            <w:shd w:val="clear" w:color="auto" w:fill="auto"/>
            <w:noWrap/>
            <w:vAlign w:val="bottom"/>
            <w:hideMark/>
          </w:tcPr>
          <w:p w14:paraId="7F7447FC" w14:textId="77777777" w:rsidR="00061BA6" w:rsidRPr="00061BA6" w:rsidRDefault="00061BA6" w:rsidP="00061BA6">
            <w:pPr>
              <w:spacing w:before="0" w:after="0"/>
              <w:jc w:val="right"/>
              <w:rPr>
                <w:rFonts w:eastAsia="Times New Roman" w:cs="Arial"/>
                <w:b/>
                <w:bCs/>
                <w:sz w:val="20"/>
                <w:szCs w:val="20"/>
                <w:lang w:eastAsia="en-GB"/>
              </w:rPr>
            </w:pPr>
          </w:p>
        </w:tc>
        <w:tc>
          <w:tcPr>
            <w:tcW w:w="1200" w:type="dxa"/>
            <w:tcBorders>
              <w:top w:val="single" w:sz="4" w:space="0" w:color="auto"/>
              <w:left w:val="nil"/>
              <w:bottom w:val="single" w:sz="4" w:space="0" w:color="auto"/>
              <w:right w:val="nil"/>
            </w:tcBorders>
            <w:shd w:val="clear" w:color="auto" w:fill="auto"/>
            <w:noWrap/>
            <w:vAlign w:val="bottom"/>
            <w:hideMark/>
          </w:tcPr>
          <w:p w14:paraId="2AFA8097" w14:textId="77777777" w:rsidR="00061BA6" w:rsidRPr="00061BA6" w:rsidRDefault="00061BA6" w:rsidP="00061BA6">
            <w:pPr>
              <w:spacing w:before="0" w:after="0"/>
              <w:jc w:val="right"/>
              <w:rPr>
                <w:rFonts w:eastAsia="Times New Roman" w:cs="Arial"/>
                <w:b/>
                <w:bCs/>
                <w:sz w:val="20"/>
                <w:szCs w:val="20"/>
                <w:lang w:eastAsia="en-GB"/>
              </w:rPr>
            </w:pPr>
            <w:r w:rsidRPr="00061BA6">
              <w:rPr>
                <w:rFonts w:eastAsia="Times New Roman" w:cs="Arial"/>
                <w:b/>
                <w:bCs/>
                <w:sz w:val="20"/>
                <w:szCs w:val="20"/>
                <w:lang w:eastAsia="en-GB"/>
              </w:rPr>
              <w:t>(92,271)</w:t>
            </w:r>
          </w:p>
        </w:tc>
      </w:tr>
    </w:tbl>
    <w:p w14:paraId="066B2AC0" w14:textId="77777777" w:rsidR="00D677FE" w:rsidRDefault="00D677FE" w:rsidP="00C70A7F">
      <w:pPr>
        <w:spacing w:before="0" w:after="200" w:line="276" w:lineRule="auto"/>
      </w:pPr>
    </w:p>
    <w:p w14:paraId="2058D4EE" w14:textId="0AED768C" w:rsidR="000D0E7B" w:rsidRDefault="000D0E7B">
      <w:pPr>
        <w:spacing w:before="0" w:after="200" w:line="276" w:lineRule="auto"/>
      </w:pPr>
      <w:r>
        <w:br w:type="page"/>
      </w:r>
    </w:p>
    <w:tbl>
      <w:tblPr>
        <w:tblW w:w="10906" w:type="dxa"/>
        <w:tblInd w:w="-426" w:type="dxa"/>
        <w:tblLook w:val="04A0" w:firstRow="1" w:lastRow="0" w:firstColumn="1" w:lastColumn="0" w:noHBand="0" w:noVBand="1"/>
      </w:tblPr>
      <w:tblGrid>
        <w:gridCol w:w="4253"/>
        <w:gridCol w:w="1216"/>
        <w:gridCol w:w="1336"/>
        <w:gridCol w:w="272"/>
        <w:gridCol w:w="1332"/>
        <w:gridCol w:w="301"/>
        <w:gridCol w:w="266"/>
        <w:gridCol w:w="1930"/>
      </w:tblGrid>
      <w:tr w:rsidR="00E45741" w:rsidRPr="000D0E7B" w14:paraId="0F337662" w14:textId="77777777" w:rsidTr="00A20382">
        <w:trPr>
          <w:gridAfter w:val="2"/>
          <w:wAfter w:w="2196" w:type="dxa"/>
          <w:trHeight w:val="260"/>
        </w:trPr>
        <w:tc>
          <w:tcPr>
            <w:tcW w:w="8710" w:type="dxa"/>
            <w:gridSpan w:val="6"/>
            <w:tcBorders>
              <w:top w:val="nil"/>
              <w:left w:val="nil"/>
              <w:bottom w:val="nil"/>
            </w:tcBorders>
            <w:shd w:val="clear" w:color="auto" w:fill="auto"/>
            <w:noWrap/>
            <w:vAlign w:val="bottom"/>
            <w:hideMark/>
          </w:tcPr>
          <w:p w14:paraId="06874A21" w14:textId="684A0402" w:rsidR="00E45741" w:rsidRPr="000D0E7B" w:rsidRDefault="00E45741" w:rsidP="000D0E7B">
            <w:pPr>
              <w:spacing w:before="0" w:after="0"/>
              <w:rPr>
                <w:rFonts w:ascii="Times New Roman" w:eastAsia="Times New Roman" w:hAnsi="Times New Roman" w:cs="Times New Roman"/>
                <w:sz w:val="20"/>
                <w:szCs w:val="20"/>
                <w:lang w:eastAsia="en-GB"/>
              </w:rPr>
            </w:pPr>
            <w:r w:rsidRPr="000D0E7B">
              <w:rPr>
                <w:rFonts w:eastAsia="Times New Roman" w:cs="Arial"/>
                <w:i/>
                <w:iCs/>
                <w:sz w:val="20"/>
                <w:szCs w:val="20"/>
                <w:lang w:eastAsia="en-GB"/>
              </w:rPr>
              <w:lastRenderedPageBreak/>
              <w:t>NHS Mid and South Essex Integrated Care Board - Statutory Accounts 2023-24</w:t>
            </w:r>
          </w:p>
        </w:tc>
      </w:tr>
      <w:tr w:rsidR="00C560FC" w:rsidRPr="000D0E7B" w14:paraId="4661B45C" w14:textId="77777777" w:rsidTr="00A20382">
        <w:trPr>
          <w:trHeight w:val="250"/>
        </w:trPr>
        <w:tc>
          <w:tcPr>
            <w:tcW w:w="4253" w:type="dxa"/>
            <w:tcBorders>
              <w:top w:val="nil"/>
              <w:left w:val="nil"/>
              <w:bottom w:val="nil"/>
              <w:right w:val="nil"/>
            </w:tcBorders>
            <w:shd w:val="clear" w:color="auto" w:fill="auto"/>
            <w:noWrap/>
            <w:vAlign w:val="bottom"/>
            <w:hideMark/>
          </w:tcPr>
          <w:p w14:paraId="44514F63" w14:textId="77777777" w:rsidR="000D0E7B" w:rsidRPr="000D0E7B" w:rsidRDefault="000D0E7B" w:rsidP="000D0E7B">
            <w:pPr>
              <w:spacing w:before="0" w:after="0"/>
              <w:rPr>
                <w:rFonts w:ascii="Times New Roman" w:eastAsia="Times New Roman" w:hAnsi="Times New Roman" w:cs="Times New Roman"/>
                <w:sz w:val="20"/>
                <w:szCs w:val="20"/>
                <w:lang w:eastAsia="en-GB"/>
              </w:rPr>
            </w:pPr>
          </w:p>
        </w:tc>
        <w:tc>
          <w:tcPr>
            <w:tcW w:w="1216" w:type="dxa"/>
            <w:tcBorders>
              <w:top w:val="nil"/>
              <w:left w:val="nil"/>
              <w:bottom w:val="nil"/>
              <w:right w:val="nil"/>
            </w:tcBorders>
            <w:shd w:val="clear" w:color="auto" w:fill="auto"/>
            <w:noWrap/>
            <w:vAlign w:val="bottom"/>
            <w:hideMark/>
          </w:tcPr>
          <w:p w14:paraId="7E5F753C" w14:textId="77777777" w:rsidR="000D0E7B" w:rsidRPr="000D0E7B" w:rsidRDefault="000D0E7B" w:rsidP="000D0E7B">
            <w:pPr>
              <w:spacing w:before="0" w:after="0"/>
              <w:rPr>
                <w:rFonts w:ascii="Times New Roman" w:eastAsia="Times New Roman" w:hAnsi="Times New Roman" w:cs="Times New Roman"/>
                <w:sz w:val="20"/>
                <w:szCs w:val="20"/>
                <w:lang w:eastAsia="en-GB"/>
              </w:rPr>
            </w:pPr>
          </w:p>
        </w:tc>
        <w:tc>
          <w:tcPr>
            <w:tcW w:w="1336" w:type="dxa"/>
            <w:tcBorders>
              <w:top w:val="nil"/>
              <w:left w:val="nil"/>
              <w:bottom w:val="nil"/>
              <w:right w:val="nil"/>
            </w:tcBorders>
            <w:shd w:val="clear" w:color="auto" w:fill="auto"/>
            <w:noWrap/>
            <w:vAlign w:val="bottom"/>
            <w:hideMark/>
          </w:tcPr>
          <w:p w14:paraId="2F216AB2" w14:textId="77777777" w:rsidR="000D0E7B" w:rsidRPr="000D0E7B" w:rsidRDefault="000D0E7B" w:rsidP="000D0E7B">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3006F7B8" w14:textId="77777777" w:rsidR="000D0E7B" w:rsidRPr="000D0E7B" w:rsidRDefault="000D0E7B" w:rsidP="000D0E7B">
            <w:pPr>
              <w:spacing w:before="0" w:after="0"/>
              <w:rPr>
                <w:rFonts w:ascii="Times New Roman" w:eastAsia="Times New Roman" w:hAnsi="Times New Roman" w:cs="Times New Roman"/>
                <w:sz w:val="20"/>
                <w:szCs w:val="20"/>
                <w:lang w:eastAsia="en-GB"/>
              </w:rPr>
            </w:pPr>
          </w:p>
        </w:tc>
        <w:tc>
          <w:tcPr>
            <w:tcW w:w="1332" w:type="dxa"/>
            <w:tcBorders>
              <w:top w:val="nil"/>
              <w:left w:val="nil"/>
              <w:bottom w:val="nil"/>
              <w:right w:val="nil"/>
            </w:tcBorders>
            <w:shd w:val="clear" w:color="auto" w:fill="auto"/>
            <w:noWrap/>
            <w:vAlign w:val="bottom"/>
            <w:hideMark/>
          </w:tcPr>
          <w:p w14:paraId="165A2B82" w14:textId="77777777" w:rsidR="000D0E7B" w:rsidRPr="000D0E7B" w:rsidRDefault="000D0E7B" w:rsidP="000D0E7B">
            <w:pPr>
              <w:spacing w:before="0" w:after="0"/>
              <w:rPr>
                <w:rFonts w:ascii="Times New Roman" w:eastAsia="Times New Roman" w:hAnsi="Times New Roman" w:cs="Times New Roman"/>
                <w:sz w:val="20"/>
                <w:szCs w:val="20"/>
                <w:lang w:eastAsia="en-GB"/>
              </w:rPr>
            </w:pPr>
          </w:p>
        </w:tc>
        <w:tc>
          <w:tcPr>
            <w:tcW w:w="567" w:type="dxa"/>
            <w:gridSpan w:val="2"/>
            <w:tcBorders>
              <w:top w:val="nil"/>
              <w:left w:val="nil"/>
              <w:bottom w:val="nil"/>
              <w:right w:val="nil"/>
            </w:tcBorders>
            <w:shd w:val="clear" w:color="auto" w:fill="auto"/>
            <w:noWrap/>
            <w:vAlign w:val="bottom"/>
            <w:hideMark/>
          </w:tcPr>
          <w:p w14:paraId="1C43CFA7" w14:textId="77777777" w:rsidR="000D0E7B" w:rsidRPr="000D0E7B" w:rsidRDefault="000D0E7B" w:rsidP="000D0E7B">
            <w:pPr>
              <w:spacing w:before="0" w:after="0"/>
              <w:rPr>
                <w:rFonts w:ascii="Times New Roman" w:eastAsia="Times New Roman" w:hAnsi="Times New Roman" w:cs="Times New Roman"/>
                <w:sz w:val="20"/>
                <w:szCs w:val="20"/>
                <w:lang w:eastAsia="en-GB"/>
              </w:rPr>
            </w:pPr>
          </w:p>
        </w:tc>
        <w:tc>
          <w:tcPr>
            <w:tcW w:w="1930" w:type="dxa"/>
            <w:tcBorders>
              <w:top w:val="nil"/>
              <w:left w:val="nil"/>
              <w:bottom w:val="nil"/>
              <w:right w:val="nil"/>
            </w:tcBorders>
            <w:shd w:val="clear" w:color="auto" w:fill="auto"/>
            <w:noWrap/>
            <w:vAlign w:val="bottom"/>
            <w:hideMark/>
          </w:tcPr>
          <w:p w14:paraId="708200B3" w14:textId="77777777" w:rsidR="000D0E7B" w:rsidRPr="000D0E7B" w:rsidRDefault="000D0E7B" w:rsidP="000D0E7B">
            <w:pPr>
              <w:spacing w:before="0" w:after="0"/>
              <w:rPr>
                <w:rFonts w:ascii="Times New Roman" w:eastAsia="Times New Roman" w:hAnsi="Times New Roman" w:cs="Times New Roman"/>
                <w:sz w:val="20"/>
                <w:szCs w:val="20"/>
                <w:lang w:eastAsia="en-GB"/>
              </w:rPr>
            </w:pPr>
          </w:p>
        </w:tc>
      </w:tr>
      <w:tr w:rsidR="00644FCB" w:rsidRPr="000D0E7B" w14:paraId="65E0FC90" w14:textId="77777777" w:rsidTr="00A20382">
        <w:trPr>
          <w:trHeight w:val="260"/>
        </w:trPr>
        <w:tc>
          <w:tcPr>
            <w:tcW w:w="4253" w:type="dxa"/>
            <w:tcBorders>
              <w:top w:val="nil"/>
              <w:left w:val="nil"/>
              <w:bottom w:val="nil"/>
              <w:right w:val="nil"/>
            </w:tcBorders>
            <w:shd w:val="clear" w:color="auto" w:fill="auto"/>
            <w:noWrap/>
            <w:vAlign w:val="bottom"/>
            <w:hideMark/>
          </w:tcPr>
          <w:p w14:paraId="2D510577" w14:textId="77777777" w:rsidR="000D0E7B" w:rsidRPr="000D0E7B" w:rsidRDefault="000D0E7B" w:rsidP="000D0E7B">
            <w:pPr>
              <w:spacing w:before="0" w:after="0"/>
              <w:rPr>
                <w:rFonts w:eastAsia="Times New Roman" w:cs="Arial"/>
                <w:b/>
                <w:bCs/>
                <w:sz w:val="20"/>
                <w:szCs w:val="20"/>
                <w:lang w:eastAsia="en-GB"/>
              </w:rPr>
            </w:pPr>
            <w:r w:rsidRPr="000D0E7B">
              <w:rPr>
                <w:rFonts w:eastAsia="Times New Roman" w:cs="Arial"/>
                <w:b/>
                <w:bCs/>
                <w:sz w:val="20"/>
                <w:szCs w:val="20"/>
                <w:lang w:eastAsia="en-GB"/>
              </w:rPr>
              <w:t>10 Leases</w:t>
            </w:r>
          </w:p>
        </w:tc>
        <w:tc>
          <w:tcPr>
            <w:tcW w:w="1216" w:type="dxa"/>
            <w:tcBorders>
              <w:top w:val="nil"/>
              <w:left w:val="nil"/>
              <w:bottom w:val="nil"/>
              <w:right w:val="nil"/>
            </w:tcBorders>
            <w:shd w:val="clear" w:color="auto" w:fill="auto"/>
            <w:noWrap/>
            <w:vAlign w:val="bottom"/>
            <w:hideMark/>
          </w:tcPr>
          <w:p w14:paraId="184B6A1E" w14:textId="77777777" w:rsidR="000D0E7B" w:rsidRPr="000D0E7B" w:rsidRDefault="000D0E7B" w:rsidP="000D0E7B">
            <w:pPr>
              <w:spacing w:before="0" w:after="0"/>
              <w:rPr>
                <w:rFonts w:eastAsia="Times New Roman" w:cs="Arial"/>
                <w:b/>
                <w:bCs/>
                <w:sz w:val="20"/>
                <w:szCs w:val="20"/>
                <w:lang w:eastAsia="en-GB"/>
              </w:rPr>
            </w:pPr>
          </w:p>
        </w:tc>
        <w:tc>
          <w:tcPr>
            <w:tcW w:w="1336" w:type="dxa"/>
            <w:tcBorders>
              <w:top w:val="nil"/>
              <w:left w:val="nil"/>
              <w:bottom w:val="nil"/>
              <w:right w:val="nil"/>
            </w:tcBorders>
            <w:shd w:val="clear" w:color="auto" w:fill="auto"/>
            <w:noWrap/>
            <w:vAlign w:val="bottom"/>
            <w:hideMark/>
          </w:tcPr>
          <w:p w14:paraId="2032CA1B" w14:textId="77777777" w:rsidR="000D0E7B" w:rsidRPr="000D0E7B" w:rsidRDefault="000D0E7B" w:rsidP="000D0E7B">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5780330B" w14:textId="77777777" w:rsidR="000D0E7B" w:rsidRPr="000D0E7B" w:rsidRDefault="000D0E7B" w:rsidP="000D0E7B">
            <w:pPr>
              <w:spacing w:before="0" w:after="0"/>
              <w:rPr>
                <w:rFonts w:ascii="Times New Roman" w:eastAsia="Times New Roman" w:hAnsi="Times New Roman" w:cs="Times New Roman"/>
                <w:sz w:val="20"/>
                <w:szCs w:val="20"/>
                <w:lang w:eastAsia="en-GB"/>
              </w:rPr>
            </w:pPr>
          </w:p>
        </w:tc>
        <w:tc>
          <w:tcPr>
            <w:tcW w:w="1332" w:type="dxa"/>
            <w:tcBorders>
              <w:top w:val="nil"/>
              <w:left w:val="nil"/>
              <w:bottom w:val="nil"/>
              <w:right w:val="nil"/>
            </w:tcBorders>
            <w:shd w:val="clear" w:color="auto" w:fill="auto"/>
            <w:vAlign w:val="bottom"/>
            <w:hideMark/>
          </w:tcPr>
          <w:p w14:paraId="6C33008A" w14:textId="77777777" w:rsidR="000D0E7B" w:rsidRPr="000D0E7B" w:rsidRDefault="000D0E7B" w:rsidP="000D0E7B">
            <w:pPr>
              <w:spacing w:before="0" w:after="0"/>
              <w:rPr>
                <w:rFonts w:ascii="Times New Roman" w:eastAsia="Times New Roman" w:hAnsi="Times New Roman" w:cs="Times New Roman"/>
                <w:sz w:val="20"/>
                <w:szCs w:val="20"/>
                <w:lang w:eastAsia="en-GB"/>
              </w:rPr>
            </w:pPr>
          </w:p>
        </w:tc>
        <w:tc>
          <w:tcPr>
            <w:tcW w:w="567" w:type="dxa"/>
            <w:gridSpan w:val="2"/>
            <w:tcBorders>
              <w:top w:val="nil"/>
              <w:left w:val="nil"/>
              <w:bottom w:val="nil"/>
              <w:right w:val="nil"/>
            </w:tcBorders>
            <w:shd w:val="clear" w:color="auto" w:fill="auto"/>
            <w:noWrap/>
            <w:vAlign w:val="bottom"/>
            <w:hideMark/>
          </w:tcPr>
          <w:p w14:paraId="7BA89C46" w14:textId="77777777" w:rsidR="000D0E7B" w:rsidRPr="000D0E7B" w:rsidRDefault="000D0E7B" w:rsidP="000D0E7B">
            <w:pPr>
              <w:spacing w:before="0" w:after="0"/>
              <w:jc w:val="right"/>
              <w:rPr>
                <w:rFonts w:ascii="Times New Roman" w:eastAsia="Times New Roman" w:hAnsi="Times New Roman" w:cs="Times New Roman"/>
                <w:sz w:val="20"/>
                <w:szCs w:val="20"/>
                <w:lang w:eastAsia="en-GB"/>
              </w:rPr>
            </w:pPr>
          </w:p>
        </w:tc>
        <w:tc>
          <w:tcPr>
            <w:tcW w:w="1930" w:type="dxa"/>
            <w:tcBorders>
              <w:top w:val="nil"/>
              <w:left w:val="nil"/>
              <w:bottom w:val="nil"/>
              <w:right w:val="nil"/>
            </w:tcBorders>
            <w:shd w:val="clear" w:color="auto" w:fill="auto"/>
            <w:noWrap/>
            <w:vAlign w:val="bottom"/>
            <w:hideMark/>
          </w:tcPr>
          <w:p w14:paraId="0E802A3C" w14:textId="77777777" w:rsidR="000D0E7B" w:rsidRPr="000D0E7B" w:rsidRDefault="000D0E7B" w:rsidP="000D0E7B">
            <w:pPr>
              <w:spacing w:before="0" w:after="0"/>
              <w:rPr>
                <w:rFonts w:ascii="Times New Roman" w:eastAsia="Times New Roman" w:hAnsi="Times New Roman" w:cs="Times New Roman"/>
                <w:sz w:val="20"/>
                <w:szCs w:val="20"/>
                <w:lang w:eastAsia="en-GB"/>
              </w:rPr>
            </w:pPr>
          </w:p>
        </w:tc>
      </w:tr>
      <w:tr w:rsidR="00644FCB" w:rsidRPr="000D0E7B" w14:paraId="21970925" w14:textId="77777777" w:rsidTr="00A20382">
        <w:trPr>
          <w:trHeight w:val="120"/>
        </w:trPr>
        <w:tc>
          <w:tcPr>
            <w:tcW w:w="4253" w:type="dxa"/>
            <w:tcBorders>
              <w:top w:val="nil"/>
              <w:left w:val="nil"/>
              <w:bottom w:val="nil"/>
              <w:right w:val="nil"/>
            </w:tcBorders>
            <w:shd w:val="clear" w:color="auto" w:fill="auto"/>
            <w:noWrap/>
            <w:vAlign w:val="bottom"/>
            <w:hideMark/>
          </w:tcPr>
          <w:p w14:paraId="03460612" w14:textId="77777777" w:rsidR="000D0E7B" w:rsidRPr="000D0E7B" w:rsidRDefault="000D0E7B" w:rsidP="000D0E7B">
            <w:pPr>
              <w:spacing w:before="0" w:after="0"/>
              <w:rPr>
                <w:rFonts w:ascii="Times New Roman" w:eastAsia="Times New Roman" w:hAnsi="Times New Roman" w:cs="Times New Roman"/>
                <w:sz w:val="20"/>
                <w:szCs w:val="20"/>
                <w:lang w:eastAsia="en-GB"/>
              </w:rPr>
            </w:pPr>
          </w:p>
        </w:tc>
        <w:tc>
          <w:tcPr>
            <w:tcW w:w="1216" w:type="dxa"/>
            <w:tcBorders>
              <w:top w:val="nil"/>
              <w:left w:val="nil"/>
              <w:bottom w:val="nil"/>
              <w:right w:val="nil"/>
            </w:tcBorders>
            <w:shd w:val="clear" w:color="auto" w:fill="auto"/>
            <w:noWrap/>
            <w:vAlign w:val="bottom"/>
            <w:hideMark/>
          </w:tcPr>
          <w:p w14:paraId="30638747" w14:textId="77777777" w:rsidR="000D0E7B" w:rsidRPr="000D0E7B" w:rsidRDefault="000D0E7B" w:rsidP="000D0E7B">
            <w:pPr>
              <w:spacing w:before="0" w:after="0"/>
              <w:rPr>
                <w:rFonts w:ascii="Times New Roman" w:eastAsia="Times New Roman" w:hAnsi="Times New Roman" w:cs="Times New Roman"/>
                <w:sz w:val="20"/>
                <w:szCs w:val="20"/>
                <w:lang w:eastAsia="en-GB"/>
              </w:rPr>
            </w:pPr>
          </w:p>
        </w:tc>
        <w:tc>
          <w:tcPr>
            <w:tcW w:w="1336" w:type="dxa"/>
            <w:tcBorders>
              <w:top w:val="nil"/>
              <w:left w:val="nil"/>
              <w:bottom w:val="nil"/>
              <w:right w:val="nil"/>
            </w:tcBorders>
            <w:shd w:val="clear" w:color="auto" w:fill="auto"/>
            <w:noWrap/>
            <w:vAlign w:val="bottom"/>
            <w:hideMark/>
          </w:tcPr>
          <w:p w14:paraId="7549851C" w14:textId="77777777" w:rsidR="000D0E7B" w:rsidRPr="000D0E7B" w:rsidRDefault="000D0E7B" w:rsidP="000D0E7B">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20847D9B" w14:textId="77777777" w:rsidR="000D0E7B" w:rsidRPr="000D0E7B" w:rsidRDefault="000D0E7B" w:rsidP="000D0E7B">
            <w:pPr>
              <w:spacing w:before="0" w:after="0"/>
              <w:rPr>
                <w:rFonts w:ascii="Times New Roman" w:eastAsia="Times New Roman" w:hAnsi="Times New Roman" w:cs="Times New Roman"/>
                <w:sz w:val="20"/>
                <w:szCs w:val="20"/>
                <w:lang w:eastAsia="en-GB"/>
              </w:rPr>
            </w:pPr>
          </w:p>
        </w:tc>
        <w:tc>
          <w:tcPr>
            <w:tcW w:w="1332" w:type="dxa"/>
            <w:tcBorders>
              <w:top w:val="nil"/>
              <w:left w:val="nil"/>
              <w:bottom w:val="nil"/>
              <w:right w:val="nil"/>
            </w:tcBorders>
            <w:shd w:val="clear" w:color="auto" w:fill="auto"/>
            <w:vAlign w:val="bottom"/>
            <w:hideMark/>
          </w:tcPr>
          <w:p w14:paraId="15D375A8" w14:textId="77777777" w:rsidR="000D0E7B" w:rsidRPr="000D0E7B" w:rsidRDefault="000D0E7B" w:rsidP="000D0E7B">
            <w:pPr>
              <w:spacing w:before="0" w:after="0"/>
              <w:rPr>
                <w:rFonts w:ascii="Times New Roman" w:eastAsia="Times New Roman" w:hAnsi="Times New Roman" w:cs="Times New Roman"/>
                <w:sz w:val="20"/>
                <w:szCs w:val="20"/>
                <w:lang w:eastAsia="en-GB"/>
              </w:rPr>
            </w:pPr>
          </w:p>
        </w:tc>
        <w:tc>
          <w:tcPr>
            <w:tcW w:w="567" w:type="dxa"/>
            <w:gridSpan w:val="2"/>
            <w:tcBorders>
              <w:top w:val="nil"/>
              <w:left w:val="nil"/>
              <w:bottom w:val="nil"/>
              <w:right w:val="nil"/>
            </w:tcBorders>
            <w:shd w:val="clear" w:color="auto" w:fill="auto"/>
            <w:noWrap/>
            <w:vAlign w:val="bottom"/>
            <w:hideMark/>
          </w:tcPr>
          <w:p w14:paraId="6C557968" w14:textId="77777777" w:rsidR="000D0E7B" w:rsidRPr="000D0E7B" w:rsidRDefault="000D0E7B" w:rsidP="000D0E7B">
            <w:pPr>
              <w:spacing w:before="0" w:after="0"/>
              <w:jc w:val="right"/>
              <w:rPr>
                <w:rFonts w:ascii="Times New Roman" w:eastAsia="Times New Roman" w:hAnsi="Times New Roman" w:cs="Times New Roman"/>
                <w:sz w:val="20"/>
                <w:szCs w:val="20"/>
                <w:lang w:eastAsia="en-GB"/>
              </w:rPr>
            </w:pPr>
          </w:p>
        </w:tc>
        <w:tc>
          <w:tcPr>
            <w:tcW w:w="1930" w:type="dxa"/>
            <w:tcBorders>
              <w:top w:val="nil"/>
              <w:left w:val="nil"/>
              <w:bottom w:val="nil"/>
              <w:right w:val="nil"/>
            </w:tcBorders>
            <w:shd w:val="clear" w:color="auto" w:fill="auto"/>
            <w:noWrap/>
            <w:vAlign w:val="bottom"/>
            <w:hideMark/>
          </w:tcPr>
          <w:p w14:paraId="261F80A5" w14:textId="77777777" w:rsidR="000D0E7B" w:rsidRPr="000D0E7B" w:rsidRDefault="000D0E7B" w:rsidP="000D0E7B">
            <w:pPr>
              <w:spacing w:before="0" w:after="0"/>
              <w:rPr>
                <w:rFonts w:ascii="Times New Roman" w:eastAsia="Times New Roman" w:hAnsi="Times New Roman" w:cs="Times New Roman"/>
                <w:sz w:val="20"/>
                <w:szCs w:val="20"/>
                <w:lang w:eastAsia="en-GB"/>
              </w:rPr>
            </w:pPr>
          </w:p>
        </w:tc>
      </w:tr>
      <w:tr w:rsidR="00644FCB" w:rsidRPr="000D0E7B" w14:paraId="483086CA" w14:textId="77777777" w:rsidTr="00A20382">
        <w:trPr>
          <w:trHeight w:val="780"/>
        </w:trPr>
        <w:tc>
          <w:tcPr>
            <w:tcW w:w="4253" w:type="dxa"/>
            <w:tcBorders>
              <w:top w:val="nil"/>
              <w:left w:val="nil"/>
              <w:bottom w:val="nil"/>
              <w:right w:val="nil"/>
            </w:tcBorders>
            <w:shd w:val="clear" w:color="auto" w:fill="auto"/>
            <w:noWrap/>
            <w:hideMark/>
          </w:tcPr>
          <w:p w14:paraId="54E4B45C" w14:textId="5BC3B406" w:rsidR="00E45741" w:rsidRPr="000D0E7B" w:rsidRDefault="00E45741" w:rsidP="00E45741">
            <w:pPr>
              <w:spacing w:before="0" w:after="0"/>
              <w:rPr>
                <w:rFonts w:ascii="Times New Roman" w:eastAsia="Times New Roman" w:hAnsi="Times New Roman" w:cs="Times New Roman"/>
                <w:sz w:val="20"/>
                <w:szCs w:val="20"/>
                <w:lang w:eastAsia="en-GB"/>
              </w:rPr>
            </w:pPr>
            <w:r w:rsidRPr="000D0E7B">
              <w:rPr>
                <w:rFonts w:eastAsia="Times New Roman" w:cs="Arial"/>
                <w:b/>
                <w:bCs/>
                <w:sz w:val="20"/>
                <w:szCs w:val="20"/>
                <w:lang w:eastAsia="en-GB"/>
              </w:rPr>
              <w:t>10.1 Right-Of-Use Assets</w:t>
            </w:r>
          </w:p>
        </w:tc>
        <w:tc>
          <w:tcPr>
            <w:tcW w:w="1216" w:type="dxa"/>
            <w:tcBorders>
              <w:top w:val="nil"/>
              <w:left w:val="nil"/>
              <w:bottom w:val="nil"/>
              <w:right w:val="nil"/>
            </w:tcBorders>
            <w:shd w:val="clear" w:color="auto" w:fill="auto"/>
            <w:noWrap/>
            <w:vAlign w:val="bottom"/>
            <w:hideMark/>
          </w:tcPr>
          <w:p w14:paraId="64E81E1D"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336" w:type="dxa"/>
            <w:tcBorders>
              <w:top w:val="nil"/>
              <w:left w:val="nil"/>
              <w:bottom w:val="nil"/>
              <w:right w:val="nil"/>
            </w:tcBorders>
            <w:shd w:val="clear" w:color="auto" w:fill="auto"/>
            <w:vAlign w:val="bottom"/>
            <w:hideMark/>
          </w:tcPr>
          <w:p w14:paraId="37D81F91"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Buildings excluding dwellings</w:t>
            </w:r>
          </w:p>
        </w:tc>
        <w:tc>
          <w:tcPr>
            <w:tcW w:w="272" w:type="dxa"/>
            <w:tcBorders>
              <w:top w:val="nil"/>
              <w:left w:val="nil"/>
              <w:bottom w:val="nil"/>
              <w:right w:val="nil"/>
            </w:tcBorders>
            <w:shd w:val="clear" w:color="auto" w:fill="auto"/>
            <w:vAlign w:val="bottom"/>
            <w:hideMark/>
          </w:tcPr>
          <w:p w14:paraId="793FE021" w14:textId="77777777" w:rsidR="00E45741" w:rsidRPr="000D0E7B" w:rsidRDefault="00E45741" w:rsidP="00E45741">
            <w:pPr>
              <w:spacing w:before="0" w:after="0"/>
              <w:jc w:val="right"/>
              <w:rPr>
                <w:rFonts w:eastAsia="Times New Roman" w:cs="Arial"/>
                <w:b/>
                <w:bCs/>
                <w:sz w:val="20"/>
                <w:szCs w:val="20"/>
                <w:lang w:eastAsia="en-GB"/>
              </w:rPr>
            </w:pPr>
          </w:p>
        </w:tc>
        <w:tc>
          <w:tcPr>
            <w:tcW w:w="1332" w:type="dxa"/>
            <w:tcBorders>
              <w:top w:val="nil"/>
              <w:left w:val="nil"/>
              <w:bottom w:val="nil"/>
              <w:right w:val="nil"/>
            </w:tcBorders>
            <w:shd w:val="clear" w:color="auto" w:fill="auto"/>
            <w:vAlign w:val="bottom"/>
            <w:hideMark/>
          </w:tcPr>
          <w:p w14:paraId="228645C1"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 xml:space="preserve">Total </w:t>
            </w:r>
          </w:p>
        </w:tc>
        <w:tc>
          <w:tcPr>
            <w:tcW w:w="567" w:type="dxa"/>
            <w:gridSpan w:val="2"/>
            <w:tcBorders>
              <w:top w:val="nil"/>
              <w:left w:val="nil"/>
              <w:bottom w:val="nil"/>
              <w:right w:val="nil"/>
            </w:tcBorders>
            <w:shd w:val="clear" w:color="auto" w:fill="auto"/>
            <w:noWrap/>
            <w:vAlign w:val="bottom"/>
            <w:hideMark/>
          </w:tcPr>
          <w:p w14:paraId="142EC905" w14:textId="77777777" w:rsidR="00E45741" w:rsidRPr="000D0E7B" w:rsidRDefault="00E45741" w:rsidP="00E45741">
            <w:pPr>
              <w:spacing w:before="0" w:after="0"/>
              <w:jc w:val="right"/>
              <w:rPr>
                <w:rFonts w:eastAsia="Times New Roman" w:cs="Arial"/>
                <w:b/>
                <w:bCs/>
                <w:sz w:val="20"/>
                <w:szCs w:val="20"/>
                <w:lang w:eastAsia="en-GB"/>
              </w:rPr>
            </w:pPr>
          </w:p>
        </w:tc>
        <w:tc>
          <w:tcPr>
            <w:tcW w:w="1930" w:type="dxa"/>
            <w:tcBorders>
              <w:top w:val="nil"/>
              <w:left w:val="nil"/>
              <w:bottom w:val="nil"/>
              <w:right w:val="nil"/>
            </w:tcBorders>
            <w:shd w:val="clear" w:color="auto" w:fill="auto"/>
            <w:vAlign w:val="bottom"/>
            <w:hideMark/>
          </w:tcPr>
          <w:p w14:paraId="61E2785E" w14:textId="77777777" w:rsidR="00E45741" w:rsidRPr="000D0E7B" w:rsidRDefault="00E45741" w:rsidP="00E45741">
            <w:pPr>
              <w:spacing w:before="0" w:after="0"/>
              <w:jc w:val="right"/>
              <w:rPr>
                <w:rFonts w:eastAsia="Times New Roman" w:cs="Arial"/>
                <w:b/>
                <w:bCs/>
                <w:i/>
                <w:iCs/>
                <w:color w:val="000000"/>
                <w:sz w:val="18"/>
                <w:szCs w:val="18"/>
                <w:lang w:eastAsia="en-GB"/>
              </w:rPr>
            </w:pPr>
            <w:r w:rsidRPr="000D0E7B">
              <w:rPr>
                <w:rFonts w:eastAsia="Times New Roman" w:cs="Arial"/>
                <w:b/>
                <w:bCs/>
                <w:i/>
                <w:iCs/>
                <w:color w:val="000000"/>
                <w:sz w:val="18"/>
                <w:szCs w:val="18"/>
                <w:lang w:eastAsia="en-GB"/>
              </w:rPr>
              <w:t>Of which: leased from DHSC group bodies</w:t>
            </w:r>
          </w:p>
        </w:tc>
      </w:tr>
      <w:tr w:rsidR="00644FCB" w:rsidRPr="000D0E7B" w14:paraId="2B7745A5" w14:textId="77777777" w:rsidTr="00A20382">
        <w:trPr>
          <w:trHeight w:val="260"/>
        </w:trPr>
        <w:tc>
          <w:tcPr>
            <w:tcW w:w="4253" w:type="dxa"/>
            <w:tcBorders>
              <w:top w:val="nil"/>
              <w:left w:val="nil"/>
              <w:bottom w:val="nil"/>
              <w:right w:val="nil"/>
            </w:tcBorders>
            <w:shd w:val="clear" w:color="auto" w:fill="auto"/>
            <w:noWrap/>
            <w:vAlign w:val="bottom"/>
            <w:hideMark/>
          </w:tcPr>
          <w:p w14:paraId="08AFC8A8" w14:textId="77777777" w:rsidR="00E45741" w:rsidRPr="000D0E7B" w:rsidRDefault="00E45741" w:rsidP="00E45741">
            <w:pPr>
              <w:spacing w:before="0" w:after="0"/>
              <w:jc w:val="right"/>
              <w:rPr>
                <w:rFonts w:eastAsia="Times New Roman" w:cs="Arial"/>
                <w:b/>
                <w:bCs/>
                <w:i/>
                <w:iCs/>
                <w:color w:val="000000"/>
                <w:sz w:val="18"/>
                <w:szCs w:val="18"/>
                <w:lang w:eastAsia="en-GB"/>
              </w:rPr>
            </w:pPr>
          </w:p>
        </w:tc>
        <w:tc>
          <w:tcPr>
            <w:tcW w:w="1216" w:type="dxa"/>
            <w:tcBorders>
              <w:top w:val="nil"/>
              <w:left w:val="nil"/>
              <w:bottom w:val="nil"/>
              <w:right w:val="nil"/>
            </w:tcBorders>
            <w:shd w:val="clear" w:color="auto" w:fill="auto"/>
            <w:noWrap/>
            <w:vAlign w:val="bottom"/>
            <w:hideMark/>
          </w:tcPr>
          <w:p w14:paraId="5AB17D44"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336" w:type="dxa"/>
            <w:tcBorders>
              <w:top w:val="nil"/>
              <w:left w:val="nil"/>
              <w:bottom w:val="nil"/>
              <w:right w:val="nil"/>
            </w:tcBorders>
            <w:shd w:val="clear" w:color="auto" w:fill="auto"/>
            <w:vAlign w:val="bottom"/>
            <w:hideMark/>
          </w:tcPr>
          <w:p w14:paraId="661F884C"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£'000</w:t>
            </w:r>
          </w:p>
        </w:tc>
        <w:tc>
          <w:tcPr>
            <w:tcW w:w="272" w:type="dxa"/>
            <w:tcBorders>
              <w:top w:val="nil"/>
              <w:left w:val="nil"/>
              <w:bottom w:val="nil"/>
              <w:right w:val="nil"/>
            </w:tcBorders>
            <w:shd w:val="clear" w:color="auto" w:fill="auto"/>
            <w:vAlign w:val="bottom"/>
            <w:hideMark/>
          </w:tcPr>
          <w:p w14:paraId="62BCA958" w14:textId="77777777" w:rsidR="00E45741" w:rsidRPr="000D0E7B" w:rsidRDefault="00E45741" w:rsidP="00E45741">
            <w:pPr>
              <w:spacing w:before="0" w:after="0"/>
              <w:jc w:val="right"/>
              <w:rPr>
                <w:rFonts w:eastAsia="Times New Roman" w:cs="Arial"/>
                <w:b/>
                <w:bCs/>
                <w:sz w:val="20"/>
                <w:szCs w:val="20"/>
                <w:lang w:eastAsia="en-GB"/>
              </w:rPr>
            </w:pPr>
          </w:p>
        </w:tc>
        <w:tc>
          <w:tcPr>
            <w:tcW w:w="1332" w:type="dxa"/>
            <w:tcBorders>
              <w:top w:val="nil"/>
              <w:left w:val="nil"/>
              <w:bottom w:val="nil"/>
              <w:right w:val="nil"/>
            </w:tcBorders>
            <w:shd w:val="clear" w:color="auto" w:fill="auto"/>
            <w:vAlign w:val="bottom"/>
            <w:hideMark/>
          </w:tcPr>
          <w:p w14:paraId="7AB977B9"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£'000</w:t>
            </w:r>
          </w:p>
        </w:tc>
        <w:tc>
          <w:tcPr>
            <w:tcW w:w="567" w:type="dxa"/>
            <w:gridSpan w:val="2"/>
            <w:tcBorders>
              <w:top w:val="nil"/>
              <w:left w:val="nil"/>
              <w:bottom w:val="nil"/>
              <w:right w:val="nil"/>
            </w:tcBorders>
            <w:shd w:val="clear" w:color="auto" w:fill="auto"/>
            <w:noWrap/>
            <w:vAlign w:val="bottom"/>
            <w:hideMark/>
          </w:tcPr>
          <w:p w14:paraId="3832DD7B" w14:textId="77777777" w:rsidR="00E45741" w:rsidRPr="000D0E7B" w:rsidRDefault="00E45741" w:rsidP="00E45741">
            <w:pPr>
              <w:spacing w:before="0" w:after="0"/>
              <w:jc w:val="right"/>
              <w:rPr>
                <w:rFonts w:eastAsia="Times New Roman" w:cs="Arial"/>
                <w:b/>
                <w:bCs/>
                <w:sz w:val="20"/>
                <w:szCs w:val="20"/>
                <w:lang w:eastAsia="en-GB"/>
              </w:rPr>
            </w:pPr>
          </w:p>
        </w:tc>
        <w:tc>
          <w:tcPr>
            <w:tcW w:w="1930" w:type="dxa"/>
            <w:tcBorders>
              <w:top w:val="nil"/>
              <w:left w:val="nil"/>
              <w:bottom w:val="nil"/>
              <w:right w:val="nil"/>
            </w:tcBorders>
            <w:shd w:val="clear" w:color="auto" w:fill="auto"/>
            <w:vAlign w:val="bottom"/>
            <w:hideMark/>
          </w:tcPr>
          <w:p w14:paraId="12679978" w14:textId="77777777" w:rsidR="00E45741" w:rsidRPr="000D0E7B" w:rsidRDefault="00E45741" w:rsidP="00E45741">
            <w:pPr>
              <w:spacing w:before="0" w:after="0"/>
              <w:jc w:val="right"/>
              <w:rPr>
                <w:rFonts w:eastAsia="Times New Roman" w:cs="Arial"/>
                <w:b/>
                <w:bCs/>
                <w:color w:val="000000"/>
                <w:sz w:val="18"/>
                <w:szCs w:val="18"/>
                <w:lang w:eastAsia="en-GB"/>
              </w:rPr>
            </w:pPr>
            <w:r w:rsidRPr="000D0E7B">
              <w:rPr>
                <w:rFonts w:eastAsia="Times New Roman" w:cs="Arial"/>
                <w:b/>
                <w:bCs/>
                <w:color w:val="000000"/>
                <w:sz w:val="18"/>
                <w:szCs w:val="18"/>
                <w:lang w:eastAsia="en-GB"/>
              </w:rPr>
              <w:t xml:space="preserve">£000 </w:t>
            </w:r>
          </w:p>
        </w:tc>
      </w:tr>
      <w:tr w:rsidR="00644FCB" w:rsidRPr="000D0E7B" w14:paraId="3D625D3E" w14:textId="77777777" w:rsidTr="00A20382">
        <w:trPr>
          <w:trHeight w:val="260"/>
        </w:trPr>
        <w:tc>
          <w:tcPr>
            <w:tcW w:w="4253" w:type="dxa"/>
            <w:tcBorders>
              <w:top w:val="nil"/>
              <w:left w:val="nil"/>
              <w:bottom w:val="nil"/>
              <w:right w:val="nil"/>
            </w:tcBorders>
            <w:shd w:val="clear" w:color="auto" w:fill="auto"/>
            <w:noWrap/>
            <w:vAlign w:val="bottom"/>
            <w:hideMark/>
          </w:tcPr>
          <w:p w14:paraId="19B7957F" w14:textId="77777777" w:rsidR="00E45741" w:rsidRPr="000D0E7B" w:rsidRDefault="00E45741" w:rsidP="00E45741">
            <w:pPr>
              <w:spacing w:before="0" w:after="0"/>
              <w:rPr>
                <w:rFonts w:eastAsia="Times New Roman" w:cs="Arial"/>
                <w:b/>
                <w:bCs/>
                <w:sz w:val="20"/>
                <w:szCs w:val="20"/>
                <w:lang w:eastAsia="en-GB"/>
              </w:rPr>
            </w:pPr>
            <w:r w:rsidRPr="000D0E7B">
              <w:rPr>
                <w:rFonts w:eastAsia="Times New Roman" w:cs="Arial"/>
                <w:b/>
                <w:bCs/>
                <w:sz w:val="20"/>
                <w:szCs w:val="20"/>
                <w:lang w:eastAsia="en-GB"/>
              </w:rPr>
              <w:t>Cost or valuation at 01 April 23</w:t>
            </w:r>
          </w:p>
        </w:tc>
        <w:tc>
          <w:tcPr>
            <w:tcW w:w="1216" w:type="dxa"/>
            <w:tcBorders>
              <w:top w:val="nil"/>
              <w:left w:val="nil"/>
              <w:bottom w:val="nil"/>
              <w:right w:val="nil"/>
            </w:tcBorders>
            <w:shd w:val="clear" w:color="auto" w:fill="auto"/>
            <w:noWrap/>
            <w:vAlign w:val="bottom"/>
            <w:hideMark/>
          </w:tcPr>
          <w:p w14:paraId="32EEF8B6" w14:textId="77777777" w:rsidR="00E45741" w:rsidRPr="000D0E7B" w:rsidRDefault="00E45741" w:rsidP="00E45741">
            <w:pPr>
              <w:spacing w:before="0" w:after="0"/>
              <w:rPr>
                <w:rFonts w:eastAsia="Times New Roman" w:cs="Arial"/>
                <w:b/>
                <w:bCs/>
                <w:sz w:val="20"/>
                <w:szCs w:val="20"/>
                <w:lang w:eastAsia="en-GB"/>
              </w:rPr>
            </w:pPr>
          </w:p>
        </w:tc>
        <w:tc>
          <w:tcPr>
            <w:tcW w:w="1336" w:type="dxa"/>
            <w:tcBorders>
              <w:top w:val="nil"/>
              <w:left w:val="nil"/>
              <w:bottom w:val="nil"/>
              <w:right w:val="nil"/>
            </w:tcBorders>
            <w:shd w:val="clear" w:color="000000" w:fill="FFFFFF"/>
            <w:noWrap/>
            <w:vAlign w:val="bottom"/>
            <w:hideMark/>
          </w:tcPr>
          <w:p w14:paraId="14C83436" w14:textId="77777777" w:rsidR="00E45741" w:rsidRPr="000D0E7B" w:rsidRDefault="00E45741" w:rsidP="00E45741">
            <w:pPr>
              <w:spacing w:before="0" w:after="0"/>
              <w:jc w:val="right"/>
              <w:rPr>
                <w:rFonts w:eastAsia="Times New Roman" w:cs="Arial"/>
                <w:sz w:val="20"/>
                <w:szCs w:val="20"/>
                <w:lang w:eastAsia="en-GB"/>
              </w:rPr>
            </w:pPr>
            <w:r w:rsidRPr="000D0E7B">
              <w:rPr>
                <w:rFonts w:eastAsia="Times New Roman" w:cs="Arial"/>
                <w:sz w:val="20"/>
                <w:szCs w:val="20"/>
                <w:lang w:eastAsia="en-GB"/>
              </w:rPr>
              <w:t>3,452</w:t>
            </w:r>
          </w:p>
        </w:tc>
        <w:tc>
          <w:tcPr>
            <w:tcW w:w="272" w:type="dxa"/>
            <w:tcBorders>
              <w:top w:val="nil"/>
              <w:left w:val="nil"/>
              <w:bottom w:val="nil"/>
              <w:right w:val="nil"/>
            </w:tcBorders>
            <w:shd w:val="clear" w:color="000000" w:fill="FFFFFF"/>
            <w:noWrap/>
            <w:vAlign w:val="bottom"/>
            <w:hideMark/>
          </w:tcPr>
          <w:p w14:paraId="5F87CA24"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nil"/>
              <w:left w:val="nil"/>
              <w:bottom w:val="nil"/>
              <w:right w:val="nil"/>
            </w:tcBorders>
            <w:shd w:val="clear" w:color="auto" w:fill="auto"/>
            <w:noWrap/>
            <w:vAlign w:val="bottom"/>
            <w:hideMark/>
          </w:tcPr>
          <w:p w14:paraId="7762AEB3"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3,452</w:t>
            </w:r>
          </w:p>
        </w:tc>
        <w:tc>
          <w:tcPr>
            <w:tcW w:w="567" w:type="dxa"/>
            <w:gridSpan w:val="2"/>
            <w:tcBorders>
              <w:top w:val="nil"/>
              <w:left w:val="nil"/>
              <w:bottom w:val="nil"/>
              <w:right w:val="nil"/>
            </w:tcBorders>
            <w:shd w:val="clear" w:color="auto" w:fill="auto"/>
            <w:noWrap/>
            <w:vAlign w:val="bottom"/>
            <w:hideMark/>
          </w:tcPr>
          <w:p w14:paraId="1FD51140" w14:textId="77777777" w:rsidR="00E45741" w:rsidRPr="000D0E7B" w:rsidRDefault="00E45741" w:rsidP="00E45741">
            <w:pPr>
              <w:spacing w:before="0" w:after="0"/>
              <w:jc w:val="right"/>
              <w:rPr>
                <w:rFonts w:eastAsia="Times New Roman" w:cs="Arial"/>
                <w:b/>
                <w:bCs/>
                <w:sz w:val="20"/>
                <w:szCs w:val="20"/>
                <w:lang w:eastAsia="en-GB"/>
              </w:rPr>
            </w:pPr>
          </w:p>
        </w:tc>
        <w:tc>
          <w:tcPr>
            <w:tcW w:w="1930" w:type="dxa"/>
            <w:tcBorders>
              <w:top w:val="nil"/>
              <w:left w:val="nil"/>
              <w:bottom w:val="nil"/>
              <w:right w:val="nil"/>
            </w:tcBorders>
            <w:shd w:val="clear" w:color="auto" w:fill="auto"/>
            <w:noWrap/>
            <w:vAlign w:val="bottom"/>
            <w:hideMark/>
          </w:tcPr>
          <w:p w14:paraId="4C03806B" w14:textId="77777777" w:rsidR="00E45741" w:rsidRPr="000D0E7B" w:rsidRDefault="00E45741" w:rsidP="00E45741">
            <w:pPr>
              <w:spacing w:before="0" w:after="0"/>
              <w:jc w:val="right"/>
              <w:rPr>
                <w:rFonts w:eastAsia="Times New Roman" w:cs="Arial"/>
                <w:sz w:val="18"/>
                <w:szCs w:val="18"/>
                <w:lang w:eastAsia="en-GB"/>
              </w:rPr>
            </w:pPr>
            <w:r w:rsidRPr="000D0E7B">
              <w:rPr>
                <w:rFonts w:eastAsia="Times New Roman" w:cs="Arial"/>
                <w:sz w:val="18"/>
                <w:szCs w:val="18"/>
                <w:lang w:eastAsia="en-GB"/>
              </w:rPr>
              <w:t>3,141</w:t>
            </w:r>
          </w:p>
        </w:tc>
      </w:tr>
      <w:tr w:rsidR="00644FCB" w:rsidRPr="000D0E7B" w14:paraId="785F47D6" w14:textId="77777777" w:rsidTr="00A20382">
        <w:trPr>
          <w:trHeight w:val="260"/>
        </w:trPr>
        <w:tc>
          <w:tcPr>
            <w:tcW w:w="4253" w:type="dxa"/>
            <w:tcBorders>
              <w:top w:val="nil"/>
              <w:left w:val="nil"/>
              <w:bottom w:val="nil"/>
              <w:right w:val="nil"/>
            </w:tcBorders>
            <w:shd w:val="clear" w:color="auto" w:fill="auto"/>
            <w:noWrap/>
            <w:vAlign w:val="bottom"/>
            <w:hideMark/>
          </w:tcPr>
          <w:p w14:paraId="019FDB3C"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Additions</w:t>
            </w:r>
          </w:p>
        </w:tc>
        <w:tc>
          <w:tcPr>
            <w:tcW w:w="1216" w:type="dxa"/>
            <w:tcBorders>
              <w:top w:val="nil"/>
              <w:left w:val="nil"/>
              <w:bottom w:val="nil"/>
              <w:right w:val="nil"/>
            </w:tcBorders>
            <w:shd w:val="clear" w:color="auto" w:fill="auto"/>
            <w:noWrap/>
            <w:vAlign w:val="bottom"/>
            <w:hideMark/>
          </w:tcPr>
          <w:p w14:paraId="6CAA39C0" w14:textId="77777777" w:rsidR="00E45741" w:rsidRPr="000D0E7B" w:rsidRDefault="00E45741" w:rsidP="00E45741">
            <w:pPr>
              <w:spacing w:before="0" w:after="0"/>
              <w:rPr>
                <w:rFonts w:eastAsia="Times New Roman" w:cs="Arial"/>
                <w:sz w:val="20"/>
                <w:szCs w:val="20"/>
                <w:lang w:eastAsia="en-GB"/>
              </w:rPr>
            </w:pPr>
          </w:p>
        </w:tc>
        <w:tc>
          <w:tcPr>
            <w:tcW w:w="1336" w:type="dxa"/>
            <w:tcBorders>
              <w:top w:val="nil"/>
              <w:left w:val="nil"/>
              <w:bottom w:val="nil"/>
              <w:right w:val="nil"/>
            </w:tcBorders>
            <w:shd w:val="clear" w:color="000000" w:fill="FFFFFF"/>
            <w:noWrap/>
            <w:vAlign w:val="bottom"/>
            <w:hideMark/>
          </w:tcPr>
          <w:p w14:paraId="59767A5A" w14:textId="77777777" w:rsidR="00E45741" w:rsidRPr="000D0E7B" w:rsidRDefault="00E45741" w:rsidP="00E45741">
            <w:pPr>
              <w:spacing w:before="0" w:after="0"/>
              <w:jc w:val="right"/>
              <w:rPr>
                <w:rFonts w:eastAsia="Times New Roman" w:cs="Arial"/>
                <w:sz w:val="20"/>
                <w:szCs w:val="20"/>
                <w:lang w:eastAsia="en-GB"/>
              </w:rPr>
            </w:pPr>
            <w:r w:rsidRPr="000D0E7B">
              <w:rPr>
                <w:rFonts w:eastAsia="Times New Roman" w:cs="Arial"/>
                <w:sz w:val="20"/>
                <w:szCs w:val="20"/>
                <w:lang w:eastAsia="en-GB"/>
              </w:rPr>
              <w:t>63</w:t>
            </w:r>
          </w:p>
        </w:tc>
        <w:tc>
          <w:tcPr>
            <w:tcW w:w="272" w:type="dxa"/>
            <w:tcBorders>
              <w:top w:val="nil"/>
              <w:left w:val="nil"/>
              <w:bottom w:val="nil"/>
              <w:right w:val="nil"/>
            </w:tcBorders>
            <w:shd w:val="clear" w:color="000000" w:fill="FFFFFF"/>
            <w:noWrap/>
            <w:vAlign w:val="bottom"/>
            <w:hideMark/>
          </w:tcPr>
          <w:p w14:paraId="3140C0F6"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nil"/>
              <w:left w:val="nil"/>
              <w:bottom w:val="nil"/>
              <w:right w:val="nil"/>
            </w:tcBorders>
            <w:shd w:val="clear" w:color="auto" w:fill="auto"/>
            <w:noWrap/>
            <w:vAlign w:val="bottom"/>
            <w:hideMark/>
          </w:tcPr>
          <w:p w14:paraId="1C377749"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63</w:t>
            </w:r>
          </w:p>
        </w:tc>
        <w:tc>
          <w:tcPr>
            <w:tcW w:w="567" w:type="dxa"/>
            <w:gridSpan w:val="2"/>
            <w:tcBorders>
              <w:top w:val="nil"/>
              <w:left w:val="nil"/>
              <w:bottom w:val="nil"/>
              <w:right w:val="nil"/>
            </w:tcBorders>
            <w:shd w:val="clear" w:color="auto" w:fill="auto"/>
            <w:noWrap/>
            <w:vAlign w:val="bottom"/>
            <w:hideMark/>
          </w:tcPr>
          <w:p w14:paraId="16E7DDCD" w14:textId="77777777" w:rsidR="00E45741" w:rsidRPr="000D0E7B" w:rsidRDefault="00E45741" w:rsidP="00E45741">
            <w:pPr>
              <w:spacing w:before="0" w:after="0"/>
              <w:jc w:val="right"/>
              <w:rPr>
                <w:rFonts w:eastAsia="Times New Roman" w:cs="Arial"/>
                <w:b/>
                <w:bCs/>
                <w:sz w:val="20"/>
                <w:szCs w:val="20"/>
                <w:lang w:eastAsia="en-GB"/>
              </w:rPr>
            </w:pPr>
          </w:p>
        </w:tc>
        <w:tc>
          <w:tcPr>
            <w:tcW w:w="1930" w:type="dxa"/>
            <w:tcBorders>
              <w:top w:val="nil"/>
              <w:left w:val="nil"/>
              <w:bottom w:val="nil"/>
              <w:right w:val="nil"/>
            </w:tcBorders>
            <w:shd w:val="clear" w:color="auto" w:fill="auto"/>
            <w:noWrap/>
            <w:vAlign w:val="bottom"/>
            <w:hideMark/>
          </w:tcPr>
          <w:p w14:paraId="5834B060" w14:textId="77777777" w:rsidR="00E45741" w:rsidRPr="000D0E7B" w:rsidRDefault="00E45741" w:rsidP="00E45741">
            <w:pPr>
              <w:spacing w:before="0" w:after="0"/>
              <w:jc w:val="right"/>
              <w:rPr>
                <w:rFonts w:eastAsia="Times New Roman" w:cs="Arial"/>
                <w:sz w:val="18"/>
                <w:szCs w:val="18"/>
                <w:lang w:eastAsia="en-GB"/>
              </w:rPr>
            </w:pPr>
            <w:r w:rsidRPr="000D0E7B">
              <w:rPr>
                <w:rFonts w:eastAsia="Times New Roman" w:cs="Arial"/>
                <w:sz w:val="18"/>
                <w:szCs w:val="18"/>
                <w:lang w:eastAsia="en-GB"/>
              </w:rPr>
              <w:t>63</w:t>
            </w:r>
          </w:p>
        </w:tc>
      </w:tr>
      <w:tr w:rsidR="00644FCB" w:rsidRPr="000D0E7B" w14:paraId="66A3589A" w14:textId="77777777" w:rsidTr="00A20382">
        <w:trPr>
          <w:trHeight w:val="260"/>
        </w:trPr>
        <w:tc>
          <w:tcPr>
            <w:tcW w:w="4253" w:type="dxa"/>
            <w:tcBorders>
              <w:top w:val="nil"/>
              <w:left w:val="nil"/>
              <w:bottom w:val="nil"/>
              <w:right w:val="nil"/>
            </w:tcBorders>
            <w:shd w:val="clear" w:color="auto" w:fill="auto"/>
            <w:noWrap/>
            <w:vAlign w:val="bottom"/>
            <w:hideMark/>
          </w:tcPr>
          <w:p w14:paraId="7A53CB55"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Disposals on expiry of lease term</w:t>
            </w:r>
          </w:p>
        </w:tc>
        <w:tc>
          <w:tcPr>
            <w:tcW w:w="1216" w:type="dxa"/>
            <w:tcBorders>
              <w:top w:val="nil"/>
              <w:left w:val="nil"/>
              <w:bottom w:val="nil"/>
              <w:right w:val="nil"/>
            </w:tcBorders>
            <w:shd w:val="clear" w:color="auto" w:fill="auto"/>
            <w:noWrap/>
            <w:vAlign w:val="bottom"/>
            <w:hideMark/>
          </w:tcPr>
          <w:p w14:paraId="7BAC7FF9" w14:textId="77777777" w:rsidR="00E45741" w:rsidRPr="000D0E7B" w:rsidRDefault="00E45741" w:rsidP="00E45741">
            <w:pPr>
              <w:spacing w:before="0" w:after="0"/>
              <w:rPr>
                <w:rFonts w:eastAsia="Times New Roman" w:cs="Arial"/>
                <w:sz w:val="20"/>
                <w:szCs w:val="20"/>
                <w:lang w:eastAsia="en-GB"/>
              </w:rPr>
            </w:pPr>
          </w:p>
        </w:tc>
        <w:tc>
          <w:tcPr>
            <w:tcW w:w="1336" w:type="dxa"/>
            <w:tcBorders>
              <w:top w:val="nil"/>
              <w:left w:val="nil"/>
              <w:bottom w:val="nil"/>
              <w:right w:val="nil"/>
            </w:tcBorders>
            <w:shd w:val="clear" w:color="000000" w:fill="FFFFFF"/>
            <w:noWrap/>
            <w:vAlign w:val="bottom"/>
            <w:hideMark/>
          </w:tcPr>
          <w:p w14:paraId="23B67CA7" w14:textId="77777777" w:rsidR="00E45741" w:rsidRPr="000D0E7B" w:rsidRDefault="00E45741" w:rsidP="00E45741">
            <w:pPr>
              <w:spacing w:before="0" w:after="0"/>
              <w:jc w:val="right"/>
              <w:rPr>
                <w:rFonts w:eastAsia="Times New Roman" w:cs="Arial"/>
                <w:sz w:val="20"/>
                <w:szCs w:val="20"/>
                <w:lang w:eastAsia="en-GB"/>
              </w:rPr>
            </w:pPr>
            <w:r w:rsidRPr="000D0E7B">
              <w:rPr>
                <w:rFonts w:eastAsia="Times New Roman" w:cs="Arial"/>
                <w:sz w:val="20"/>
                <w:szCs w:val="20"/>
                <w:lang w:eastAsia="en-GB"/>
              </w:rPr>
              <w:t>(311)</w:t>
            </w:r>
          </w:p>
        </w:tc>
        <w:tc>
          <w:tcPr>
            <w:tcW w:w="272" w:type="dxa"/>
            <w:tcBorders>
              <w:top w:val="nil"/>
              <w:left w:val="nil"/>
              <w:bottom w:val="nil"/>
              <w:right w:val="nil"/>
            </w:tcBorders>
            <w:shd w:val="clear" w:color="000000" w:fill="FFFFFF"/>
            <w:noWrap/>
            <w:vAlign w:val="bottom"/>
            <w:hideMark/>
          </w:tcPr>
          <w:p w14:paraId="2AD8DCA0"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nil"/>
              <w:left w:val="nil"/>
              <w:bottom w:val="nil"/>
              <w:right w:val="nil"/>
            </w:tcBorders>
            <w:shd w:val="clear" w:color="auto" w:fill="auto"/>
            <w:noWrap/>
            <w:vAlign w:val="bottom"/>
            <w:hideMark/>
          </w:tcPr>
          <w:p w14:paraId="5C94A450"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(311)</w:t>
            </w:r>
          </w:p>
        </w:tc>
        <w:tc>
          <w:tcPr>
            <w:tcW w:w="567" w:type="dxa"/>
            <w:gridSpan w:val="2"/>
            <w:tcBorders>
              <w:top w:val="nil"/>
              <w:left w:val="nil"/>
              <w:bottom w:val="nil"/>
              <w:right w:val="nil"/>
            </w:tcBorders>
            <w:shd w:val="clear" w:color="auto" w:fill="auto"/>
            <w:noWrap/>
            <w:vAlign w:val="bottom"/>
            <w:hideMark/>
          </w:tcPr>
          <w:p w14:paraId="4D708820" w14:textId="77777777" w:rsidR="00E45741" w:rsidRPr="000D0E7B" w:rsidRDefault="00E45741" w:rsidP="00E45741">
            <w:pPr>
              <w:spacing w:before="0" w:after="0"/>
              <w:jc w:val="right"/>
              <w:rPr>
                <w:rFonts w:eastAsia="Times New Roman" w:cs="Arial"/>
                <w:b/>
                <w:bCs/>
                <w:sz w:val="20"/>
                <w:szCs w:val="20"/>
                <w:lang w:eastAsia="en-GB"/>
              </w:rPr>
            </w:pPr>
          </w:p>
        </w:tc>
        <w:tc>
          <w:tcPr>
            <w:tcW w:w="1930" w:type="dxa"/>
            <w:tcBorders>
              <w:top w:val="nil"/>
              <w:left w:val="nil"/>
              <w:bottom w:val="nil"/>
              <w:right w:val="nil"/>
            </w:tcBorders>
            <w:shd w:val="clear" w:color="000000" w:fill="FFFFFF"/>
            <w:noWrap/>
            <w:vAlign w:val="bottom"/>
            <w:hideMark/>
          </w:tcPr>
          <w:p w14:paraId="7122FF26" w14:textId="77777777" w:rsidR="00E45741" w:rsidRPr="000D0E7B" w:rsidRDefault="00E45741" w:rsidP="00E45741">
            <w:pPr>
              <w:spacing w:before="0" w:after="0"/>
              <w:jc w:val="right"/>
              <w:rPr>
                <w:rFonts w:eastAsia="Times New Roman" w:cs="Arial"/>
                <w:sz w:val="18"/>
                <w:szCs w:val="18"/>
                <w:lang w:eastAsia="en-GB"/>
              </w:rPr>
            </w:pPr>
            <w:r w:rsidRPr="000D0E7B">
              <w:rPr>
                <w:rFonts w:eastAsia="Times New Roman" w:cs="Arial"/>
                <w:sz w:val="18"/>
                <w:szCs w:val="18"/>
                <w:lang w:eastAsia="en-GB"/>
              </w:rPr>
              <w:t>-</w:t>
            </w:r>
          </w:p>
        </w:tc>
      </w:tr>
      <w:tr w:rsidR="00644FCB" w:rsidRPr="000D0E7B" w14:paraId="72A9ADE6" w14:textId="77777777" w:rsidTr="00A20382">
        <w:trPr>
          <w:trHeight w:val="260"/>
        </w:trPr>
        <w:tc>
          <w:tcPr>
            <w:tcW w:w="4253" w:type="dxa"/>
            <w:tcBorders>
              <w:top w:val="nil"/>
              <w:left w:val="nil"/>
              <w:bottom w:val="nil"/>
              <w:right w:val="nil"/>
            </w:tcBorders>
            <w:shd w:val="clear" w:color="auto" w:fill="auto"/>
            <w:noWrap/>
            <w:vAlign w:val="bottom"/>
            <w:hideMark/>
          </w:tcPr>
          <w:p w14:paraId="238AF945" w14:textId="77777777" w:rsidR="00E45741" w:rsidRPr="000D0E7B" w:rsidRDefault="00E45741" w:rsidP="00E45741">
            <w:pPr>
              <w:spacing w:before="0" w:after="0"/>
              <w:rPr>
                <w:rFonts w:eastAsia="Times New Roman" w:cs="Arial"/>
                <w:b/>
                <w:bCs/>
                <w:sz w:val="20"/>
                <w:szCs w:val="20"/>
                <w:lang w:eastAsia="en-GB"/>
              </w:rPr>
            </w:pPr>
            <w:r w:rsidRPr="000D0E7B">
              <w:rPr>
                <w:rFonts w:eastAsia="Times New Roman" w:cs="Arial"/>
                <w:b/>
                <w:bCs/>
                <w:sz w:val="20"/>
                <w:szCs w:val="20"/>
                <w:lang w:eastAsia="en-GB"/>
              </w:rPr>
              <w:t>Cost/valuation at 31 March 2024</w:t>
            </w:r>
          </w:p>
        </w:tc>
        <w:tc>
          <w:tcPr>
            <w:tcW w:w="1216" w:type="dxa"/>
            <w:tcBorders>
              <w:top w:val="nil"/>
              <w:left w:val="nil"/>
              <w:bottom w:val="nil"/>
              <w:right w:val="nil"/>
            </w:tcBorders>
            <w:shd w:val="clear" w:color="auto" w:fill="auto"/>
            <w:noWrap/>
            <w:vAlign w:val="bottom"/>
            <w:hideMark/>
          </w:tcPr>
          <w:p w14:paraId="25898012" w14:textId="77777777" w:rsidR="00E45741" w:rsidRPr="000D0E7B" w:rsidRDefault="00E45741" w:rsidP="00E45741">
            <w:pPr>
              <w:spacing w:before="0" w:after="0"/>
              <w:rPr>
                <w:rFonts w:eastAsia="Times New Roman" w:cs="Arial"/>
                <w:b/>
                <w:bCs/>
                <w:sz w:val="20"/>
                <w:szCs w:val="20"/>
                <w:lang w:eastAsia="en-GB"/>
              </w:rPr>
            </w:pPr>
          </w:p>
        </w:tc>
        <w:tc>
          <w:tcPr>
            <w:tcW w:w="1336" w:type="dxa"/>
            <w:tcBorders>
              <w:top w:val="single" w:sz="4" w:space="0" w:color="auto"/>
              <w:left w:val="nil"/>
              <w:bottom w:val="single" w:sz="4" w:space="0" w:color="auto"/>
              <w:right w:val="nil"/>
            </w:tcBorders>
            <w:shd w:val="clear" w:color="000000" w:fill="FFFFFF"/>
            <w:noWrap/>
            <w:vAlign w:val="bottom"/>
            <w:hideMark/>
          </w:tcPr>
          <w:p w14:paraId="2702E844"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3,204</w:t>
            </w:r>
          </w:p>
        </w:tc>
        <w:tc>
          <w:tcPr>
            <w:tcW w:w="272" w:type="dxa"/>
            <w:tcBorders>
              <w:top w:val="nil"/>
              <w:left w:val="nil"/>
              <w:bottom w:val="nil"/>
              <w:right w:val="nil"/>
            </w:tcBorders>
            <w:shd w:val="clear" w:color="000000" w:fill="FFFFFF"/>
            <w:noWrap/>
            <w:vAlign w:val="bottom"/>
            <w:hideMark/>
          </w:tcPr>
          <w:p w14:paraId="3595353F" w14:textId="77777777" w:rsidR="00E45741" w:rsidRPr="000D0E7B" w:rsidRDefault="00E45741" w:rsidP="00E45741">
            <w:pPr>
              <w:spacing w:before="0" w:after="0"/>
              <w:rPr>
                <w:rFonts w:eastAsia="Times New Roman" w:cs="Arial"/>
                <w:b/>
                <w:bCs/>
                <w:sz w:val="20"/>
                <w:szCs w:val="20"/>
                <w:lang w:eastAsia="en-GB"/>
              </w:rPr>
            </w:pPr>
            <w:r w:rsidRPr="000D0E7B">
              <w:rPr>
                <w:rFonts w:eastAsia="Times New Roman" w:cs="Arial"/>
                <w:b/>
                <w:bCs/>
                <w:sz w:val="20"/>
                <w:szCs w:val="20"/>
                <w:lang w:eastAsia="en-GB"/>
              </w:rPr>
              <w:t> </w:t>
            </w:r>
          </w:p>
        </w:tc>
        <w:tc>
          <w:tcPr>
            <w:tcW w:w="1332" w:type="dxa"/>
            <w:tcBorders>
              <w:top w:val="single" w:sz="4" w:space="0" w:color="auto"/>
              <w:left w:val="nil"/>
              <w:bottom w:val="single" w:sz="4" w:space="0" w:color="auto"/>
              <w:right w:val="nil"/>
            </w:tcBorders>
            <w:shd w:val="clear" w:color="auto" w:fill="auto"/>
            <w:noWrap/>
            <w:vAlign w:val="bottom"/>
            <w:hideMark/>
          </w:tcPr>
          <w:p w14:paraId="382882BC"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3,204</w:t>
            </w:r>
          </w:p>
        </w:tc>
        <w:tc>
          <w:tcPr>
            <w:tcW w:w="567" w:type="dxa"/>
            <w:gridSpan w:val="2"/>
            <w:tcBorders>
              <w:top w:val="nil"/>
              <w:left w:val="nil"/>
              <w:bottom w:val="nil"/>
              <w:right w:val="nil"/>
            </w:tcBorders>
            <w:shd w:val="clear" w:color="auto" w:fill="auto"/>
            <w:noWrap/>
            <w:vAlign w:val="bottom"/>
            <w:hideMark/>
          </w:tcPr>
          <w:p w14:paraId="052C3FC4" w14:textId="77777777" w:rsidR="00E45741" w:rsidRPr="000D0E7B" w:rsidRDefault="00E45741" w:rsidP="00E45741">
            <w:pPr>
              <w:spacing w:before="0" w:after="0"/>
              <w:jc w:val="right"/>
              <w:rPr>
                <w:rFonts w:eastAsia="Times New Roman" w:cs="Arial"/>
                <w:b/>
                <w:bCs/>
                <w:sz w:val="20"/>
                <w:szCs w:val="20"/>
                <w:lang w:eastAsia="en-GB"/>
              </w:rPr>
            </w:pPr>
          </w:p>
        </w:tc>
        <w:tc>
          <w:tcPr>
            <w:tcW w:w="1930" w:type="dxa"/>
            <w:tcBorders>
              <w:top w:val="dashed" w:sz="4" w:space="0" w:color="auto"/>
              <w:left w:val="nil"/>
              <w:bottom w:val="dashed" w:sz="4" w:space="0" w:color="auto"/>
              <w:right w:val="nil"/>
            </w:tcBorders>
            <w:shd w:val="clear" w:color="auto" w:fill="auto"/>
            <w:noWrap/>
            <w:vAlign w:val="bottom"/>
            <w:hideMark/>
          </w:tcPr>
          <w:p w14:paraId="0D96F109" w14:textId="77777777" w:rsidR="00E45741" w:rsidRPr="000D0E7B" w:rsidRDefault="00E45741" w:rsidP="00E45741">
            <w:pPr>
              <w:spacing w:before="0" w:after="0"/>
              <w:jc w:val="right"/>
              <w:rPr>
                <w:rFonts w:eastAsia="Times New Roman" w:cs="Arial"/>
                <w:b/>
                <w:bCs/>
                <w:sz w:val="18"/>
                <w:szCs w:val="18"/>
                <w:lang w:eastAsia="en-GB"/>
              </w:rPr>
            </w:pPr>
            <w:r w:rsidRPr="000D0E7B">
              <w:rPr>
                <w:rFonts w:eastAsia="Times New Roman" w:cs="Arial"/>
                <w:b/>
                <w:bCs/>
                <w:sz w:val="18"/>
                <w:szCs w:val="18"/>
                <w:lang w:eastAsia="en-GB"/>
              </w:rPr>
              <w:t>3,204</w:t>
            </w:r>
          </w:p>
        </w:tc>
      </w:tr>
      <w:tr w:rsidR="00644FCB" w:rsidRPr="000D0E7B" w14:paraId="15ED183A" w14:textId="77777777" w:rsidTr="00A20382">
        <w:trPr>
          <w:trHeight w:val="120"/>
        </w:trPr>
        <w:tc>
          <w:tcPr>
            <w:tcW w:w="4253" w:type="dxa"/>
            <w:tcBorders>
              <w:top w:val="nil"/>
              <w:left w:val="nil"/>
              <w:bottom w:val="nil"/>
              <w:right w:val="nil"/>
            </w:tcBorders>
            <w:shd w:val="clear" w:color="auto" w:fill="auto"/>
            <w:noWrap/>
            <w:vAlign w:val="bottom"/>
            <w:hideMark/>
          </w:tcPr>
          <w:p w14:paraId="72814344" w14:textId="77777777" w:rsidR="00E45741" w:rsidRPr="000D0E7B" w:rsidRDefault="00E45741" w:rsidP="00E45741">
            <w:pPr>
              <w:spacing w:before="0" w:after="0"/>
              <w:jc w:val="right"/>
              <w:rPr>
                <w:rFonts w:eastAsia="Times New Roman" w:cs="Arial"/>
                <w:b/>
                <w:bCs/>
                <w:sz w:val="18"/>
                <w:szCs w:val="18"/>
                <w:lang w:eastAsia="en-GB"/>
              </w:rPr>
            </w:pPr>
          </w:p>
        </w:tc>
        <w:tc>
          <w:tcPr>
            <w:tcW w:w="1216" w:type="dxa"/>
            <w:tcBorders>
              <w:top w:val="nil"/>
              <w:left w:val="nil"/>
              <w:bottom w:val="nil"/>
              <w:right w:val="nil"/>
            </w:tcBorders>
            <w:shd w:val="clear" w:color="auto" w:fill="auto"/>
            <w:noWrap/>
            <w:vAlign w:val="bottom"/>
            <w:hideMark/>
          </w:tcPr>
          <w:p w14:paraId="63FE8B80"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336" w:type="dxa"/>
            <w:tcBorders>
              <w:top w:val="nil"/>
              <w:left w:val="nil"/>
              <w:bottom w:val="nil"/>
              <w:right w:val="nil"/>
            </w:tcBorders>
            <w:shd w:val="clear" w:color="000000" w:fill="FFFFFF"/>
            <w:noWrap/>
            <w:vAlign w:val="bottom"/>
            <w:hideMark/>
          </w:tcPr>
          <w:p w14:paraId="373A9AD2"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E5244A7"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nil"/>
              <w:left w:val="nil"/>
              <w:bottom w:val="nil"/>
              <w:right w:val="nil"/>
            </w:tcBorders>
            <w:shd w:val="clear" w:color="auto" w:fill="auto"/>
            <w:noWrap/>
            <w:vAlign w:val="bottom"/>
            <w:hideMark/>
          </w:tcPr>
          <w:p w14:paraId="152096C2" w14:textId="77777777" w:rsidR="00E45741" w:rsidRPr="000D0E7B" w:rsidRDefault="00E45741" w:rsidP="00E45741">
            <w:pPr>
              <w:spacing w:before="0" w:after="0"/>
              <w:rPr>
                <w:rFonts w:eastAsia="Times New Roman" w:cs="Arial"/>
                <w:sz w:val="20"/>
                <w:szCs w:val="20"/>
                <w:lang w:eastAsia="en-GB"/>
              </w:rPr>
            </w:pPr>
          </w:p>
        </w:tc>
        <w:tc>
          <w:tcPr>
            <w:tcW w:w="567" w:type="dxa"/>
            <w:gridSpan w:val="2"/>
            <w:tcBorders>
              <w:top w:val="nil"/>
              <w:left w:val="nil"/>
              <w:bottom w:val="nil"/>
              <w:right w:val="nil"/>
            </w:tcBorders>
            <w:shd w:val="clear" w:color="auto" w:fill="auto"/>
            <w:noWrap/>
            <w:vAlign w:val="bottom"/>
            <w:hideMark/>
          </w:tcPr>
          <w:p w14:paraId="1E444D05"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930" w:type="dxa"/>
            <w:tcBorders>
              <w:top w:val="nil"/>
              <w:left w:val="nil"/>
              <w:bottom w:val="nil"/>
              <w:right w:val="nil"/>
            </w:tcBorders>
            <w:shd w:val="clear" w:color="auto" w:fill="auto"/>
            <w:noWrap/>
            <w:vAlign w:val="bottom"/>
            <w:hideMark/>
          </w:tcPr>
          <w:p w14:paraId="3D4B89AA"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r>
      <w:tr w:rsidR="00644FCB" w:rsidRPr="000D0E7B" w14:paraId="62BE2FD3" w14:textId="77777777" w:rsidTr="00A20382">
        <w:trPr>
          <w:trHeight w:val="260"/>
        </w:trPr>
        <w:tc>
          <w:tcPr>
            <w:tcW w:w="4253" w:type="dxa"/>
            <w:tcBorders>
              <w:top w:val="nil"/>
              <w:left w:val="nil"/>
              <w:bottom w:val="nil"/>
              <w:right w:val="nil"/>
            </w:tcBorders>
            <w:shd w:val="clear" w:color="auto" w:fill="auto"/>
            <w:noWrap/>
            <w:vAlign w:val="bottom"/>
            <w:hideMark/>
          </w:tcPr>
          <w:p w14:paraId="43C717E7" w14:textId="77777777" w:rsidR="00E45741" w:rsidRPr="000D0E7B" w:rsidRDefault="00E45741" w:rsidP="00E45741">
            <w:pPr>
              <w:spacing w:before="0" w:after="0"/>
              <w:rPr>
                <w:rFonts w:eastAsia="Times New Roman" w:cs="Arial"/>
                <w:b/>
                <w:bCs/>
                <w:sz w:val="20"/>
                <w:szCs w:val="20"/>
                <w:lang w:eastAsia="en-GB"/>
              </w:rPr>
            </w:pPr>
            <w:r w:rsidRPr="000D0E7B">
              <w:rPr>
                <w:rFonts w:eastAsia="Times New Roman" w:cs="Arial"/>
                <w:b/>
                <w:bCs/>
                <w:sz w:val="20"/>
                <w:szCs w:val="20"/>
                <w:lang w:eastAsia="en-GB"/>
              </w:rPr>
              <w:t>Depreciation 01 April 23</w:t>
            </w:r>
          </w:p>
        </w:tc>
        <w:tc>
          <w:tcPr>
            <w:tcW w:w="1216" w:type="dxa"/>
            <w:tcBorders>
              <w:top w:val="nil"/>
              <w:left w:val="nil"/>
              <w:bottom w:val="nil"/>
              <w:right w:val="nil"/>
            </w:tcBorders>
            <w:shd w:val="clear" w:color="auto" w:fill="auto"/>
            <w:noWrap/>
            <w:vAlign w:val="bottom"/>
            <w:hideMark/>
          </w:tcPr>
          <w:p w14:paraId="47ECC08D" w14:textId="77777777" w:rsidR="00E45741" w:rsidRPr="000D0E7B" w:rsidRDefault="00E45741" w:rsidP="00E45741">
            <w:pPr>
              <w:spacing w:before="0" w:after="0"/>
              <w:rPr>
                <w:rFonts w:eastAsia="Times New Roman" w:cs="Arial"/>
                <w:b/>
                <w:bCs/>
                <w:sz w:val="20"/>
                <w:szCs w:val="20"/>
                <w:lang w:eastAsia="en-GB"/>
              </w:rPr>
            </w:pPr>
          </w:p>
        </w:tc>
        <w:tc>
          <w:tcPr>
            <w:tcW w:w="1336" w:type="dxa"/>
            <w:tcBorders>
              <w:top w:val="nil"/>
              <w:left w:val="nil"/>
              <w:bottom w:val="nil"/>
              <w:right w:val="nil"/>
            </w:tcBorders>
            <w:shd w:val="clear" w:color="000000" w:fill="FFFFFF"/>
            <w:noWrap/>
            <w:vAlign w:val="bottom"/>
            <w:hideMark/>
          </w:tcPr>
          <w:p w14:paraId="60A3AD93" w14:textId="77777777" w:rsidR="00E45741" w:rsidRPr="000D0E7B" w:rsidRDefault="00E45741" w:rsidP="00E45741">
            <w:pPr>
              <w:spacing w:before="0" w:after="0"/>
              <w:jc w:val="right"/>
              <w:rPr>
                <w:rFonts w:eastAsia="Times New Roman" w:cs="Arial"/>
                <w:sz w:val="20"/>
                <w:szCs w:val="20"/>
                <w:lang w:eastAsia="en-GB"/>
              </w:rPr>
            </w:pPr>
            <w:r w:rsidRPr="000D0E7B">
              <w:rPr>
                <w:rFonts w:eastAsia="Times New Roman" w:cs="Arial"/>
                <w:sz w:val="20"/>
                <w:szCs w:val="20"/>
                <w:lang w:eastAsia="en-GB"/>
              </w:rPr>
              <w:t>637</w:t>
            </w:r>
          </w:p>
        </w:tc>
        <w:tc>
          <w:tcPr>
            <w:tcW w:w="272" w:type="dxa"/>
            <w:tcBorders>
              <w:top w:val="nil"/>
              <w:left w:val="nil"/>
              <w:bottom w:val="nil"/>
              <w:right w:val="nil"/>
            </w:tcBorders>
            <w:shd w:val="clear" w:color="000000" w:fill="FFFFFF"/>
            <w:noWrap/>
            <w:vAlign w:val="bottom"/>
            <w:hideMark/>
          </w:tcPr>
          <w:p w14:paraId="0246BDC4"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nil"/>
              <w:left w:val="nil"/>
              <w:bottom w:val="nil"/>
              <w:right w:val="nil"/>
            </w:tcBorders>
            <w:shd w:val="clear" w:color="auto" w:fill="auto"/>
            <w:noWrap/>
            <w:vAlign w:val="bottom"/>
            <w:hideMark/>
          </w:tcPr>
          <w:p w14:paraId="6EEAC81D"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637</w:t>
            </w:r>
          </w:p>
        </w:tc>
        <w:tc>
          <w:tcPr>
            <w:tcW w:w="567" w:type="dxa"/>
            <w:gridSpan w:val="2"/>
            <w:tcBorders>
              <w:top w:val="nil"/>
              <w:left w:val="nil"/>
              <w:bottom w:val="nil"/>
              <w:right w:val="nil"/>
            </w:tcBorders>
            <w:shd w:val="clear" w:color="auto" w:fill="auto"/>
            <w:noWrap/>
            <w:vAlign w:val="bottom"/>
            <w:hideMark/>
          </w:tcPr>
          <w:p w14:paraId="400BFE6B" w14:textId="77777777" w:rsidR="00E45741" w:rsidRPr="000D0E7B" w:rsidRDefault="00E45741" w:rsidP="00E45741">
            <w:pPr>
              <w:spacing w:before="0" w:after="0"/>
              <w:jc w:val="right"/>
              <w:rPr>
                <w:rFonts w:eastAsia="Times New Roman" w:cs="Arial"/>
                <w:b/>
                <w:bCs/>
                <w:sz w:val="20"/>
                <w:szCs w:val="20"/>
                <w:lang w:eastAsia="en-GB"/>
              </w:rPr>
            </w:pPr>
          </w:p>
        </w:tc>
        <w:tc>
          <w:tcPr>
            <w:tcW w:w="1930" w:type="dxa"/>
            <w:tcBorders>
              <w:top w:val="nil"/>
              <w:left w:val="nil"/>
              <w:bottom w:val="nil"/>
              <w:right w:val="nil"/>
            </w:tcBorders>
            <w:shd w:val="clear" w:color="auto" w:fill="auto"/>
            <w:noWrap/>
            <w:vAlign w:val="bottom"/>
            <w:hideMark/>
          </w:tcPr>
          <w:p w14:paraId="272C1F6C" w14:textId="77777777" w:rsidR="00E45741" w:rsidRPr="000D0E7B" w:rsidRDefault="00E45741" w:rsidP="00E45741">
            <w:pPr>
              <w:spacing w:before="0" w:after="0"/>
              <w:jc w:val="right"/>
              <w:rPr>
                <w:rFonts w:eastAsia="Times New Roman" w:cs="Arial"/>
                <w:sz w:val="18"/>
                <w:szCs w:val="18"/>
                <w:lang w:eastAsia="en-GB"/>
              </w:rPr>
            </w:pPr>
            <w:r w:rsidRPr="000D0E7B">
              <w:rPr>
                <w:rFonts w:eastAsia="Times New Roman" w:cs="Arial"/>
                <w:sz w:val="18"/>
                <w:szCs w:val="18"/>
                <w:lang w:eastAsia="en-GB"/>
              </w:rPr>
              <w:t>562</w:t>
            </w:r>
          </w:p>
        </w:tc>
      </w:tr>
      <w:tr w:rsidR="00644FCB" w:rsidRPr="000D0E7B" w14:paraId="76B53A97" w14:textId="77777777" w:rsidTr="00A20382">
        <w:trPr>
          <w:trHeight w:val="260"/>
        </w:trPr>
        <w:tc>
          <w:tcPr>
            <w:tcW w:w="4253" w:type="dxa"/>
            <w:tcBorders>
              <w:top w:val="nil"/>
              <w:left w:val="nil"/>
              <w:bottom w:val="nil"/>
              <w:right w:val="nil"/>
            </w:tcBorders>
            <w:shd w:val="clear" w:color="auto" w:fill="auto"/>
            <w:noWrap/>
            <w:vAlign w:val="bottom"/>
            <w:hideMark/>
          </w:tcPr>
          <w:p w14:paraId="353D9755"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Charged during the year</w:t>
            </w:r>
          </w:p>
        </w:tc>
        <w:tc>
          <w:tcPr>
            <w:tcW w:w="1216" w:type="dxa"/>
            <w:tcBorders>
              <w:top w:val="nil"/>
              <w:left w:val="nil"/>
              <w:bottom w:val="nil"/>
              <w:right w:val="nil"/>
            </w:tcBorders>
            <w:shd w:val="clear" w:color="auto" w:fill="auto"/>
            <w:noWrap/>
            <w:vAlign w:val="bottom"/>
            <w:hideMark/>
          </w:tcPr>
          <w:p w14:paraId="16E35E04" w14:textId="77777777" w:rsidR="00E45741" w:rsidRPr="000D0E7B" w:rsidRDefault="00E45741" w:rsidP="00E45741">
            <w:pPr>
              <w:spacing w:before="0" w:after="0"/>
              <w:rPr>
                <w:rFonts w:eastAsia="Times New Roman" w:cs="Arial"/>
                <w:sz w:val="20"/>
                <w:szCs w:val="20"/>
                <w:lang w:eastAsia="en-GB"/>
              </w:rPr>
            </w:pPr>
          </w:p>
        </w:tc>
        <w:tc>
          <w:tcPr>
            <w:tcW w:w="1336" w:type="dxa"/>
            <w:tcBorders>
              <w:top w:val="nil"/>
              <w:left w:val="nil"/>
              <w:bottom w:val="nil"/>
              <w:right w:val="nil"/>
            </w:tcBorders>
            <w:shd w:val="clear" w:color="000000" w:fill="FFFFFF"/>
            <w:noWrap/>
            <w:vAlign w:val="bottom"/>
            <w:hideMark/>
          </w:tcPr>
          <w:p w14:paraId="2B9A7388" w14:textId="77777777" w:rsidR="00E45741" w:rsidRPr="000D0E7B" w:rsidRDefault="00E45741" w:rsidP="00E45741">
            <w:pPr>
              <w:spacing w:before="0" w:after="0"/>
              <w:jc w:val="right"/>
              <w:rPr>
                <w:rFonts w:eastAsia="Times New Roman" w:cs="Arial"/>
                <w:sz w:val="20"/>
                <w:szCs w:val="20"/>
                <w:lang w:eastAsia="en-GB"/>
              </w:rPr>
            </w:pPr>
            <w:r w:rsidRPr="000D0E7B">
              <w:rPr>
                <w:rFonts w:eastAsia="Times New Roman" w:cs="Arial"/>
                <w:sz w:val="20"/>
                <w:szCs w:val="20"/>
                <w:lang w:eastAsia="en-GB"/>
              </w:rPr>
              <w:t>462</w:t>
            </w:r>
          </w:p>
        </w:tc>
        <w:tc>
          <w:tcPr>
            <w:tcW w:w="272" w:type="dxa"/>
            <w:tcBorders>
              <w:top w:val="nil"/>
              <w:left w:val="nil"/>
              <w:bottom w:val="nil"/>
              <w:right w:val="nil"/>
            </w:tcBorders>
            <w:shd w:val="clear" w:color="000000" w:fill="FFFFFF"/>
            <w:noWrap/>
            <w:vAlign w:val="bottom"/>
            <w:hideMark/>
          </w:tcPr>
          <w:p w14:paraId="5F4EE519"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nil"/>
              <w:left w:val="nil"/>
              <w:bottom w:val="nil"/>
              <w:right w:val="nil"/>
            </w:tcBorders>
            <w:shd w:val="clear" w:color="auto" w:fill="auto"/>
            <w:noWrap/>
            <w:vAlign w:val="bottom"/>
            <w:hideMark/>
          </w:tcPr>
          <w:p w14:paraId="70B7CEDD"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462</w:t>
            </w:r>
          </w:p>
        </w:tc>
        <w:tc>
          <w:tcPr>
            <w:tcW w:w="567" w:type="dxa"/>
            <w:gridSpan w:val="2"/>
            <w:tcBorders>
              <w:top w:val="nil"/>
              <w:left w:val="nil"/>
              <w:bottom w:val="nil"/>
              <w:right w:val="nil"/>
            </w:tcBorders>
            <w:shd w:val="clear" w:color="auto" w:fill="auto"/>
            <w:noWrap/>
            <w:vAlign w:val="bottom"/>
            <w:hideMark/>
          </w:tcPr>
          <w:p w14:paraId="5687EBDF" w14:textId="77777777" w:rsidR="00E45741" w:rsidRPr="000D0E7B" w:rsidRDefault="00E45741" w:rsidP="00E45741">
            <w:pPr>
              <w:spacing w:before="0" w:after="0"/>
              <w:jc w:val="right"/>
              <w:rPr>
                <w:rFonts w:eastAsia="Times New Roman" w:cs="Arial"/>
                <w:b/>
                <w:bCs/>
                <w:sz w:val="20"/>
                <w:szCs w:val="20"/>
                <w:lang w:eastAsia="en-GB"/>
              </w:rPr>
            </w:pPr>
          </w:p>
        </w:tc>
        <w:tc>
          <w:tcPr>
            <w:tcW w:w="1930" w:type="dxa"/>
            <w:tcBorders>
              <w:top w:val="nil"/>
              <w:left w:val="nil"/>
              <w:bottom w:val="nil"/>
              <w:right w:val="nil"/>
            </w:tcBorders>
            <w:shd w:val="clear" w:color="000000" w:fill="FFFFFF"/>
            <w:noWrap/>
            <w:vAlign w:val="bottom"/>
            <w:hideMark/>
          </w:tcPr>
          <w:p w14:paraId="37709FF5" w14:textId="77777777" w:rsidR="00E45741" w:rsidRPr="000D0E7B" w:rsidRDefault="00E45741" w:rsidP="00E45741">
            <w:pPr>
              <w:spacing w:before="0" w:after="0"/>
              <w:jc w:val="right"/>
              <w:rPr>
                <w:rFonts w:eastAsia="Times New Roman" w:cs="Arial"/>
                <w:sz w:val="18"/>
                <w:szCs w:val="18"/>
                <w:lang w:eastAsia="en-GB"/>
              </w:rPr>
            </w:pPr>
            <w:r w:rsidRPr="000D0E7B">
              <w:rPr>
                <w:rFonts w:eastAsia="Times New Roman" w:cs="Arial"/>
                <w:sz w:val="18"/>
                <w:szCs w:val="18"/>
                <w:lang w:eastAsia="en-GB"/>
              </w:rPr>
              <w:t>447</w:t>
            </w:r>
          </w:p>
        </w:tc>
      </w:tr>
      <w:tr w:rsidR="00644FCB" w:rsidRPr="000D0E7B" w14:paraId="4BB7DD6D" w14:textId="77777777" w:rsidTr="00A20382">
        <w:trPr>
          <w:trHeight w:val="260"/>
        </w:trPr>
        <w:tc>
          <w:tcPr>
            <w:tcW w:w="4253" w:type="dxa"/>
            <w:tcBorders>
              <w:top w:val="nil"/>
              <w:left w:val="nil"/>
              <w:bottom w:val="nil"/>
              <w:right w:val="nil"/>
            </w:tcBorders>
            <w:shd w:val="clear" w:color="auto" w:fill="auto"/>
            <w:noWrap/>
            <w:vAlign w:val="bottom"/>
            <w:hideMark/>
          </w:tcPr>
          <w:p w14:paraId="2195A2BA"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Disposals on expiry of lease term</w:t>
            </w:r>
          </w:p>
        </w:tc>
        <w:tc>
          <w:tcPr>
            <w:tcW w:w="1216" w:type="dxa"/>
            <w:tcBorders>
              <w:top w:val="nil"/>
              <w:left w:val="nil"/>
              <w:bottom w:val="nil"/>
              <w:right w:val="nil"/>
            </w:tcBorders>
            <w:shd w:val="clear" w:color="auto" w:fill="auto"/>
            <w:noWrap/>
            <w:vAlign w:val="bottom"/>
            <w:hideMark/>
          </w:tcPr>
          <w:p w14:paraId="04907465" w14:textId="77777777" w:rsidR="00E45741" w:rsidRPr="000D0E7B" w:rsidRDefault="00E45741" w:rsidP="00E45741">
            <w:pPr>
              <w:spacing w:before="0" w:after="0"/>
              <w:rPr>
                <w:rFonts w:eastAsia="Times New Roman" w:cs="Arial"/>
                <w:sz w:val="20"/>
                <w:szCs w:val="20"/>
                <w:lang w:eastAsia="en-GB"/>
              </w:rPr>
            </w:pPr>
          </w:p>
        </w:tc>
        <w:tc>
          <w:tcPr>
            <w:tcW w:w="1336" w:type="dxa"/>
            <w:tcBorders>
              <w:top w:val="nil"/>
              <w:left w:val="nil"/>
              <w:bottom w:val="nil"/>
              <w:right w:val="nil"/>
            </w:tcBorders>
            <w:shd w:val="clear" w:color="000000" w:fill="FFFFFF"/>
            <w:noWrap/>
            <w:vAlign w:val="bottom"/>
            <w:hideMark/>
          </w:tcPr>
          <w:p w14:paraId="34CDEA5C" w14:textId="77777777" w:rsidR="00E45741" w:rsidRPr="000D0E7B" w:rsidRDefault="00E45741" w:rsidP="00E45741">
            <w:pPr>
              <w:spacing w:before="0" w:after="0"/>
              <w:jc w:val="right"/>
              <w:rPr>
                <w:rFonts w:eastAsia="Times New Roman" w:cs="Arial"/>
                <w:sz w:val="20"/>
                <w:szCs w:val="20"/>
                <w:lang w:eastAsia="en-GB"/>
              </w:rPr>
            </w:pPr>
            <w:r w:rsidRPr="000D0E7B">
              <w:rPr>
                <w:rFonts w:eastAsia="Times New Roman" w:cs="Arial"/>
                <w:sz w:val="20"/>
                <w:szCs w:val="20"/>
                <w:lang w:eastAsia="en-GB"/>
              </w:rPr>
              <w:t>(90)</w:t>
            </w:r>
          </w:p>
        </w:tc>
        <w:tc>
          <w:tcPr>
            <w:tcW w:w="272" w:type="dxa"/>
            <w:tcBorders>
              <w:top w:val="nil"/>
              <w:left w:val="nil"/>
              <w:bottom w:val="nil"/>
              <w:right w:val="nil"/>
            </w:tcBorders>
            <w:shd w:val="clear" w:color="000000" w:fill="FFFFFF"/>
            <w:noWrap/>
            <w:vAlign w:val="bottom"/>
            <w:hideMark/>
          </w:tcPr>
          <w:p w14:paraId="5AA49094"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nil"/>
              <w:left w:val="nil"/>
              <w:bottom w:val="nil"/>
              <w:right w:val="nil"/>
            </w:tcBorders>
            <w:shd w:val="clear" w:color="auto" w:fill="auto"/>
            <w:noWrap/>
            <w:vAlign w:val="bottom"/>
            <w:hideMark/>
          </w:tcPr>
          <w:p w14:paraId="764B70B4"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(90)</w:t>
            </w:r>
          </w:p>
        </w:tc>
        <w:tc>
          <w:tcPr>
            <w:tcW w:w="567" w:type="dxa"/>
            <w:gridSpan w:val="2"/>
            <w:tcBorders>
              <w:top w:val="nil"/>
              <w:left w:val="nil"/>
              <w:bottom w:val="nil"/>
              <w:right w:val="nil"/>
            </w:tcBorders>
            <w:shd w:val="clear" w:color="auto" w:fill="auto"/>
            <w:noWrap/>
            <w:vAlign w:val="bottom"/>
            <w:hideMark/>
          </w:tcPr>
          <w:p w14:paraId="472F9BA8" w14:textId="77777777" w:rsidR="00E45741" w:rsidRPr="000D0E7B" w:rsidRDefault="00E45741" w:rsidP="00E45741">
            <w:pPr>
              <w:spacing w:before="0" w:after="0"/>
              <w:jc w:val="right"/>
              <w:rPr>
                <w:rFonts w:eastAsia="Times New Roman" w:cs="Arial"/>
                <w:b/>
                <w:bCs/>
                <w:sz w:val="20"/>
                <w:szCs w:val="20"/>
                <w:lang w:eastAsia="en-GB"/>
              </w:rPr>
            </w:pPr>
          </w:p>
        </w:tc>
        <w:tc>
          <w:tcPr>
            <w:tcW w:w="1930" w:type="dxa"/>
            <w:tcBorders>
              <w:top w:val="nil"/>
              <w:left w:val="nil"/>
              <w:bottom w:val="nil"/>
              <w:right w:val="nil"/>
            </w:tcBorders>
            <w:shd w:val="clear" w:color="000000" w:fill="FFFFFF"/>
            <w:noWrap/>
            <w:vAlign w:val="bottom"/>
            <w:hideMark/>
          </w:tcPr>
          <w:p w14:paraId="08735606" w14:textId="77777777" w:rsidR="00E45741" w:rsidRPr="000D0E7B" w:rsidRDefault="00E45741" w:rsidP="00E45741">
            <w:pPr>
              <w:spacing w:before="0" w:after="0"/>
              <w:jc w:val="right"/>
              <w:rPr>
                <w:rFonts w:eastAsia="Times New Roman" w:cs="Arial"/>
                <w:sz w:val="18"/>
                <w:szCs w:val="18"/>
                <w:lang w:eastAsia="en-GB"/>
              </w:rPr>
            </w:pPr>
            <w:r w:rsidRPr="000D0E7B">
              <w:rPr>
                <w:rFonts w:eastAsia="Times New Roman" w:cs="Arial"/>
                <w:sz w:val="18"/>
                <w:szCs w:val="18"/>
                <w:lang w:eastAsia="en-GB"/>
              </w:rPr>
              <w:t>-</w:t>
            </w:r>
          </w:p>
        </w:tc>
      </w:tr>
      <w:tr w:rsidR="00644FCB" w:rsidRPr="000D0E7B" w14:paraId="3E418D46" w14:textId="77777777" w:rsidTr="00A20382">
        <w:trPr>
          <w:trHeight w:val="260"/>
        </w:trPr>
        <w:tc>
          <w:tcPr>
            <w:tcW w:w="4253" w:type="dxa"/>
            <w:tcBorders>
              <w:top w:val="nil"/>
              <w:left w:val="nil"/>
              <w:bottom w:val="nil"/>
              <w:right w:val="nil"/>
            </w:tcBorders>
            <w:shd w:val="clear" w:color="auto" w:fill="auto"/>
            <w:noWrap/>
            <w:vAlign w:val="bottom"/>
            <w:hideMark/>
          </w:tcPr>
          <w:p w14:paraId="67B66FBE" w14:textId="77777777" w:rsidR="00E45741" w:rsidRPr="000D0E7B" w:rsidRDefault="00E45741" w:rsidP="00E45741">
            <w:pPr>
              <w:spacing w:before="0" w:after="0"/>
              <w:rPr>
                <w:rFonts w:eastAsia="Times New Roman" w:cs="Arial"/>
                <w:b/>
                <w:bCs/>
                <w:sz w:val="20"/>
                <w:szCs w:val="20"/>
                <w:lang w:eastAsia="en-GB"/>
              </w:rPr>
            </w:pPr>
            <w:r w:rsidRPr="000D0E7B">
              <w:rPr>
                <w:rFonts w:eastAsia="Times New Roman" w:cs="Arial"/>
                <w:b/>
                <w:bCs/>
                <w:sz w:val="20"/>
                <w:szCs w:val="20"/>
                <w:lang w:eastAsia="en-GB"/>
              </w:rPr>
              <w:t>Depreciation at 31 March 24</w:t>
            </w:r>
          </w:p>
        </w:tc>
        <w:tc>
          <w:tcPr>
            <w:tcW w:w="1216" w:type="dxa"/>
            <w:tcBorders>
              <w:top w:val="nil"/>
              <w:left w:val="nil"/>
              <w:bottom w:val="nil"/>
              <w:right w:val="nil"/>
            </w:tcBorders>
            <w:shd w:val="clear" w:color="auto" w:fill="auto"/>
            <w:noWrap/>
            <w:vAlign w:val="bottom"/>
            <w:hideMark/>
          </w:tcPr>
          <w:p w14:paraId="5CE9C15C" w14:textId="77777777" w:rsidR="00E45741" w:rsidRPr="000D0E7B" w:rsidRDefault="00E45741" w:rsidP="00E45741">
            <w:pPr>
              <w:spacing w:before="0" w:after="0"/>
              <w:rPr>
                <w:rFonts w:eastAsia="Times New Roman" w:cs="Arial"/>
                <w:b/>
                <w:bCs/>
                <w:sz w:val="20"/>
                <w:szCs w:val="20"/>
                <w:lang w:eastAsia="en-GB"/>
              </w:rPr>
            </w:pPr>
          </w:p>
        </w:tc>
        <w:tc>
          <w:tcPr>
            <w:tcW w:w="1336" w:type="dxa"/>
            <w:tcBorders>
              <w:top w:val="single" w:sz="4" w:space="0" w:color="auto"/>
              <w:left w:val="nil"/>
              <w:bottom w:val="single" w:sz="4" w:space="0" w:color="auto"/>
              <w:right w:val="nil"/>
            </w:tcBorders>
            <w:shd w:val="clear" w:color="auto" w:fill="auto"/>
            <w:noWrap/>
            <w:vAlign w:val="bottom"/>
            <w:hideMark/>
          </w:tcPr>
          <w:p w14:paraId="0EABD17F"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1,009</w:t>
            </w:r>
          </w:p>
        </w:tc>
        <w:tc>
          <w:tcPr>
            <w:tcW w:w="272" w:type="dxa"/>
            <w:tcBorders>
              <w:top w:val="nil"/>
              <w:left w:val="nil"/>
              <w:bottom w:val="nil"/>
              <w:right w:val="nil"/>
            </w:tcBorders>
            <w:shd w:val="clear" w:color="000000" w:fill="FFFFFF"/>
            <w:noWrap/>
            <w:vAlign w:val="bottom"/>
            <w:hideMark/>
          </w:tcPr>
          <w:p w14:paraId="7090BE44"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single" w:sz="4" w:space="0" w:color="auto"/>
              <w:left w:val="nil"/>
              <w:bottom w:val="single" w:sz="4" w:space="0" w:color="auto"/>
              <w:right w:val="nil"/>
            </w:tcBorders>
            <w:shd w:val="clear" w:color="auto" w:fill="auto"/>
            <w:noWrap/>
            <w:vAlign w:val="bottom"/>
            <w:hideMark/>
          </w:tcPr>
          <w:p w14:paraId="7BE01B54"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1,009</w:t>
            </w:r>
          </w:p>
        </w:tc>
        <w:tc>
          <w:tcPr>
            <w:tcW w:w="567" w:type="dxa"/>
            <w:gridSpan w:val="2"/>
            <w:tcBorders>
              <w:top w:val="nil"/>
              <w:left w:val="nil"/>
              <w:bottom w:val="nil"/>
              <w:right w:val="nil"/>
            </w:tcBorders>
            <w:shd w:val="clear" w:color="auto" w:fill="auto"/>
            <w:noWrap/>
            <w:vAlign w:val="bottom"/>
            <w:hideMark/>
          </w:tcPr>
          <w:p w14:paraId="5F85639E" w14:textId="77777777" w:rsidR="00E45741" w:rsidRPr="000D0E7B" w:rsidRDefault="00E45741" w:rsidP="00E45741">
            <w:pPr>
              <w:spacing w:before="0" w:after="0"/>
              <w:jc w:val="right"/>
              <w:rPr>
                <w:rFonts w:eastAsia="Times New Roman" w:cs="Arial"/>
                <w:b/>
                <w:bCs/>
                <w:sz w:val="20"/>
                <w:szCs w:val="20"/>
                <w:lang w:eastAsia="en-GB"/>
              </w:rPr>
            </w:pPr>
          </w:p>
        </w:tc>
        <w:tc>
          <w:tcPr>
            <w:tcW w:w="1930" w:type="dxa"/>
            <w:tcBorders>
              <w:top w:val="dashed" w:sz="4" w:space="0" w:color="auto"/>
              <w:left w:val="nil"/>
              <w:bottom w:val="dashed" w:sz="4" w:space="0" w:color="auto"/>
              <w:right w:val="nil"/>
            </w:tcBorders>
            <w:shd w:val="clear" w:color="auto" w:fill="auto"/>
            <w:noWrap/>
            <w:vAlign w:val="bottom"/>
            <w:hideMark/>
          </w:tcPr>
          <w:p w14:paraId="1B4B9937" w14:textId="77777777" w:rsidR="00E45741" w:rsidRPr="000D0E7B" w:rsidRDefault="00E45741" w:rsidP="00E45741">
            <w:pPr>
              <w:spacing w:before="0" w:after="0"/>
              <w:jc w:val="right"/>
              <w:rPr>
                <w:rFonts w:eastAsia="Times New Roman" w:cs="Arial"/>
                <w:b/>
                <w:bCs/>
                <w:sz w:val="18"/>
                <w:szCs w:val="18"/>
                <w:lang w:eastAsia="en-GB"/>
              </w:rPr>
            </w:pPr>
            <w:r w:rsidRPr="000D0E7B">
              <w:rPr>
                <w:rFonts w:eastAsia="Times New Roman" w:cs="Arial"/>
                <w:b/>
                <w:bCs/>
                <w:sz w:val="18"/>
                <w:szCs w:val="18"/>
                <w:lang w:eastAsia="en-GB"/>
              </w:rPr>
              <w:t>1,009</w:t>
            </w:r>
          </w:p>
        </w:tc>
      </w:tr>
      <w:tr w:rsidR="00644FCB" w:rsidRPr="000D0E7B" w14:paraId="7165BB9B" w14:textId="77777777" w:rsidTr="00A20382">
        <w:trPr>
          <w:trHeight w:val="120"/>
        </w:trPr>
        <w:tc>
          <w:tcPr>
            <w:tcW w:w="4253" w:type="dxa"/>
            <w:tcBorders>
              <w:top w:val="nil"/>
              <w:left w:val="nil"/>
              <w:bottom w:val="nil"/>
              <w:right w:val="nil"/>
            </w:tcBorders>
            <w:shd w:val="clear" w:color="auto" w:fill="auto"/>
            <w:noWrap/>
            <w:vAlign w:val="bottom"/>
            <w:hideMark/>
          </w:tcPr>
          <w:p w14:paraId="73D59C67" w14:textId="77777777" w:rsidR="00E45741" w:rsidRPr="000D0E7B" w:rsidRDefault="00E45741" w:rsidP="00E45741">
            <w:pPr>
              <w:spacing w:before="0" w:after="0"/>
              <w:jc w:val="right"/>
              <w:rPr>
                <w:rFonts w:eastAsia="Times New Roman" w:cs="Arial"/>
                <w:b/>
                <w:bCs/>
                <w:sz w:val="18"/>
                <w:szCs w:val="18"/>
                <w:lang w:eastAsia="en-GB"/>
              </w:rPr>
            </w:pPr>
          </w:p>
        </w:tc>
        <w:tc>
          <w:tcPr>
            <w:tcW w:w="1216" w:type="dxa"/>
            <w:tcBorders>
              <w:top w:val="nil"/>
              <w:left w:val="nil"/>
              <w:bottom w:val="nil"/>
              <w:right w:val="nil"/>
            </w:tcBorders>
            <w:shd w:val="clear" w:color="auto" w:fill="auto"/>
            <w:noWrap/>
            <w:vAlign w:val="bottom"/>
            <w:hideMark/>
          </w:tcPr>
          <w:p w14:paraId="64DE23C9"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336" w:type="dxa"/>
            <w:tcBorders>
              <w:top w:val="nil"/>
              <w:left w:val="nil"/>
              <w:bottom w:val="nil"/>
              <w:right w:val="nil"/>
            </w:tcBorders>
            <w:shd w:val="clear" w:color="000000" w:fill="FFFFFF"/>
            <w:noWrap/>
            <w:vAlign w:val="bottom"/>
            <w:hideMark/>
          </w:tcPr>
          <w:p w14:paraId="390FC656"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D38B5CC"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nil"/>
              <w:left w:val="nil"/>
              <w:bottom w:val="nil"/>
              <w:right w:val="nil"/>
            </w:tcBorders>
            <w:shd w:val="clear" w:color="auto" w:fill="auto"/>
            <w:noWrap/>
            <w:vAlign w:val="bottom"/>
            <w:hideMark/>
          </w:tcPr>
          <w:p w14:paraId="73A323CE" w14:textId="77777777" w:rsidR="00E45741" w:rsidRPr="000D0E7B" w:rsidRDefault="00E45741" w:rsidP="00E45741">
            <w:pPr>
              <w:spacing w:before="0" w:after="0"/>
              <w:rPr>
                <w:rFonts w:eastAsia="Times New Roman" w:cs="Arial"/>
                <w:sz w:val="20"/>
                <w:szCs w:val="20"/>
                <w:lang w:eastAsia="en-GB"/>
              </w:rPr>
            </w:pPr>
          </w:p>
        </w:tc>
        <w:tc>
          <w:tcPr>
            <w:tcW w:w="567" w:type="dxa"/>
            <w:gridSpan w:val="2"/>
            <w:tcBorders>
              <w:top w:val="nil"/>
              <w:left w:val="nil"/>
              <w:bottom w:val="nil"/>
              <w:right w:val="nil"/>
            </w:tcBorders>
            <w:shd w:val="clear" w:color="auto" w:fill="auto"/>
            <w:noWrap/>
            <w:vAlign w:val="bottom"/>
            <w:hideMark/>
          </w:tcPr>
          <w:p w14:paraId="54A187BA"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930" w:type="dxa"/>
            <w:tcBorders>
              <w:top w:val="nil"/>
              <w:left w:val="nil"/>
              <w:bottom w:val="nil"/>
              <w:right w:val="nil"/>
            </w:tcBorders>
            <w:shd w:val="clear" w:color="auto" w:fill="auto"/>
            <w:noWrap/>
            <w:vAlign w:val="bottom"/>
            <w:hideMark/>
          </w:tcPr>
          <w:p w14:paraId="53E0C801"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r>
      <w:tr w:rsidR="00644FCB" w:rsidRPr="000D0E7B" w14:paraId="6C0AAAEB" w14:textId="77777777" w:rsidTr="00A20382">
        <w:trPr>
          <w:trHeight w:val="260"/>
        </w:trPr>
        <w:tc>
          <w:tcPr>
            <w:tcW w:w="4253" w:type="dxa"/>
            <w:tcBorders>
              <w:top w:val="nil"/>
              <w:left w:val="nil"/>
              <w:bottom w:val="nil"/>
              <w:right w:val="nil"/>
            </w:tcBorders>
            <w:shd w:val="clear" w:color="auto" w:fill="auto"/>
            <w:noWrap/>
            <w:vAlign w:val="bottom"/>
            <w:hideMark/>
          </w:tcPr>
          <w:p w14:paraId="66DB2311" w14:textId="77777777" w:rsidR="00E45741" w:rsidRPr="000D0E7B" w:rsidRDefault="00E45741" w:rsidP="00E45741">
            <w:pPr>
              <w:spacing w:before="0" w:after="0"/>
              <w:rPr>
                <w:rFonts w:eastAsia="Times New Roman" w:cs="Arial"/>
                <w:b/>
                <w:bCs/>
                <w:sz w:val="20"/>
                <w:szCs w:val="20"/>
                <w:lang w:eastAsia="en-GB"/>
              </w:rPr>
            </w:pPr>
            <w:r w:rsidRPr="000D0E7B">
              <w:rPr>
                <w:rFonts w:eastAsia="Times New Roman" w:cs="Arial"/>
                <w:b/>
                <w:bCs/>
                <w:sz w:val="20"/>
                <w:szCs w:val="20"/>
                <w:lang w:eastAsia="en-GB"/>
              </w:rPr>
              <w:t>Net book value at 31 March 24</w:t>
            </w:r>
          </w:p>
        </w:tc>
        <w:tc>
          <w:tcPr>
            <w:tcW w:w="1216" w:type="dxa"/>
            <w:tcBorders>
              <w:top w:val="nil"/>
              <w:left w:val="nil"/>
              <w:bottom w:val="nil"/>
              <w:right w:val="nil"/>
            </w:tcBorders>
            <w:shd w:val="clear" w:color="auto" w:fill="auto"/>
            <w:noWrap/>
            <w:vAlign w:val="bottom"/>
            <w:hideMark/>
          </w:tcPr>
          <w:p w14:paraId="7FDD2374" w14:textId="77777777" w:rsidR="00E45741" w:rsidRPr="000D0E7B" w:rsidRDefault="00E45741" w:rsidP="00E45741">
            <w:pPr>
              <w:spacing w:before="0" w:after="0"/>
              <w:rPr>
                <w:rFonts w:eastAsia="Times New Roman" w:cs="Arial"/>
                <w:b/>
                <w:bCs/>
                <w:sz w:val="20"/>
                <w:szCs w:val="20"/>
                <w:lang w:eastAsia="en-GB"/>
              </w:rPr>
            </w:pPr>
          </w:p>
        </w:tc>
        <w:tc>
          <w:tcPr>
            <w:tcW w:w="1336" w:type="dxa"/>
            <w:tcBorders>
              <w:top w:val="single" w:sz="4" w:space="0" w:color="auto"/>
              <w:left w:val="nil"/>
              <w:bottom w:val="single" w:sz="4" w:space="0" w:color="auto"/>
              <w:right w:val="nil"/>
            </w:tcBorders>
            <w:shd w:val="clear" w:color="000000" w:fill="FFFFFF"/>
            <w:noWrap/>
            <w:vAlign w:val="bottom"/>
            <w:hideMark/>
          </w:tcPr>
          <w:p w14:paraId="61A62900"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2,195</w:t>
            </w:r>
          </w:p>
        </w:tc>
        <w:tc>
          <w:tcPr>
            <w:tcW w:w="272" w:type="dxa"/>
            <w:tcBorders>
              <w:top w:val="nil"/>
              <w:left w:val="nil"/>
              <w:bottom w:val="nil"/>
              <w:right w:val="nil"/>
            </w:tcBorders>
            <w:shd w:val="clear" w:color="000000" w:fill="FFFFFF"/>
            <w:noWrap/>
            <w:vAlign w:val="bottom"/>
            <w:hideMark/>
          </w:tcPr>
          <w:p w14:paraId="3E7FDB9D"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single" w:sz="4" w:space="0" w:color="auto"/>
              <w:left w:val="nil"/>
              <w:bottom w:val="single" w:sz="4" w:space="0" w:color="auto"/>
              <w:right w:val="nil"/>
            </w:tcBorders>
            <w:shd w:val="clear" w:color="auto" w:fill="auto"/>
            <w:noWrap/>
            <w:vAlign w:val="bottom"/>
            <w:hideMark/>
          </w:tcPr>
          <w:p w14:paraId="4A18DE1E"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2,195</w:t>
            </w:r>
          </w:p>
        </w:tc>
        <w:tc>
          <w:tcPr>
            <w:tcW w:w="567" w:type="dxa"/>
            <w:gridSpan w:val="2"/>
            <w:tcBorders>
              <w:top w:val="nil"/>
              <w:left w:val="nil"/>
              <w:bottom w:val="nil"/>
              <w:right w:val="nil"/>
            </w:tcBorders>
            <w:shd w:val="clear" w:color="auto" w:fill="auto"/>
            <w:noWrap/>
            <w:vAlign w:val="bottom"/>
            <w:hideMark/>
          </w:tcPr>
          <w:p w14:paraId="370DF4B3" w14:textId="77777777" w:rsidR="00E45741" w:rsidRPr="000D0E7B" w:rsidRDefault="00E45741" w:rsidP="00E45741">
            <w:pPr>
              <w:spacing w:before="0" w:after="0"/>
              <w:jc w:val="right"/>
              <w:rPr>
                <w:rFonts w:eastAsia="Times New Roman" w:cs="Arial"/>
                <w:b/>
                <w:bCs/>
                <w:sz w:val="20"/>
                <w:szCs w:val="20"/>
                <w:lang w:eastAsia="en-GB"/>
              </w:rPr>
            </w:pPr>
          </w:p>
        </w:tc>
        <w:tc>
          <w:tcPr>
            <w:tcW w:w="1930" w:type="dxa"/>
            <w:tcBorders>
              <w:top w:val="dashed" w:sz="4" w:space="0" w:color="auto"/>
              <w:left w:val="nil"/>
              <w:bottom w:val="dashed" w:sz="4" w:space="0" w:color="auto"/>
              <w:right w:val="nil"/>
            </w:tcBorders>
            <w:shd w:val="clear" w:color="auto" w:fill="auto"/>
            <w:noWrap/>
            <w:vAlign w:val="bottom"/>
            <w:hideMark/>
          </w:tcPr>
          <w:p w14:paraId="2D713BAA" w14:textId="77777777" w:rsidR="00E45741" w:rsidRPr="000D0E7B" w:rsidRDefault="00E45741" w:rsidP="00E45741">
            <w:pPr>
              <w:spacing w:before="0" w:after="0"/>
              <w:jc w:val="right"/>
              <w:rPr>
                <w:rFonts w:eastAsia="Times New Roman" w:cs="Arial"/>
                <w:b/>
                <w:bCs/>
                <w:sz w:val="18"/>
                <w:szCs w:val="18"/>
                <w:lang w:eastAsia="en-GB"/>
              </w:rPr>
            </w:pPr>
            <w:r w:rsidRPr="000D0E7B">
              <w:rPr>
                <w:rFonts w:eastAsia="Times New Roman" w:cs="Arial"/>
                <w:b/>
                <w:bCs/>
                <w:sz w:val="18"/>
                <w:szCs w:val="18"/>
                <w:lang w:eastAsia="en-GB"/>
              </w:rPr>
              <w:t>2,195</w:t>
            </w:r>
          </w:p>
        </w:tc>
      </w:tr>
      <w:tr w:rsidR="00644FCB" w:rsidRPr="000D0E7B" w14:paraId="4F1559BF" w14:textId="77777777" w:rsidTr="00A20382">
        <w:trPr>
          <w:trHeight w:val="290"/>
        </w:trPr>
        <w:tc>
          <w:tcPr>
            <w:tcW w:w="4253" w:type="dxa"/>
            <w:tcBorders>
              <w:top w:val="nil"/>
              <w:left w:val="nil"/>
              <w:bottom w:val="nil"/>
              <w:right w:val="nil"/>
            </w:tcBorders>
            <w:shd w:val="clear" w:color="auto" w:fill="auto"/>
            <w:noWrap/>
            <w:vAlign w:val="bottom"/>
            <w:hideMark/>
          </w:tcPr>
          <w:p w14:paraId="704BE21E" w14:textId="77777777" w:rsidR="00E45741" w:rsidRPr="000D0E7B" w:rsidRDefault="00E45741" w:rsidP="00E45741">
            <w:pPr>
              <w:spacing w:before="0" w:after="0"/>
              <w:jc w:val="right"/>
              <w:rPr>
                <w:rFonts w:eastAsia="Times New Roman" w:cs="Arial"/>
                <w:b/>
                <w:bCs/>
                <w:sz w:val="18"/>
                <w:szCs w:val="18"/>
                <w:lang w:eastAsia="en-GB"/>
              </w:rPr>
            </w:pPr>
          </w:p>
        </w:tc>
        <w:tc>
          <w:tcPr>
            <w:tcW w:w="1216" w:type="dxa"/>
            <w:tcBorders>
              <w:top w:val="nil"/>
              <w:left w:val="nil"/>
              <w:bottom w:val="nil"/>
              <w:right w:val="nil"/>
            </w:tcBorders>
            <w:shd w:val="clear" w:color="auto" w:fill="auto"/>
            <w:noWrap/>
            <w:vAlign w:val="bottom"/>
            <w:hideMark/>
          </w:tcPr>
          <w:p w14:paraId="2A2E96B4"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336" w:type="dxa"/>
            <w:tcBorders>
              <w:top w:val="nil"/>
              <w:left w:val="nil"/>
              <w:bottom w:val="nil"/>
              <w:right w:val="nil"/>
            </w:tcBorders>
            <w:shd w:val="clear" w:color="000000" w:fill="FFFFFF"/>
            <w:noWrap/>
            <w:vAlign w:val="bottom"/>
            <w:hideMark/>
          </w:tcPr>
          <w:p w14:paraId="58585054" w14:textId="77777777" w:rsidR="00E45741" w:rsidRPr="000D0E7B" w:rsidRDefault="00E45741" w:rsidP="00E45741">
            <w:pPr>
              <w:spacing w:before="0" w:after="0"/>
              <w:rPr>
                <w:rFonts w:eastAsia="Times New Roman" w:cs="Arial"/>
                <w:b/>
                <w:bCs/>
                <w:sz w:val="20"/>
                <w:szCs w:val="20"/>
                <w:lang w:eastAsia="en-GB"/>
              </w:rPr>
            </w:pPr>
            <w:r w:rsidRPr="000D0E7B">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4F0E97A8"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nil"/>
              <w:left w:val="nil"/>
              <w:bottom w:val="nil"/>
              <w:right w:val="nil"/>
            </w:tcBorders>
            <w:shd w:val="clear" w:color="auto" w:fill="auto"/>
            <w:noWrap/>
            <w:vAlign w:val="bottom"/>
            <w:hideMark/>
          </w:tcPr>
          <w:p w14:paraId="7DDCEC82" w14:textId="77777777" w:rsidR="00E45741" w:rsidRPr="000D0E7B" w:rsidRDefault="00E45741" w:rsidP="00E45741">
            <w:pPr>
              <w:spacing w:before="0" w:after="0"/>
              <w:rPr>
                <w:rFonts w:eastAsia="Times New Roman" w:cs="Arial"/>
                <w:sz w:val="20"/>
                <w:szCs w:val="20"/>
                <w:lang w:eastAsia="en-GB"/>
              </w:rPr>
            </w:pPr>
          </w:p>
        </w:tc>
        <w:tc>
          <w:tcPr>
            <w:tcW w:w="567" w:type="dxa"/>
            <w:gridSpan w:val="2"/>
            <w:tcBorders>
              <w:top w:val="nil"/>
              <w:left w:val="nil"/>
              <w:bottom w:val="nil"/>
              <w:right w:val="nil"/>
            </w:tcBorders>
            <w:shd w:val="clear" w:color="auto" w:fill="auto"/>
            <w:noWrap/>
            <w:vAlign w:val="bottom"/>
            <w:hideMark/>
          </w:tcPr>
          <w:p w14:paraId="1F6A2752"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930" w:type="dxa"/>
            <w:tcBorders>
              <w:top w:val="nil"/>
              <w:left w:val="nil"/>
              <w:bottom w:val="nil"/>
              <w:right w:val="nil"/>
            </w:tcBorders>
            <w:shd w:val="clear" w:color="auto" w:fill="auto"/>
            <w:noWrap/>
            <w:vAlign w:val="bottom"/>
            <w:hideMark/>
          </w:tcPr>
          <w:p w14:paraId="46734470"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r>
      <w:tr w:rsidR="00644FCB" w:rsidRPr="000D0E7B" w14:paraId="2722738E" w14:textId="77777777" w:rsidTr="00A20382">
        <w:trPr>
          <w:trHeight w:val="760"/>
        </w:trPr>
        <w:tc>
          <w:tcPr>
            <w:tcW w:w="4253" w:type="dxa"/>
            <w:tcBorders>
              <w:top w:val="nil"/>
              <w:left w:val="nil"/>
              <w:bottom w:val="nil"/>
              <w:right w:val="nil"/>
            </w:tcBorders>
            <w:shd w:val="clear" w:color="auto" w:fill="auto"/>
            <w:noWrap/>
            <w:vAlign w:val="bottom"/>
            <w:hideMark/>
          </w:tcPr>
          <w:p w14:paraId="0120E528"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216" w:type="dxa"/>
            <w:tcBorders>
              <w:top w:val="nil"/>
              <w:left w:val="nil"/>
              <w:bottom w:val="nil"/>
              <w:right w:val="nil"/>
            </w:tcBorders>
            <w:shd w:val="clear" w:color="auto" w:fill="auto"/>
            <w:noWrap/>
            <w:vAlign w:val="bottom"/>
            <w:hideMark/>
          </w:tcPr>
          <w:p w14:paraId="6603F12B"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336" w:type="dxa"/>
            <w:tcBorders>
              <w:top w:val="nil"/>
              <w:left w:val="nil"/>
              <w:bottom w:val="nil"/>
              <w:right w:val="nil"/>
            </w:tcBorders>
            <w:shd w:val="clear" w:color="auto" w:fill="auto"/>
            <w:vAlign w:val="bottom"/>
            <w:hideMark/>
          </w:tcPr>
          <w:p w14:paraId="4047DCF5" w14:textId="77777777" w:rsidR="00E45741" w:rsidRPr="000D0E7B" w:rsidRDefault="00E45741" w:rsidP="00E45741">
            <w:pPr>
              <w:spacing w:before="0" w:after="0"/>
              <w:jc w:val="right"/>
              <w:rPr>
                <w:rFonts w:eastAsia="Times New Roman" w:cs="Arial"/>
                <w:sz w:val="20"/>
                <w:szCs w:val="20"/>
                <w:lang w:eastAsia="en-GB"/>
              </w:rPr>
            </w:pPr>
            <w:r w:rsidRPr="000D0E7B">
              <w:rPr>
                <w:rFonts w:eastAsia="Times New Roman" w:cs="Arial"/>
                <w:sz w:val="20"/>
                <w:szCs w:val="20"/>
                <w:lang w:eastAsia="en-GB"/>
              </w:rPr>
              <w:t>Buildings excluding dwellings</w:t>
            </w:r>
          </w:p>
        </w:tc>
        <w:tc>
          <w:tcPr>
            <w:tcW w:w="272" w:type="dxa"/>
            <w:tcBorders>
              <w:top w:val="nil"/>
              <w:left w:val="nil"/>
              <w:bottom w:val="nil"/>
              <w:right w:val="nil"/>
            </w:tcBorders>
            <w:shd w:val="clear" w:color="auto" w:fill="auto"/>
            <w:vAlign w:val="bottom"/>
            <w:hideMark/>
          </w:tcPr>
          <w:p w14:paraId="1FF47C3F" w14:textId="77777777" w:rsidR="00E45741" w:rsidRPr="000D0E7B" w:rsidRDefault="00E45741" w:rsidP="00E45741">
            <w:pPr>
              <w:spacing w:before="0" w:after="0"/>
              <w:jc w:val="right"/>
              <w:rPr>
                <w:rFonts w:eastAsia="Times New Roman" w:cs="Arial"/>
                <w:sz w:val="20"/>
                <w:szCs w:val="20"/>
                <w:lang w:eastAsia="en-GB"/>
              </w:rPr>
            </w:pPr>
          </w:p>
        </w:tc>
        <w:tc>
          <w:tcPr>
            <w:tcW w:w="1332" w:type="dxa"/>
            <w:tcBorders>
              <w:top w:val="nil"/>
              <w:left w:val="nil"/>
              <w:bottom w:val="nil"/>
              <w:right w:val="nil"/>
            </w:tcBorders>
            <w:shd w:val="clear" w:color="auto" w:fill="auto"/>
            <w:vAlign w:val="bottom"/>
            <w:hideMark/>
          </w:tcPr>
          <w:p w14:paraId="014F3D2E" w14:textId="77777777" w:rsidR="00E45741" w:rsidRPr="000D0E7B" w:rsidRDefault="00E45741" w:rsidP="00E45741">
            <w:pPr>
              <w:spacing w:before="0" w:after="0"/>
              <w:jc w:val="right"/>
              <w:rPr>
                <w:rFonts w:eastAsia="Times New Roman" w:cs="Arial"/>
                <w:sz w:val="20"/>
                <w:szCs w:val="20"/>
                <w:lang w:eastAsia="en-GB"/>
              </w:rPr>
            </w:pPr>
            <w:r w:rsidRPr="000D0E7B">
              <w:rPr>
                <w:rFonts w:eastAsia="Times New Roman" w:cs="Arial"/>
                <w:sz w:val="20"/>
                <w:szCs w:val="20"/>
                <w:lang w:eastAsia="en-GB"/>
              </w:rPr>
              <w:t xml:space="preserve">Total </w:t>
            </w:r>
          </w:p>
        </w:tc>
        <w:tc>
          <w:tcPr>
            <w:tcW w:w="567" w:type="dxa"/>
            <w:gridSpan w:val="2"/>
            <w:tcBorders>
              <w:top w:val="nil"/>
              <w:left w:val="nil"/>
              <w:bottom w:val="nil"/>
              <w:right w:val="nil"/>
            </w:tcBorders>
            <w:shd w:val="clear" w:color="auto" w:fill="auto"/>
            <w:noWrap/>
            <w:vAlign w:val="bottom"/>
            <w:hideMark/>
          </w:tcPr>
          <w:p w14:paraId="57EABB57" w14:textId="77777777" w:rsidR="00E45741" w:rsidRPr="000D0E7B" w:rsidRDefault="00E45741" w:rsidP="00E45741">
            <w:pPr>
              <w:spacing w:before="0" w:after="0"/>
              <w:jc w:val="right"/>
              <w:rPr>
                <w:rFonts w:eastAsia="Times New Roman" w:cs="Arial"/>
                <w:sz w:val="20"/>
                <w:szCs w:val="20"/>
                <w:lang w:eastAsia="en-GB"/>
              </w:rPr>
            </w:pPr>
          </w:p>
        </w:tc>
        <w:tc>
          <w:tcPr>
            <w:tcW w:w="1930" w:type="dxa"/>
            <w:tcBorders>
              <w:top w:val="nil"/>
              <w:left w:val="nil"/>
              <w:bottom w:val="nil"/>
              <w:right w:val="nil"/>
            </w:tcBorders>
            <w:shd w:val="clear" w:color="auto" w:fill="auto"/>
            <w:vAlign w:val="bottom"/>
            <w:hideMark/>
          </w:tcPr>
          <w:p w14:paraId="6321EA32" w14:textId="77777777" w:rsidR="00E45741" w:rsidRPr="000D0E7B" w:rsidRDefault="00E45741" w:rsidP="00E45741">
            <w:pPr>
              <w:spacing w:before="0" w:after="0"/>
              <w:jc w:val="right"/>
              <w:rPr>
                <w:rFonts w:eastAsia="Times New Roman" w:cs="Arial"/>
                <w:i/>
                <w:iCs/>
                <w:color w:val="000000"/>
                <w:sz w:val="18"/>
                <w:szCs w:val="18"/>
                <w:lang w:eastAsia="en-GB"/>
              </w:rPr>
            </w:pPr>
            <w:r w:rsidRPr="000D0E7B">
              <w:rPr>
                <w:rFonts w:eastAsia="Times New Roman" w:cs="Arial"/>
                <w:i/>
                <w:iCs/>
                <w:color w:val="000000"/>
                <w:sz w:val="18"/>
                <w:szCs w:val="18"/>
                <w:lang w:eastAsia="en-GB"/>
              </w:rPr>
              <w:t>Of which: leased from DHSC group bodies</w:t>
            </w:r>
          </w:p>
        </w:tc>
      </w:tr>
      <w:tr w:rsidR="00644FCB" w:rsidRPr="000D0E7B" w14:paraId="7B1AAD4B" w14:textId="77777777" w:rsidTr="00A20382">
        <w:trPr>
          <w:trHeight w:val="250"/>
        </w:trPr>
        <w:tc>
          <w:tcPr>
            <w:tcW w:w="4253" w:type="dxa"/>
            <w:tcBorders>
              <w:top w:val="nil"/>
              <w:left w:val="nil"/>
              <w:bottom w:val="nil"/>
              <w:right w:val="nil"/>
            </w:tcBorders>
            <w:shd w:val="clear" w:color="auto" w:fill="auto"/>
            <w:noWrap/>
            <w:vAlign w:val="bottom"/>
            <w:hideMark/>
          </w:tcPr>
          <w:p w14:paraId="6FB7DDEF" w14:textId="77777777" w:rsidR="00E45741" w:rsidRPr="000D0E7B" w:rsidRDefault="00E45741" w:rsidP="00E45741">
            <w:pPr>
              <w:spacing w:before="0" w:after="0"/>
              <w:jc w:val="right"/>
              <w:rPr>
                <w:rFonts w:eastAsia="Times New Roman" w:cs="Arial"/>
                <w:i/>
                <w:iCs/>
                <w:color w:val="000000"/>
                <w:sz w:val="18"/>
                <w:szCs w:val="18"/>
                <w:lang w:eastAsia="en-GB"/>
              </w:rPr>
            </w:pPr>
          </w:p>
        </w:tc>
        <w:tc>
          <w:tcPr>
            <w:tcW w:w="1216" w:type="dxa"/>
            <w:tcBorders>
              <w:top w:val="nil"/>
              <w:left w:val="nil"/>
              <w:bottom w:val="nil"/>
              <w:right w:val="nil"/>
            </w:tcBorders>
            <w:shd w:val="clear" w:color="auto" w:fill="auto"/>
            <w:noWrap/>
            <w:vAlign w:val="bottom"/>
            <w:hideMark/>
          </w:tcPr>
          <w:p w14:paraId="7BCA015F"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336" w:type="dxa"/>
            <w:tcBorders>
              <w:top w:val="nil"/>
              <w:left w:val="nil"/>
              <w:bottom w:val="nil"/>
              <w:right w:val="nil"/>
            </w:tcBorders>
            <w:shd w:val="clear" w:color="auto" w:fill="auto"/>
            <w:vAlign w:val="bottom"/>
            <w:hideMark/>
          </w:tcPr>
          <w:p w14:paraId="0FA39AEB" w14:textId="77777777" w:rsidR="00E45741" w:rsidRPr="000D0E7B" w:rsidRDefault="00E45741" w:rsidP="00E45741">
            <w:pPr>
              <w:spacing w:before="0" w:after="0"/>
              <w:jc w:val="right"/>
              <w:rPr>
                <w:rFonts w:eastAsia="Times New Roman" w:cs="Arial"/>
                <w:sz w:val="20"/>
                <w:szCs w:val="20"/>
                <w:lang w:eastAsia="en-GB"/>
              </w:rPr>
            </w:pPr>
            <w:r w:rsidRPr="000D0E7B">
              <w:rPr>
                <w:rFonts w:eastAsia="Times New Roman" w:cs="Arial"/>
                <w:sz w:val="20"/>
                <w:szCs w:val="20"/>
                <w:lang w:eastAsia="en-GB"/>
              </w:rPr>
              <w:t>£'000</w:t>
            </w:r>
          </w:p>
        </w:tc>
        <w:tc>
          <w:tcPr>
            <w:tcW w:w="272" w:type="dxa"/>
            <w:tcBorders>
              <w:top w:val="nil"/>
              <w:left w:val="nil"/>
              <w:bottom w:val="nil"/>
              <w:right w:val="nil"/>
            </w:tcBorders>
            <w:shd w:val="clear" w:color="auto" w:fill="auto"/>
            <w:vAlign w:val="bottom"/>
            <w:hideMark/>
          </w:tcPr>
          <w:p w14:paraId="127AD129" w14:textId="77777777" w:rsidR="00E45741" w:rsidRPr="000D0E7B" w:rsidRDefault="00E45741" w:rsidP="00E45741">
            <w:pPr>
              <w:spacing w:before="0" w:after="0"/>
              <w:jc w:val="right"/>
              <w:rPr>
                <w:rFonts w:eastAsia="Times New Roman" w:cs="Arial"/>
                <w:sz w:val="20"/>
                <w:szCs w:val="20"/>
                <w:lang w:eastAsia="en-GB"/>
              </w:rPr>
            </w:pPr>
          </w:p>
        </w:tc>
        <w:tc>
          <w:tcPr>
            <w:tcW w:w="1332" w:type="dxa"/>
            <w:tcBorders>
              <w:top w:val="nil"/>
              <w:left w:val="nil"/>
              <w:bottom w:val="nil"/>
              <w:right w:val="nil"/>
            </w:tcBorders>
            <w:shd w:val="clear" w:color="auto" w:fill="auto"/>
            <w:vAlign w:val="bottom"/>
            <w:hideMark/>
          </w:tcPr>
          <w:p w14:paraId="0CB6D6AF" w14:textId="77777777" w:rsidR="00E45741" w:rsidRPr="000D0E7B" w:rsidRDefault="00E45741" w:rsidP="00E45741">
            <w:pPr>
              <w:spacing w:before="0" w:after="0"/>
              <w:jc w:val="right"/>
              <w:rPr>
                <w:rFonts w:eastAsia="Times New Roman" w:cs="Arial"/>
                <w:sz w:val="20"/>
                <w:szCs w:val="20"/>
                <w:lang w:eastAsia="en-GB"/>
              </w:rPr>
            </w:pPr>
            <w:r w:rsidRPr="000D0E7B">
              <w:rPr>
                <w:rFonts w:eastAsia="Times New Roman" w:cs="Arial"/>
                <w:sz w:val="20"/>
                <w:szCs w:val="20"/>
                <w:lang w:eastAsia="en-GB"/>
              </w:rPr>
              <w:t>£'000</w:t>
            </w:r>
          </w:p>
        </w:tc>
        <w:tc>
          <w:tcPr>
            <w:tcW w:w="567" w:type="dxa"/>
            <w:gridSpan w:val="2"/>
            <w:tcBorders>
              <w:top w:val="nil"/>
              <w:left w:val="nil"/>
              <w:bottom w:val="nil"/>
              <w:right w:val="nil"/>
            </w:tcBorders>
            <w:shd w:val="clear" w:color="auto" w:fill="auto"/>
            <w:noWrap/>
            <w:vAlign w:val="bottom"/>
            <w:hideMark/>
          </w:tcPr>
          <w:p w14:paraId="5D56A14F" w14:textId="77777777" w:rsidR="00E45741" w:rsidRPr="000D0E7B" w:rsidRDefault="00E45741" w:rsidP="00E45741">
            <w:pPr>
              <w:spacing w:before="0" w:after="0"/>
              <w:jc w:val="right"/>
              <w:rPr>
                <w:rFonts w:eastAsia="Times New Roman" w:cs="Arial"/>
                <w:sz w:val="20"/>
                <w:szCs w:val="20"/>
                <w:lang w:eastAsia="en-GB"/>
              </w:rPr>
            </w:pPr>
          </w:p>
        </w:tc>
        <w:tc>
          <w:tcPr>
            <w:tcW w:w="1930" w:type="dxa"/>
            <w:tcBorders>
              <w:top w:val="nil"/>
              <w:left w:val="nil"/>
              <w:bottom w:val="nil"/>
              <w:right w:val="nil"/>
            </w:tcBorders>
            <w:shd w:val="clear" w:color="auto" w:fill="auto"/>
            <w:vAlign w:val="bottom"/>
            <w:hideMark/>
          </w:tcPr>
          <w:p w14:paraId="5F773435" w14:textId="77777777" w:rsidR="00E45741" w:rsidRPr="000D0E7B" w:rsidRDefault="00E45741" w:rsidP="00E45741">
            <w:pPr>
              <w:spacing w:before="0" w:after="0"/>
              <w:jc w:val="right"/>
              <w:rPr>
                <w:rFonts w:eastAsia="Times New Roman" w:cs="Arial"/>
                <w:color w:val="000000"/>
                <w:sz w:val="18"/>
                <w:szCs w:val="18"/>
                <w:lang w:eastAsia="en-GB"/>
              </w:rPr>
            </w:pPr>
            <w:r w:rsidRPr="000D0E7B">
              <w:rPr>
                <w:rFonts w:eastAsia="Times New Roman" w:cs="Arial"/>
                <w:color w:val="000000"/>
                <w:sz w:val="18"/>
                <w:szCs w:val="18"/>
                <w:lang w:eastAsia="en-GB"/>
              </w:rPr>
              <w:t xml:space="preserve">£000 </w:t>
            </w:r>
          </w:p>
        </w:tc>
      </w:tr>
      <w:tr w:rsidR="00644FCB" w:rsidRPr="000D0E7B" w14:paraId="5F9CC66A" w14:textId="77777777" w:rsidTr="00A20382">
        <w:trPr>
          <w:trHeight w:val="260"/>
        </w:trPr>
        <w:tc>
          <w:tcPr>
            <w:tcW w:w="4253" w:type="dxa"/>
            <w:tcBorders>
              <w:top w:val="nil"/>
              <w:left w:val="nil"/>
              <w:bottom w:val="nil"/>
              <w:right w:val="nil"/>
            </w:tcBorders>
            <w:shd w:val="clear" w:color="auto" w:fill="auto"/>
            <w:noWrap/>
            <w:vAlign w:val="bottom"/>
            <w:hideMark/>
          </w:tcPr>
          <w:p w14:paraId="4977007F" w14:textId="77777777" w:rsidR="00E45741" w:rsidRPr="000D0E7B" w:rsidRDefault="00E45741" w:rsidP="00E45741">
            <w:pPr>
              <w:spacing w:before="0" w:after="0"/>
              <w:rPr>
                <w:rFonts w:eastAsia="Times New Roman" w:cs="Arial"/>
                <w:b/>
                <w:bCs/>
                <w:sz w:val="20"/>
                <w:szCs w:val="20"/>
                <w:lang w:eastAsia="en-GB"/>
              </w:rPr>
            </w:pPr>
            <w:r w:rsidRPr="000D0E7B">
              <w:rPr>
                <w:rFonts w:eastAsia="Times New Roman" w:cs="Arial"/>
                <w:b/>
                <w:bCs/>
                <w:sz w:val="20"/>
                <w:szCs w:val="20"/>
                <w:lang w:eastAsia="en-GB"/>
              </w:rPr>
              <w:t>Cost or valuation at 1 July 22</w:t>
            </w:r>
          </w:p>
        </w:tc>
        <w:tc>
          <w:tcPr>
            <w:tcW w:w="1216" w:type="dxa"/>
            <w:tcBorders>
              <w:top w:val="nil"/>
              <w:left w:val="nil"/>
              <w:bottom w:val="nil"/>
              <w:right w:val="nil"/>
            </w:tcBorders>
            <w:shd w:val="clear" w:color="auto" w:fill="auto"/>
            <w:noWrap/>
            <w:vAlign w:val="bottom"/>
            <w:hideMark/>
          </w:tcPr>
          <w:p w14:paraId="755AD17D" w14:textId="77777777" w:rsidR="00E45741" w:rsidRPr="000D0E7B" w:rsidRDefault="00E45741" w:rsidP="00E45741">
            <w:pPr>
              <w:spacing w:before="0" w:after="0"/>
              <w:rPr>
                <w:rFonts w:eastAsia="Times New Roman" w:cs="Arial"/>
                <w:b/>
                <w:bCs/>
                <w:sz w:val="20"/>
                <w:szCs w:val="20"/>
                <w:lang w:eastAsia="en-GB"/>
              </w:rPr>
            </w:pPr>
          </w:p>
        </w:tc>
        <w:tc>
          <w:tcPr>
            <w:tcW w:w="1336" w:type="dxa"/>
            <w:tcBorders>
              <w:top w:val="nil"/>
              <w:left w:val="nil"/>
              <w:bottom w:val="nil"/>
              <w:right w:val="nil"/>
            </w:tcBorders>
            <w:shd w:val="clear" w:color="000000" w:fill="FFFFFF"/>
            <w:noWrap/>
            <w:vAlign w:val="bottom"/>
            <w:hideMark/>
          </w:tcPr>
          <w:p w14:paraId="3823A1F2" w14:textId="77777777" w:rsidR="00E45741" w:rsidRPr="000D0E7B" w:rsidRDefault="00E45741" w:rsidP="00E45741">
            <w:pPr>
              <w:spacing w:before="0" w:after="0"/>
              <w:jc w:val="right"/>
              <w:rPr>
                <w:rFonts w:eastAsia="Times New Roman" w:cs="Arial"/>
                <w:sz w:val="20"/>
                <w:szCs w:val="20"/>
                <w:lang w:eastAsia="en-GB"/>
              </w:rPr>
            </w:pPr>
            <w:r w:rsidRPr="000D0E7B">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4A088C5E"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nil"/>
              <w:left w:val="nil"/>
              <w:bottom w:val="nil"/>
              <w:right w:val="nil"/>
            </w:tcBorders>
            <w:shd w:val="clear" w:color="auto" w:fill="auto"/>
            <w:noWrap/>
            <w:vAlign w:val="bottom"/>
            <w:hideMark/>
          </w:tcPr>
          <w:p w14:paraId="44FDC89E" w14:textId="77777777" w:rsidR="00E45741" w:rsidRPr="000D0E7B" w:rsidRDefault="00E45741" w:rsidP="00E45741">
            <w:pPr>
              <w:spacing w:before="0" w:after="0"/>
              <w:jc w:val="right"/>
              <w:rPr>
                <w:rFonts w:eastAsia="Times New Roman" w:cs="Arial"/>
                <w:sz w:val="20"/>
                <w:szCs w:val="20"/>
                <w:lang w:eastAsia="en-GB"/>
              </w:rPr>
            </w:pPr>
            <w:r w:rsidRPr="000D0E7B">
              <w:rPr>
                <w:rFonts w:eastAsia="Times New Roman" w:cs="Arial"/>
                <w:sz w:val="20"/>
                <w:szCs w:val="20"/>
                <w:lang w:eastAsia="en-GB"/>
              </w:rPr>
              <w:t>-</w:t>
            </w:r>
          </w:p>
        </w:tc>
        <w:tc>
          <w:tcPr>
            <w:tcW w:w="567" w:type="dxa"/>
            <w:gridSpan w:val="2"/>
            <w:tcBorders>
              <w:top w:val="nil"/>
              <w:left w:val="nil"/>
              <w:bottom w:val="nil"/>
              <w:right w:val="nil"/>
            </w:tcBorders>
            <w:shd w:val="clear" w:color="auto" w:fill="auto"/>
            <w:noWrap/>
            <w:vAlign w:val="bottom"/>
            <w:hideMark/>
          </w:tcPr>
          <w:p w14:paraId="57062067" w14:textId="77777777" w:rsidR="00E45741" w:rsidRPr="000D0E7B" w:rsidRDefault="00E45741" w:rsidP="00E45741">
            <w:pPr>
              <w:spacing w:before="0" w:after="0"/>
              <w:jc w:val="right"/>
              <w:rPr>
                <w:rFonts w:eastAsia="Times New Roman" w:cs="Arial"/>
                <w:sz w:val="20"/>
                <w:szCs w:val="20"/>
                <w:lang w:eastAsia="en-GB"/>
              </w:rPr>
            </w:pPr>
          </w:p>
        </w:tc>
        <w:tc>
          <w:tcPr>
            <w:tcW w:w="1930" w:type="dxa"/>
            <w:tcBorders>
              <w:top w:val="nil"/>
              <w:left w:val="nil"/>
              <w:bottom w:val="nil"/>
              <w:right w:val="nil"/>
            </w:tcBorders>
            <w:shd w:val="clear" w:color="auto" w:fill="auto"/>
            <w:noWrap/>
            <w:vAlign w:val="bottom"/>
            <w:hideMark/>
          </w:tcPr>
          <w:p w14:paraId="2115E271" w14:textId="77777777" w:rsidR="00E45741" w:rsidRPr="000D0E7B" w:rsidRDefault="00E45741" w:rsidP="00E45741">
            <w:pPr>
              <w:spacing w:before="0" w:after="0"/>
              <w:jc w:val="right"/>
              <w:rPr>
                <w:rFonts w:eastAsia="Times New Roman" w:cs="Arial"/>
                <w:sz w:val="18"/>
                <w:szCs w:val="18"/>
                <w:lang w:eastAsia="en-GB"/>
              </w:rPr>
            </w:pPr>
            <w:r w:rsidRPr="000D0E7B">
              <w:rPr>
                <w:rFonts w:eastAsia="Times New Roman" w:cs="Arial"/>
                <w:sz w:val="18"/>
                <w:szCs w:val="18"/>
                <w:lang w:eastAsia="en-GB"/>
              </w:rPr>
              <w:t>-</w:t>
            </w:r>
          </w:p>
        </w:tc>
      </w:tr>
      <w:tr w:rsidR="00644FCB" w:rsidRPr="000D0E7B" w14:paraId="4284BAA4" w14:textId="77777777" w:rsidTr="00A20382">
        <w:trPr>
          <w:trHeight w:val="260"/>
        </w:trPr>
        <w:tc>
          <w:tcPr>
            <w:tcW w:w="4253" w:type="dxa"/>
            <w:tcBorders>
              <w:top w:val="nil"/>
              <w:left w:val="nil"/>
              <w:bottom w:val="nil"/>
              <w:right w:val="nil"/>
            </w:tcBorders>
            <w:shd w:val="clear" w:color="auto" w:fill="auto"/>
            <w:noWrap/>
            <w:vAlign w:val="bottom"/>
            <w:hideMark/>
          </w:tcPr>
          <w:p w14:paraId="1C74C7A5"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Transfer from other public sector body</w:t>
            </w:r>
          </w:p>
        </w:tc>
        <w:tc>
          <w:tcPr>
            <w:tcW w:w="1216" w:type="dxa"/>
            <w:tcBorders>
              <w:top w:val="nil"/>
              <w:left w:val="nil"/>
              <w:bottom w:val="nil"/>
              <w:right w:val="nil"/>
            </w:tcBorders>
            <w:shd w:val="clear" w:color="auto" w:fill="auto"/>
            <w:noWrap/>
            <w:vAlign w:val="bottom"/>
            <w:hideMark/>
          </w:tcPr>
          <w:p w14:paraId="471BD770" w14:textId="77777777" w:rsidR="00E45741" w:rsidRPr="000D0E7B" w:rsidRDefault="00E45741" w:rsidP="00E45741">
            <w:pPr>
              <w:spacing w:before="0" w:after="0"/>
              <w:rPr>
                <w:rFonts w:eastAsia="Times New Roman" w:cs="Arial"/>
                <w:sz w:val="20"/>
                <w:szCs w:val="20"/>
                <w:lang w:eastAsia="en-GB"/>
              </w:rPr>
            </w:pPr>
          </w:p>
        </w:tc>
        <w:tc>
          <w:tcPr>
            <w:tcW w:w="1336" w:type="dxa"/>
            <w:tcBorders>
              <w:top w:val="nil"/>
              <w:left w:val="nil"/>
              <w:bottom w:val="nil"/>
              <w:right w:val="nil"/>
            </w:tcBorders>
            <w:shd w:val="clear" w:color="000000" w:fill="FFFFFF"/>
            <w:noWrap/>
            <w:vAlign w:val="bottom"/>
            <w:hideMark/>
          </w:tcPr>
          <w:p w14:paraId="1224BD01" w14:textId="77777777" w:rsidR="00E45741" w:rsidRPr="000D0E7B" w:rsidRDefault="00E45741" w:rsidP="00E45741">
            <w:pPr>
              <w:spacing w:before="0" w:after="0"/>
              <w:jc w:val="right"/>
              <w:rPr>
                <w:rFonts w:eastAsia="Times New Roman" w:cs="Arial"/>
                <w:sz w:val="20"/>
                <w:szCs w:val="20"/>
                <w:lang w:eastAsia="en-GB"/>
              </w:rPr>
            </w:pPr>
            <w:r w:rsidRPr="000D0E7B">
              <w:rPr>
                <w:rFonts w:eastAsia="Times New Roman" w:cs="Arial"/>
                <w:sz w:val="20"/>
                <w:szCs w:val="20"/>
                <w:lang w:eastAsia="en-GB"/>
              </w:rPr>
              <w:t>3,499</w:t>
            </w:r>
          </w:p>
        </w:tc>
        <w:tc>
          <w:tcPr>
            <w:tcW w:w="272" w:type="dxa"/>
            <w:tcBorders>
              <w:top w:val="nil"/>
              <w:left w:val="nil"/>
              <w:bottom w:val="nil"/>
              <w:right w:val="nil"/>
            </w:tcBorders>
            <w:shd w:val="clear" w:color="000000" w:fill="FFFFFF"/>
            <w:noWrap/>
            <w:vAlign w:val="bottom"/>
            <w:hideMark/>
          </w:tcPr>
          <w:p w14:paraId="2673969F"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nil"/>
              <w:left w:val="nil"/>
              <w:bottom w:val="nil"/>
              <w:right w:val="nil"/>
            </w:tcBorders>
            <w:shd w:val="clear" w:color="auto" w:fill="auto"/>
            <w:noWrap/>
            <w:vAlign w:val="bottom"/>
            <w:hideMark/>
          </w:tcPr>
          <w:p w14:paraId="3B6621A3"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3,499</w:t>
            </w:r>
          </w:p>
        </w:tc>
        <w:tc>
          <w:tcPr>
            <w:tcW w:w="567" w:type="dxa"/>
            <w:gridSpan w:val="2"/>
            <w:tcBorders>
              <w:top w:val="nil"/>
              <w:left w:val="nil"/>
              <w:bottom w:val="nil"/>
              <w:right w:val="nil"/>
            </w:tcBorders>
            <w:shd w:val="clear" w:color="auto" w:fill="auto"/>
            <w:noWrap/>
            <w:vAlign w:val="bottom"/>
            <w:hideMark/>
          </w:tcPr>
          <w:p w14:paraId="582535D1" w14:textId="77777777" w:rsidR="00E45741" w:rsidRPr="000D0E7B" w:rsidRDefault="00E45741" w:rsidP="00E45741">
            <w:pPr>
              <w:spacing w:before="0" w:after="0"/>
              <w:jc w:val="right"/>
              <w:rPr>
                <w:rFonts w:eastAsia="Times New Roman" w:cs="Arial"/>
                <w:b/>
                <w:bCs/>
                <w:sz w:val="20"/>
                <w:szCs w:val="20"/>
                <w:lang w:eastAsia="en-GB"/>
              </w:rPr>
            </w:pPr>
          </w:p>
        </w:tc>
        <w:tc>
          <w:tcPr>
            <w:tcW w:w="1930" w:type="dxa"/>
            <w:tcBorders>
              <w:top w:val="nil"/>
              <w:left w:val="nil"/>
              <w:bottom w:val="nil"/>
              <w:right w:val="nil"/>
            </w:tcBorders>
            <w:shd w:val="clear" w:color="auto" w:fill="auto"/>
            <w:noWrap/>
            <w:vAlign w:val="bottom"/>
            <w:hideMark/>
          </w:tcPr>
          <w:p w14:paraId="268E7755" w14:textId="77777777" w:rsidR="00E45741" w:rsidRPr="000D0E7B" w:rsidRDefault="00E45741" w:rsidP="00E45741">
            <w:pPr>
              <w:spacing w:before="0" w:after="0"/>
              <w:jc w:val="right"/>
              <w:rPr>
                <w:rFonts w:eastAsia="Times New Roman" w:cs="Arial"/>
                <w:sz w:val="18"/>
                <w:szCs w:val="18"/>
                <w:lang w:eastAsia="en-GB"/>
              </w:rPr>
            </w:pPr>
            <w:r w:rsidRPr="000D0E7B">
              <w:rPr>
                <w:rFonts w:eastAsia="Times New Roman" w:cs="Arial"/>
                <w:sz w:val="18"/>
                <w:szCs w:val="18"/>
                <w:lang w:eastAsia="en-GB"/>
              </w:rPr>
              <w:t>3,141</w:t>
            </w:r>
          </w:p>
        </w:tc>
      </w:tr>
      <w:tr w:rsidR="00644FCB" w:rsidRPr="000D0E7B" w14:paraId="72A3E091" w14:textId="77777777" w:rsidTr="00A20382">
        <w:trPr>
          <w:trHeight w:val="260"/>
        </w:trPr>
        <w:tc>
          <w:tcPr>
            <w:tcW w:w="4253" w:type="dxa"/>
            <w:tcBorders>
              <w:top w:val="nil"/>
              <w:left w:val="nil"/>
              <w:bottom w:val="nil"/>
              <w:right w:val="nil"/>
            </w:tcBorders>
            <w:shd w:val="clear" w:color="auto" w:fill="auto"/>
            <w:noWrap/>
            <w:vAlign w:val="bottom"/>
            <w:hideMark/>
          </w:tcPr>
          <w:p w14:paraId="78F8F958"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Additions</w:t>
            </w:r>
          </w:p>
        </w:tc>
        <w:tc>
          <w:tcPr>
            <w:tcW w:w="1216" w:type="dxa"/>
            <w:tcBorders>
              <w:top w:val="nil"/>
              <w:left w:val="nil"/>
              <w:bottom w:val="nil"/>
              <w:right w:val="nil"/>
            </w:tcBorders>
            <w:shd w:val="clear" w:color="auto" w:fill="auto"/>
            <w:noWrap/>
            <w:vAlign w:val="bottom"/>
            <w:hideMark/>
          </w:tcPr>
          <w:p w14:paraId="0282A806" w14:textId="77777777" w:rsidR="00E45741" w:rsidRPr="000D0E7B" w:rsidRDefault="00E45741" w:rsidP="00E45741">
            <w:pPr>
              <w:spacing w:before="0" w:after="0"/>
              <w:rPr>
                <w:rFonts w:eastAsia="Times New Roman" w:cs="Arial"/>
                <w:sz w:val="20"/>
                <w:szCs w:val="20"/>
                <w:lang w:eastAsia="en-GB"/>
              </w:rPr>
            </w:pPr>
          </w:p>
        </w:tc>
        <w:tc>
          <w:tcPr>
            <w:tcW w:w="1336" w:type="dxa"/>
            <w:tcBorders>
              <w:top w:val="nil"/>
              <w:left w:val="nil"/>
              <w:bottom w:val="nil"/>
              <w:right w:val="nil"/>
            </w:tcBorders>
            <w:shd w:val="clear" w:color="000000" w:fill="FFFFFF"/>
            <w:noWrap/>
            <w:vAlign w:val="bottom"/>
            <w:hideMark/>
          </w:tcPr>
          <w:p w14:paraId="697495D1" w14:textId="77777777" w:rsidR="00E45741" w:rsidRPr="000D0E7B" w:rsidRDefault="00E45741" w:rsidP="00E45741">
            <w:pPr>
              <w:spacing w:before="0" w:after="0"/>
              <w:jc w:val="right"/>
              <w:rPr>
                <w:rFonts w:eastAsia="Times New Roman" w:cs="Arial"/>
                <w:sz w:val="20"/>
                <w:szCs w:val="20"/>
                <w:lang w:eastAsia="en-GB"/>
              </w:rPr>
            </w:pPr>
            <w:r w:rsidRPr="000D0E7B">
              <w:rPr>
                <w:rFonts w:eastAsia="Times New Roman" w:cs="Arial"/>
                <w:sz w:val="20"/>
                <w:szCs w:val="20"/>
                <w:lang w:eastAsia="en-GB"/>
              </w:rPr>
              <w:t>76</w:t>
            </w:r>
          </w:p>
        </w:tc>
        <w:tc>
          <w:tcPr>
            <w:tcW w:w="272" w:type="dxa"/>
            <w:tcBorders>
              <w:top w:val="nil"/>
              <w:left w:val="nil"/>
              <w:bottom w:val="nil"/>
              <w:right w:val="nil"/>
            </w:tcBorders>
            <w:shd w:val="clear" w:color="000000" w:fill="FFFFFF"/>
            <w:noWrap/>
            <w:vAlign w:val="bottom"/>
            <w:hideMark/>
          </w:tcPr>
          <w:p w14:paraId="38A45024"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nil"/>
              <w:left w:val="nil"/>
              <w:bottom w:val="nil"/>
              <w:right w:val="nil"/>
            </w:tcBorders>
            <w:shd w:val="clear" w:color="auto" w:fill="auto"/>
            <w:noWrap/>
            <w:vAlign w:val="bottom"/>
            <w:hideMark/>
          </w:tcPr>
          <w:p w14:paraId="12A33E10"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76</w:t>
            </w:r>
          </w:p>
        </w:tc>
        <w:tc>
          <w:tcPr>
            <w:tcW w:w="567" w:type="dxa"/>
            <w:gridSpan w:val="2"/>
            <w:tcBorders>
              <w:top w:val="nil"/>
              <w:left w:val="nil"/>
              <w:bottom w:val="nil"/>
              <w:right w:val="nil"/>
            </w:tcBorders>
            <w:shd w:val="clear" w:color="auto" w:fill="auto"/>
            <w:noWrap/>
            <w:vAlign w:val="bottom"/>
            <w:hideMark/>
          </w:tcPr>
          <w:p w14:paraId="1B909C25" w14:textId="77777777" w:rsidR="00E45741" w:rsidRPr="000D0E7B" w:rsidRDefault="00E45741" w:rsidP="00E45741">
            <w:pPr>
              <w:spacing w:before="0" w:after="0"/>
              <w:jc w:val="right"/>
              <w:rPr>
                <w:rFonts w:eastAsia="Times New Roman" w:cs="Arial"/>
                <w:b/>
                <w:bCs/>
                <w:sz w:val="20"/>
                <w:szCs w:val="20"/>
                <w:lang w:eastAsia="en-GB"/>
              </w:rPr>
            </w:pPr>
          </w:p>
        </w:tc>
        <w:tc>
          <w:tcPr>
            <w:tcW w:w="1930" w:type="dxa"/>
            <w:tcBorders>
              <w:top w:val="nil"/>
              <w:left w:val="nil"/>
              <w:bottom w:val="nil"/>
              <w:right w:val="nil"/>
            </w:tcBorders>
            <w:shd w:val="clear" w:color="auto" w:fill="auto"/>
            <w:noWrap/>
            <w:vAlign w:val="bottom"/>
            <w:hideMark/>
          </w:tcPr>
          <w:p w14:paraId="15C2F0FD" w14:textId="77777777" w:rsidR="00E45741" w:rsidRPr="000D0E7B" w:rsidRDefault="00E45741" w:rsidP="00E45741">
            <w:pPr>
              <w:spacing w:before="0" w:after="0"/>
              <w:jc w:val="right"/>
              <w:rPr>
                <w:rFonts w:eastAsia="Times New Roman" w:cs="Arial"/>
                <w:sz w:val="18"/>
                <w:szCs w:val="18"/>
                <w:lang w:eastAsia="en-GB"/>
              </w:rPr>
            </w:pPr>
            <w:r w:rsidRPr="000D0E7B">
              <w:rPr>
                <w:rFonts w:eastAsia="Times New Roman" w:cs="Arial"/>
                <w:sz w:val="18"/>
                <w:szCs w:val="18"/>
                <w:lang w:eastAsia="en-GB"/>
              </w:rPr>
              <w:t>-</w:t>
            </w:r>
          </w:p>
        </w:tc>
      </w:tr>
      <w:tr w:rsidR="00644FCB" w:rsidRPr="000D0E7B" w14:paraId="73D7A41B" w14:textId="77777777" w:rsidTr="00A20382">
        <w:trPr>
          <w:trHeight w:val="260"/>
        </w:trPr>
        <w:tc>
          <w:tcPr>
            <w:tcW w:w="4253" w:type="dxa"/>
            <w:tcBorders>
              <w:top w:val="nil"/>
              <w:left w:val="nil"/>
              <w:bottom w:val="nil"/>
              <w:right w:val="nil"/>
            </w:tcBorders>
            <w:shd w:val="clear" w:color="auto" w:fill="auto"/>
            <w:noWrap/>
            <w:vAlign w:val="bottom"/>
            <w:hideMark/>
          </w:tcPr>
          <w:p w14:paraId="13EAFF88"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Derecognition for early terminations</w:t>
            </w:r>
          </w:p>
        </w:tc>
        <w:tc>
          <w:tcPr>
            <w:tcW w:w="1216" w:type="dxa"/>
            <w:tcBorders>
              <w:top w:val="nil"/>
              <w:left w:val="nil"/>
              <w:bottom w:val="nil"/>
              <w:right w:val="nil"/>
            </w:tcBorders>
            <w:shd w:val="clear" w:color="auto" w:fill="auto"/>
            <w:noWrap/>
            <w:vAlign w:val="bottom"/>
            <w:hideMark/>
          </w:tcPr>
          <w:p w14:paraId="3959CAC4" w14:textId="77777777" w:rsidR="00E45741" w:rsidRPr="000D0E7B" w:rsidRDefault="00E45741" w:rsidP="00E45741">
            <w:pPr>
              <w:spacing w:before="0" w:after="0"/>
              <w:rPr>
                <w:rFonts w:eastAsia="Times New Roman" w:cs="Arial"/>
                <w:sz w:val="20"/>
                <w:szCs w:val="20"/>
                <w:lang w:eastAsia="en-GB"/>
              </w:rPr>
            </w:pPr>
          </w:p>
        </w:tc>
        <w:tc>
          <w:tcPr>
            <w:tcW w:w="1336" w:type="dxa"/>
            <w:tcBorders>
              <w:top w:val="nil"/>
              <w:left w:val="nil"/>
              <w:bottom w:val="nil"/>
              <w:right w:val="nil"/>
            </w:tcBorders>
            <w:shd w:val="clear" w:color="000000" w:fill="FFFFFF"/>
            <w:noWrap/>
            <w:vAlign w:val="bottom"/>
            <w:hideMark/>
          </w:tcPr>
          <w:p w14:paraId="44C48A2F" w14:textId="77777777" w:rsidR="00E45741" w:rsidRPr="000D0E7B" w:rsidRDefault="00E45741" w:rsidP="00E45741">
            <w:pPr>
              <w:spacing w:before="0" w:after="0"/>
              <w:jc w:val="right"/>
              <w:rPr>
                <w:rFonts w:eastAsia="Times New Roman" w:cs="Arial"/>
                <w:sz w:val="20"/>
                <w:szCs w:val="20"/>
                <w:lang w:eastAsia="en-GB"/>
              </w:rPr>
            </w:pPr>
            <w:r w:rsidRPr="000D0E7B">
              <w:rPr>
                <w:rFonts w:eastAsia="Times New Roman" w:cs="Arial"/>
                <w:sz w:val="20"/>
                <w:szCs w:val="20"/>
                <w:lang w:eastAsia="en-GB"/>
              </w:rPr>
              <w:t>(123)</w:t>
            </w:r>
          </w:p>
        </w:tc>
        <w:tc>
          <w:tcPr>
            <w:tcW w:w="272" w:type="dxa"/>
            <w:tcBorders>
              <w:top w:val="nil"/>
              <w:left w:val="nil"/>
              <w:bottom w:val="nil"/>
              <w:right w:val="nil"/>
            </w:tcBorders>
            <w:shd w:val="clear" w:color="000000" w:fill="FFFFFF"/>
            <w:noWrap/>
            <w:vAlign w:val="bottom"/>
            <w:hideMark/>
          </w:tcPr>
          <w:p w14:paraId="42F603C4"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nil"/>
              <w:left w:val="nil"/>
              <w:bottom w:val="nil"/>
              <w:right w:val="nil"/>
            </w:tcBorders>
            <w:shd w:val="clear" w:color="auto" w:fill="auto"/>
            <w:noWrap/>
            <w:vAlign w:val="bottom"/>
            <w:hideMark/>
          </w:tcPr>
          <w:p w14:paraId="72FB561C"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(123)</w:t>
            </w:r>
          </w:p>
        </w:tc>
        <w:tc>
          <w:tcPr>
            <w:tcW w:w="567" w:type="dxa"/>
            <w:gridSpan w:val="2"/>
            <w:tcBorders>
              <w:top w:val="nil"/>
              <w:left w:val="nil"/>
              <w:bottom w:val="nil"/>
              <w:right w:val="nil"/>
            </w:tcBorders>
            <w:shd w:val="clear" w:color="auto" w:fill="auto"/>
            <w:noWrap/>
            <w:vAlign w:val="bottom"/>
            <w:hideMark/>
          </w:tcPr>
          <w:p w14:paraId="2F235D32" w14:textId="77777777" w:rsidR="00E45741" w:rsidRPr="000D0E7B" w:rsidRDefault="00E45741" w:rsidP="00E45741">
            <w:pPr>
              <w:spacing w:before="0" w:after="0"/>
              <w:jc w:val="right"/>
              <w:rPr>
                <w:rFonts w:eastAsia="Times New Roman" w:cs="Arial"/>
                <w:b/>
                <w:bCs/>
                <w:sz w:val="20"/>
                <w:szCs w:val="20"/>
                <w:lang w:eastAsia="en-GB"/>
              </w:rPr>
            </w:pPr>
          </w:p>
        </w:tc>
        <w:tc>
          <w:tcPr>
            <w:tcW w:w="1930" w:type="dxa"/>
            <w:tcBorders>
              <w:top w:val="nil"/>
              <w:left w:val="nil"/>
              <w:bottom w:val="nil"/>
              <w:right w:val="nil"/>
            </w:tcBorders>
            <w:shd w:val="clear" w:color="auto" w:fill="auto"/>
            <w:noWrap/>
            <w:vAlign w:val="bottom"/>
            <w:hideMark/>
          </w:tcPr>
          <w:p w14:paraId="7ABB05BA" w14:textId="77777777" w:rsidR="00E45741" w:rsidRPr="000D0E7B" w:rsidRDefault="00E45741" w:rsidP="00E45741">
            <w:pPr>
              <w:spacing w:before="0" w:after="0"/>
              <w:jc w:val="right"/>
              <w:rPr>
                <w:rFonts w:eastAsia="Times New Roman" w:cs="Arial"/>
                <w:sz w:val="18"/>
                <w:szCs w:val="18"/>
                <w:lang w:eastAsia="en-GB"/>
              </w:rPr>
            </w:pPr>
            <w:r w:rsidRPr="000D0E7B">
              <w:rPr>
                <w:rFonts w:eastAsia="Times New Roman" w:cs="Arial"/>
                <w:sz w:val="18"/>
                <w:szCs w:val="18"/>
                <w:lang w:eastAsia="en-GB"/>
              </w:rPr>
              <w:t>-</w:t>
            </w:r>
          </w:p>
        </w:tc>
      </w:tr>
      <w:tr w:rsidR="00644FCB" w:rsidRPr="000D0E7B" w14:paraId="3DD015DB" w14:textId="77777777" w:rsidTr="00A20382">
        <w:trPr>
          <w:trHeight w:val="260"/>
        </w:trPr>
        <w:tc>
          <w:tcPr>
            <w:tcW w:w="4253" w:type="dxa"/>
            <w:tcBorders>
              <w:top w:val="nil"/>
              <w:left w:val="nil"/>
              <w:bottom w:val="nil"/>
              <w:right w:val="nil"/>
            </w:tcBorders>
            <w:shd w:val="clear" w:color="auto" w:fill="auto"/>
            <w:noWrap/>
            <w:vAlign w:val="bottom"/>
            <w:hideMark/>
          </w:tcPr>
          <w:p w14:paraId="32BFA39C" w14:textId="77777777" w:rsidR="00E45741" w:rsidRPr="000D0E7B" w:rsidRDefault="00E45741" w:rsidP="00E45741">
            <w:pPr>
              <w:spacing w:before="0" w:after="0"/>
              <w:rPr>
                <w:rFonts w:eastAsia="Times New Roman" w:cs="Arial"/>
                <w:b/>
                <w:bCs/>
                <w:sz w:val="20"/>
                <w:szCs w:val="20"/>
                <w:lang w:eastAsia="en-GB"/>
              </w:rPr>
            </w:pPr>
            <w:r w:rsidRPr="000D0E7B">
              <w:rPr>
                <w:rFonts w:eastAsia="Times New Roman" w:cs="Arial"/>
                <w:b/>
                <w:bCs/>
                <w:sz w:val="20"/>
                <w:szCs w:val="20"/>
                <w:lang w:eastAsia="en-GB"/>
              </w:rPr>
              <w:t>Cost/valuation at 31 March 2023</w:t>
            </w:r>
          </w:p>
        </w:tc>
        <w:tc>
          <w:tcPr>
            <w:tcW w:w="1216" w:type="dxa"/>
            <w:tcBorders>
              <w:top w:val="nil"/>
              <w:left w:val="nil"/>
              <w:bottom w:val="nil"/>
              <w:right w:val="nil"/>
            </w:tcBorders>
            <w:shd w:val="clear" w:color="auto" w:fill="auto"/>
            <w:noWrap/>
            <w:vAlign w:val="bottom"/>
            <w:hideMark/>
          </w:tcPr>
          <w:p w14:paraId="7CF45EA0" w14:textId="77777777" w:rsidR="00E45741" w:rsidRPr="000D0E7B" w:rsidRDefault="00E45741" w:rsidP="00E45741">
            <w:pPr>
              <w:spacing w:before="0" w:after="0"/>
              <w:rPr>
                <w:rFonts w:eastAsia="Times New Roman" w:cs="Arial"/>
                <w:b/>
                <w:bCs/>
                <w:sz w:val="20"/>
                <w:szCs w:val="20"/>
                <w:lang w:eastAsia="en-GB"/>
              </w:rPr>
            </w:pPr>
          </w:p>
        </w:tc>
        <w:tc>
          <w:tcPr>
            <w:tcW w:w="1336" w:type="dxa"/>
            <w:tcBorders>
              <w:top w:val="single" w:sz="4" w:space="0" w:color="auto"/>
              <w:left w:val="nil"/>
              <w:bottom w:val="single" w:sz="4" w:space="0" w:color="auto"/>
              <w:right w:val="nil"/>
            </w:tcBorders>
            <w:shd w:val="clear" w:color="000000" w:fill="FFFFFF"/>
            <w:noWrap/>
            <w:vAlign w:val="bottom"/>
            <w:hideMark/>
          </w:tcPr>
          <w:p w14:paraId="45DF20DA"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3,452</w:t>
            </w:r>
          </w:p>
        </w:tc>
        <w:tc>
          <w:tcPr>
            <w:tcW w:w="272" w:type="dxa"/>
            <w:tcBorders>
              <w:top w:val="nil"/>
              <w:left w:val="nil"/>
              <w:bottom w:val="nil"/>
              <w:right w:val="nil"/>
            </w:tcBorders>
            <w:shd w:val="clear" w:color="000000" w:fill="FFFFFF"/>
            <w:noWrap/>
            <w:vAlign w:val="bottom"/>
            <w:hideMark/>
          </w:tcPr>
          <w:p w14:paraId="1BFC276F" w14:textId="77777777" w:rsidR="00E45741" w:rsidRPr="000D0E7B" w:rsidRDefault="00E45741" w:rsidP="00E45741">
            <w:pPr>
              <w:spacing w:before="0" w:after="0"/>
              <w:rPr>
                <w:rFonts w:eastAsia="Times New Roman" w:cs="Arial"/>
                <w:b/>
                <w:bCs/>
                <w:sz w:val="20"/>
                <w:szCs w:val="20"/>
                <w:lang w:eastAsia="en-GB"/>
              </w:rPr>
            </w:pPr>
            <w:r w:rsidRPr="000D0E7B">
              <w:rPr>
                <w:rFonts w:eastAsia="Times New Roman" w:cs="Arial"/>
                <w:b/>
                <w:bCs/>
                <w:sz w:val="20"/>
                <w:szCs w:val="20"/>
                <w:lang w:eastAsia="en-GB"/>
              </w:rPr>
              <w:t> </w:t>
            </w:r>
          </w:p>
        </w:tc>
        <w:tc>
          <w:tcPr>
            <w:tcW w:w="1332" w:type="dxa"/>
            <w:tcBorders>
              <w:top w:val="single" w:sz="4" w:space="0" w:color="auto"/>
              <w:left w:val="nil"/>
              <w:bottom w:val="single" w:sz="4" w:space="0" w:color="auto"/>
              <w:right w:val="nil"/>
            </w:tcBorders>
            <w:shd w:val="clear" w:color="auto" w:fill="auto"/>
            <w:noWrap/>
            <w:vAlign w:val="bottom"/>
            <w:hideMark/>
          </w:tcPr>
          <w:p w14:paraId="338197CE"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3,452</w:t>
            </w:r>
          </w:p>
        </w:tc>
        <w:tc>
          <w:tcPr>
            <w:tcW w:w="567" w:type="dxa"/>
            <w:gridSpan w:val="2"/>
            <w:tcBorders>
              <w:top w:val="nil"/>
              <w:left w:val="nil"/>
              <w:bottom w:val="nil"/>
              <w:right w:val="nil"/>
            </w:tcBorders>
            <w:shd w:val="clear" w:color="auto" w:fill="auto"/>
            <w:noWrap/>
            <w:vAlign w:val="bottom"/>
            <w:hideMark/>
          </w:tcPr>
          <w:p w14:paraId="0DA98272" w14:textId="77777777" w:rsidR="00E45741" w:rsidRPr="000D0E7B" w:rsidRDefault="00E45741" w:rsidP="00E45741">
            <w:pPr>
              <w:spacing w:before="0" w:after="0"/>
              <w:jc w:val="right"/>
              <w:rPr>
                <w:rFonts w:eastAsia="Times New Roman" w:cs="Arial"/>
                <w:b/>
                <w:bCs/>
                <w:sz w:val="20"/>
                <w:szCs w:val="20"/>
                <w:lang w:eastAsia="en-GB"/>
              </w:rPr>
            </w:pPr>
          </w:p>
        </w:tc>
        <w:tc>
          <w:tcPr>
            <w:tcW w:w="1930" w:type="dxa"/>
            <w:tcBorders>
              <w:top w:val="dashed" w:sz="4" w:space="0" w:color="auto"/>
              <w:left w:val="nil"/>
              <w:bottom w:val="dashed" w:sz="4" w:space="0" w:color="auto"/>
              <w:right w:val="nil"/>
            </w:tcBorders>
            <w:shd w:val="clear" w:color="auto" w:fill="auto"/>
            <w:noWrap/>
            <w:vAlign w:val="bottom"/>
            <w:hideMark/>
          </w:tcPr>
          <w:p w14:paraId="3AFE0344" w14:textId="77777777" w:rsidR="00E45741" w:rsidRPr="000D0E7B" w:rsidRDefault="00E45741" w:rsidP="00E45741">
            <w:pPr>
              <w:spacing w:before="0" w:after="0"/>
              <w:jc w:val="right"/>
              <w:rPr>
                <w:rFonts w:eastAsia="Times New Roman" w:cs="Arial"/>
                <w:b/>
                <w:bCs/>
                <w:sz w:val="18"/>
                <w:szCs w:val="18"/>
                <w:lang w:eastAsia="en-GB"/>
              </w:rPr>
            </w:pPr>
            <w:r w:rsidRPr="000D0E7B">
              <w:rPr>
                <w:rFonts w:eastAsia="Times New Roman" w:cs="Arial"/>
                <w:b/>
                <w:bCs/>
                <w:sz w:val="18"/>
                <w:szCs w:val="18"/>
                <w:lang w:eastAsia="en-GB"/>
              </w:rPr>
              <w:t>3,141</w:t>
            </w:r>
          </w:p>
        </w:tc>
      </w:tr>
      <w:tr w:rsidR="00644FCB" w:rsidRPr="000D0E7B" w14:paraId="585A5F49" w14:textId="77777777" w:rsidTr="00A20382">
        <w:trPr>
          <w:trHeight w:val="120"/>
        </w:trPr>
        <w:tc>
          <w:tcPr>
            <w:tcW w:w="4253" w:type="dxa"/>
            <w:tcBorders>
              <w:top w:val="nil"/>
              <w:left w:val="nil"/>
              <w:bottom w:val="nil"/>
              <w:right w:val="nil"/>
            </w:tcBorders>
            <w:shd w:val="clear" w:color="auto" w:fill="auto"/>
            <w:noWrap/>
            <w:vAlign w:val="bottom"/>
            <w:hideMark/>
          </w:tcPr>
          <w:p w14:paraId="72E33757" w14:textId="77777777" w:rsidR="00E45741" w:rsidRPr="000D0E7B" w:rsidRDefault="00E45741" w:rsidP="00E45741">
            <w:pPr>
              <w:spacing w:before="0" w:after="0"/>
              <w:jc w:val="right"/>
              <w:rPr>
                <w:rFonts w:eastAsia="Times New Roman" w:cs="Arial"/>
                <w:b/>
                <w:bCs/>
                <w:sz w:val="18"/>
                <w:szCs w:val="18"/>
                <w:lang w:eastAsia="en-GB"/>
              </w:rPr>
            </w:pPr>
          </w:p>
        </w:tc>
        <w:tc>
          <w:tcPr>
            <w:tcW w:w="1216" w:type="dxa"/>
            <w:tcBorders>
              <w:top w:val="nil"/>
              <w:left w:val="nil"/>
              <w:bottom w:val="nil"/>
              <w:right w:val="nil"/>
            </w:tcBorders>
            <w:shd w:val="clear" w:color="auto" w:fill="auto"/>
            <w:noWrap/>
            <w:vAlign w:val="bottom"/>
            <w:hideMark/>
          </w:tcPr>
          <w:p w14:paraId="11CEFB12"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336" w:type="dxa"/>
            <w:tcBorders>
              <w:top w:val="nil"/>
              <w:left w:val="nil"/>
              <w:bottom w:val="nil"/>
              <w:right w:val="nil"/>
            </w:tcBorders>
            <w:shd w:val="clear" w:color="000000" w:fill="FFFFFF"/>
            <w:noWrap/>
            <w:vAlign w:val="bottom"/>
            <w:hideMark/>
          </w:tcPr>
          <w:p w14:paraId="4C829BC2"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99E407C"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nil"/>
              <w:left w:val="nil"/>
              <w:bottom w:val="nil"/>
              <w:right w:val="nil"/>
            </w:tcBorders>
            <w:shd w:val="clear" w:color="auto" w:fill="auto"/>
            <w:noWrap/>
            <w:vAlign w:val="bottom"/>
            <w:hideMark/>
          </w:tcPr>
          <w:p w14:paraId="571CBB2C" w14:textId="77777777" w:rsidR="00E45741" w:rsidRPr="000D0E7B" w:rsidRDefault="00E45741" w:rsidP="00E45741">
            <w:pPr>
              <w:spacing w:before="0" w:after="0"/>
              <w:rPr>
                <w:rFonts w:eastAsia="Times New Roman" w:cs="Arial"/>
                <w:sz w:val="20"/>
                <w:szCs w:val="20"/>
                <w:lang w:eastAsia="en-GB"/>
              </w:rPr>
            </w:pPr>
          </w:p>
        </w:tc>
        <w:tc>
          <w:tcPr>
            <w:tcW w:w="567" w:type="dxa"/>
            <w:gridSpan w:val="2"/>
            <w:tcBorders>
              <w:top w:val="nil"/>
              <w:left w:val="nil"/>
              <w:bottom w:val="nil"/>
              <w:right w:val="nil"/>
            </w:tcBorders>
            <w:shd w:val="clear" w:color="auto" w:fill="auto"/>
            <w:noWrap/>
            <w:vAlign w:val="bottom"/>
            <w:hideMark/>
          </w:tcPr>
          <w:p w14:paraId="044576EE"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930" w:type="dxa"/>
            <w:tcBorders>
              <w:top w:val="nil"/>
              <w:left w:val="nil"/>
              <w:bottom w:val="nil"/>
              <w:right w:val="nil"/>
            </w:tcBorders>
            <w:shd w:val="clear" w:color="auto" w:fill="auto"/>
            <w:noWrap/>
            <w:vAlign w:val="bottom"/>
            <w:hideMark/>
          </w:tcPr>
          <w:p w14:paraId="77F04A2C"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r>
      <w:tr w:rsidR="00644FCB" w:rsidRPr="000D0E7B" w14:paraId="7D14B28F" w14:textId="77777777" w:rsidTr="00A20382">
        <w:trPr>
          <w:trHeight w:val="260"/>
        </w:trPr>
        <w:tc>
          <w:tcPr>
            <w:tcW w:w="4253" w:type="dxa"/>
            <w:tcBorders>
              <w:top w:val="nil"/>
              <w:left w:val="nil"/>
              <w:bottom w:val="nil"/>
              <w:right w:val="nil"/>
            </w:tcBorders>
            <w:shd w:val="clear" w:color="auto" w:fill="auto"/>
            <w:noWrap/>
            <w:vAlign w:val="bottom"/>
            <w:hideMark/>
          </w:tcPr>
          <w:p w14:paraId="1E06638A" w14:textId="77777777" w:rsidR="00E45741" w:rsidRPr="000D0E7B" w:rsidRDefault="00E45741" w:rsidP="00E45741">
            <w:pPr>
              <w:spacing w:before="0" w:after="0"/>
              <w:rPr>
                <w:rFonts w:eastAsia="Times New Roman" w:cs="Arial"/>
                <w:b/>
                <w:bCs/>
                <w:sz w:val="20"/>
                <w:szCs w:val="20"/>
                <w:lang w:eastAsia="en-GB"/>
              </w:rPr>
            </w:pPr>
            <w:r w:rsidRPr="000D0E7B">
              <w:rPr>
                <w:rFonts w:eastAsia="Times New Roman" w:cs="Arial"/>
                <w:b/>
                <w:bCs/>
                <w:sz w:val="20"/>
                <w:szCs w:val="20"/>
                <w:lang w:eastAsia="en-GB"/>
              </w:rPr>
              <w:t>Depreciation 01 July 22</w:t>
            </w:r>
          </w:p>
        </w:tc>
        <w:tc>
          <w:tcPr>
            <w:tcW w:w="1216" w:type="dxa"/>
            <w:tcBorders>
              <w:top w:val="nil"/>
              <w:left w:val="nil"/>
              <w:bottom w:val="nil"/>
              <w:right w:val="nil"/>
            </w:tcBorders>
            <w:shd w:val="clear" w:color="auto" w:fill="auto"/>
            <w:noWrap/>
            <w:vAlign w:val="bottom"/>
            <w:hideMark/>
          </w:tcPr>
          <w:p w14:paraId="76256DCF" w14:textId="77777777" w:rsidR="00E45741" w:rsidRPr="000D0E7B" w:rsidRDefault="00E45741" w:rsidP="00E45741">
            <w:pPr>
              <w:spacing w:before="0" w:after="0"/>
              <w:rPr>
                <w:rFonts w:eastAsia="Times New Roman" w:cs="Arial"/>
                <w:b/>
                <w:bCs/>
                <w:sz w:val="20"/>
                <w:szCs w:val="20"/>
                <w:lang w:eastAsia="en-GB"/>
              </w:rPr>
            </w:pPr>
          </w:p>
        </w:tc>
        <w:tc>
          <w:tcPr>
            <w:tcW w:w="1336" w:type="dxa"/>
            <w:tcBorders>
              <w:top w:val="nil"/>
              <w:left w:val="nil"/>
              <w:bottom w:val="nil"/>
              <w:right w:val="nil"/>
            </w:tcBorders>
            <w:shd w:val="clear" w:color="000000" w:fill="FFFFFF"/>
            <w:noWrap/>
            <w:vAlign w:val="bottom"/>
            <w:hideMark/>
          </w:tcPr>
          <w:p w14:paraId="14F2A5BF" w14:textId="77777777" w:rsidR="00E45741" w:rsidRPr="000D0E7B" w:rsidRDefault="00E45741" w:rsidP="00E45741">
            <w:pPr>
              <w:spacing w:before="0" w:after="0"/>
              <w:jc w:val="right"/>
              <w:rPr>
                <w:rFonts w:eastAsia="Times New Roman" w:cs="Arial"/>
                <w:sz w:val="20"/>
                <w:szCs w:val="20"/>
                <w:lang w:eastAsia="en-GB"/>
              </w:rPr>
            </w:pPr>
            <w:r w:rsidRPr="000D0E7B">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3BCD5A7E"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nil"/>
              <w:left w:val="nil"/>
              <w:bottom w:val="nil"/>
              <w:right w:val="nil"/>
            </w:tcBorders>
            <w:shd w:val="clear" w:color="auto" w:fill="auto"/>
            <w:noWrap/>
            <w:vAlign w:val="bottom"/>
            <w:hideMark/>
          </w:tcPr>
          <w:p w14:paraId="50155FE6" w14:textId="77777777" w:rsidR="00E45741" w:rsidRPr="000D0E7B" w:rsidRDefault="00E45741" w:rsidP="00E45741">
            <w:pPr>
              <w:spacing w:before="0" w:after="0"/>
              <w:jc w:val="right"/>
              <w:rPr>
                <w:rFonts w:eastAsia="Times New Roman" w:cs="Arial"/>
                <w:sz w:val="20"/>
                <w:szCs w:val="20"/>
                <w:lang w:eastAsia="en-GB"/>
              </w:rPr>
            </w:pPr>
            <w:r w:rsidRPr="000D0E7B">
              <w:rPr>
                <w:rFonts w:eastAsia="Times New Roman" w:cs="Arial"/>
                <w:sz w:val="20"/>
                <w:szCs w:val="20"/>
                <w:lang w:eastAsia="en-GB"/>
              </w:rPr>
              <w:t>-</w:t>
            </w:r>
          </w:p>
        </w:tc>
        <w:tc>
          <w:tcPr>
            <w:tcW w:w="567" w:type="dxa"/>
            <w:gridSpan w:val="2"/>
            <w:tcBorders>
              <w:top w:val="nil"/>
              <w:left w:val="nil"/>
              <w:bottom w:val="nil"/>
              <w:right w:val="nil"/>
            </w:tcBorders>
            <w:shd w:val="clear" w:color="auto" w:fill="auto"/>
            <w:noWrap/>
            <w:vAlign w:val="bottom"/>
            <w:hideMark/>
          </w:tcPr>
          <w:p w14:paraId="5F0CE95F" w14:textId="77777777" w:rsidR="00E45741" w:rsidRPr="000D0E7B" w:rsidRDefault="00E45741" w:rsidP="00E45741">
            <w:pPr>
              <w:spacing w:before="0" w:after="0"/>
              <w:jc w:val="right"/>
              <w:rPr>
                <w:rFonts w:eastAsia="Times New Roman" w:cs="Arial"/>
                <w:sz w:val="20"/>
                <w:szCs w:val="20"/>
                <w:lang w:eastAsia="en-GB"/>
              </w:rPr>
            </w:pPr>
          </w:p>
        </w:tc>
        <w:tc>
          <w:tcPr>
            <w:tcW w:w="1930" w:type="dxa"/>
            <w:tcBorders>
              <w:top w:val="nil"/>
              <w:left w:val="nil"/>
              <w:bottom w:val="nil"/>
              <w:right w:val="nil"/>
            </w:tcBorders>
            <w:shd w:val="clear" w:color="auto" w:fill="auto"/>
            <w:noWrap/>
            <w:vAlign w:val="bottom"/>
            <w:hideMark/>
          </w:tcPr>
          <w:p w14:paraId="0D61D428" w14:textId="77777777" w:rsidR="00E45741" w:rsidRPr="000D0E7B" w:rsidRDefault="00E45741" w:rsidP="00E45741">
            <w:pPr>
              <w:spacing w:before="0" w:after="0"/>
              <w:jc w:val="right"/>
              <w:rPr>
                <w:rFonts w:eastAsia="Times New Roman" w:cs="Arial"/>
                <w:sz w:val="18"/>
                <w:szCs w:val="18"/>
                <w:lang w:eastAsia="en-GB"/>
              </w:rPr>
            </w:pPr>
            <w:r w:rsidRPr="000D0E7B">
              <w:rPr>
                <w:rFonts w:eastAsia="Times New Roman" w:cs="Arial"/>
                <w:sz w:val="18"/>
                <w:szCs w:val="18"/>
                <w:lang w:eastAsia="en-GB"/>
              </w:rPr>
              <w:t>-</w:t>
            </w:r>
          </w:p>
        </w:tc>
      </w:tr>
      <w:tr w:rsidR="00644FCB" w:rsidRPr="000D0E7B" w14:paraId="38EFF12F" w14:textId="77777777" w:rsidTr="00A20382">
        <w:trPr>
          <w:trHeight w:val="260"/>
        </w:trPr>
        <w:tc>
          <w:tcPr>
            <w:tcW w:w="4253" w:type="dxa"/>
            <w:tcBorders>
              <w:top w:val="nil"/>
              <w:left w:val="nil"/>
              <w:bottom w:val="nil"/>
              <w:right w:val="nil"/>
            </w:tcBorders>
            <w:shd w:val="clear" w:color="auto" w:fill="auto"/>
            <w:noWrap/>
            <w:vAlign w:val="bottom"/>
            <w:hideMark/>
          </w:tcPr>
          <w:p w14:paraId="1E13025A"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Transfer from other public sector body</w:t>
            </w:r>
          </w:p>
        </w:tc>
        <w:tc>
          <w:tcPr>
            <w:tcW w:w="1216" w:type="dxa"/>
            <w:tcBorders>
              <w:top w:val="nil"/>
              <w:left w:val="nil"/>
              <w:bottom w:val="nil"/>
              <w:right w:val="nil"/>
            </w:tcBorders>
            <w:shd w:val="clear" w:color="auto" w:fill="auto"/>
            <w:noWrap/>
            <w:vAlign w:val="bottom"/>
            <w:hideMark/>
          </w:tcPr>
          <w:p w14:paraId="5A4DE779" w14:textId="77777777" w:rsidR="00E45741" w:rsidRPr="000D0E7B" w:rsidRDefault="00E45741" w:rsidP="00E45741">
            <w:pPr>
              <w:spacing w:before="0" w:after="0"/>
              <w:rPr>
                <w:rFonts w:eastAsia="Times New Roman" w:cs="Arial"/>
                <w:sz w:val="20"/>
                <w:szCs w:val="20"/>
                <w:lang w:eastAsia="en-GB"/>
              </w:rPr>
            </w:pPr>
          </w:p>
        </w:tc>
        <w:tc>
          <w:tcPr>
            <w:tcW w:w="1336" w:type="dxa"/>
            <w:tcBorders>
              <w:top w:val="nil"/>
              <w:left w:val="nil"/>
              <w:bottom w:val="nil"/>
              <w:right w:val="nil"/>
            </w:tcBorders>
            <w:shd w:val="clear" w:color="000000" w:fill="FFFFFF"/>
            <w:noWrap/>
            <w:vAlign w:val="bottom"/>
            <w:hideMark/>
          </w:tcPr>
          <w:p w14:paraId="79B5F04F" w14:textId="77777777" w:rsidR="00E45741" w:rsidRPr="000D0E7B" w:rsidRDefault="00E45741" w:rsidP="00E45741">
            <w:pPr>
              <w:spacing w:before="0" w:after="0"/>
              <w:jc w:val="right"/>
              <w:rPr>
                <w:rFonts w:eastAsia="Times New Roman" w:cs="Arial"/>
                <w:sz w:val="20"/>
                <w:szCs w:val="20"/>
                <w:lang w:eastAsia="en-GB"/>
              </w:rPr>
            </w:pPr>
            <w:r w:rsidRPr="000D0E7B">
              <w:rPr>
                <w:rFonts w:eastAsia="Times New Roman" w:cs="Arial"/>
                <w:sz w:val="20"/>
                <w:szCs w:val="20"/>
                <w:lang w:eastAsia="en-GB"/>
              </w:rPr>
              <w:t>142</w:t>
            </w:r>
          </w:p>
        </w:tc>
        <w:tc>
          <w:tcPr>
            <w:tcW w:w="272" w:type="dxa"/>
            <w:tcBorders>
              <w:top w:val="nil"/>
              <w:left w:val="nil"/>
              <w:bottom w:val="nil"/>
              <w:right w:val="nil"/>
            </w:tcBorders>
            <w:shd w:val="clear" w:color="000000" w:fill="FFFFFF"/>
            <w:noWrap/>
            <w:vAlign w:val="bottom"/>
            <w:hideMark/>
          </w:tcPr>
          <w:p w14:paraId="53D1015B"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nil"/>
              <w:left w:val="nil"/>
              <w:bottom w:val="nil"/>
              <w:right w:val="nil"/>
            </w:tcBorders>
            <w:shd w:val="clear" w:color="auto" w:fill="auto"/>
            <w:noWrap/>
            <w:vAlign w:val="bottom"/>
            <w:hideMark/>
          </w:tcPr>
          <w:p w14:paraId="142DE73D"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142</w:t>
            </w:r>
          </w:p>
        </w:tc>
        <w:tc>
          <w:tcPr>
            <w:tcW w:w="567" w:type="dxa"/>
            <w:gridSpan w:val="2"/>
            <w:tcBorders>
              <w:top w:val="nil"/>
              <w:left w:val="nil"/>
              <w:bottom w:val="nil"/>
              <w:right w:val="nil"/>
            </w:tcBorders>
            <w:shd w:val="clear" w:color="auto" w:fill="auto"/>
            <w:noWrap/>
            <w:vAlign w:val="bottom"/>
            <w:hideMark/>
          </w:tcPr>
          <w:p w14:paraId="400CC735" w14:textId="77777777" w:rsidR="00E45741" w:rsidRPr="000D0E7B" w:rsidRDefault="00E45741" w:rsidP="00E45741">
            <w:pPr>
              <w:spacing w:before="0" w:after="0"/>
              <w:jc w:val="right"/>
              <w:rPr>
                <w:rFonts w:eastAsia="Times New Roman" w:cs="Arial"/>
                <w:b/>
                <w:bCs/>
                <w:sz w:val="20"/>
                <w:szCs w:val="20"/>
                <w:lang w:eastAsia="en-GB"/>
              </w:rPr>
            </w:pPr>
          </w:p>
        </w:tc>
        <w:tc>
          <w:tcPr>
            <w:tcW w:w="1930" w:type="dxa"/>
            <w:tcBorders>
              <w:top w:val="nil"/>
              <w:left w:val="nil"/>
              <w:bottom w:val="nil"/>
              <w:right w:val="nil"/>
            </w:tcBorders>
            <w:shd w:val="clear" w:color="000000" w:fill="FFFFFF"/>
            <w:noWrap/>
            <w:vAlign w:val="bottom"/>
            <w:hideMark/>
          </w:tcPr>
          <w:p w14:paraId="454310FF" w14:textId="77777777" w:rsidR="00E45741" w:rsidRPr="000D0E7B" w:rsidRDefault="00E45741" w:rsidP="00E45741">
            <w:pPr>
              <w:spacing w:before="0" w:after="0"/>
              <w:jc w:val="right"/>
              <w:rPr>
                <w:rFonts w:eastAsia="Times New Roman" w:cs="Arial"/>
                <w:sz w:val="18"/>
                <w:szCs w:val="18"/>
                <w:lang w:eastAsia="en-GB"/>
              </w:rPr>
            </w:pPr>
            <w:r w:rsidRPr="000D0E7B">
              <w:rPr>
                <w:rFonts w:eastAsia="Times New Roman" w:cs="Arial"/>
                <w:sz w:val="18"/>
                <w:szCs w:val="18"/>
                <w:lang w:eastAsia="en-GB"/>
              </w:rPr>
              <w:t>123</w:t>
            </w:r>
          </w:p>
        </w:tc>
      </w:tr>
      <w:tr w:rsidR="00644FCB" w:rsidRPr="000D0E7B" w14:paraId="323CAE79" w14:textId="77777777" w:rsidTr="00A20382">
        <w:trPr>
          <w:trHeight w:val="260"/>
        </w:trPr>
        <w:tc>
          <w:tcPr>
            <w:tcW w:w="4253" w:type="dxa"/>
            <w:tcBorders>
              <w:top w:val="nil"/>
              <w:left w:val="nil"/>
              <w:bottom w:val="nil"/>
              <w:right w:val="nil"/>
            </w:tcBorders>
            <w:shd w:val="clear" w:color="auto" w:fill="auto"/>
            <w:noWrap/>
            <w:vAlign w:val="bottom"/>
            <w:hideMark/>
          </w:tcPr>
          <w:p w14:paraId="68047D26"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Charged during the period</w:t>
            </w:r>
          </w:p>
        </w:tc>
        <w:tc>
          <w:tcPr>
            <w:tcW w:w="1216" w:type="dxa"/>
            <w:tcBorders>
              <w:top w:val="nil"/>
              <w:left w:val="nil"/>
              <w:bottom w:val="nil"/>
              <w:right w:val="nil"/>
            </w:tcBorders>
            <w:shd w:val="clear" w:color="auto" w:fill="auto"/>
            <w:noWrap/>
            <w:vAlign w:val="bottom"/>
            <w:hideMark/>
          </w:tcPr>
          <w:p w14:paraId="0F421C49" w14:textId="77777777" w:rsidR="00E45741" w:rsidRPr="000D0E7B" w:rsidRDefault="00E45741" w:rsidP="00E45741">
            <w:pPr>
              <w:spacing w:before="0" w:after="0"/>
              <w:rPr>
                <w:rFonts w:eastAsia="Times New Roman" w:cs="Arial"/>
                <w:sz w:val="20"/>
                <w:szCs w:val="20"/>
                <w:lang w:eastAsia="en-GB"/>
              </w:rPr>
            </w:pPr>
          </w:p>
        </w:tc>
        <w:tc>
          <w:tcPr>
            <w:tcW w:w="1336" w:type="dxa"/>
            <w:tcBorders>
              <w:top w:val="nil"/>
              <w:left w:val="nil"/>
              <w:bottom w:val="nil"/>
              <w:right w:val="nil"/>
            </w:tcBorders>
            <w:shd w:val="clear" w:color="000000" w:fill="FFFFFF"/>
            <w:noWrap/>
            <w:vAlign w:val="bottom"/>
            <w:hideMark/>
          </w:tcPr>
          <w:p w14:paraId="7643CB32" w14:textId="77777777" w:rsidR="00E45741" w:rsidRPr="000D0E7B" w:rsidRDefault="00E45741" w:rsidP="00E45741">
            <w:pPr>
              <w:spacing w:before="0" w:after="0"/>
              <w:jc w:val="right"/>
              <w:rPr>
                <w:rFonts w:eastAsia="Times New Roman" w:cs="Arial"/>
                <w:sz w:val="20"/>
                <w:szCs w:val="20"/>
                <w:lang w:eastAsia="en-GB"/>
              </w:rPr>
            </w:pPr>
            <w:r w:rsidRPr="000D0E7B">
              <w:rPr>
                <w:rFonts w:eastAsia="Times New Roman" w:cs="Arial"/>
                <w:sz w:val="20"/>
                <w:szCs w:val="20"/>
                <w:lang w:eastAsia="en-GB"/>
              </w:rPr>
              <w:t>505</w:t>
            </w:r>
          </w:p>
        </w:tc>
        <w:tc>
          <w:tcPr>
            <w:tcW w:w="272" w:type="dxa"/>
            <w:tcBorders>
              <w:top w:val="nil"/>
              <w:left w:val="nil"/>
              <w:bottom w:val="nil"/>
              <w:right w:val="nil"/>
            </w:tcBorders>
            <w:shd w:val="clear" w:color="000000" w:fill="FFFFFF"/>
            <w:noWrap/>
            <w:vAlign w:val="bottom"/>
            <w:hideMark/>
          </w:tcPr>
          <w:p w14:paraId="21D74396"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nil"/>
              <w:left w:val="nil"/>
              <w:bottom w:val="nil"/>
              <w:right w:val="nil"/>
            </w:tcBorders>
            <w:shd w:val="clear" w:color="auto" w:fill="auto"/>
            <w:noWrap/>
            <w:vAlign w:val="bottom"/>
            <w:hideMark/>
          </w:tcPr>
          <w:p w14:paraId="5A48A63C"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505</w:t>
            </w:r>
          </w:p>
        </w:tc>
        <w:tc>
          <w:tcPr>
            <w:tcW w:w="567" w:type="dxa"/>
            <w:gridSpan w:val="2"/>
            <w:tcBorders>
              <w:top w:val="nil"/>
              <w:left w:val="nil"/>
              <w:bottom w:val="nil"/>
              <w:right w:val="nil"/>
            </w:tcBorders>
            <w:shd w:val="clear" w:color="auto" w:fill="auto"/>
            <w:noWrap/>
            <w:vAlign w:val="bottom"/>
            <w:hideMark/>
          </w:tcPr>
          <w:p w14:paraId="301E3659" w14:textId="77777777" w:rsidR="00E45741" w:rsidRPr="000D0E7B" w:rsidRDefault="00E45741" w:rsidP="00E45741">
            <w:pPr>
              <w:spacing w:before="0" w:after="0"/>
              <w:jc w:val="right"/>
              <w:rPr>
                <w:rFonts w:eastAsia="Times New Roman" w:cs="Arial"/>
                <w:b/>
                <w:bCs/>
                <w:sz w:val="20"/>
                <w:szCs w:val="20"/>
                <w:lang w:eastAsia="en-GB"/>
              </w:rPr>
            </w:pPr>
          </w:p>
        </w:tc>
        <w:tc>
          <w:tcPr>
            <w:tcW w:w="1930" w:type="dxa"/>
            <w:tcBorders>
              <w:top w:val="nil"/>
              <w:left w:val="nil"/>
              <w:bottom w:val="nil"/>
              <w:right w:val="nil"/>
            </w:tcBorders>
            <w:shd w:val="clear" w:color="000000" w:fill="FFFFFF"/>
            <w:noWrap/>
            <w:vAlign w:val="bottom"/>
            <w:hideMark/>
          </w:tcPr>
          <w:p w14:paraId="1217B30D" w14:textId="77777777" w:rsidR="00E45741" w:rsidRPr="000D0E7B" w:rsidRDefault="00E45741" w:rsidP="00E45741">
            <w:pPr>
              <w:spacing w:before="0" w:after="0"/>
              <w:jc w:val="right"/>
              <w:rPr>
                <w:rFonts w:eastAsia="Times New Roman" w:cs="Arial"/>
                <w:sz w:val="18"/>
                <w:szCs w:val="18"/>
                <w:lang w:eastAsia="en-GB"/>
              </w:rPr>
            </w:pPr>
            <w:r w:rsidRPr="000D0E7B">
              <w:rPr>
                <w:rFonts w:eastAsia="Times New Roman" w:cs="Arial"/>
                <w:sz w:val="18"/>
                <w:szCs w:val="18"/>
                <w:lang w:eastAsia="en-GB"/>
              </w:rPr>
              <w:t>439</w:t>
            </w:r>
          </w:p>
        </w:tc>
      </w:tr>
      <w:tr w:rsidR="00644FCB" w:rsidRPr="000D0E7B" w14:paraId="3A3CFC10" w14:textId="77777777" w:rsidTr="00A20382">
        <w:trPr>
          <w:trHeight w:val="260"/>
        </w:trPr>
        <w:tc>
          <w:tcPr>
            <w:tcW w:w="4253" w:type="dxa"/>
            <w:tcBorders>
              <w:top w:val="nil"/>
              <w:left w:val="nil"/>
              <w:bottom w:val="nil"/>
              <w:right w:val="nil"/>
            </w:tcBorders>
            <w:shd w:val="clear" w:color="auto" w:fill="auto"/>
            <w:noWrap/>
            <w:vAlign w:val="bottom"/>
            <w:hideMark/>
          </w:tcPr>
          <w:p w14:paraId="5CFE2D00"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Derecognition for early terminations</w:t>
            </w:r>
          </w:p>
        </w:tc>
        <w:tc>
          <w:tcPr>
            <w:tcW w:w="1216" w:type="dxa"/>
            <w:tcBorders>
              <w:top w:val="nil"/>
              <w:left w:val="nil"/>
              <w:bottom w:val="nil"/>
              <w:right w:val="nil"/>
            </w:tcBorders>
            <w:shd w:val="clear" w:color="auto" w:fill="auto"/>
            <w:noWrap/>
            <w:vAlign w:val="bottom"/>
            <w:hideMark/>
          </w:tcPr>
          <w:p w14:paraId="1E11390F" w14:textId="77777777" w:rsidR="00E45741" w:rsidRPr="000D0E7B" w:rsidRDefault="00E45741" w:rsidP="00E45741">
            <w:pPr>
              <w:spacing w:before="0" w:after="0"/>
              <w:rPr>
                <w:rFonts w:eastAsia="Times New Roman" w:cs="Arial"/>
                <w:sz w:val="20"/>
                <w:szCs w:val="20"/>
                <w:lang w:eastAsia="en-GB"/>
              </w:rPr>
            </w:pPr>
          </w:p>
        </w:tc>
        <w:tc>
          <w:tcPr>
            <w:tcW w:w="1336" w:type="dxa"/>
            <w:tcBorders>
              <w:top w:val="nil"/>
              <w:left w:val="nil"/>
              <w:bottom w:val="nil"/>
              <w:right w:val="nil"/>
            </w:tcBorders>
            <w:shd w:val="clear" w:color="000000" w:fill="FFFFFF"/>
            <w:noWrap/>
            <w:vAlign w:val="bottom"/>
            <w:hideMark/>
          </w:tcPr>
          <w:p w14:paraId="15C6C90C" w14:textId="77777777" w:rsidR="00E45741" w:rsidRPr="000D0E7B" w:rsidRDefault="00E45741" w:rsidP="00E45741">
            <w:pPr>
              <w:spacing w:before="0" w:after="0"/>
              <w:jc w:val="right"/>
              <w:rPr>
                <w:rFonts w:eastAsia="Times New Roman" w:cs="Arial"/>
                <w:sz w:val="20"/>
                <w:szCs w:val="20"/>
                <w:lang w:eastAsia="en-GB"/>
              </w:rPr>
            </w:pPr>
            <w:r w:rsidRPr="000D0E7B">
              <w:rPr>
                <w:rFonts w:eastAsia="Times New Roman" w:cs="Arial"/>
                <w:sz w:val="20"/>
                <w:szCs w:val="20"/>
                <w:lang w:eastAsia="en-GB"/>
              </w:rPr>
              <w:t>(10)</w:t>
            </w:r>
          </w:p>
        </w:tc>
        <w:tc>
          <w:tcPr>
            <w:tcW w:w="272" w:type="dxa"/>
            <w:tcBorders>
              <w:top w:val="nil"/>
              <w:left w:val="nil"/>
              <w:bottom w:val="nil"/>
              <w:right w:val="nil"/>
            </w:tcBorders>
            <w:shd w:val="clear" w:color="000000" w:fill="FFFFFF"/>
            <w:noWrap/>
            <w:vAlign w:val="bottom"/>
            <w:hideMark/>
          </w:tcPr>
          <w:p w14:paraId="061B879C"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nil"/>
              <w:left w:val="nil"/>
              <w:bottom w:val="nil"/>
              <w:right w:val="nil"/>
            </w:tcBorders>
            <w:shd w:val="clear" w:color="auto" w:fill="auto"/>
            <w:noWrap/>
            <w:vAlign w:val="bottom"/>
            <w:hideMark/>
          </w:tcPr>
          <w:p w14:paraId="692E32A0"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(10)</w:t>
            </w:r>
          </w:p>
        </w:tc>
        <w:tc>
          <w:tcPr>
            <w:tcW w:w="567" w:type="dxa"/>
            <w:gridSpan w:val="2"/>
            <w:tcBorders>
              <w:top w:val="nil"/>
              <w:left w:val="nil"/>
              <w:bottom w:val="nil"/>
              <w:right w:val="nil"/>
            </w:tcBorders>
            <w:shd w:val="clear" w:color="auto" w:fill="auto"/>
            <w:noWrap/>
            <w:vAlign w:val="bottom"/>
            <w:hideMark/>
          </w:tcPr>
          <w:p w14:paraId="2C5924DA" w14:textId="77777777" w:rsidR="00E45741" w:rsidRPr="000D0E7B" w:rsidRDefault="00E45741" w:rsidP="00E45741">
            <w:pPr>
              <w:spacing w:before="0" w:after="0"/>
              <w:jc w:val="right"/>
              <w:rPr>
                <w:rFonts w:eastAsia="Times New Roman" w:cs="Arial"/>
                <w:b/>
                <w:bCs/>
                <w:sz w:val="20"/>
                <w:szCs w:val="20"/>
                <w:lang w:eastAsia="en-GB"/>
              </w:rPr>
            </w:pPr>
          </w:p>
        </w:tc>
        <w:tc>
          <w:tcPr>
            <w:tcW w:w="1930" w:type="dxa"/>
            <w:tcBorders>
              <w:top w:val="nil"/>
              <w:left w:val="nil"/>
              <w:bottom w:val="nil"/>
              <w:right w:val="nil"/>
            </w:tcBorders>
            <w:shd w:val="clear" w:color="auto" w:fill="auto"/>
            <w:noWrap/>
            <w:vAlign w:val="bottom"/>
            <w:hideMark/>
          </w:tcPr>
          <w:p w14:paraId="72E79B48" w14:textId="77777777" w:rsidR="00E45741" w:rsidRPr="000D0E7B" w:rsidRDefault="00E45741" w:rsidP="00E45741">
            <w:pPr>
              <w:spacing w:before="0" w:after="0"/>
              <w:jc w:val="right"/>
              <w:rPr>
                <w:rFonts w:eastAsia="Times New Roman" w:cs="Arial"/>
                <w:sz w:val="18"/>
                <w:szCs w:val="18"/>
                <w:lang w:eastAsia="en-GB"/>
              </w:rPr>
            </w:pPr>
            <w:r w:rsidRPr="000D0E7B">
              <w:rPr>
                <w:rFonts w:eastAsia="Times New Roman" w:cs="Arial"/>
                <w:sz w:val="18"/>
                <w:szCs w:val="18"/>
                <w:lang w:eastAsia="en-GB"/>
              </w:rPr>
              <w:t>-</w:t>
            </w:r>
          </w:p>
        </w:tc>
      </w:tr>
      <w:tr w:rsidR="00644FCB" w:rsidRPr="000D0E7B" w14:paraId="619733DA" w14:textId="77777777" w:rsidTr="00A20382">
        <w:trPr>
          <w:trHeight w:val="260"/>
        </w:trPr>
        <w:tc>
          <w:tcPr>
            <w:tcW w:w="4253" w:type="dxa"/>
            <w:tcBorders>
              <w:top w:val="nil"/>
              <w:left w:val="nil"/>
              <w:bottom w:val="nil"/>
              <w:right w:val="nil"/>
            </w:tcBorders>
            <w:shd w:val="clear" w:color="auto" w:fill="auto"/>
            <w:noWrap/>
            <w:vAlign w:val="bottom"/>
            <w:hideMark/>
          </w:tcPr>
          <w:p w14:paraId="509EC2A9" w14:textId="77777777" w:rsidR="00E45741" w:rsidRPr="000D0E7B" w:rsidRDefault="00E45741" w:rsidP="00E45741">
            <w:pPr>
              <w:spacing w:before="0" w:after="0"/>
              <w:rPr>
                <w:rFonts w:eastAsia="Times New Roman" w:cs="Arial"/>
                <w:b/>
                <w:bCs/>
                <w:sz w:val="20"/>
                <w:szCs w:val="20"/>
                <w:lang w:eastAsia="en-GB"/>
              </w:rPr>
            </w:pPr>
            <w:r w:rsidRPr="000D0E7B">
              <w:rPr>
                <w:rFonts w:eastAsia="Times New Roman" w:cs="Arial"/>
                <w:b/>
                <w:bCs/>
                <w:sz w:val="20"/>
                <w:szCs w:val="20"/>
                <w:lang w:eastAsia="en-GB"/>
              </w:rPr>
              <w:t>Depreciation at 31 March 23</w:t>
            </w:r>
          </w:p>
        </w:tc>
        <w:tc>
          <w:tcPr>
            <w:tcW w:w="1216" w:type="dxa"/>
            <w:tcBorders>
              <w:top w:val="nil"/>
              <w:left w:val="nil"/>
              <w:bottom w:val="nil"/>
              <w:right w:val="nil"/>
            </w:tcBorders>
            <w:shd w:val="clear" w:color="auto" w:fill="auto"/>
            <w:noWrap/>
            <w:vAlign w:val="bottom"/>
            <w:hideMark/>
          </w:tcPr>
          <w:p w14:paraId="759EA6DB" w14:textId="77777777" w:rsidR="00E45741" w:rsidRPr="000D0E7B" w:rsidRDefault="00E45741" w:rsidP="00E45741">
            <w:pPr>
              <w:spacing w:before="0" w:after="0"/>
              <w:rPr>
                <w:rFonts w:eastAsia="Times New Roman" w:cs="Arial"/>
                <w:b/>
                <w:bCs/>
                <w:sz w:val="20"/>
                <w:szCs w:val="20"/>
                <w:lang w:eastAsia="en-GB"/>
              </w:rPr>
            </w:pPr>
          </w:p>
        </w:tc>
        <w:tc>
          <w:tcPr>
            <w:tcW w:w="1336" w:type="dxa"/>
            <w:tcBorders>
              <w:top w:val="single" w:sz="4" w:space="0" w:color="auto"/>
              <w:left w:val="nil"/>
              <w:bottom w:val="single" w:sz="4" w:space="0" w:color="auto"/>
              <w:right w:val="nil"/>
            </w:tcBorders>
            <w:shd w:val="clear" w:color="auto" w:fill="auto"/>
            <w:noWrap/>
            <w:vAlign w:val="bottom"/>
            <w:hideMark/>
          </w:tcPr>
          <w:p w14:paraId="62741B1D"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637</w:t>
            </w:r>
          </w:p>
        </w:tc>
        <w:tc>
          <w:tcPr>
            <w:tcW w:w="272" w:type="dxa"/>
            <w:tcBorders>
              <w:top w:val="nil"/>
              <w:left w:val="nil"/>
              <w:bottom w:val="nil"/>
              <w:right w:val="nil"/>
            </w:tcBorders>
            <w:shd w:val="clear" w:color="000000" w:fill="FFFFFF"/>
            <w:noWrap/>
            <w:vAlign w:val="bottom"/>
            <w:hideMark/>
          </w:tcPr>
          <w:p w14:paraId="1B41159B"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single" w:sz="4" w:space="0" w:color="auto"/>
              <w:left w:val="nil"/>
              <w:bottom w:val="single" w:sz="4" w:space="0" w:color="auto"/>
              <w:right w:val="nil"/>
            </w:tcBorders>
            <w:shd w:val="clear" w:color="auto" w:fill="auto"/>
            <w:noWrap/>
            <w:vAlign w:val="bottom"/>
            <w:hideMark/>
          </w:tcPr>
          <w:p w14:paraId="2AE6AEA1"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637</w:t>
            </w:r>
          </w:p>
        </w:tc>
        <w:tc>
          <w:tcPr>
            <w:tcW w:w="567" w:type="dxa"/>
            <w:gridSpan w:val="2"/>
            <w:tcBorders>
              <w:top w:val="nil"/>
              <w:left w:val="nil"/>
              <w:bottom w:val="nil"/>
              <w:right w:val="nil"/>
            </w:tcBorders>
            <w:shd w:val="clear" w:color="auto" w:fill="auto"/>
            <w:noWrap/>
            <w:vAlign w:val="bottom"/>
            <w:hideMark/>
          </w:tcPr>
          <w:p w14:paraId="6EC62FBA" w14:textId="77777777" w:rsidR="00E45741" w:rsidRPr="000D0E7B" w:rsidRDefault="00E45741" w:rsidP="00E45741">
            <w:pPr>
              <w:spacing w:before="0" w:after="0"/>
              <w:jc w:val="right"/>
              <w:rPr>
                <w:rFonts w:eastAsia="Times New Roman" w:cs="Arial"/>
                <w:b/>
                <w:bCs/>
                <w:sz w:val="20"/>
                <w:szCs w:val="20"/>
                <w:lang w:eastAsia="en-GB"/>
              </w:rPr>
            </w:pPr>
          </w:p>
        </w:tc>
        <w:tc>
          <w:tcPr>
            <w:tcW w:w="1930" w:type="dxa"/>
            <w:tcBorders>
              <w:top w:val="dashed" w:sz="4" w:space="0" w:color="auto"/>
              <w:left w:val="nil"/>
              <w:bottom w:val="dashed" w:sz="4" w:space="0" w:color="auto"/>
              <w:right w:val="nil"/>
            </w:tcBorders>
            <w:shd w:val="clear" w:color="auto" w:fill="auto"/>
            <w:noWrap/>
            <w:vAlign w:val="bottom"/>
            <w:hideMark/>
          </w:tcPr>
          <w:p w14:paraId="4421D939" w14:textId="77777777" w:rsidR="00E45741" w:rsidRPr="000D0E7B" w:rsidRDefault="00E45741" w:rsidP="00E45741">
            <w:pPr>
              <w:spacing w:before="0" w:after="0"/>
              <w:jc w:val="right"/>
              <w:rPr>
                <w:rFonts w:eastAsia="Times New Roman" w:cs="Arial"/>
                <w:b/>
                <w:bCs/>
                <w:sz w:val="18"/>
                <w:szCs w:val="18"/>
                <w:lang w:eastAsia="en-GB"/>
              </w:rPr>
            </w:pPr>
            <w:r w:rsidRPr="000D0E7B">
              <w:rPr>
                <w:rFonts w:eastAsia="Times New Roman" w:cs="Arial"/>
                <w:b/>
                <w:bCs/>
                <w:sz w:val="18"/>
                <w:szCs w:val="18"/>
                <w:lang w:eastAsia="en-GB"/>
              </w:rPr>
              <w:t>562</w:t>
            </w:r>
          </w:p>
        </w:tc>
      </w:tr>
      <w:tr w:rsidR="00644FCB" w:rsidRPr="000D0E7B" w14:paraId="5BE607F3" w14:textId="77777777" w:rsidTr="00A20382">
        <w:trPr>
          <w:trHeight w:val="120"/>
        </w:trPr>
        <w:tc>
          <w:tcPr>
            <w:tcW w:w="4253" w:type="dxa"/>
            <w:tcBorders>
              <w:top w:val="nil"/>
              <w:left w:val="nil"/>
              <w:bottom w:val="nil"/>
              <w:right w:val="nil"/>
            </w:tcBorders>
            <w:shd w:val="clear" w:color="auto" w:fill="auto"/>
            <w:noWrap/>
            <w:vAlign w:val="bottom"/>
            <w:hideMark/>
          </w:tcPr>
          <w:p w14:paraId="00AD0B5D" w14:textId="77777777" w:rsidR="00E45741" w:rsidRPr="000D0E7B" w:rsidRDefault="00E45741" w:rsidP="00E45741">
            <w:pPr>
              <w:spacing w:before="0" w:after="0"/>
              <w:jc w:val="right"/>
              <w:rPr>
                <w:rFonts w:eastAsia="Times New Roman" w:cs="Arial"/>
                <w:b/>
                <w:bCs/>
                <w:sz w:val="18"/>
                <w:szCs w:val="18"/>
                <w:lang w:eastAsia="en-GB"/>
              </w:rPr>
            </w:pPr>
          </w:p>
        </w:tc>
        <w:tc>
          <w:tcPr>
            <w:tcW w:w="1216" w:type="dxa"/>
            <w:tcBorders>
              <w:top w:val="nil"/>
              <w:left w:val="nil"/>
              <w:bottom w:val="nil"/>
              <w:right w:val="nil"/>
            </w:tcBorders>
            <w:shd w:val="clear" w:color="auto" w:fill="auto"/>
            <w:noWrap/>
            <w:vAlign w:val="bottom"/>
            <w:hideMark/>
          </w:tcPr>
          <w:p w14:paraId="0999A81C"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336" w:type="dxa"/>
            <w:tcBorders>
              <w:top w:val="nil"/>
              <w:left w:val="nil"/>
              <w:bottom w:val="nil"/>
              <w:right w:val="nil"/>
            </w:tcBorders>
            <w:shd w:val="clear" w:color="000000" w:fill="FFFFFF"/>
            <w:noWrap/>
            <w:vAlign w:val="bottom"/>
            <w:hideMark/>
          </w:tcPr>
          <w:p w14:paraId="66D2EBEC"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4B1B974"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nil"/>
              <w:left w:val="nil"/>
              <w:bottom w:val="nil"/>
              <w:right w:val="nil"/>
            </w:tcBorders>
            <w:shd w:val="clear" w:color="auto" w:fill="auto"/>
            <w:noWrap/>
            <w:vAlign w:val="bottom"/>
            <w:hideMark/>
          </w:tcPr>
          <w:p w14:paraId="71246AE8" w14:textId="77777777" w:rsidR="00E45741" w:rsidRPr="000D0E7B" w:rsidRDefault="00E45741" w:rsidP="00E45741">
            <w:pPr>
              <w:spacing w:before="0" w:after="0"/>
              <w:rPr>
                <w:rFonts w:eastAsia="Times New Roman" w:cs="Arial"/>
                <w:sz w:val="20"/>
                <w:szCs w:val="20"/>
                <w:lang w:eastAsia="en-GB"/>
              </w:rPr>
            </w:pPr>
          </w:p>
        </w:tc>
        <w:tc>
          <w:tcPr>
            <w:tcW w:w="567" w:type="dxa"/>
            <w:gridSpan w:val="2"/>
            <w:tcBorders>
              <w:top w:val="nil"/>
              <w:left w:val="nil"/>
              <w:bottom w:val="nil"/>
              <w:right w:val="nil"/>
            </w:tcBorders>
            <w:shd w:val="clear" w:color="auto" w:fill="auto"/>
            <w:noWrap/>
            <w:vAlign w:val="bottom"/>
            <w:hideMark/>
          </w:tcPr>
          <w:p w14:paraId="1D264955"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930" w:type="dxa"/>
            <w:tcBorders>
              <w:top w:val="nil"/>
              <w:left w:val="nil"/>
              <w:bottom w:val="nil"/>
              <w:right w:val="nil"/>
            </w:tcBorders>
            <w:shd w:val="clear" w:color="auto" w:fill="auto"/>
            <w:noWrap/>
            <w:vAlign w:val="bottom"/>
            <w:hideMark/>
          </w:tcPr>
          <w:p w14:paraId="60D80FE1"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r>
      <w:tr w:rsidR="00644FCB" w:rsidRPr="000D0E7B" w14:paraId="1FF9C1ED" w14:textId="77777777" w:rsidTr="00A20382">
        <w:trPr>
          <w:trHeight w:val="260"/>
        </w:trPr>
        <w:tc>
          <w:tcPr>
            <w:tcW w:w="4253" w:type="dxa"/>
            <w:tcBorders>
              <w:top w:val="nil"/>
              <w:left w:val="nil"/>
              <w:bottom w:val="nil"/>
              <w:right w:val="nil"/>
            </w:tcBorders>
            <w:shd w:val="clear" w:color="auto" w:fill="auto"/>
            <w:noWrap/>
            <w:vAlign w:val="bottom"/>
            <w:hideMark/>
          </w:tcPr>
          <w:p w14:paraId="22CBCD9F" w14:textId="77777777" w:rsidR="00E45741" w:rsidRPr="000D0E7B" w:rsidRDefault="00E45741" w:rsidP="00E45741">
            <w:pPr>
              <w:spacing w:before="0" w:after="0"/>
              <w:rPr>
                <w:rFonts w:eastAsia="Times New Roman" w:cs="Arial"/>
                <w:b/>
                <w:bCs/>
                <w:sz w:val="20"/>
                <w:szCs w:val="20"/>
                <w:lang w:eastAsia="en-GB"/>
              </w:rPr>
            </w:pPr>
            <w:r w:rsidRPr="000D0E7B">
              <w:rPr>
                <w:rFonts w:eastAsia="Times New Roman" w:cs="Arial"/>
                <w:b/>
                <w:bCs/>
                <w:sz w:val="20"/>
                <w:szCs w:val="20"/>
                <w:lang w:eastAsia="en-GB"/>
              </w:rPr>
              <w:t>Net book value at 31 March 23</w:t>
            </w:r>
          </w:p>
        </w:tc>
        <w:tc>
          <w:tcPr>
            <w:tcW w:w="1216" w:type="dxa"/>
            <w:tcBorders>
              <w:top w:val="nil"/>
              <w:left w:val="nil"/>
              <w:bottom w:val="nil"/>
              <w:right w:val="nil"/>
            </w:tcBorders>
            <w:shd w:val="clear" w:color="auto" w:fill="auto"/>
            <w:noWrap/>
            <w:vAlign w:val="bottom"/>
            <w:hideMark/>
          </w:tcPr>
          <w:p w14:paraId="7F9C0627" w14:textId="77777777" w:rsidR="00E45741" w:rsidRPr="000D0E7B" w:rsidRDefault="00E45741" w:rsidP="00E45741">
            <w:pPr>
              <w:spacing w:before="0" w:after="0"/>
              <w:rPr>
                <w:rFonts w:eastAsia="Times New Roman" w:cs="Arial"/>
                <w:b/>
                <w:bCs/>
                <w:sz w:val="20"/>
                <w:szCs w:val="20"/>
                <w:lang w:eastAsia="en-GB"/>
              </w:rPr>
            </w:pPr>
          </w:p>
        </w:tc>
        <w:tc>
          <w:tcPr>
            <w:tcW w:w="1336" w:type="dxa"/>
            <w:tcBorders>
              <w:top w:val="single" w:sz="4" w:space="0" w:color="auto"/>
              <w:left w:val="nil"/>
              <w:bottom w:val="single" w:sz="4" w:space="0" w:color="auto"/>
              <w:right w:val="nil"/>
            </w:tcBorders>
            <w:shd w:val="clear" w:color="000000" w:fill="FFFFFF"/>
            <w:noWrap/>
            <w:vAlign w:val="bottom"/>
            <w:hideMark/>
          </w:tcPr>
          <w:p w14:paraId="1FA50B9E"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2,815</w:t>
            </w:r>
          </w:p>
        </w:tc>
        <w:tc>
          <w:tcPr>
            <w:tcW w:w="272" w:type="dxa"/>
            <w:tcBorders>
              <w:top w:val="nil"/>
              <w:left w:val="nil"/>
              <w:bottom w:val="nil"/>
              <w:right w:val="nil"/>
            </w:tcBorders>
            <w:shd w:val="clear" w:color="000000" w:fill="FFFFFF"/>
            <w:noWrap/>
            <w:vAlign w:val="bottom"/>
            <w:hideMark/>
          </w:tcPr>
          <w:p w14:paraId="19BB7335" w14:textId="77777777" w:rsidR="00E45741" w:rsidRPr="000D0E7B" w:rsidRDefault="00E45741" w:rsidP="00E45741">
            <w:pPr>
              <w:spacing w:before="0" w:after="0"/>
              <w:rPr>
                <w:rFonts w:eastAsia="Times New Roman" w:cs="Arial"/>
                <w:sz w:val="20"/>
                <w:szCs w:val="20"/>
                <w:lang w:eastAsia="en-GB"/>
              </w:rPr>
            </w:pPr>
            <w:r w:rsidRPr="000D0E7B">
              <w:rPr>
                <w:rFonts w:eastAsia="Times New Roman" w:cs="Arial"/>
                <w:sz w:val="20"/>
                <w:szCs w:val="20"/>
                <w:lang w:eastAsia="en-GB"/>
              </w:rPr>
              <w:t> </w:t>
            </w:r>
          </w:p>
        </w:tc>
        <w:tc>
          <w:tcPr>
            <w:tcW w:w="1332" w:type="dxa"/>
            <w:tcBorders>
              <w:top w:val="single" w:sz="4" w:space="0" w:color="auto"/>
              <w:left w:val="nil"/>
              <w:bottom w:val="single" w:sz="4" w:space="0" w:color="auto"/>
              <w:right w:val="nil"/>
            </w:tcBorders>
            <w:shd w:val="clear" w:color="auto" w:fill="auto"/>
            <w:noWrap/>
            <w:vAlign w:val="bottom"/>
            <w:hideMark/>
          </w:tcPr>
          <w:p w14:paraId="473F84AE" w14:textId="77777777" w:rsidR="00E45741" w:rsidRPr="000D0E7B" w:rsidRDefault="00E45741" w:rsidP="00E45741">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2,815</w:t>
            </w:r>
          </w:p>
        </w:tc>
        <w:tc>
          <w:tcPr>
            <w:tcW w:w="567" w:type="dxa"/>
            <w:gridSpan w:val="2"/>
            <w:tcBorders>
              <w:top w:val="nil"/>
              <w:left w:val="nil"/>
              <w:bottom w:val="nil"/>
              <w:right w:val="nil"/>
            </w:tcBorders>
            <w:shd w:val="clear" w:color="auto" w:fill="auto"/>
            <w:noWrap/>
            <w:vAlign w:val="bottom"/>
            <w:hideMark/>
          </w:tcPr>
          <w:p w14:paraId="6AD1EB8A" w14:textId="77777777" w:rsidR="00E45741" w:rsidRPr="000D0E7B" w:rsidRDefault="00E45741" w:rsidP="00E45741">
            <w:pPr>
              <w:spacing w:before="0" w:after="0"/>
              <w:jc w:val="right"/>
              <w:rPr>
                <w:rFonts w:eastAsia="Times New Roman" w:cs="Arial"/>
                <w:b/>
                <w:bCs/>
                <w:sz w:val="20"/>
                <w:szCs w:val="20"/>
                <w:lang w:eastAsia="en-GB"/>
              </w:rPr>
            </w:pPr>
          </w:p>
        </w:tc>
        <w:tc>
          <w:tcPr>
            <w:tcW w:w="1930" w:type="dxa"/>
            <w:tcBorders>
              <w:top w:val="dashed" w:sz="4" w:space="0" w:color="auto"/>
              <w:left w:val="nil"/>
              <w:bottom w:val="dashed" w:sz="4" w:space="0" w:color="auto"/>
              <w:right w:val="nil"/>
            </w:tcBorders>
            <w:shd w:val="clear" w:color="auto" w:fill="auto"/>
            <w:noWrap/>
            <w:vAlign w:val="bottom"/>
            <w:hideMark/>
          </w:tcPr>
          <w:p w14:paraId="1245EF4B" w14:textId="77777777" w:rsidR="00E45741" w:rsidRPr="000D0E7B" w:rsidRDefault="00E45741" w:rsidP="00E45741">
            <w:pPr>
              <w:spacing w:before="0" w:after="0"/>
              <w:jc w:val="right"/>
              <w:rPr>
                <w:rFonts w:eastAsia="Times New Roman" w:cs="Arial"/>
                <w:b/>
                <w:bCs/>
                <w:sz w:val="18"/>
                <w:szCs w:val="18"/>
                <w:lang w:eastAsia="en-GB"/>
              </w:rPr>
            </w:pPr>
            <w:r w:rsidRPr="000D0E7B">
              <w:rPr>
                <w:rFonts w:eastAsia="Times New Roman" w:cs="Arial"/>
                <w:b/>
                <w:bCs/>
                <w:sz w:val="18"/>
                <w:szCs w:val="18"/>
                <w:lang w:eastAsia="en-GB"/>
              </w:rPr>
              <w:t>2,579</w:t>
            </w:r>
          </w:p>
        </w:tc>
      </w:tr>
      <w:tr w:rsidR="00644FCB" w:rsidRPr="000D0E7B" w14:paraId="70DE689F" w14:textId="77777777" w:rsidTr="00A20382">
        <w:trPr>
          <w:trHeight w:val="250"/>
        </w:trPr>
        <w:tc>
          <w:tcPr>
            <w:tcW w:w="4253" w:type="dxa"/>
            <w:tcBorders>
              <w:top w:val="nil"/>
              <w:left w:val="nil"/>
              <w:bottom w:val="nil"/>
              <w:right w:val="nil"/>
            </w:tcBorders>
            <w:shd w:val="clear" w:color="auto" w:fill="auto"/>
            <w:noWrap/>
            <w:vAlign w:val="bottom"/>
            <w:hideMark/>
          </w:tcPr>
          <w:p w14:paraId="4B9164FB" w14:textId="77777777" w:rsidR="00E45741" w:rsidRPr="000D0E7B" w:rsidRDefault="00E45741" w:rsidP="00E45741">
            <w:pPr>
              <w:spacing w:before="0" w:after="0"/>
              <w:jc w:val="right"/>
              <w:rPr>
                <w:rFonts w:eastAsia="Times New Roman" w:cs="Arial"/>
                <w:b/>
                <w:bCs/>
                <w:sz w:val="18"/>
                <w:szCs w:val="18"/>
                <w:lang w:eastAsia="en-GB"/>
              </w:rPr>
            </w:pPr>
          </w:p>
        </w:tc>
        <w:tc>
          <w:tcPr>
            <w:tcW w:w="1216" w:type="dxa"/>
            <w:tcBorders>
              <w:top w:val="nil"/>
              <w:left w:val="nil"/>
              <w:bottom w:val="nil"/>
              <w:right w:val="nil"/>
            </w:tcBorders>
            <w:shd w:val="clear" w:color="auto" w:fill="auto"/>
            <w:noWrap/>
            <w:vAlign w:val="bottom"/>
            <w:hideMark/>
          </w:tcPr>
          <w:p w14:paraId="23DBE0C1"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336" w:type="dxa"/>
            <w:tcBorders>
              <w:top w:val="nil"/>
              <w:left w:val="nil"/>
              <w:bottom w:val="nil"/>
              <w:right w:val="nil"/>
            </w:tcBorders>
            <w:shd w:val="clear" w:color="auto" w:fill="auto"/>
            <w:noWrap/>
            <w:vAlign w:val="bottom"/>
            <w:hideMark/>
          </w:tcPr>
          <w:p w14:paraId="454A1159"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458856E1"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332" w:type="dxa"/>
            <w:tcBorders>
              <w:top w:val="nil"/>
              <w:left w:val="nil"/>
              <w:bottom w:val="nil"/>
              <w:right w:val="nil"/>
            </w:tcBorders>
            <w:shd w:val="clear" w:color="auto" w:fill="auto"/>
            <w:noWrap/>
            <w:vAlign w:val="bottom"/>
            <w:hideMark/>
          </w:tcPr>
          <w:p w14:paraId="1A79BD86"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567" w:type="dxa"/>
            <w:gridSpan w:val="2"/>
            <w:tcBorders>
              <w:top w:val="nil"/>
              <w:left w:val="nil"/>
              <w:bottom w:val="nil"/>
              <w:right w:val="nil"/>
            </w:tcBorders>
            <w:shd w:val="clear" w:color="auto" w:fill="auto"/>
            <w:noWrap/>
            <w:vAlign w:val="bottom"/>
            <w:hideMark/>
          </w:tcPr>
          <w:p w14:paraId="4B68719B"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930" w:type="dxa"/>
            <w:tcBorders>
              <w:top w:val="nil"/>
              <w:left w:val="nil"/>
              <w:bottom w:val="nil"/>
              <w:right w:val="nil"/>
            </w:tcBorders>
            <w:shd w:val="clear" w:color="auto" w:fill="auto"/>
            <w:noWrap/>
            <w:vAlign w:val="bottom"/>
            <w:hideMark/>
          </w:tcPr>
          <w:p w14:paraId="00DB1C6E"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r>
      <w:tr w:rsidR="00644FCB" w:rsidRPr="000D0E7B" w14:paraId="07521CE2" w14:textId="77777777" w:rsidTr="00A20382">
        <w:trPr>
          <w:trHeight w:val="120"/>
        </w:trPr>
        <w:tc>
          <w:tcPr>
            <w:tcW w:w="4253" w:type="dxa"/>
            <w:tcBorders>
              <w:top w:val="nil"/>
              <w:left w:val="nil"/>
              <w:bottom w:val="nil"/>
              <w:right w:val="nil"/>
            </w:tcBorders>
            <w:shd w:val="clear" w:color="auto" w:fill="auto"/>
            <w:noWrap/>
            <w:vAlign w:val="bottom"/>
            <w:hideMark/>
          </w:tcPr>
          <w:p w14:paraId="1B88D042"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216" w:type="dxa"/>
            <w:tcBorders>
              <w:top w:val="nil"/>
              <w:left w:val="nil"/>
              <w:bottom w:val="nil"/>
              <w:right w:val="nil"/>
            </w:tcBorders>
            <w:shd w:val="clear" w:color="auto" w:fill="auto"/>
            <w:noWrap/>
            <w:vAlign w:val="bottom"/>
            <w:hideMark/>
          </w:tcPr>
          <w:p w14:paraId="6AAA43B3"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336" w:type="dxa"/>
            <w:tcBorders>
              <w:top w:val="nil"/>
              <w:left w:val="nil"/>
              <w:bottom w:val="nil"/>
              <w:right w:val="nil"/>
            </w:tcBorders>
            <w:shd w:val="clear" w:color="auto" w:fill="auto"/>
            <w:noWrap/>
            <w:vAlign w:val="bottom"/>
            <w:hideMark/>
          </w:tcPr>
          <w:p w14:paraId="20F40E0F"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4DCC1BBB"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332" w:type="dxa"/>
            <w:tcBorders>
              <w:top w:val="nil"/>
              <w:left w:val="nil"/>
              <w:bottom w:val="nil"/>
              <w:right w:val="nil"/>
            </w:tcBorders>
            <w:shd w:val="clear" w:color="auto" w:fill="auto"/>
            <w:noWrap/>
            <w:vAlign w:val="bottom"/>
            <w:hideMark/>
          </w:tcPr>
          <w:p w14:paraId="2A50BD4F"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567" w:type="dxa"/>
            <w:gridSpan w:val="2"/>
            <w:tcBorders>
              <w:top w:val="nil"/>
              <w:left w:val="nil"/>
              <w:bottom w:val="nil"/>
              <w:right w:val="nil"/>
            </w:tcBorders>
            <w:shd w:val="clear" w:color="auto" w:fill="auto"/>
            <w:noWrap/>
            <w:vAlign w:val="bottom"/>
            <w:hideMark/>
          </w:tcPr>
          <w:p w14:paraId="767B5A82"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c>
          <w:tcPr>
            <w:tcW w:w="1930" w:type="dxa"/>
            <w:tcBorders>
              <w:top w:val="nil"/>
              <w:left w:val="nil"/>
              <w:bottom w:val="nil"/>
              <w:right w:val="nil"/>
            </w:tcBorders>
            <w:shd w:val="clear" w:color="auto" w:fill="auto"/>
            <w:noWrap/>
            <w:vAlign w:val="bottom"/>
            <w:hideMark/>
          </w:tcPr>
          <w:p w14:paraId="754C331F" w14:textId="77777777" w:rsidR="00E45741" w:rsidRPr="000D0E7B" w:rsidRDefault="00E45741" w:rsidP="00E45741">
            <w:pPr>
              <w:spacing w:before="0" w:after="0"/>
              <w:rPr>
                <w:rFonts w:ascii="Times New Roman" w:eastAsia="Times New Roman" w:hAnsi="Times New Roman" w:cs="Times New Roman"/>
                <w:sz w:val="20"/>
                <w:szCs w:val="20"/>
                <w:lang w:eastAsia="en-GB"/>
              </w:rPr>
            </w:pPr>
          </w:p>
        </w:tc>
      </w:tr>
      <w:tr w:rsidR="00644FCB" w:rsidRPr="000D0E7B" w14:paraId="4CFDA00D" w14:textId="77777777" w:rsidTr="00A20382">
        <w:trPr>
          <w:trHeight w:val="520"/>
        </w:trPr>
        <w:tc>
          <w:tcPr>
            <w:tcW w:w="4253" w:type="dxa"/>
            <w:tcBorders>
              <w:top w:val="nil"/>
              <w:left w:val="nil"/>
              <w:bottom w:val="nil"/>
              <w:right w:val="nil"/>
            </w:tcBorders>
            <w:shd w:val="clear" w:color="auto" w:fill="auto"/>
            <w:noWrap/>
            <w:hideMark/>
          </w:tcPr>
          <w:p w14:paraId="742ABDE0" w14:textId="76D424F2" w:rsidR="00717C56" w:rsidRPr="000D0E7B" w:rsidRDefault="00717C56" w:rsidP="00717C56">
            <w:pPr>
              <w:spacing w:before="0" w:after="0"/>
              <w:rPr>
                <w:rFonts w:ascii="Times New Roman" w:eastAsia="Times New Roman" w:hAnsi="Times New Roman" w:cs="Times New Roman"/>
                <w:sz w:val="20"/>
                <w:szCs w:val="20"/>
                <w:lang w:eastAsia="en-GB"/>
              </w:rPr>
            </w:pPr>
            <w:r w:rsidRPr="000D0E7B">
              <w:rPr>
                <w:rFonts w:eastAsia="Times New Roman" w:cs="Arial"/>
                <w:b/>
                <w:bCs/>
                <w:sz w:val="20"/>
                <w:szCs w:val="20"/>
                <w:lang w:eastAsia="en-GB"/>
              </w:rPr>
              <w:t>10.2 Lease liabilities</w:t>
            </w:r>
          </w:p>
        </w:tc>
        <w:tc>
          <w:tcPr>
            <w:tcW w:w="1216" w:type="dxa"/>
            <w:tcBorders>
              <w:top w:val="nil"/>
              <w:left w:val="nil"/>
              <w:bottom w:val="nil"/>
              <w:right w:val="nil"/>
            </w:tcBorders>
            <w:shd w:val="clear" w:color="auto" w:fill="auto"/>
            <w:noWrap/>
            <w:vAlign w:val="bottom"/>
            <w:hideMark/>
          </w:tcPr>
          <w:p w14:paraId="26C327EC" w14:textId="77777777" w:rsidR="00717C56" w:rsidRPr="000D0E7B" w:rsidRDefault="00717C56" w:rsidP="00717C56">
            <w:pPr>
              <w:spacing w:before="0" w:after="0"/>
              <w:rPr>
                <w:rFonts w:ascii="Times New Roman" w:eastAsia="Times New Roman" w:hAnsi="Times New Roman" w:cs="Times New Roman"/>
                <w:sz w:val="20"/>
                <w:szCs w:val="20"/>
                <w:lang w:eastAsia="en-GB"/>
              </w:rPr>
            </w:pPr>
          </w:p>
        </w:tc>
        <w:tc>
          <w:tcPr>
            <w:tcW w:w="1336" w:type="dxa"/>
            <w:tcBorders>
              <w:top w:val="nil"/>
              <w:left w:val="nil"/>
              <w:bottom w:val="nil"/>
              <w:right w:val="nil"/>
            </w:tcBorders>
            <w:shd w:val="clear" w:color="000000" w:fill="FFFFFF"/>
            <w:vAlign w:val="bottom"/>
            <w:hideMark/>
          </w:tcPr>
          <w:p w14:paraId="27DF51CB" w14:textId="77777777" w:rsidR="00717C56" w:rsidRPr="000D0E7B" w:rsidRDefault="00717C56" w:rsidP="00717C56">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1-Apr-23 to 31-Mar-24</w:t>
            </w:r>
          </w:p>
        </w:tc>
        <w:tc>
          <w:tcPr>
            <w:tcW w:w="272" w:type="dxa"/>
            <w:tcBorders>
              <w:top w:val="nil"/>
              <w:left w:val="nil"/>
              <w:bottom w:val="nil"/>
              <w:right w:val="nil"/>
            </w:tcBorders>
            <w:shd w:val="clear" w:color="auto" w:fill="auto"/>
            <w:vAlign w:val="bottom"/>
            <w:hideMark/>
          </w:tcPr>
          <w:p w14:paraId="3D51900B" w14:textId="77777777" w:rsidR="00717C56" w:rsidRPr="000D0E7B" w:rsidRDefault="00717C56" w:rsidP="00717C56">
            <w:pPr>
              <w:spacing w:before="0" w:after="0"/>
              <w:jc w:val="right"/>
              <w:rPr>
                <w:rFonts w:eastAsia="Times New Roman" w:cs="Arial"/>
                <w:b/>
                <w:bCs/>
                <w:sz w:val="20"/>
                <w:szCs w:val="20"/>
                <w:lang w:eastAsia="en-GB"/>
              </w:rPr>
            </w:pPr>
          </w:p>
        </w:tc>
        <w:tc>
          <w:tcPr>
            <w:tcW w:w="1332" w:type="dxa"/>
            <w:tcBorders>
              <w:top w:val="nil"/>
              <w:left w:val="nil"/>
              <w:bottom w:val="nil"/>
              <w:right w:val="nil"/>
            </w:tcBorders>
            <w:shd w:val="clear" w:color="000000" w:fill="FFFFFF"/>
            <w:vAlign w:val="bottom"/>
            <w:hideMark/>
          </w:tcPr>
          <w:p w14:paraId="7D0FD1C8" w14:textId="77777777" w:rsidR="00717C56" w:rsidRPr="000D0E7B" w:rsidRDefault="00717C56" w:rsidP="00717C56">
            <w:pPr>
              <w:spacing w:before="0" w:after="0"/>
              <w:jc w:val="right"/>
              <w:rPr>
                <w:rFonts w:eastAsia="Times New Roman" w:cs="Arial"/>
                <w:sz w:val="20"/>
                <w:szCs w:val="20"/>
                <w:lang w:eastAsia="en-GB"/>
              </w:rPr>
            </w:pPr>
            <w:r w:rsidRPr="000D0E7B">
              <w:rPr>
                <w:rFonts w:eastAsia="Times New Roman" w:cs="Arial"/>
                <w:sz w:val="20"/>
                <w:szCs w:val="20"/>
                <w:lang w:eastAsia="en-GB"/>
              </w:rPr>
              <w:t xml:space="preserve">  1-Jul-22 to 31-Mar-23</w:t>
            </w:r>
          </w:p>
        </w:tc>
        <w:tc>
          <w:tcPr>
            <w:tcW w:w="567" w:type="dxa"/>
            <w:gridSpan w:val="2"/>
            <w:tcBorders>
              <w:top w:val="nil"/>
              <w:left w:val="nil"/>
              <w:bottom w:val="nil"/>
              <w:right w:val="nil"/>
            </w:tcBorders>
            <w:shd w:val="clear" w:color="auto" w:fill="auto"/>
            <w:noWrap/>
            <w:vAlign w:val="bottom"/>
            <w:hideMark/>
          </w:tcPr>
          <w:p w14:paraId="62EFD30D" w14:textId="77777777" w:rsidR="00717C56" w:rsidRPr="000D0E7B" w:rsidRDefault="00717C56" w:rsidP="00717C56">
            <w:pPr>
              <w:spacing w:before="0" w:after="0"/>
              <w:jc w:val="right"/>
              <w:rPr>
                <w:rFonts w:eastAsia="Times New Roman" w:cs="Arial"/>
                <w:sz w:val="20"/>
                <w:szCs w:val="20"/>
                <w:lang w:eastAsia="en-GB"/>
              </w:rPr>
            </w:pPr>
          </w:p>
        </w:tc>
        <w:tc>
          <w:tcPr>
            <w:tcW w:w="1930" w:type="dxa"/>
            <w:tcBorders>
              <w:top w:val="nil"/>
              <w:left w:val="nil"/>
              <w:bottom w:val="nil"/>
              <w:right w:val="nil"/>
            </w:tcBorders>
            <w:shd w:val="clear" w:color="auto" w:fill="auto"/>
            <w:noWrap/>
            <w:vAlign w:val="bottom"/>
            <w:hideMark/>
          </w:tcPr>
          <w:p w14:paraId="25807B0E" w14:textId="77777777" w:rsidR="00717C56" w:rsidRPr="000D0E7B" w:rsidRDefault="00717C56" w:rsidP="00717C56">
            <w:pPr>
              <w:spacing w:before="0" w:after="0"/>
              <w:rPr>
                <w:rFonts w:ascii="Times New Roman" w:eastAsia="Times New Roman" w:hAnsi="Times New Roman" w:cs="Times New Roman"/>
                <w:sz w:val="20"/>
                <w:szCs w:val="20"/>
                <w:lang w:eastAsia="en-GB"/>
              </w:rPr>
            </w:pPr>
          </w:p>
        </w:tc>
      </w:tr>
      <w:tr w:rsidR="00644FCB" w:rsidRPr="000D0E7B" w14:paraId="77802187" w14:textId="77777777" w:rsidTr="00A20382">
        <w:trPr>
          <w:trHeight w:val="260"/>
        </w:trPr>
        <w:tc>
          <w:tcPr>
            <w:tcW w:w="4253" w:type="dxa"/>
            <w:tcBorders>
              <w:top w:val="nil"/>
              <w:left w:val="nil"/>
              <w:bottom w:val="nil"/>
              <w:right w:val="nil"/>
            </w:tcBorders>
            <w:shd w:val="clear" w:color="auto" w:fill="auto"/>
            <w:noWrap/>
            <w:vAlign w:val="bottom"/>
            <w:hideMark/>
          </w:tcPr>
          <w:p w14:paraId="38F1F601" w14:textId="77777777" w:rsidR="00717C56" w:rsidRPr="000D0E7B" w:rsidRDefault="00717C56" w:rsidP="00717C56">
            <w:pPr>
              <w:spacing w:before="0" w:after="0"/>
              <w:rPr>
                <w:rFonts w:ascii="Times New Roman" w:eastAsia="Times New Roman" w:hAnsi="Times New Roman" w:cs="Times New Roman"/>
                <w:sz w:val="20"/>
                <w:szCs w:val="20"/>
                <w:lang w:eastAsia="en-GB"/>
              </w:rPr>
            </w:pPr>
          </w:p>
        </w:tc>
        <w:tc>
          <w:tcPr>
            <w:tcW w:w="1216" w:type="dxa"/>
            <w:tcBorders>
              <w:top w:val="nil"/>
              <w:left w:val="nil"/>
              <w:bottom w:val="nil"/>
              <w:right w:val="nil"/>
            </w:tcBorders>
            <w:shd w:val="clear" w:color="auto" w:fill="auto"/>
            <w:noWrap/>
            <w:vAlign w:val="bottom"/>
            <w:hideMark/>
          </w:tcPr>
          <w:p w14:paraId="357751B1" w14:textId="77777777" w:rsidR="00717C56" w:rsidRPr="000D0E7B" w:rsidRDefault="00717C56" w:rsidP="00717C56">
            <w:pPr>
              <w:spacing w:before="0" w:after="0"/>
              <w:rPr>
                <w:rFonts w:ascii="Times New Roman" w:eastAsia="Times New Roman" w:hAnsi="Times New Roman" w:cs="Times New Roman"/>
                <w:sz w:val="20"/>
                <w:szCs w:val="20"/>
                <w:lang w:eastAsia="en-GB"/>
              </w:rPr>
            </w:pPr>
          </w:p>
        </w:tc>
        <w:tc>
          <w:tcPr>
            <w:tcW w:w="1336" w:type="dxa"/>
            <w:tcBorders>
              <w:top w:val="nil"/>
              <w:left w:val="nil"/>
              <w:bottom w:val="nil"/>
              <w:right w:val="nil"/>
            </w:tcBorders>
            <w:shd w:val="clear" w:color="auto" w:fill="auto"/>
            <w:vAlign w:val="bottom"/>
            <w:hideMark/>
          </w:tcPr>
          <w:p w14:paraId="3D85B829" w14:textId="77777777" w:rsidR="00717C56" w:rsidRPr="000D0E7B" w:rsidRDefault="00717C56" w:rsidP="00717C56">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£'000</w:t>
            </w:r>
          </w:p>
        </w:tc>
        <w:tc>
          <w:tcPr>
            <w:tcW w:w="272" w:type="dxa"/>
            <w:tcBorders>
              <w:top w:val="nil"/>
              <w:left w:val="nil"/>
              <w:bottom w:val="nil"/>
              <w:right w:val="nil"/>
            </w:tcBorders>
            <w:shd w:val="clear" w:color="auto" w:fill="auto"/>
            <w:vAlign w:val="bottom"/>
            <w:hideMark/>
          </w:tcPr>
          <w:p w14:paraId="4DF6D3F6" w14:textId="77777777" w:rsidR="00717C56" w:rsidRPr="000D0E7B" w:rsidRDefault="00717C56" w:rsidP="00717C56">
            <w:pPr>
              <w:spacing w:before="0" w:after="0"/>
              <w:jc w:val="right"/>
              <w:rPr>
                <w:rFonts w:eastAsia="Times New Roman" w:cs="Arial"/>
                <w:b/>
                <w:bCs/>
                <w:sz w:val="20"/>
                <w:szCs w:val="20"/>
                <w:lang w:eastAsia="en-GB"/>
              </w:rPr>
            </w:pPr>
          </w:p>
        </w:tc>
        <w:tc>
          <w:tcPr>
            <w:tcW w:w="1332" w:type="dxa"/>
            <w:tcBorders>
              <w:top w:val="nil"/>
              <w:left w:val="nil"/>
              <w:bottom w:val="nil"/>
              <w:right w:val="nil"/>
            </w:tcBorders>
            <w:shd w:val="clear" w:color="auto" w:fill="auto"/>
            <w:vAlign w:val="bottom"/>
            <w:hideMark/>
          </w:tcPr>
          <w:p w14:paraId="112E60C2" w14:textId="77777777" w:rsidR="00717C56" w:rsidRPr="000D0E7B" w:rsidRDefault="00717C56" w:rsidP="00717C56">
            <w:pPr>
              <w:spacing w:before="0" w:after="0"/>
              <w:jc w:val="right"/>
              <w:rPr>
                <w:rFonts w:eastAsia="Times New Roman" w:cs="Arial"/>
                <w:sz w:val="20"/>
                <w:szCs w:val="20"/>
                <w:lang w:eastAsia="en-GB"/>
              </w:rPr>
            </w:pPr>
            <w:r w:rsidRPr="000D0E7B">
              <w:rPr>
                <w:rFonts w:eastAsia="Times New Roman" w:cs="Arial"/>
                <w:sz w:val="20"/>
                <w:szCs w:val="20"/>
                <w:lang w:eastAsia="en-GB"/>
              </w:rPr>
              <w:t>£'000</w:t>
            </w:r>
          </w:p>
        </w:tc>
        <w:tc>
          <w:tcPr>
            <w:tcW w:w="567" w:type="dxa"/>
            <w:gridSpan w:val="2"/>
            <w:tcBorders>
              <w:top w:val="nil"/>
              <w:left w:val="nil"/>
              <w:bottom w:val="nil"/>
              <w:right w:val="nil"/>
            </w:tcBorders>
            <w:shd w:val="clear" w:color="auto" w:fill="auto"/>
            <w:noWrap/>
            <w:vAlign w:val="bottom"/>
            <w:hideMark/>
          </w:tcPr>
          <w:p w14:paraId="3B42A487" w14:textId="77777777" w:rsidR="00717C56" w:rsidRPr="000D0E7B" w:rsidRDefault="00717C56" w:rsidP="00717C56">
            <w:pPr>
              <w:spacing w:before="0" w:after="0"/>
              <w:jc w:val="right"/>
              <w:rPr>
                <w:rFonts w:eastAsia="Times New Roman" w:cs="Arial"/>
                <w:sz w:val="20"/>
                <w:szCs w:val="20"/>
                <w:lang w:eastAsia="en-GB"/>
              </w:rPr>
            </w:pPr>
          </w:p>
        </w:tc>
        <w:tc>
          <w:tcPr>
            <w:tcW w:w="1930" w:type="dxa"/>
            <w:tcBorders>
              <w:top w:val="nil"/>
              <w:left w:val="nil"/>
              <w:bottom w:val="nil"/>
              <w:right w:val="nil"/>
            </w:tcBorders>
            <w:shd w:val="clear" w:color="auto" w:fill="auto"/>
            <w:noWrap/>
            <w:vAlign w:val="bottom"/>
            <w:hideMark/>
          </w:tcPr>
          <w:p w14:paraId="06AEB5C6" w14:textId="77777777" w:rsidR="00717C56" w:rsidRPr="000D0E7B" w:rsidRDefault="00717C56" w:rsidP="00717C56">
            <w:pPr>
              <w:spacing w:before="0" w:after="0"/>
              <w:rPr>
                <w:rFonts w:ascii="Times New Roman" w:eastAsia="Times New Roman" w:hAnsi="Times New Roman" w:cs="Times New Roman"/>
                <w:sz w:val="20"/>
                <w:szCs w:val="20"/>
                <w:lang w:eastAsia="en-GB"/>
              </w:rPr>
            </w:pPr>
          </w:p>
        </w:tc>
      </w:tr>
      <w:tr w:rsidR="00644FCB" w:rsidRPr="000D0E7B" w14:paraId="75A51CF3" w14:textId="77777777" w:rsidTr="00A20382">
        <w:trPr>
          <w:trHeight w:val="260"/>
        </w:trPr>
        <w:tc>
          <w:tcPr>
            <w:tcW w:w="4253" w:type="dxa"/>
            <w:tcBorders>
              <w:top w:val="nil"/>
              <w:left w:val="nil"/>
              <w:bottom w:val="nil"/>
              <w:right w:val="nil"/>
            </w:tcBorders>
            <w:shd w:val="clear" w:color="auto" w:fill="auto"/>
            <w:noWrap/>
            <w:vAlign w:val="bottom"/>
            <w:hideMark/>
          </w:tcPr>
          <w:p w14:paraId="09932584" w14:textId="77777777" w:rsidR="00717C56" w:rsidRPr="000D0E7B" w:rsidRDefault="00717C56" w:rsidP="00717C56">
            <w:pPr>
              <w:spacing w:before="0" w:after="0"/>
              <w:rPr>
                <w:rFonts w:eastAsia="Times New Roman" w:cs="Arial"/>
                <w:b/>
                <w:bCs/>
                <w:sz w:val="20"/>
                <w:szCs w:val="20"/>
                <w:lang w:eastAsia="en-GB"/>
              </w:rPr>
            </w:pPr>
            <w:r w:rsidRPr="000D0E7B">
              <w:rPr>
                <w:rFonts w:eastAsia="Times New Roman" w:cs="Arial"/>
                <w:b/>
                <w:bCs/>
                <w:sz w:val="20"/>
                <w:szCs w:val="20"/>
                <w:lang w:eastAsia="en-GB"/>
              </w:rPr>
              <w:t>Lease liabilities at 01 April 23</w:t>
            </w:r>
          </w:p>
        </w:tc>
        <w:tc>
          <w:tcPr>
            <w:tcW w:w="1216" w:type="dxa"/>
            <w:tcBorders>
              <w:top w:val="nil"/>
              <w:left w:val="nil"/>
              <w:bottom w:val="nil"/>
              <w:right w:val="nil"/>
            </w:tcBorders>
            <w:shd w:val="clear" w:color="auto" w:fill="auto"/>
            <w:noWrap/>
            <w:vAlign w:val="bottom"/>
            <w:hideMark/>
          </w:tcPr>
          <w:p w14:paraId="6D12FAF6" w14:textId="77777777" w:rsidR="00717C56" w:rsidRPr="000D0E7B" w:rsidRDefault="00717C56" w:rsidP="00717C56">
            <w:pPr>
              <w:spacing w:before="0" w:after="0"/>
              <w:rPr>
                <w:rFonts w:eastAsia="Times New Roman" w:cs="Arial"/>
                <w:b/>
                <w:bCs/>
                <w:sz w:val="20"/>
                <w:szCs w:val="20"/>
                <w:lang w:eastAsia="en-GB"/>
              </w:rPr>
            </w:pPr>
          </w:p>
        </w:tc>
        <w:tc>
          <w:tcPr>
            <w:tcW w:w="1336" w:type="dxa"/>
            <w:tcBorders>
              <w:top w:val="nil"/>
              <w:left w:val="nil"/>
              <w:bottom w:val="nil"/>
              <w:right w:val="nil"/>
            </w:tcBorders>
            <w:shd w:val="clear" w:color="auto" w:fill="auto"/>
            <w:noWrap/>
            <w:vAlign w:val="bottom"/>
            <w:hideMark/>
          </w:tcPr>
          <w:p w14:paraId="0C32B08C" w14:textId="77777777" w:rsidR="00717C56" w:rsidRPr="000D0E7B" w:rsidRDefault="00717C56" w:rsidP="00717C56">
            <w:pPr>
              <w:spacing w:before="0" w:after="0"/>
              <w:jc w:val="right"/>
              <w:rPr>
                <w:rFonts w:eastAsia="Times New Roman" w:cs="Arial"/>
                <w:sz w:val="20"/>
                <w:szCs w:val="20"/>
                <w:lang w:eastAsia="en-GB"/>
              </w:rPr>
            </w:pPr>
            <w:r w:rsidRPr="000D0E7B">
              <w:rPr>
                <w:rFonts w:eastAsia="Times New Roman" w:cs="Arial"/>
                <w:sz w:val="20"/>
                <w:szCs w:val="20"/>
                <w:lang w:eastAsia="en-GB"/>
              </w:rPr>
              <w:t>(2,945)</w:t>
            </w:r>
          </w:p>
        </w:tc>
        <w:tc>
          <w:tcPr>
            <w:tcW w:w="272" w:type="dxa"/>
            <w:tcBorders>
              <w:top w:val="nil"/>
              <w:left w:val="nil"/>
              <w:bottom w:val="nil"/>
              <w:right w:val="nil"/>
            </w:tcBorders>
            <w:shd w:val="clear" w:color="auto" w:fill="auto"/>
            <w:noWrap/>
            <w:vAlign w:val="bottom"/>
            <w:hideMark/>
          </w:tcPr>
          <w:p w14:paraId="0FABA408" w14:textId="77777777" w:rsidR="00717C56" w:rsidRPr="000D0E7B" w:rsidRDefault="00717C56" w:rsidP="00717C56">
            <w:pPr>
              <w:spacing w:before="0" w:after="0"/>
              <w:jc w:val="right"/>
              <w:rPr>
                <w:rFonts w:eastAsia="Times New Roman" w:cs="Arial"/>
                <w:sz w:val="20"/>
                <w:szCs w:val="20"/>
                <w:lang w:eastAsia="en-GB"/>
              </w:rPr>
            </w:pPr>
          </w:p>
        </w:tc>
        <w:tc>
          <w:tcPr>
            <w:tcW w:w="1332" w:type="dxa"/>
            <w:tcBorders>
              <w:top w:val="nil"/>
              <w:left w:val="nil"/>
              <w:bottom w:val="nil"/>
              <w:right w:val="nil"/>
            </w:tcBorders>
            <w:shd w:val="clear" w:color="auto" w:fill="auto"/>
            <w:noWrap/>
            <w:vAlign w:val="bottom"/>
            <w:hideMark/>
          </w:tcPr>
          <w:p w14:paraId="46C09116" w14:textId="77777777" w:rsidR="00717C56" w:rsidRPr="000D0E7B" w:rsidRDefault="00717C56" w:rsidP="00717C56">
            <w:pPr>
              <w:spacing w:before="0" w:after="0"/>
              <w:jc w:val="right"/>
              <w:rPr>
                <w:rFonts w:eastAsia="Times New Roman" w:cs="Arial"/>
                <w:sz w:val="20"/>
                <w:szCs w:val="20"/>
                <w:lang w:eastAsia="en-GB"/>
              </w:rPr>
            </w:pPr>
            <w:r w:rsidRPr="000D0E7B">
              <w:rPr>
                <w:rFonts w:eastAsia="Times New Roman" w:cs="Arial"/>
                <w:sz w:val="20"/>
                <w:szCs w:val="20"/>
                <w:lang w:eastAsia="en-GB"/>
              </w:rPr>
              <w:t>-</w:t>
            </w:r>
          </w:p>
        </w:tc>
        <w:tc>
          <w:tcPr>
            <w:tcW w:w="567" w:type="dxa"/>
            <w:gridSpan w:val="2"/>
            <w:tcBorders>
              <w:top w:val="nil"/>
              <w:left w:val="nil"/>
              <w:bottom w:val="nil"/>
              <w:right w:val="nil"/>
            </w:tcBorders>
            <w:shd w:val="clear" w:color="auto" w:fill="auto"/>
            <w:noWrap/>
            <w:vAlign w:val="bottom"/>
            <w:hideMark/>
          </w:tcPr>
          <w:p w14:paraId="648ACC16" w14:textId="77777777" w:rsidR="00717C56" w:rsidRPr="000D0E7B" w:rsidRDefault="00717C56" w:rsidP="00717C56">
            <w:pPr>
              <w:spacing w:before="0" w:after="0"/>
              <w:jc w:val="right"/>
              <w:rPr>
                <w:rFonts w:eastAsia="Times New Roman" w:cs="Arial"/>
                <w:sz w:val="20"/>
                <w:szCs w:val="20"/>
                <w:lang w:eastAsia="en-GB"/>
              </w:rPr>
            </w:pPr>
          </w:p>
        </w:tc>
        <w:tc>
          <w:tcPr>
            <w:tcW w:w="1930" w:type="dxa"/>
            <w:tcBorders>
              <w:top w:val="nil"/>
              <w:left w:val="nil"/>
              <w:bottom w:val="nil"/>
              <w:right w:val="nil"/>
            </w:tcBorders>
            <w:shd w:val="clear" w:color="auto" w:fill="auto"/>
            <w:noWrap/>
            <w:vAlign w:val="bottom"/>
            <w:hideMark/>
          </w:tcPr>
          <w:p w14:paraId="3BC452B1" w14:textId="77777777" w:rsidR="00717C56" w:rsidRPr="000D0E7B" w:rsidRDefault="00717C56" w:rsidP="00717C56">
            <w:pPr>
              <w:spacing w:before="0" w:after="0"/>
              <w:rPr>
                <w:rFonts w:ascii="Times New Roman" w:eastAsia="Times New Roman" w:hAnsi="Times New Roman" w:cs="Times New Roman"/>
                <w:sz w:val="20"/>
                <w:szCs w:val="20"/>
                <w:lang w:eastAsia="en-GB"/>
              </w:rPr>
            </w:pPr>
          </w:p>
        </w:tc>
      </w:tr>
      <w:tr w:rsidR="00644FCB" w:rsidRPr="000D0E7B" w14:paraId="0C89D7B3" w14:textId="77777777" w:rsidTr="00A20382">
        <w:trPr>
          <w:trHeight w:val="120"/>
        </w:trPr>
        <w:tc>
          <w:tcPr>
            <w:tcW w:w="4253" w:type="dxa"/>
            <w:tcBorders>
              <w:top w:val="nil"/>
              <w:left w:val="nil"/>
              <w:bottom w:val="nil"/>
              <w:right w:val="nil"/>
            </w:tcBorders>
            <w:shd w:val="clear" w:color="auto" w:fill="auto"/>
            <w:noWrap/>
            <w:vAlign w:val="bottom"/>
            <w:hideMark/>
          </w:tcPr>
          <w:p w14:paraId="5A548F83" w14:textId="77777777" w:rsidR="00717C56" w:rsidRPr="000D0E7B" w:rsidRDefault="00717C56" w:rsidP="00717C56">
            <w:pPr>
              <w:spacing w:before="0" w:after="0"/>
              <w:rPr>
                <w:rFonts w:ascii="Times New Roman" w:eastAsia="Times New Roman" w:hAnsi="Times New Roman" w:cs="Times New Roman"/>
                <w:sz w:val="20"/>
                <w:szCs w:val="20"/>
                <w:lang w:eastAsia="en-GB"/>
              </w:rPr>
            </w:pPr>
          </w:p>
        </w:tc>
        <w:tc>
          <w:tcPr>
            <w:tcW w:w="1216" w:type="dxa"/>
            <w:tcBorders>
              <w:top w:val="nil"/>
              <w:left w:val="nil"/>
              <w:bottom w:val="nil"/>
              <w:right w:val="nil"/>
            </w:tcBorders>
            <w:shd w:val="clear" w:color="auto" w:fill="auto"/>
            <w:noWrap/>
            <w:vAlign w:val="bottom"/>
            <w:hideMark/>
          </w:tcPr>
          <w:p w14:paraId="79126A88" w14:textId="77777777" w:rsidR="00717C56" w:rsidRPr="000D0E7B" w:rsidRDefault="00717C56" w:rsidP="00717C56">
            <w:pPr>
              <w:spacing w:before="0" w:after="0"/>
              <w:rPr>
                <w:rFonts w:ascii="Times New Roman" w:eastAsia="Times New Roman" w:hAnsi="Times New Roman" w:cs="Times New Roman"/>
                <w:sz w:val="20"/>
                <w:szCs w:val="20"/>
                <w:lang w:eastAsia="en-GB"/>
              </w:rPr>
            </w:pPr>
          </w:p>
        </w:tc>
        <w:tc>
          <w:tcPr>
            <w:tcW w:w="1336" w:type="dxa"/>
            <w:tcBorders>
              <w:top w:val="nil"/>
              <w:left w:val="nil"/>
              <w:bottom w:val="nil"/>
              <w:right w:val="nil"/>
            </w:tcBorders>
            <w:shd w:val="clear" w:color="auto" w:fill="auto"/>
            <w:noWrap/>
            <w:vAlign w:val="bottom"/>
            <w:hideMark/>
          </w:tcPr>
          <w:p w14:paraId="528DCA5B" w14:textId="77777777" w:rsidR="00717C56" w:rsidRPr="000D0E7B" w:rsidRDefault="00717C56" w:rsidP="00717C56">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2498F514" w14:textId="77777777" w:rsidR="00717C56" w:rsidRPr="000D0E7B" w:rsidRDefault="00717C56" w:rsidP="00717C56">
            <w:pPr>
              <w:spacing w:before="0" w:after="0"/>
              <w:rPr>
                <w:rFonts w:ascii="Times New Roman" w:eastAsia="Times New Roman" w:hAnsi="Times New Roman" w:cs="Times New Roman"/>
                <w:sz w:val="20"/>
                <w:szCs w:val="20"/>
                <w:lang w:eastAsia="en-GB"/>
              </w:rPr>
            </w:pPr>
          </w:p>
        </w:tc>
        <w:tc>
          <w:tcPr>
            <w:tcW w:w="1332" w:type="dxa"/>
            <w:tcBorders>
              <w:top w:val="nil"/>
              <w:left w:val="nil"/>
              <w:bottom w:val="nil"/>
              <w:right w:val="nil"/>
            </w:tcBorders>
            <w:shd w:val="clear" w:color="auto" w:fill="auto"/>
            <w:noWrap/>
            <w:vAlign w:val="bottom"/>
            <w:hideMark/>
          </w:tcPr>
          <w:p w14:paraId="1AFEC8F3" w14:textId="77777777" w:rsidR="00717C56" w:rsidRPr="000D0E7B" w:rsidRDefault="00717C56" w:rsidP="00717C56">
            <w:pPr>
              <w:spacing w:before="0" w:after="0"/>
              <w:rPr>
                <w:rFonts w:ascii="Times New Roman" w:eastAsia="Times New Roman" w:hAnsi="Times New Roman" w:cs="Times New Roman"/>
                <w:sz w:val="20"/>
                <w:szCs w:val="20"/>
                <w:lang w:eastAsia="en-GB"/>
              </w:rPr>
            </w:pPr>
          </w:p>
        </w:tc>
        <w:tc>
          <w:tcPr>
            <w:tcW w:w="567" w:type="dxa"/>
            <w:gridSpan w:val="2"/>
            <w:tcBorders>
              <w:top w:val="nil"/>
              <w:left w:val="nil"/>
              <w:bottom w:val="nil"/>
              <w:right w:val="nil"/>
            </w:tcBorders>
            <w:shd w:val="clear" w:color="auto" w:fill="auto"/>
            <w:noWrap/>
            <w:vAlign w:val="bottom"/>
            <w:hideMark/>
          </w:tcPr>
          <w:p w14:paraId="3B6FCD19" w14:textId="77777777" w:rsidR="00717C56" w:rsidRPr="000D0E7B" w:rsidRDefault="00717C56" w:rsidP="00717C56">
            <w:pPr>
              <w:spacing w:before="0" w:after="0"/>
              <w:rPr>
                <w:rFonts w:ascii="Times New Roman" w:eastAsia="Times New Roman" w:hAnsi="Times New Roman" w:cs="Times New Roman"/>
                <w:sz w:val="20"/>
                <w:szCs w:val="20"/>
                <w:lang w:eastAsia="en-GB"/>
              </w:rPr>
            </w:pPr>
          </w:p>
        </w:tc>
        <w:tc>
          <w:tcPr>
            <w:tcW w:w="1930" w:type="dxa"/>
            <w:tcBorders>
              <w:top w:val="nil"/>
              <w:left w:val="nil"/>
              <w:bottom w:val="nil"/>
              <w:right w:val="nil"/>
            </w:tcBorders>
            <w:shd w:val="clear" w:color="auto" w:fill="auto"/>
            <w:noWrap/>
            <w:vAlign w:val="bottom"/>
            <w:hideMark/>
          </w:tcPr>
          <w:p w14:paraId="4B1C021C" w14:textId="77777777" w:rsidR="00717C56" w:rsidRPr="000D0E7B" w:rsidRDefault="00717C56" w:rsidP="00717C56">
            <w:pPr>
              <w:spacing w:before="0" w:after="0"/>
              <w:rPr>
                <w:rFonts w:ascii="Times New Roman" w:eastAsia="Times New Roman" w:hAnsi="Times New Roman" w:cs="Times New Roman"/>
                <w:sz w:val="20"/>
                <w:szCs w:val="20"/>
                <w:lang w:eastAsia="en-GB"/>
              </w:rPr>
            </w:pPr>
          </w:p>
        </w:tc>
      </w:tr>
      <w:tr w:rsidR="00644FCB" w:rsidRPr="000D0E7B" w14:paraId="15FE8062" w14:textId="77777777" w:rsidTr="00A20382">
        <w:trPr>
          <w:trHeight w:val="250"/>
        </w:trPr>
        <w:tc>
          <w:tcPr>
            <w:tcW w:w="4253" w:type="dxa"/>
            <w:tcBorders>
              <w:top w:val="nil"/>
              <w:left w:val="nil"/>
              <w:bottom w:val="nil"/>
              <w:right w:val="nil"/>
            </w:tcBorders>
            <w:shd w:val="clear" w:color="auto" w:fill="auto"/>
            <w:noWrap/>
            <w:vAlign w:val="bottom"/>
            <w:hideMark/>
          </w:tcPr>
          <w:p w14:paraId="1F24943E" w14:textId="77777777" w:rsidR="00717C56" w:rsidRPr="000D0E7B" w:rsidRDefault="00717C56" w:rsidP="00717C56">
            <w:pPr>
              <w:spacing w:before="0" w:after="0"/>
              <w:rPr>
                <w:rFonts w:eastAsia="Times New Roman" w:cs="Arial"/>
                <w:sz w:val="20"/>
                <w:szCs w:val="20"/>
                <w:lang w:eastAsia="en-GB"/>
              </w:rPr>
            </w:pPr>
            <w:r w:rsidRPr="000D0E7B">
              <w:rPr>
                <w:rFonts w:eastAsia="Times New Roman" w:cs="Arial"/>
                <w:sz w:val="20"/>
                <w:szCs w:val="20"/>
                <w:lang w:eastAsia="en-GB"/>
              </w:rPr>
              <w:t>Additions purchased</w:t>
            </w:r>
          </w:p>
        </w:tc>
        <w:tc>
          <w:tcPr>
            <w:tcW w:w="1216" w:type="dxa"/>
            <w:tcBorders>
              <w:top w:val="nil"/>
              <w:left w:val="nil"/>
              <w:bottom w:val="nil"/>
              <w:right w:val="nil"/>
            </w:tcBorders>
            <w:shd w:val="clear" w:color="auto" w:fill="auto"/>
            <w:noWrap/>
            <w:vAlign w:val="bottom"/>
            <w:hideMark/>
          </w:tcPr>
          <w:p w14:paraId="5957DA6D" w14:textId="77777777" w:rsidR="00717C56" w:rsidRPr="000D0E7B" w:rsidRDefault="00717C56" w:rsidP="00717C56">
            <w:pPr>
              <w:spacing w:before="0" w:after="0"/>
              <w:rPr>
                <w:rFonts w:eastAsia="Times New Roman" w:cs="Arial"/>
                <w:sz w:val="20"/>
                <w:szCs w:val="20"/>
                <w:lang w:eastAsia="en-GB"/>
              </w:rPr>
            </w:pPr>
          </w:p>
        </w:tc>
        <w:tc>
          <w:tcPr>
            <w:tcW w:w="1336" w:type="dxa"/>
            <w:tcBorders>
              <w:top w:val="nil"/>
              <w:left w:val="nil"/>
              <w:bottom w:val="nil"/>
              <w:right w:val="nil"/>
            </w:tcBorders>
            <w:shd w:val="clear" w:color="auto" w:fill="auto"/>
            <w:noWrap/>
            <w:vAlign w:val="bottom"/>
            <w:hideMark/>
          </w:tcPr>
          <w:p w14:paraId="1A636184" w14:textId="77777777" w:rsidR="00717C56" w:rsidRPr="000D0E7B" w:rsidRDefault="00717C56" w:rsidP="00717C56">
            <w:pPr>
              <w:spacing w:before="0" w:after="0"/>
              <w:jc w:val="right"/>
              <w:rPr>
                <w:rFonts w:eastAsia="Times New Roman" w:cs="Arial"/>
                <w:sz w:val="20"/>
                <w:szCs w:val="20"/>
                <w:lang w:eastAsia="en-GB"/>
              </w:rPr>
            </w:pPr>
            <w:r w:rsidRPr="000D0E7B">
              <w:rPr>
                <w:rFonts w:eastAsia="Times New Roman" w:cs="Arial"/>
                <w:sz w:val="20"/>
                <w:szCs w:val="20"/>
                <w:lang w:eastAsia="en-GB"/>
              </w:rPr>
              <w:t>-</w:t>
            </w:r>
          </w:p>
        </w:tc>
        <w:tc>
          <w:tcPr>
            <w:tcW w:w="272" w:type="dxa"/>
            <w:tcBorders>
              <w:top w:val="nil"/>
              <w:left w:val="nil"/>
              <w:bottom w:val="nil"/>
              <w:right w:val="nil"/>
            </w:tcBorders>
            <w:shd w:val="clear" w:color="auto" w:fill="auto"/>
            <w:noWrap/>
            <w:vAlign w:val="bottom"/>
            <w:hideMark/>
          </w:tcPr>
          <w:p w14:paraId="71A0B73A" w14:textId="77777777" w:rsidR="00717C56" w:rsidRPr="000D0E7B" w:rsidRDefault="00717C56" w:rsidP="00717C56">
            <w:pPr>
              <w:spacing w:before="0" w:after="0"/>
              <w:jc w:val="right"/>
              <w:rPr>
                <w:rFonts w:eastAsia="Times New Roman" w:cs="Arial"/>
                <w:sz w:val="20"/>
                <w:szCs w:val="20"/>
                <w:lang w:eastAsia="en-GB"/>
              </w:rPr>
            </w:pPr>
          </w:p>
        </w:tc>
        <w:tc>
          <w:tcPr>
            <w:tcW w:w="1332" w:type="dxa"/>
            <w:tcBorders>
              <w:top w:val="nil"/>
              <w:left w:val="nil"/>
              <w:bottom w:val="nil"/>
              <w:right w:val="nil"/>
            </w:tcBorders>
            <w:shd w:val="clear" w:color="auto" w:fill="auto"/>
            <w:noWrap/>
            <w:vAlign w:val="bottom"/>
            <w:hideMark/>
          </w:tcPr>
          <w:p w14:paraId="3DA227B4" w14:textId="77777777" w:rsidR="00717C56" w:rsidRPr="000D0E7B" w:rsidRDefault="00717C56" w:rsidP="00717C56">
            <w:pPr>
              <w:spacing w:before="0" w:after="0"/>
              <w:jc w:val="right"/>
              <w:rPr>
                <w:rFonts w:eastAsia="Times New Roman" w:cs="Arial"/>
                <w:sz w:val="20"/>
                <w:szCs w:val="20"/>
                <w:lang w:eastAsia="en-GB"/>
              </w:rPr>
            </w:pPr>
            <w:r w:rsidRPr="000D0E7B">
              <w:rPr>
                <w:rFonts w:eastAsia="Times New Roman" w:cs="Arial"/>
                <w:sz w:val="20"/>
                <w:szCs w:val="20"/>
                <w:lang w:eastAsia="en-GB"/>
              </w:rPr>
              <w:t>(76)</w:t>
            </w:r>
          </w:p>
        </w:tc>
        <w:tc>
          <w:tcPr>
            <w:tcW w:w="567" w:type="dxa"/>
            <w:gridSpan w:val="2"/>
            <w:tcBorders>
              <w:top w:val="nil"/>
              <w:left w:val="nil"/>
              <w:bottom w:val="nil"/>
              <w:right w:val="nil"/>
            </w:tcBorders>
            <w:shd w:val="clear" w:color="auto" w:fill="auto"/>
            <w:noWrap/>
            <w:vAlign w:val="bottom"/>
            <w:hideMark/>
          </w:tcPr>
          <w:p w14:paraId="10D9F325" w14:textId="77777777" w:rsidR="00717C56" w:rsidRPr="000D0E7B" w:rsidRDefault="00717C56" w:rsidP="00717C56">
            <w:pPr>
              <w:spacing w:before="0" w:after="0"/>
              <w:jc w:val="right"/>
              <w:rPr>
                <w:rFonts w:eastAsia="Times New Roman" w:cs="Arial"/>
                <w:sz w:val="20"/>
                <w:szCs w:val="20"/>
                <w:lang w:eastAsia="en-GB"/>
              </w:rPr>
            </w:pPr>
          </w:p>
        </w:tc>
        <w:tc>
          <w:tcPr>
            <w:tcW w:w="1930" w:type="dxa"/>
            <w:tcBorders>
              <w:top w:val="nil"/>
              <w:left w:val="nil"/>
              <w:bottom w:val="nil"/>
              <w:right w:val="nil"/>
            </w:tcBorders>
            <w:shd w:val="clear" w:color="auto" w:fill="auto"/>
            <w:noWrap/>
            <w:vAlign w:val="bottom"/>
            <w:hideMark/>
          </w:tcPr>
          <w:p w14:paraId="14518240" w14:textId="77777777" w:rsidR="00717C56" w:rsidRPr="000D0E7B" w:rsidRDefault="00717C56" w:rsidP="00717C56">
            <w:pPr>
              <w:spacing w:before="0" w:after="0"/>
              <w:rPr>
                <w:rFonts w:ascii="Times New Roman" w:eastAsia="Times New Roman" w:hAnsi="Times New Roman" w:cs="Times New Roman"/>
                <w:sz w:val="20"/>
                <w:szCs w:val="20"/>
                <w:lang w:eastAsia="en-GB"/>
              </w:rPr>
            </w:pPr>
          </w:p>
        </w:tc>
      </w:tr>
      <w:tr w:rsidR="00644FCB" w:rsidRPr="000D0E7B" w14:paraId="2C036D55" w14:textId="77777777" w:rsidTr="00A20382">
        <w:trPr>
          <w:trHeight w:val="250"/>
        </w:trPr>
        <w:tc>
          <w:tcPr>
            <w:tcW w:w="4253" w:type="dxa"/>
            <w:tcBorders>
              <w:top w:val="nil"/>
              <w:left w:val="nil"/>
              <w:bottom w:val="nil"/>
              <w:right w:val="nil"/>
            </w:tcBorders>
            <w:shd w:val="clear" w:color="auto" w:fill="auto"/>
            <w:noWrap/>
            <w:vAlign w:val="bottom"/>
            <w:hideMark/>
          </w:tcPr>
          <w:p w14:paraId="5F8FECBE" w14:textId="77777777" w:rsidR="00717C56" w:rsidRPr="000D0E7B" w:rsidRDefault="00717C56" w:rsidP="00717C56">
            <w:pPr>
              <w:spacing w:before="0" w:after="0"/>
              <w:rPr>
                <w:rFonts w:eastAsia="Times New Roman" w:cs="Arial"/>
                <w:sz w:val="20"/>
                <w:szCs w:val="20"/>
                <w:lang w:eastAsia="en-GB"/>
              </w:rPr>
            </w:pPr>
            <w:r w:rsidRPr="000D0E7B">
              <w:rPr>
                <w:rFonts w:eastAsia="Times New Roman" w:cs="Arial"/>
                <w:sz w:val="20"/>
                <w:szCs w:val="20"/>
                <w:lang w:eastAsia="en-GB"/>
              </w:rPr>
              <w:t>Interest expense relating to lease liabilities</w:t>
            </w:r>
          </w:p>
        </w:tc>
        <w:tc>
          <w:tcPr>
            <w:tcW w:w="1216" w:type="dxa"/>
            <w:tcBorders>
              <w:top w:val="nil"/>
              <w:left w:val="nil"/>
              <w:bottom w:val="nil"/>
              <w:right w:val="nil"/>
            </w:tcBorders>
            <w:shd w:val="clear" w:color="auto" w:fill="auto"/>
            <w:noWrap/>
            <w:vAlign w:val="bottom"/>
            <w:hideMark/>
          </w:tcPr>
          <w:p w14:paraId="2F7A1741" w14:textId="77777777" w:rsidR="00717C56" w:rsidRPr="000D0E7B" w:rsidRDefault="00717C56" w:rsidP="00717C56">
            <w:pPr>
              <w:spacing w:before="0" w:after="0"/>
              <w:rPr>
                <w:rFonts w:eastAsia="Times New Roman" w:cs="Arial"/>
                <w:sz w:val="20"/>
                <w:szCs w:val="20"/>
                <w:lang w:eastAsia="en-GB"/>
              </w:rPr>
            </w:pPr>
          </w:p>
        </w:tc>
        <w:tc>
          <w:tcPr>
            <w:tcW w:w="1336" w:type="dxa"/>
            <w:tcBorders>
              <w:top w:val="nil"/>
              <w:left w:val="nil"/>
              <w:bottom w:val="nil"/>
              <w:right w:val="nil"/>
            </w:tcBorders>
            <w:shd w:val="clear" w:color="auto" w:fill="auto"/>
            <w:noWrap/>
            <w:vAlign w:val="bottom"/>
            <w:hideMark/>
          </w:tcPr>
          <w:p w14:paraId="79DAF778" w14:textId="77777777" w:rsidR="00717C56" w:rsidRPr="000D0E7B" w:rsidRDefault="00717C56" w:rsidP="00717C56">
            <w:pPr>
              <w:spacing w:before="0" w:after="0"/>
              <w:jc w:val="right"/>
              <w:rPr>
                <w:rFonts w:eastAsia="Times New Roman" w:cs="Arial"/>
                <w:sz w:val="20"/>
                <w:szCs w:val="20"/>
                <w:lang w:eastAsia="en-GB"/>
              </w:rPr>
            </w:pPr>
            <w:r w:rsidRPr="000D0E7B">
              <w:rPr>
                <w:rFonts w:eastAsia="Times New Roman" w:cs="Arial"/>
                <w:sz w:val="20"/>
                <w:szCs w:val="20"/>
                <w:lang w:eastAsia="en-GB"/>
              </w:rPr>
              <w:t>-</w:t>
            </w:r>
          </w:p>
        </w:tc>
        <w:tc>
          <w:tcPr>
            <w:tcW w:w="272" w:type="dxa"/>
            <w:tcBorders>
              <w:top w:val="nil"/>
              <w:left w:val="nil"/>
              <w:bottom w:val="nil"/>
              <w:right w:val="nil"/>
            </w:tcBorders>
            <w:shd w:val="clear" w:color="auto" w:fill="auto"/>
            <w:noWrap/>
            <w:vAlign w:val="bottom"/>
            <w:hideMark/>
          </w:tcPr>
          <w:p w14:paraId="6054B525" w14:textId="77777777" w:rsidR="00717C56" w:rsidRPr="000D0E7B" w:rsidRDefault="00717C56" w:rsidP="00717C56">
            <w:pPr>
              <w:spacing w:before="0" w:after="0"/>
              <w:jc w:val="right"/>
              <w:rPr>
                <w:rFonts w:eastAsia="Times New Roman" w:cs="Arial"/>
                <w:sz w:val="20"/>
                <w:szCs w:val="20"/>
                <w:lang w:eastAsia="en-GB"/>
              </w:rPr>
            </w:pPr>
          </w:p>
        </w:tc>
        <w:tc>
          <w:tcPr>
            <w:tcW w:w="1332" w:type="dxa"/>
            <w:tcBorders>
              <w:top w:val="nil"/>
              <w:left w:val="nil"/>
              <w:bottom w:val="nil"/>
              <w:right w:val="nil"/>
            </w:tcBorders>
            <w:shd w:val="clear" w:color="auto" w:fill="auto"/>
            <w:noWrap/>
            <w:vAlign w:val="bottom"/>
            <w:hideMark/>
          </w:tcPr>
          <w:p w14:paraId="2CB644B4" w14:textId="77777777" w:rsidR="00717C56" w:rsidRPr="000D0E7B" w:rsidRDefault="00717C56" w:rsidP="00717C56">
            <w:pPr>
              <w:spacing w:before="0" w:after="0"/>
              <w:jc w:val="right"/>
              <w:rPr>
                <w:rFonts w:eastAsia="Times New Roman" w:cs="Arial"/>
                <w:sz w:val="20"/>
                <w:szCs w:val="20"/>
                <w:lang w:eastAsia="en-GB"/>
              </w:rPr>
            </w:pPr>
            <w:r w:rsidRPr="000D0E7B">
              <w:rPr>
                <w:rFonts w:eastAsia="Times New Roman" w:cs="Arial"/>
                <w:sz w:val="20"/>
                <w:szCs w:val="20"/>
                <w:lang w:eastAsia="en-GB"/>
              </w:rPr>
              <w:t>(19)</w:t>
            </w:r>
          </w:p>
        </w:tc>
        <w:tc>
          <w:tcPr>
            <w:tcW w:w="567" w:type="dxa"/>
            <w:gridSpan w:val="2"/>
            <w:tcBorders>
              <w:top w:val="nil"/>
              <w:left w:val="nil"/>
              <w:bottom w:val="nil"/>
              <w:right w:val="nil"/>
            </w:tcBorders>
            <w:shd w:val="clear" w:color="auto" w:fill="auto"/>
            <w:noWrap/>
            <w:vAlign w:val="bottom"/>
            <w:hideMark/>
          </w:tcPr>
          <w:p w14:paraId="67767552" w14:textId="77777777" w:rsidR="00717C56" w:rsidRPr="000D0E7B" w:rsidRDefault="00717C56" w:rsidP="00717C56">
            <w:pPr>
              <w:spacing w:before="0" w:after="0"/>
              <w:jc w:val="right"/>
              <w:rPr>
                <w:rFonts w:eastAsia="Times New Roman" w:cs="Arial"/>
                <w:sz w:val="20"/>
                <w:szCs w:val="20"/>
                <w:lang w:eastAsia="en-GB"/>
              </w:rPr>
            </w:pPr>
          </w:p>
        </w:tc>
        <w:tc>
          <w:tcPr>
            <w:tcW w:w="1930" w:type="dxa"/>
            <w:tcBorders>
              <w:top w:val="nil"/>
              <w:left w:val="nil"/>
              <w:bottom w:val="nil"/>
              <w:right w:val="nil"/>
            </w:tcBorders>
            <w:shd w:val="clear" w:color="auto" w:fill="auto"/>
            <w:noWrap/>
            <w:vAlign w:val="bottom"/>
            <w:hideMark/>
          </w:tcPr>
          <w:p w14:paraId="467FB304" w14:textId="77777777" w:rsidR="00717C56" w:rsidRPr="000D0E7B" w:rsidRDefault="00717C56" w:rsidP="00717C56">
            <w:pPr>
              <w:spacing w:before="0" w:after="0"/>
              <w:rPr>
                <w:rFonts w:ascii="Times New Roman" w:eastAsia="Times New Roman" w:hAnsi="Times New Roman" w:cs="Times New Roman"/>
                <w:sz w:val="20"/>
                <w:szCs w:val="20"/>
                <w:lang w:eastAsia="en-GB"/>
              </w:rPr>
            </w:pPr>
          </w:p>
        </w:tc>
      </w:tr>
      <w:tr w:rsidR="00067EE6" w:rsidRPr="000D0E7B" w14:paraId="2294B504" w14:textId="77777777" w:rsidTr="00A20382">
        <w:trPr>
          <w:trHeight w:val="250"/>
        </w:trPr>
        <w:tc>
          <w:tcPr>
            <w:tcW w:w="5469" w:type="dxa"/>
            <w:gridSpan w:val="2"/>
            <w:tcBorders>
              <w:top w:val="nil"/>
              <w:left w:val="nil"/>
              <w:bottom w:val="nil"/>
              <w:right w:val="nil"/>
            </w:tcBorders>
            <w:shd w:val="clear" w:color="auto" w:fill="auto"/>
            <w:noWrap/>
            <w:vAlign w:val="bottom"/>
            <w:hideMark/>
          </w:tcPr>
          <w:p w14:paraId="253861AE" w14:textId="6BB02763" w:rsidR="00067EE6" w:rsidRPr="000D0E7B" w:rsidRDefault="00067EE6" w:rsidP="00717C56">
            <w:pPr>
              <w:spacing w:before="0" w:after="0"/>
              <w:rPr>
                <w:rFonts w:eastAsia="Times New Roman" w:cs="Arial"/>
                <w:sz w:val="20"/>
                <w:szCs w:val="20"/>
                <w:lang w:eastAsia="en-GB"/>
              </w:rPr>
            </w:pPr>
            <w:r w:rsidRPr="000D0E7B">
              <w:rPr>
                <w:rFonts w:eastAsia="Times New Roman" w:cs="Arial"/>
                <w:sz w:val="20"/>
                <w:szCs w:val="20"/>
                <w:lang w:eastAsia="en-GB"/>
              </w:rPr>
              <w:t>Repayment of lease liabilities (including interest)</w:t>
            </w:r>
          </w:p>
        </w:tc>
        <w:tc>
          <w:tcPr>
            <w:tcW w:w="1336" w:type="dxa"/>
            <w:tcBorders>
              <w:top w:val="nil"/>
              <w:left w:val="nil"/>
              <w:bottom w:val="nil"/>
              <w:right w:val="nil"/>
            </w:tcBorders>
            <w:shd w:val="clear" w:color="auto" w:fill="auto"/>
            <w:noWrap/>
            <w:vAlign w:val="bottom"/>
            <w:hideMark/>
          </w:tcPr>
          <w:p w14:paraId="7F0803FC" w14:textId="77777777" w:rsidR="00067EE6" w:rsidRPr="000D0E7B" w:rsidRDefault="00067EE6" w:rsidP="00717C56">
            <w:pPr>
              <w:spacing w:before="0" w:after="0"/>
              <w:jc w:val="right"/>
              <w:rPr>
                <w:rFonts w:eastAsia="Times New Roman" w:cs="Arial"/>
                <w:sz w:val="20"/>
                <w:szCs w:val="20"/>
                <w:lang w:eastAsia="en-GB"/>
              </w:rPr>
            </w:pPr>
            <w:r w:rsidRPr="000D0E7B">
              <w:rPr>
                <w:rFonts w:eastAsia="Times New Roman" w:cs="Arial"/>
                <w:sz w:val="20"/>
                <w:szCs w:val="20"/>
                <w:lang w:eastAsia="en-GB"/>
              </w:rPr>
              <w:t>(20)</w:t>
            </w:r>
          </w:p>
        </w:tc>
        <w:tc>
          <w:tcPr>
            <w:tcW w:w="272" w:type="dxa"/>
            <w:tcBorders>
              <w:top w:val="nil"/>
              <w:left w:val="nil"/>
              <w:bottom w:val="nil"/>
              <w:right w:val="nil"/>
            </w:tcBorders>
            <w:shd w:val="clear" w:color="auto" w:fill="auto"/>
            <w:noWrap/>
            <w:vAlign w:val="bottom"/>
            <w:hideMark/>
          </w:tcPr>
          <w:p w14:paraId="718DC817" w14:textId="77777777" w:rsidR="00067EE6" w:rsidRPr="000D0E7B" w:rsidRDefault="00067EE6" w:rsidP="00717C56">
            <w:pPr>
              <w:spacing w:before="0" w:after="0"/>
              <w:jc w:val="right"/>
              <w:rPr>
                <w:rFonts w:eastAsia="Times New Roman" w:cs="Arial"/>
                <w:sz w:val="20"/>
                <w:szCs w:val="20"/>
                <w:lang w:eastAsia="en-GB"/>
              </w:rPr>
            </w:pPr>
          </w:p>
        </w:tc>
        <w:tc>
          <w:tcPr>
            <w:tcW w:w="1332" w:type="dxa"/>
            <w:tcBorders>
              <w:top w:val="nil"/>
              <w:left w:val="nil"/>
              <w:bottom w:val="nil"/>
              <w:right w:val="nil"/>
            </w:tcBorders>
            <w:shd w:val="clear" w:color="auto" w:fill="auto"/>
            <w:noWrap/>
            <w:vAlign w:val="bottom"/>
            <w:hideMark/>
          </w:tcPr>
          <w:p w14:paraId="674209C6" w14:textId="77777777" w:rsidR="00067EE6" w:rsidRPr="000D0E7B" w:rsidRDefault="00067EE6" w:rsidP="00717C56">
            <w:pPr>
              <w:spacing w:before="0" w:after="0"/>
              <w:jc w:val="right"/>
              <w:rPr>
                <w:rFonts w:eastAsia="Times New Roman" w:cs="Arial"/>
                <w:sz w:val="20"/>
                <w:szCs w:val="20"/>
                <w:lang w:eastAsia="en-GB"/>
              </w:rPr>
            </w:pPr>
            <w:r w:rsidRPr="000D0E7B">
              <w:rPr>
                <w:rFonts w:eastAsia="Times New Roman" w:cs="Arial"/>
                <w:sz w:val="20"/>
                <w:szCs w:val="20"/>
                <w:lang w:eastAsia="en-GB"/>
              </w:rPr>
              <w:t>411</w:t>
            </w:r>
          </w:p>
        </w:tc>
        <w:tc>
          <w:tcPr>
            <w:tcW w:w="567" w:type="dxa"/>
            <w:gridSpan w:val="2"/>
            <w:tcBorders>
              <w:top w:val="nil"/>
              <w:left w:val="nil"/>
              <w:bottom w:val="nil"/>
              <w:right w:val="nil"/>
            </w:tcBorders>
            <w:shd w:val="clear" w:color="auto" w:fill="auto"/>
            <w:noWrap/>
            <w:vAlign w:val="bottom"/>
            <w:hideMark/>
          </w:tcPr>
          <w:p w14:paraId="6B7DCEAA" w14:textId="77777777" w:rsidR="00067EE6" w:rsidRPr="000D0E7B" w:rsidRDefault="00067EE6" w:rsidP="00717C56">
            <w:pPr>
              <w:spacing w:before="0" w:after="0"/>
              <w:jc w:val="right"/>
              <w:rPr>
                <w:rFonts w:eastAsia="Times New Roman" w:cs="Arial"/>
                <w:sz w:val="20"/>
                <w:szCs w:val="20"/>
                <w:lang w:eastAsia="en-GB"/>
              </w:rPr>
            </w:pPr>
          </w:p>
        </w:tc>
        <w:tc>
          <w:tcPr>
            <w:tcW w:w="1930" w:type="dxa"/>
            <w:tcBorders>
              <w:top w:val="nil"/>
              <w:left w:val="nil"/>
              <w:bottom w:val="nil"/>
              <w:right w:val="nil"/>
            </w:tcBorders>
            <w:shd w:val="clear" w:color="auto" w:fill="auto"/>
            <w:noWrap/>
            <w:vAlign w:val="bottom"/>
            <w:hideMark/>
          </w:tcPr>
          <w:p w14:paraId="546E3283" w14:textId="77777777" w:rsidR="00067EE6" w:rsidRPr="000D0E7B" w:rsidRDefault="00067EE6" w:rsidP="00717C56">
            <w:pPr>
              <w:spacing w:before="0" w:after="0"/>
              <w:rPr>
                <w:rFonts w:ascii="Times New Roman" w:eastAsia="Times New Roman" w:hAnsi="Times New Roman" w:cs="Times New Roman"/>
                <w:sz w:val="20"/>
                <w:szCs w:val="20"/>
                <w:lang w:eastAsia="en-GB"/>
              </w:rPr>
            </w:pPr>
          </w:p>
        </w:tc>
      </w:tr>
      <w:tr w:rsidR="00644FCB" w:rsidRPr="000D0E7B" w14:paraId="39D4548E" w14:textId="77777777" w:rsidTr="00A20382">
        <w:trPr>
          <w:trHeight w:val="250"/>
        </w:trPr>
        <w:tc>
          <w:tcPr>
            <w:tcW w:w="4253" w:type="dxa"/>
            <w:tcBorders>
              <w:top w:val="nil"/>
              <w:left w:val="nil"/>
              <w:bottom w:val="nil"/>
              <w:right w:val="nil"/>
            </w:tcBorders>
            <w:shd w:val="clear" w:color="auto" w:fill="auto"/>
            <w:noWrap/>
            <w:vAlign w:val="bottom"/>
            <w:hideMark/>
          </w:tcPr>
          <w:p w14:paraId="3DF123BC" w14:textId="77777777" w:rsidR="00717C56" w:rsidRPr="000D0E7B" w:rsidRDefault="00717C56" w:rsidP="00717C56">
            <w:pPr>
              <w:spacing w:before="0" w:after="0"/>
              <w:rPr>
                <w:rFonts w:eastAsia="Times New Roman" w:cs="Arial"/>
                <w:sz w:val="20"/>
                <w:szCs w:val="20"/>
                <w:lang w:eastAsia="en-GB"/>
              </w:rPr>
            </w:pPr>
            <w:r w:rsidRPr="000D0E7B">
              <w:rPr>
                <w:rFonts w:eastAsia="Times New Roman" w:cs="Arial"/>
                <w:sz w:val="20"/>
                <w:szCs w:val="20"/>
                <w:lang w:eastAsia="en-GB"/>
              </w:rPr>
              <w:t>Lease remeasurement</w:t>
            </w:r>
          </w:p>
        </w:tc>
        <w:tc>
          <w:tcPr>
            <w:tcW w:w="1216" w:type="dxa"/>
            <w:tcBorders>
              <w:top w:val="nil"/>
              <w:left w:val="nil"/>
              <w:bottom w:val="nil"/>
              <w:right w:val="nil"/>
            </w:tcBorders>
            <w:shd w:val="clear" w:color="auto" w:fill="auto"/>
            <w:noWrap/>
            <w:vAlign w:val="bottom"/>
            <w:hideMark/>
          </w:tcPr>
          <w:p w14:paraId="66F4AF7F" w14:textId="77777777" w:rsidR="00717C56" w:rsidRPr="000D0E7B" w:rsidRDefault="00717C56" w:rsidP="00717C56">
            <w:pPr>
              <w:spacing w:before="0" w:after="0"/>
              <w:rPr>
                <w:rFonts w:eastAsia="Times New Roman" w:cs="Arial"/>
                <w:sz w:val="20"/>
                <w:szCs w:val="20"/>
                <w:lang w:eastAsia="en-GB"/>
              </w:rPr>
            </w:pPr>
          </w:p>
        </w:tc>
        <w:tc>
          <w:tcPr>
            <w:tcW w:w="1336" w:type="dxa"/>
            <w:tcBorders>
              <w:top w:val="nil"/>
              <w:left w:val="nil"/>
              <w:bottom w:val="nil"/>
              <w:right w:val="nil"/>
            </w:tcBorders>
            <w:shd w:val="clear" w:color="auto" w:fill="auto"/>
            <w:noWrap/>
            <w:vAlign w:val="bottom"/>
            <w:hideMark/>
          </w:tcPr>
          <w:p w14:paraId="53FD90EC" w14:textId="77777777" w:rsidR="00717C56" w:rsidRPr="000D0E7B" w:rsidRDefault="00717C56" w:rsidP="00717C56">
            <w:pPr>
              <w:spacing w:before="0" w:after="0"/>
              <w:jc w:val="right"/>
              <w:rPr>
                <w:rFonts w:eastAsia="Times New Roman" w:cs="Arial"/>
                <w:sz w:val="20"/>
                <w:szCs w:val="20"/>
                <w:lang w:eastAsia="en-GB"/>
              </w:rPr>
            </w:pPr>
            <w:r w:rsidRPr="000D0E7B">
              <w:rPr>
                <w:rFonts w:eastAsia="Times New Roman" w:cs="Arial"/>
                <w:sz w:val="20"/>
                <w:szCs w:val="20"/>
                <w:lang w:eastAsia="en-GB"/>
              </w:rPr>
              <w:t>403</w:t>
            </w:r>
          </w:p>
        </w:tc>
        <w:tc>
          <w:tcPr>
            <w:tcW w:w="272" w:type="dxa"/>
            <w:tcBorders>
              <w:top w:val="nil"/>
              <w:left w:val="nil"/>
              <w:bottom w:val="nil"/>
              <w:right w:val="nil"/>
            </w:tcBorders>
            <w:shd w:val="clear" w:color="auto" w:fill="auto"/>
            <w:noWrap/>
            <w:vAlign w:val="bottom"/>
            <w:hideMark/>
          </w:tcPr>
          <w:p w14:paraId="41AD9C41" w14:textId="77777777" w:rsidR="00717C56" w:rsidRPr="000D0E7B" w:rsidRDefault="00717C56" w:rsidP="00717C56">
            <w:pPr>
              <w:spacing w:before="0" w:after="0"/>
              <w:jc w:val="right"/>
              <w:rPr>
                <w:rFonts w:eastAsia="Times New Roman" w:cs="Arial"/>
                <w:sz w:val="20"/>
                <w:szCs w:val="20"/>
                <w:lang w:eastAsia="en-GB"/>
              </w:rPr>
            </w:pPr>
          </w:p>
        </w:tc>
        <w:tc>
          <w:tcPr>
            <w:tcW w:w="1332" w:type="dxa"/>
            <w:tcBorders>
              <w:top w:val="nil"/>
              <w:left w:val="nil"/>
              <w:bottom w:val="nil"/>
              <w:right w:val="nil"/>
            </w:tcBorders>
            <w:shd w:val="clear" w:color="auto" w:fill="auto"/>
            <w:noWrap/>
            <w:vAlign w:val="bottom"/>
            <w:hideMark/>
          </w:tcPr>
          <w:p w14:paraId="3C504061" w14:textId="77777777" w:rsidR="00717C56" w:rsidRPr="000D0E7B" w:rsidRDefault="00717C56" w:rsidP="00717C56">
            <w:pPr>
              <w:spacing w:before="0" w:after="0"/>
              <w:jc w:val="right"/>
              <w:rPr>
                <w:rFonts w:eastAsia="Times New Roman" w:cs="Arial"/>
                <w:sz w:val="20"/>
                <w:szCs w:val="20"/>
                <w:lang w:eastAsia="en-GB"/>
              </w:rPr>
            </w:pPr>
            <w:r w:rsidRPr="000D0E7B">
              <w:rPr>
                <w:rFonts w:eastAsia="Times New Roman" w:cs="Arial"/>
                <w:sz w:val="20"/>
                <w:szCs w:val="20"/>
                <w:lang w:eastAsia="en-GB"/>
              </w:rPr>
              <w:t>-</w:t>
            </w:r>
          </w:p>
        </w:tc>
        <w:tc>
          <w:tcPr>
            <w:tcW w:w="567" w:type="dxa"/>
            <w:gridSpan w:val="2"/>
            <w:tcBorders>
              <w:top w:val="nil"/>
              <w:left w:val="nil"/>
              <w:bottom w:val="nil"/>
              <w:right w:val="nil"/>
            </w:tcBorders>
            <w:shd w:val="clear" w:color="auto" w:fill="auto"/>
            <w:noWrap/>
            <w:vAlign w:val="bottom"/>
            <w:hideMark/>
          </w:tcPr>
          <w:p w14:paraId="6DC2B01D" w14:textId="77777777" w:rsidR="00717C56" w:rsidRPr="000D0E7B" w:rsidRDefault="00717C56" w:rsidP="00717C56">
            <w:pPr>
              <w:spacing w:before="0" w:after="0"/>
              <w:jc w:val="right"/>
              <w:rPr>
                <w:rFonts w:eastAsia="Times New Roman" w:cs="Arial"/>
                <w:sz w:val="20"/>
                <w:szCs w:val="20"/>
                <w:lang w:eastAsia="en-GB"/>
              </w:rPr>
            </w:pPr>
          </w:p>
        </w:tc>
        <w:tc>
          <w:tcPr>
            <w:tcW w:w="1930" w:type="dxa"/>
            <w:tcBorders>
              <w:top w:val="nil"/>
              <w:left w:val="nil"/>
              <w:bottom w:val="nil"/>
              <w:right w:val="nil"/>
            </w:tcBorders>
            <w:shd w:val="clear" w:color="auto" w:fill="auto"/>
            <w:noWrap/>
            <w:vAlign w:val="bottom"/>
            <w:hideMark/>
          </w:tcPr>
          <w:p w14:paraId="60EB316F" w14:textId="77777777" w:rsidR="00717C56" w:rsidRPr="000D0E7B" w:rsidRDefault="00717C56" w:rsidP="00717C56">
            <w:pPr>
              <w:spacing w:before="0" w:after="0"/>
              <w:rPr>
                <w:rFonts w:ascii="Times New Roman" w:eastAsia="Times New Roman" w:hAnsi="Times New Roman" w:cs="Times New Roman"/>
                <w:sz w:val="20"/>
                <w:szCs w:val="20"/>
                <w:lang w:eastAsia="en-GB"/>
              </w:rPr>
            </w:pPr>
          </w:p>
        </w:tc>
      </w:tr>
      <w:tr w:rsidR="00644FCB" w:rsidRPr="000D0E7B" w14:paraId="670AA91B" w14:textId="77777777" w:rsidTr="00A20382">
        <w:trPr>
          <w:trHeight w:val="250"/>
        </w:trPr>
        <w:tc>
          <w:tcPr>
            <w:tcW w:w="4253" w:type="dxa"/>
            <w:tcBorders>
              <w:top w:val="nil"/>
              <w:left w:val="nil"/>
              <w:bottom w:val="nil"/>
              <w:right w:val="nil"/>
            </w:tcBorders>
            <w:shd w:val="clear" w:color="auto" w:fill="auto"/>
            <w:noWrap/>
            <w:vAlign w:val="bottom"/>
            <w:hideMark/>
          </w:tcPr>
          <w:p w14:paraId="21BC8E46" w14:textId="77777777" w:rsidR="00717C56" w:rsidRPr="000D0E7B" w:rsidRDefault="00717C56" w:rsidP="00717C56">
            <w:pPr>
              <w:spacing w:before="0" w:after="0"/>
              <w:rPr>
                <w:rFonts w:eastAsia="Times New Roman" w:cs="Arial"/>
                <w:sz w:val="20"/>
                <w:szCs w:val="20"/>
                <w:lang w:eastAsia="en-GB"/>
              </w:rPr>
            </w:pPr>
            <w:r w:rsidRPr="000D0E7B">
              <w:rPr>
                <w:rFonts w:eastAsia="Times New Roman" w:cs="Arial"/>
                <w:sz w:val="20"/>
                <w:szCs w:val="20"/>
                <w:lang w:eastAsia="en-GB"/>
              </w:rPr>
              <w:t>Derecognition for early terminations</w:t>
            </w:r>
          </w:p>
        </w:tc>
        <w:tc>
          <w:tcPr>
            <w:tcW w:w="1216" w:type="dxa"/>
            <w:tcBorders>
              <w:top w:val="nil"/>
              <w:left w:val="nil"/>
              <w:bottom w:val="nil"/>
              <w:right w:val="nil"/>
            </w:tcBorders>
            <w:shd w:val="clear" w:color="auto" w:fill="auto"/>
            <w:noWrap/>
            <w:vAlign w:val="bottom"/>
            <w:hideMark/>
          </w:tcPr>
          <w:p w14:paraId="59AAE03B" w14:textId="77777777" w:rsidR="00717C56" w:rsidRPr="000D0E7B" w:rsidRDefault="00717C56" w:rsidP="00717C56">
            <w:pPr>
              <w:spacing w:before="0" w:after="0"/>
              <w:rPr>
                <w:rFonts w:eastAsia="Times New Roman" w:cs="Arial"/>
                <w:sz w:val="20"/>
                <w:szCs w:val="20"/>
                <w:lang w:eastAsia="en-GB"/>
              </w:rPr>
            </w:pPr>
          </w:p>
        </w:tc>
        <w:tc>
          <w:tcPr>
            <w:tcW w:w="1336" w:type="dxa"/>
            <w:tcBorders>
              <w:top w:val="nil"/>
              <w:left w:val="nil"/>
              <w:bottom w:val="nil"/>
              <w:right w:val="nil"/>
            </w:tcBorders>
            <w:shd w:val="clear" w:color="auto" w:fill="auto"/>
            <w:noWrap/>
            <w:vAlign w:val="bottom"/>
            <w:hideMark/>
          </w:tcPr>
          <w:p w14:paraId="0B69183F" w14:textId="77777777" w:rsidR="00717C56" w:rsidRPr="000D0E7B" w:rsidRDefault="00717C56" w:rsidP="00717C56">
            <w:pPr>
              <w:spacing w:before="0" w:after="0"/>
              <w:jc w:val="right"/>
              <w:rPr>
                <w:rFonts w:eastAsia="Times New Roman" w:cs="Arial"/>
                <w:sz w:val="20"/>
                <w:szCs w:val="20"/>
                <w:lang w:eastAsia="en-GB"/>
              </w:rPr>
            </w:pPr>
            <w:r w:rsidRPr="000D0E7B">
              <w:rPr>
                <w:rFonts w:eastAsia="Times New Roman" w:cs="Arial"/>
                <w:sz w:val="20"/>
                <w:szCs w:val="20"/>
                <w:lang w:eastAsia="en-GB"/>
              </w:rPr>
              <w:t>177</w:t>
            </w:r>
          </w:p>
        </w:tc>
        <w:tc>
          <w:tcPr>
            <w:tcW w:w="272" w:type="dxa"/>
            <w:tcBorders>
              <w:top w:val="nil"/>
              <w:left w:val="nil"/>
              <w:bottom w:val="nil"/>
              <w:right w:val="nil"/>
            </w:tcBorders>
            <w:shd w:val="clear" w:color="auto" w:fill="auto"/>
            <w:noWrap/>
            <w:vAlign w:val="bottom"/>
            <w:hideMark/>
          </w:tcPr>
          <w:p w14:paraId="59D3D013" w14:textId="77777777" w:rsidR="00717C56" w:rsidRPr="000D0E7B" w:rsidRDefault="00717C56" w:rsidP="00717C56">
            <w:pPr>
              <w:spacing w:before="0" w:after="0"/>
              <w:jc w:val="right"/>
              <w:rPr>
                <w:rFonts w:eastAsia="Times New Roman" w:cs="Arial"/>
                <w:sz w:val="20"/>
                <w:szCs w:val="20"/>
                <w:lang w:eastAsia="en-GB"/>
              </w:rPr>
            </w:pPr>
          </w:p>
        </w:tc>
        <w:tc>
          <w:tcPr>
            <w:tcW w:w="1332" w:type="dxa"/>
            <w:tcBorders>
              <w:top w:val="nil"/>
              <w:left w:val="nil"/>
              <w:bottom w:val="nil"/>
              <w:right w:val="nil"/>
            </w:tcBorders>
            <w:shd w:val="clear" w:color="auto" w:fill="auto"/>
            <w:noWrap/>
            <w:vAlign w:val="bottom"/>
            <w:hideMark/>
          </w:tcPr>
          <w:p w14:paraId="2DE242AB" w14:textId="77777777" w:rsidR="00717C56" w:rsidRPr="000D0E7B" w:rsidRDefault="00717C56" w:rsidP="00717C56">
            <w:pPr>
              <w:spacing w:before="0" w:after="0"/>
              <w:jc w:val="right"/>
              <w:rPr>
                <w:rFonts w:eastAsia="Times New Roman" w:cs="Arial"/>
                <w:sz w:val="20"/>
                <w:szCs w:val="20"/>
                <w:lang w:eastAsia="en-GB"/>
              </w:rPr>
            </w:pPr>
            <w:r w:rsidRPr="000D0E7B">
              <w:rPr>
                <w:rFonts w:eastAsia="Times New Roman" w:cs="Arial"/>
                <w:sz w:val="20"/>
                <w:szCs w:val="20"/>
                <w:lang w:eastAsia="en-GB"/>
              </w:rPr>
              <w:t>119</w:t>
            </w:r>
          </w:p>
        </w:tc>
        <w:tc>
          <w:tcPr>
            <w:tcW w:w="567" w:type="dxa"/>
            <w:gridSpan w:val="2"/>
            <w:tcBorders>
              <w:top w:val="nil"/>
              <w:left w:val="nil"/>
              <w:bottom w:val="nil"/>
              <w:right w:val="nil"/>
            </w:tcBorders>
            <w:shd w:val="clear" w:color="auto" w:fill="auto"/>
            <w:noWrap/>
            <w:vAlign w:val="bottom"/>
            <w:hideMark/>
          </w:tcPr>
          <w:p w14:paraId="5C2464D3" w14:textId="77777777" w:rsidR="00717C56" w:rsidRPr="000D0E7B" w:rsidRDefault="00717C56" w:rsidP="00717C56">
            <w:pPr>
              <w:spacing w:before="0" w:after="0"/>
              <w:jc w:val="right"/>
              <w:rPr>
                <w:rFonts w:eastAsia="Times New Roman" w:cs="Arial"/>
                <w:sz w:val="20"/>
                <w:szCs w:val="20"/>
                <w:lang w:eastAsia="en-GB"/>
              </w:rPr>
            </w:pPr>
          </w:p>
        </w:tc>
        <w:tc>
          <w:tcPr>
            <w:tcW w:w="1930" w:type="dxa"/>
            <w:tcBorders>
              <w:top w:val="nil"/>
              <w:left w:val="nil"/>
              <w:bottom w:val="nil"/>
              <w:right w:val="nil"/>
            </w:tcBorders>
            <w:shd w:val="clear" w:color="auto" w:fill="auto"/>
            <w:noWrap/>
            <w:vAlign w:val="bottom"/>
            <w:hideMark/>
          </w:tcPr>
          <w:p w14:paraId="7B3CD029" w14:textId="77777777" w:rsidR="00717C56" w:rsidRPr="000D0E7B" w:rsidRDefault="00717C56" w:rsidP="00717C56">
            <w:pPr>
              <w:spacing w:before="0" w:after="0"/>
              <w:rPr>
                <w:rFonts w:ascii="Times New Roman" w:eastAsia="Times New Roman" w:hAnsi="Times New Roman" w:cs="Times New Roman"/>
                <w:sz w:val="20"/>
                <w:szCs w:val="20"/>
                <w:lang w:eastAsia="en-GB"/>
              </w:rPr>
            </w:pPr>
          </w:p>
        </w:tc>
      </w:tr>
      <w:tr w:rsidR="00644FCB" w:rsidRPr="000D0E7B" w14:paraId="408B384F" w14:textId="77777777" w:rsidTr="00A20382">
        <w:trPr>
          <w:trHeight w:val="250"/>
        </w:trPr>
        <w:tc>
          <w:tcPr>
            <w:tcW w:w="4253" w:type="dxa"/>
            <w:tcBorders>
              <w:top w:val="nil"/>
              <w:left w:val="nil"/>
              <w:bottom w:val="nil"/>
              <w:right w:val="nil"/>
            </w:tcBorders>
            <w:shd w:val="clear" w:color="auto" w:fill="auto"/>
            <w:noWrap/>
            <w:vAlign w:val="bottom"/>
            <w:hideMark/>
          </w:tcPr>
          <w:p w14:paraId="1F066686" w14:textId="77777777" w:rsidR="00717C56" w:rsidRPr="000D0E7B" w:rsidRDefault="00717C56" w:rsidP="00717C56">
            <w:pPr>
              <w:spacing w:before="0" w:after="0"/>
              <w:rPr>
                <w:rFonts w:eastAsia="Times New Roman" w:cs="Arial"/>
                <w:sz w:val="20"/>
                <w:szCs w:val="20"/>
                <w:lang w:eastAsia="en-GB"/>
              </w:rPr>
            </w:pPr>
            <w:r w:rsidRPr="000D0E7B">
              <w:rPr>
                <w:rFonts w:eastAsia="Times New Roman" w:cs="Arial"/>
                <w:sz w:val="20"/>
                <w:szCs w:val="20"/>
                <w:lang w:eastAsia="en-GB"/>
              </w:rPr>
              <w:t>Transfer (to) from other public sector body</w:t>
            </w:r>
          </w:p>
        </w:tc>
        <w:tc>
          <w:tcPr>
            <w:tcW w:w="1216" w:type="dxa"/>
            <w:tcBorders>
              <w:top w:val="nil"/>
              <w:left w:val="nil"/>
              <w:bottom w:val="nil"/>
              <w:right w:val="nil"/>
            </w:tcBorders>
            <w:shd w:val="clear" w:color="auto" w:fill="auto"/>
            <w:noWrap/>
            <w:vAlign w:val="bottom"/>
            <w:hideMark/>
          </w:tcPr>
          <w:p w14:paraId="5397E3DE" w14:textId="77777777" w:rsidR="00717C56" w:rsidRPr="000D0E7B" w:rsidRDefault="00717C56" w:rsidP="00717C56">
            <w:pPr>
              <w:spacing w:before="0" w:after="0"/>
              <w:rPr>
                <w:rFonts w:eastAsia="Times New Roman" w:cs="Arial"/>
                <w:sz w:val="20"/>
                <w:szCs w:val="20"/>
                <w:lang w:eastAsia="en-GB"/>
              </w:rPr>
            </w:pPr>
          </w:p>
        </w:tc>
        <w:tc>
          <w:tcPr>
            <w:tcW w:w="1336" w:type="dxa"/>
            <w:tcBorders>
              <w:top w:val="nil"/>
              <w:left w:val="nil"/>
              <w:bottom w:val="nil"/>
              <w:right w:val="nil"/>
            </w:tcBorders>
            <w:shd w:val="clear" w:color="auto" w:fill="auto"/>
            <w:noWrap/>
            <w:vAlign w:val="bottom"/>
            <w:hideMark/>
          </w:tcPr>
          <w:p w14:paraId="050D968A" w14:textId="77777777" w:rsidR="00717C56" w:rsidRPr="000D0E7B" w:rsidRDefault="00717C56" w:rsidP="00717C56">
            <w:pPr>
              <w:spacing w:before="0" w:after="0"/>
              <w:jc w:val="right"/>
              <w:rPr>
                <w:rFonts w:eastAsia="Times New Roman" w:cs="Arial"/>
                <w:sz w:val="20"/>
                <w:szCs w:val="20"/>
                <w:lang w:eastAsia="en-GB"/>
              </w:rPr>
            </w:pPr>
            <w:r w:rsidRPr="000D0E7B">
              <w:rPr>
                <w:rFonts w:eastAsia="Times New Roman" w:cs="Arial"/>
                <w:sz w:val="20"/>
                <w:szCs w:val="20"/>
                <w:lang w:eastAsia="en-GB"/>
              </w:rPr>
              <w:t>38</w:t>
            </w:r>
          </w:p>
        </w:tc>
        <w:tc>
          <w:tcPr>
            <w:tcW w:w="272" w:type="dxa"/>
            <w:tcBorders>
              <w:top w:val="nil"/>
              <w:left w:val="nil"/>
              <w:bottom w:val="nil"/>
              <w:right w:val="nil"/>
            </w:tcBorders>
            <w:shd w:val="clear" w:color="auto" w:fill="auto"/>
            <w:noWrap/>
            <w:vAlign w:val="bottom"/>
            <w:hideMark/>
          </w:tcPr>
          <w:p w14:paraId="7554EC45" w14:textId="77777777" w:rsidR="00717C56" w:rsidRPr="000D0E7B" w:rsidRDefault="00717C56" w:rsidP="00717C56">
            <w:pPr>
              <w:spacing w:before="0" w:after="0"/>
              <w:jc w:val="right"/>
              <w:rPr>
                <w:rFonts w:eastAsia="Times New Roman" w:cs="Arial"/>
                <w:sz w:val="20"/>
                <w:szCs w:val="20"/>
                <w:lang w:eastAsia="en-GB"/>
              </w:rPr>
            </w:pPr>
          </w:p>
        </w:tc>
        <w:tc>
          <w:tcPr>
            <w:tcW w:w="1332" w:type="dxa"/>
            <w:tcBorders>
              <w:top w:val="nil"/>
              <w:left w:val="nil"/>
              <w:bottom w:val="nil"/>
              <w:right w:val="nil"/>
            </w:tcBorders>
            <w:shd w:val="clear" w:color="auto" w:fill="auto"/>
            <w:noWrap/>
            <w:vAlign w:val="bottom"/>
            <w:hideMark/>
          </w:tcPr>
          <w:p w14:paraId="55F8FF7D" w14:textId="77777777" w:rsidR="00717C56" w:rsidRPr="000D0E7B" w:rsidRDefault="00717C56" w:rsidP="00717C56">
            <w:pPr>
              <w:spacing w:before="0" w:after="0"/>
              <w:jc w:val="right"/>
              <w:rPr>
                <w:rFonts w:eastAsia="Times New Roman" w:cs="Arial"/>
                <w:sz w:val="20"/>
                <w:szCs w:val="20"/>
                <w:lang w:eastAsia="en-GB"/>
              </w:rPr>
            </w:pPr>
            <w:r w:rsidRPr="000D0E7B">
              <w:rPr>
                <w:rFonts w:eastAsia="Times New Roman" w:cs="Arial"/>
                <w:sz w:val="20"/>
                <w:szCs w:val="20"/>
                <w:lang w:eastAsia="en-GB"/>
              </w:rPr>
              <w:t>(3,380)</w:t>
            </w:r>
          </w:p>
        </w:tc>
        <w:tc>
          <w:tcPr>
            <w:tcW w:w="567" w:type="dxa"/>
            <w:gridSpan w:val="2"/>
            <w:tcBorders>
              <w:top w:val="nil"/>
              <w:left w:val="nil"/>
              <w:bottom w:val="nil"/>
              <w:right w:val="nil"/>
            </w:tcBorders>
            <w:shd w:val="clear" w:color="auto" w:fill="auto"/>
            <w:noWrap/>
            <w:vAlign w:val="bottom"/>
            <w:hideMark/>
          </w:tcPr>
          <w:p w14:paraId="4C6E31F4" w14:textId="77777777" w:rsidR="00717C56" w:rsidRPr="000D0E7B" w:rsidRDefault="00717C56" w:rsidP="00717C56">
            <w:pPr>
              <w:spacing w:before="0" w:after="0"/>
              <w:jc w:val="right"/>
              <w:rPr>
                <w:rFonts w:eastAsia="Times New Roman" w:cs="Arial"/>
                <w:sz w:val="20"/>
                <w:szCs w:val="20"/>
                <w:lang w:eastAsia="en-GB"/>
              </w:rPr>
            </w:pPr>
          </w:p>
        </w:tc>
        <w:tc>
          <w:tcPr>
            <w:tcW w:w="1930" w:type="dxa"/>
            <w:tcBorders>
              <w:top w:val="nil"/>
              <w:left w:val="nil"/>
              <w:bottom w:val="nil"/>
              <w:right w:val="nil"/>
            </w:tcBorders>
            <w:shd w:val="clear" w:color="auto" w:fill="auto"/>
            <w:noWrap/>
            <w:vAlign w:val="bottom"/>
            <w:hideMark/>
          </w:tcPr>
          <w:p w14:paraId="3A7F4BC9" w14:textId="77777777" w:rsidR="00717C56" w:rsidRPr="000D0E7B" w:rsidRDefault="00717C56" w:rsidP="00717C56">
            <w:pPr>
              <w:spacing w:before="0" w:after="0"/>
              <w:rPr>
                <w:rFonts w:ascii="Times New Roman" w:eastAsia="Times New Roman" w:hAnsi="Times New Roman" w:cs="Times New Roman"/>
                <w:sz w:val="20"/>
                <w:szCs w:val="20"/>
                <w:lang w:eastAsia="en-GB"/>
              </w:rPr>
            </w:pPr>
          </w:p>
        </w:tc>
      </w:tr>
      <w:tr w:rsidR="00644FCB" w:rsidRPr="000D0E7B" w14:paraId="1E63E893" w14:textId="77777777" w:rsidTr="00A20382">
        <w:trPr>
          <w:trHeight w:val="260"/>
        </w:trPr>
        <w:tc>
          <w:tcPr>
            <w:tcW w:w="4253" w:type="dxa"/>
            <w:tcBorders>
              <w:top w:val="nil"/>
              <w:left w:val="nil"/>
              <w:bottom w:val="nil"/>
              <w:right w:val="nil"/>
            </w:tcBorders>
            <w:shd w:val="clear" w:color="auto" w:fill="auto"/>
            <w:noWrap/>
            <w:vAlign w:val="bottom"/>
            <w:hideMark/>
          </w:tcPr>
          <w:p w14:paraId="37FC03D2" w14:textId="77777777" w:rsidR="00717C56" w:rsidRPr="000D0E7B" w:rsidRDefault="00717C56" w:rsidP="00717C56">
            <w:pPr>
              <w:spacing w:before="0" w:after="0"/>
              <w:rPr>
                <w:rFonts w:eastAsia="Times New Roman" w:cs="Arial"/>
                <w:b/>
                <w:bCs/>
                <w:sz w:val="20"/>
                <w:szCs w:val="20"/>
                <w:lang w:eastAsia="en-GB"/>
              </w:rPr>
            </w:pPr>
            <w:r w:rsidRPr="000D0E7B">
              <w:rPr>
                <w:rFonts w:eastAsia="Times New Roman" w:cs="Arial"/>
                <w:b/>
                <w:bCs/>
                <w:sz w:val="20"/>
                <w:szCs w:val="20"/>
                <w:lang w:eastAsia="en-GB"/>
              </w:rPr>
              <w:t>Lease liabilities at 31 March 24</w:t>
            </w:r>
          </w:p>
        </w:tc>
        <w:tc>
          <w:tcPr>
            <w:tcW w:w="1216" w:type="dxa"/>
            <w:tcBorders>
              <w:top w:val="nil"/>
              <w:left w:val="nil"/>
              <w:bottom w:val="nil"/>
              <w:right w:val="nil"/>
            </w:tcBorders>
            <w:shd w:val="clear" w:color="auto" w:fill="auto"/>
            <w:noWrap/>
            <w:vAlign w:val="bottom"/>
            <w:hideMark/>
          </w:tcPr>
          <w:p w14:paraId="5A2B4FF3" w14:textId="77777777" w:rsidR="00717C56" w:rsidRPr="000D0E7B" w:rsidRDefault="00717C56" w:rsidP="00717C56">
            <w:pPr>
              <w:spacing w:before="0" w:after="0"/>
              <w:rPr>
                <w:rFonts w:eastAsia="Times New Roman" w:cs="Arial"/>
                <w:b/>
                <w:bCs/>
                <w:sz w:val="20"/>
                <w:szCs w:val="20"/>
                <w:lang w:eastAsia="en-GB"/>
              </w:rPr>
            </w:pPr>
          </w:p>
        </w:tc>
        <w:tc>
          <w:tcPr>
            <w:tcW w:w="1336" w:type="dxa"/>
            <w:tcBorders>
              <w:top w:val="single" w:sz="4" w:space="0" w:color="auto"/>
              <w:left w:val="nil"/>
              <w:bottom w:val="single" w:sz="4" w:space="0" w:color="auto"/>
              <w:right w:val="nil"/>
            </w:tcBorders>
            <w:shd w:val="clear" w:color="auto" w:fill="auto"/>
            <w:noWrap/>
            <w:vAlign w:val="bottom"/>
            <w:hideMark/>
          </w:tcPr>
          <w:p w14:paraId="4AA7141D" w14:textId="77777777" w:rsidR="00717C56" w:rsidRPr="000D0E7B" w:rsidRDefault="00717C56" w:rsidP="00717C56">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(2,347)</w:t>
            </w:r>
          </w:p>
        </w:tc>
        <w:tc>
          <w:tcPr>
            <w:tcW w:w="272" w:type="dxa"/>
            <w:tcBorders>
              <w:top w:val="nil"/>
              <w:left w:val="nil"/>
              <w:bottom w:val="nil"/>
              <w:right w:val="nil"/>
            </w:tcBorders>
            <w:shd w:val="clear" w:color="auto" w:fill="auto"/>
            <w:noWrap/>
            <w:vAlign w:val="bottom"/>
            <w:hideMark/>
          </w:tcPr>
          <w:p w14:paraId="06BB7986" w14:textId="77777777" w:rsidR="00717C56" w:rsidRPr="000D0E7B" w:rsidRDefault="00717C56" w:rsidP="00717C56">
            <w:pPr>
              <w:spacing w:before="0" w:after="0"/>
              <w:jc w:val="right"/>
              <w:rPr>
                <w:rFonts w:eastAsia="Times New Roman" w:cs="Arial"/>
                <w:b/>
                <w:bCs/>
                <w:sz w:val="20"/>
                <w:szCs w:val="20"/>
                <w:lang w:eastAsia="en-GB"/>
              </w:rPr>
            </w:pPr>
          </w:p>
        </w:tc>
        <w:tc>
          <w:tcPr>
            <w:tcW w:w="1332" w:type="dxa"/>
            <w:tcBorders>
              <w:top w:val="single" w:sz="4" w:space="0" w:color="auto"/>
              <w:left w:val="nil"/>
              <w:bottom w:val="single" w:sz="4" w:space="0" w:color="auto"/>
              <w:right w:val="nil"/>
            </w:tcBorders>
            <w:shd w:val="clear" w:color="auto" w:fill="auto"/>
            <w:noWrap/>
            <w:vAlign w:val="bottom"/>
            <w:hideMark/>
          </w:tcPr>
          <w:p w14:paraId="6131CD1D" w14:textId="77777777" w:rsidR="00717C56" w:rsidRPr="000D0E7B" w:rsidRDefault="00717C56" w:rsidP="00717C56">
            <w:pPr>
              <w:spacing w:before="0" w:after="0"/>
              <w:jc w:val="right"/>
              <w:rPr>
                <w:rFonts w:eastAsia="Times New Roman" w:cs="Arial"/>
                <w:b/>
                <w:bCs/>
                <w:sz w:val="20"/>
                <w:szCs w:val="20"/>
                <w:lang w:eastAsia="en-GB"/>
              </w:rPr>
            </w:pPr>
            <w:r w:rsidRPr="000D0E7B">
              <w:rPr>
                <w:rFonts w:eastAsia="Times New Roman" w:cs="Arial"/>
                <w:b/>
                <w:bCs/>
                <w:sz w:val="20"/>
                <w:szCs w:val="20"/>
                <w:lang w:eastAsia="en-GB"/>
              </w:rPr>
              <w:t>(2,945)</w:t>
            </w:r>
          </w:p>
        </w:tc>
        <w:tc>
          <w:tcPr>
            <w:tcW w:w="567" w:type="dxa"/>
            <w:gridSpan w:val="2"/>
            <w:tcBorders>
              <w:top w:val="nil"/>
              <w:left w:val="nil"/>
              <w:bottom w:val="nil"/>
              <w:right w:val="nil"/>
            </w:tcBorders>
            <w:shd w:val="clear" w:color="auto" w:fill="auto"/>
            <w:noWrap/>
            <w:vAlign w:val="bottom"/>
            <w:hideMark/>
          </w:tcPr>
          <w:p w14:paraId="4E96BDA8" w14:textId="77777777" w:rsidR="00717C56" w:rsidRPr="000D0E7B" w:rsidRDefault="00717C56" w:rsidP="00717C56">
            <w:pPr>
              <w:spacing w:before="0" w:after="0"/>
              <w:jc w:val="right"/>
              <w:rPr>
                <w:rFonts w:eastAsia="Times New Roman" w:cs="Arial"/>
                <w:b/>
                <w:bCs/>
                <w:sz w:val="20"/>
                <w:szCs w:val="20"/>
                <w:lang w:eastAsia="en-GB"/>
              </w:rPr>
            </w:pPr>
          </w:p>
        </w:tc>
        <w:tc>
          <w:tcPr>
            <w:tcW w:w="1930" w:type="dxa"/>
            <w:tcBorders>
              <w:top w:val="nil"/>
              <w:left w:val="nil"/>
              <w:bottom w:val="nil"/>
              <w:right w:val="nil"/>
            </w:tcBorders>
            <w:shd w:val="clear" w:color="auto" w:fill="auto"/>
            <w:noWrap/>
            <w:vAlign w:val="bottom"/>
            <w:hideMark/>
          </w:tcPr>
          <w:p w14:paraId="07F6B3FF" w14:textId="77777777" w:rsidR="00717C56" w:rsidRPr="000D0E7B" w:rsidRDefault="00717C56" w:rsidP="00717C56">
            <w:pPr>
              <w:spacing w:before="0" w:after="0"/>
              <w:rPr>
                <w:rFonts w:ascii="Times New Roman" w:eastAsia="Times New Roman" w:hAnsi="Times New Roman" w:cs="Times New Roman"/>
                <w:sz w:val="20"/>
                <w:szCs w:val="20"/>
                <w:lang w:eastAsia="en-GB"/>
              </w:rPr>
            </w:pPr>
          </w:p>
        </w:tc>
      </w:tr>
    </w:tbl>
    <w:p w14:paraId="378F99CF" w14:textId="77777777" w:rsidR="00A20382" w:rsidRDefault="00A20382">
      <w:r>
        <w:br w:type="page"/>
      </w:r>
    </w:p>
    <w:tbl>
      <w:tblPr>
        <w:tblW w:w="10730" w:type="dxa"/>
        <w:tblInd w:w="-284" w:type="dxa"/>
        <w:tblLook w:val="04A0" w:firstRow="1" w:lastRow="0" w:firstColumn="1" w:lastColumn="0" w:noHBand="0" w:noVBand="1"/>
      </w:tblPr>
      <w:tblGrid>
        <w:gridCol w:w="2976"/>
        <w:gridCol w:w="283"/>
        <w:gridCol w:w="1560"/>
        <w:gridCol w:w="480"/>
        <w:gridCol w:w="6"/>
        <w:gridCol w:w="1608"/>
        <w:gridCol w:w="6"/>
        <w:gridCol w:w="266"/>
        <w:gridCol w:w="6"/>
        <w:gridCol w:w="1838"/>
        <w:gridCol w:w="272"/>
        <w:gridCol w:w="1189"/>
        <w:gridCol w:w="240"/>
      </w:tblGrid>
      <w:tr w:rsidR="00EC6D52" w:rsidRPr="00AE48B7" w14:paraId="77331AE1" w14:textId="77777777" w:rsidTr="00A20382">
        <w:trPr>
          <w:gridAfter w:val="1"/>
          <w:wAfter w:w="240" w:type="dxa"/>
          <w:trHeight w:val="260"/>
        </w:trPr>
        <w:tc>
          <w:tcPr>
            <w:tcW w:w="10490" w:type="dxa"/>
            <w:gridSpan w:val="12"/>
            <w:tcBorders>
              <w:top w:val="nil"/>
              <w:left w:val="nil"/>
              <w:bottom w:val="nil"/>
              <w:right w:val="nil"/>
            </w:tcBorders>
            <w:shd w:val="clear" w:color="auto" w:fill="auto"/>
            <w:noWrap/>
            <w:vAlign w:val="bottom"/>
            <w:hideMark/>
          </w:tcPr>
          <w:p w14:paraId="143CAFDB" w14:textId="267A2950" w:rsidR="00EC6D52" w:rsidRPr="00AE48B7" w:rsidRDefault="00EC6D52" w:rsidP="003B6DFB">
            <w:pPr>
              <w:spacing w:before="0" w:after="0"/>
              <w:rPr>
                <w:rFonts w:ascii="Times New Roman" w:eastAsia="Times New Roman" w:hAnsi="Times New Roman" w:cs="Times New Roman"/>
                <w:sz w:val="20"/>
                <w:szCs w:val="20"/>
                <w:lang w:eastAsia="en-GB"/>
              </w:rPr>
            </w:pPr>
            <w:r w:rsidRPr="00AE48B7">
              <w:rPr>
                <w:rFonts w:eastAsia="Times New Roman" w:cs="Arial"/>
                <w:i/>
                <w:iCs/>
                <w:sz w:val="20"/>
                <w:szCs w:val="20"/>
                <w:lang w:eastAsia="en-GB"/>
              </w:rPr>
              <w:lastRenderedPageBreak/>
              <w:t>NHS Mid and South Essex Integrated Care Board - Statutory Accounts 2023-24</w:t>
            </w:r>
          </w:p>
        </w:tc>
      </w:tr>
      <w:tr w:rsidR="00EC6D52" w:rsidRPr="00AE48B7" w14:paraId="116F94B0" w14:textId="77777777" w:rsidTr="00A20382">
        <w:trPr>
          <w:trHeight w:val="250"/>
        </w:trPr>
        <w:tc>
          <w:tcPr>
            <w:tcW w:w="2976" w:type="dxa"/>
            <w:tcBorders>
              <w:top w:val="nil"/>
              <w:left w:val="nil"/>
              <w:bottom w:val="nil"/>
              <w:right w:val="nil"/>
            </w:tcBorders>
            <w:shd w:val="clear" w:color="auto" w:fill="auto"/>
            <w:noWrap/>
            <w:vAlign w:val="bottom"/>
            <w:hideMark/>
          </w:tcPr>
          <w:p w14:paraId="7E9B1E06"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83" w:type="dxa"/>
            <w:tcBorders>
              <w:top w:val="nil"/>
              <w:left w:val="nil"/>
              <w:bottom w:val="nil"/>
              <w:right w:val="nil"/>
            </w:tcBorders>
            <w:shd w:val="clear" w:color="auto" w:fill="auto"/>
            <w:noWrap/>
            <w:vAlign w:val="bottom"/>
            <w:hideMark/>
          </w:tcPr>
          <w:p w14:paraId="1FDBC8CA"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560" w:type="dxa"/>
            <w:tcBorders>
              <w:top w:val="nil"/>
              <w:left w:val="nil"/>
              <w:bottom w:val="nil"/>
              <w:right w:val="nil"/>
            </w:tcBorders>
            <w:shd w:val="clear" w:color="auto" w:fill="auto"/>
            <w:noWrap/>
            <w:vAlign w:val="bottom"/>
            <w:hideMark/>
          </w:tcPr>
          <w:p w14:paraId="4DB2A38E"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480" w:type="dxa"/>
            <w:tcBorders>
              <w:top w:val="nil"/>
              <w:left w:val="nil"/>
              <w:bottom w:val="nil"/>
              <w:right w:val="nil"/>
            </w:tcBorders>
            <w:shd w:val="clear" w:color="auto" w:fill="auto"/>
            <w:noWrap/>
            <w:vAlign w:val="bottom"/>
            <w:hideMark/>
          </w:tcPr>
          <w:p w14:paraId="593964F0"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09E229AD"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44658732"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844" w:type="dxa"/>
            <w:gridSpan w:val="2"/>
            <w:tcBorders>
              <w:top w:val="nil"/>
              <w:left w:val="nil"/>
              <w:bottom w:val="nil"/>
              <w:right w:val="nil"/>
            </w:tcBorders>
            <w:shd w:val="clear" w:color="auto" w:fill="auto"/>
            <w:noWrap/>
            <w:vAlign w:val="bottom"/>
            <w:hideMark/>
          </w:tcPr>
          <w:p w14:paraId="06006F98"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59C5D94F"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162E834B"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r>
      <w:tr w:rsidR="00A20382" w:rsidRPr="00AE48B7" w14:paraId="469B06B6" w14:textId="77777777" w:rsidTr="00A20382">
        <w:trPr>
          <w:trHeight w:val="260"/>
        </w:trPr>
        <w:tc>
          <w:tcPr>
            <w:tcW w:w="2976" w:type="dxa"/>
            <w:tcBorders>
              <w:top w:val="nil"/>
              <w:left w:val="nil"/>
              <w:bottom w:val="nil"/>
              <w:right w:val="nil"/>
            </w:tcBorders>
            <w:shd w:val="clear" w:color="auto" w:fill="auto"/>
            <w:noWrap/>
            <w:vAlign w:val="bottom"/>
            <w:hideMark/>
          </w:tcPr>
          <w:p w14:paraId="00A7DF82" w14:textId="77777777" w:rsidR="00EC6D52" w:rsidRPr="00AE48B7" w:rsidRDefault="00EC6D52" w:rsidP="003B6DFB">
            <w:pPr>
              <w:spacing w:before="0" w:after="0"/>
              <w:rPr>
                <w:rFonts w:eastAsia="Times New Roman" w:cs="Arial"/>
                <w:b/>
                <w:bCs/>
                <w:sz w:val="20"/>
                <w:szCs w:val="20"/>
                <w:lang w:eastAsia="en-GB"/>
              </w:rPr>
            </w:pPr>
            <w:r w:rsidRPr="00AE48B7">
              <w:rPr>
                <w:rFonts w:eastAsia="Times New Roman" w:cs="Arial"/>
                <w:b/>
                <w:bCs/>
                <w:sz w:val="20"/>
                <w:szCs w:val="20"/>
                <w:lang w:eastAsia="en-GB"/>
              </w:rPr>
              <w:t>10 Leases Continued</w:t>
            </w:r>
          </w:p>
        </w:tc>
        <w:tc>
          <w:tcPr>
            <w:tcW w:w="283" w:type="dxa"/>
            <w:tcBorders>
              <w:top w:val="nil"/>
              <w:left w:val="nil"/>
              <w:bottom w:val="nil"/>
              <w:right w:val="nil"/>
            </w:tcBorders>
            <w:shd w:val="clear" w:color="auto" w:fill="auto"/>
            <w:noWrap/>
            <w:vAlign w:val="bottom"/>
            <w:hideMark/>
          </w:tcPr>
          <w:p w14:paraId="43364136" w14:textId="77777777" w:rsidR="00EC6D52" w:rsidRPr="00AE48B7" w:rsidRDefault="00EC6D52" w:rsidP="003B6DFB">
            <w:pPr>
              <w:spacing w:before="0" w:after="0"/>
              <w:rPr>
                <w:rFonts w:eastAsia="Times New Roman" w:cs="Arial"/>
                <w:b/>
                <w:bCs/>
                <w:sz w:val="20"/>
                <w:szCs w:val="20"/>
                <w:lang w:eastAsia="en-GB"/>
              </w:rPr>
            </w:pPr>
          </w:p>
        </w:tc>
        <w:tc>
          <w:tcPr>
            <w:tcW w:w="1560" w:type="dxa"/>
            <w:tcBorders>
              <w:top w:val="nil"/>
              <w:left w:val="nil"/>
              <w:bottom w:val="nil"/>
              <w:right w:val="nil"/>
            </w:tcBorders>
            <w:shd w:val="clear" w:color="000000" w:fill="FFFFFF"/>
            <w:noWrap/>
            <w:vAlign w:val="bottom"/>
            <w:hideMark/>
          </w:tcPr>
          <w:p w14:paraId="13709D4C" w14:textId="77777777" w:rsidR="00EC6D52" w:rsidRPr="00AE48B7" w:rsidRDefault="00EC6D52" w:rsidP="003B6DFB">
            <w:pPr>
              <w:spacing w:before="0" w:after="0"/>
              <w:rPr>
                <w:rFonts w:eastAsia="Times New Roman" w:cs="Arial"/>
                <w:sz w:val="20"/>
                <w:szCs w:val="20"/>
                <w:lang w:eastAsia="en-GB"/>
              </w:rPr>
            </w:pPr>
            <w:r w:rsidRPr="00AE48B7">
              <w:rPr>
                <w:rFonts w:eastAsia="Times New Roman" w:cs="Arial"/>
                <w:sz w:val="20"/>
                <w:szCs w:val="20"/>
                <w:lang w:eastAsia="en-GB"/>
              </w:rPr>
              <w:t> </w:t>
            </w:r>
          </w:p>
        </w:tc>
        <w:tc>
          <w:tcPr>
            <w:tcW w:w="480" w:type="dxa"/>
            <w:tcBorders>
              <w:top w:val="nil"/>
              <w:left w:val="nil"/>
              <w:bottom w:val="nil"/>
              <w:right w:val="nil"/>
            </w:tcBorders>
            <w:shd w:val="clear" w:color="000000" w:fill="FFFFFF"/>
            <w:noWrap/>
            <w:vAlign w:val="bottom"/>
            <w:hideMark/>
          </w:tcPr>
          <w:p w14:paraId="624F2208" w14:textId="77777777" w:rsidR="00EC6D52" w:rsidRPr="00AE48B7" w:rsidRDefault="00EC6D52" w:rsidP="003B6DFB">
            <w:pPr>
              <w:spacing w:before="0" w:after="0"/>
              <w:rPr>
                <w:rFonts w:eastAsia="Times New Roman" w:cs="Arial"/>
                <w:sz w:val="20"/>
                <w:szCs w:val="20"/>
                <w:lang w:eastAsia="en-GB"/>
              </w:rPr>
            </w:pPr>
            <w:r w:rsidRPr="00AE48B7">
              <w:rPr>
                <w:rFonts w:eastAsia="Times New Roman" w:cs="Arial"/>
                <w:sz w:val="20"/>
                <w:szCs w:val="20"/>
                <w:lang w:eastAsia="en-GB"/>
              </w:rPr>
              <w:t> </w:t>
            </w:r>
          </w:p>
        </w:tc>
        <w:tc>
          <w:tcPr>
            <w:tcW w:w="1614" w:type="dxa"/>
            <w:gridSpan w:val="2"/>
            <w:tcBorders>
              <w:top w:val="nil"/>
              <w:left w:val="nil"/>
              <w:bottom w:val="nil"/>
              <w:right w:val="nil"/>
            </w:tcBorders>
            <w:shd w:val="clear" w:color="000000" w:fill="FFFFFF"/>
            <w:noWrap/>
            <w:vAlign w:val="bottom"/>
            <w:hideMark/>
          </w:tcPr>
          <w:p w14:paraId="10D97A4E" w14:textId="77777777" w:rsidR="00EC6D52" w:rsidRPr="00AE48B7" w:rsidRDefault="00EC6D52" w:rsidP="003B6DFB">
            <w:pPr>
              <w:spacing w:before="0" w:after="0"/>
              <w:rPr>
                <w:rFonts w:eastAsia="Times New Roman" w:cs="Arial"/>
                <w:sz w:val="20"/>
                <w:szCs w:val="20"/>
                <w:lang w:eastAsia="en-GB"/>
              </w:rPr>
            </w:pPr>
            <w:r w:rsidRPr="00AE48B7">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0235BD4F" w14:textId="77777777" w:rsidR="00EC6D52" w:rsidRPr="00AE48B7" w:rsidRDefault="00EC6D52" w:rsidP="003B6DFB">
            <w:pPr>
              <w:spacing w:before="0" w:after="0"/>
              <w:rPr>
                <w:rFonts w:eastAsia="Times New Roman" w:cs="Arial"/>
                <w:sz w:val="20"/>
                <w:szCs w:val="20"/>
                <w:lang w:eastAsia="en-GB"/>
              </w:rPr>
            </w:pPr>
            <w:r w:rsidRPr="00AE48B7">
              <w:rPr>
                <w:rFonts w:eastAsia="Times New Roman" w:cs="Arial"/>
                <w:sz w:val="20"/>
                <w:szCs w:val="20"/>
                <w:lang w:eastAsia="en-GB"/>
              </w:rPr>
              <w:t> </w:t>
            </w:r>
          </w:p>
        </w:tc>
        <w:tc>
          <w:tcPr>
            <w:tcW w:w="1844" w:type="dxa"/>
            <w:gridSpan w:val="2"/>
            <w:tcBorders>
              <w:top w:val="nil"/>
              <w:left w:val="nil"/>
              <w:bottom w:val="nil"/>
              <w:right w:val="nil"/>
            </w:tcBorders>
            <w:shd w:val="clear" w:color="000000" w:fill="FFFFFF"/>
            <w:noWrap/>
            <w:vAlign w:val="bottom"/>
            <w:hideMark/>
          </w:tcPr>
          <w:p w14:paraId="62AC314D" w14:textId="77777777" w:rsidR="00EC6D52" w:rsidRPr="00AE48B7" w:rsidRDefault="00EC6D52" w:rsidP="003B6DFB">
            <w:pPr>
              <w:spacing w:before="0" w:after="0"/>
              <w:rPr>
                <w:rFonts w:eastAsia="Times New Roman" w:cs="Arial"/>
                <w:sz w:val="20"/>
                <w:szCs w:val="20"/>
                <w:lang w:eastAsia="en-GB"/>
              </w:rPr>
            </w:pPr>
            <w:r w:rsidRPr="00AE48B7">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2EC3A42" w14:textId="77777777" w:rsidR="00EC6D52" w:rsidRPr="00AE48B7" w:rsidRDefault="00EC6D52" w:rsidP="003B6DFB">
            <w:pPr>
              <w:spacing w:before="0" w:after="0"/>
              <w:rPr>
                <w:rFonts w:eastAsia="Times New Roman" w:cs="Arial"/>
                <w:sz w:val="20"/>
                <w:szCs w:val="20"/>
                <w:lang w:eastAsia="en-GB"/>
              </w:rPr>
            </w:pPr>
            <w:r w:rsidRPr="00AE48B7">
              <w:rPr>
                <w:rFonts w:eastAsia="Times New Roman" w:cs="Arial"/>
                <w:sz w:val="20"/>
                <w:szCs w:val="20"/>
                <w:lang w:eastAsia="en-GB"/>
              </w:rPr>
              <w:t> </w:t>
            </w:r>
          </w:p>
        </w:tc>
        <w:tc>
          <w:tcPr>
            <w:tcW w:w="1429" w:type="dxa"/>
            <w:gridSpan w:val="2"/>
            <w:tcBorders>
              <w:top w:val="nil"/>
              <w:left w:val="nil"/>
              <w:bottom w:val="nil"/>
              <w:right w:val="nil"/>
            </w:tcBorders>
            <w:shd w:val="clear" w:color="000000" w:fill="FFFFFF"/>
            <w:noWrap/>
            <w:vAlign w:val="bottom"/>
            <w:hideMark/>
          </w:tcPr>
          <w:p w14:paraId="3B83B3F1" w14:textId="77777777" w:rsidR="00EC6D52" w:rsidRPr="00AE48B7" w:rsidRDefault="00EC6D52" w:rsidP="003B6DFB">
            <w:pPr>
              <w:spacing w:before="0" w:after="0"/>
              <w:rPr>
                <w:rFonts w:eastAsia="Times New Roman" w:cs="Arial"/>
                <w:sz w:val="18"/>
                <w:szCs w:val="18"/>
                <w:lang w:eastAsia="en-GB"/>
              </w:rPr>
            </w:pPr>
            <w:r w:rsidRPr="00AE48B7">
              <w:rPr>
                <w:rFonts w:eastAsia="Times New Roman" w:cs="Arial"/>
                <w:sz w:val="18"/>
                <w:szCs w:val="18"/>
                <w:lang w:eastAsia="en-GB"/>
              </w:rPr>
              <w:t> </w:t>
            </w:r>
          </w:p>
        </w:tc>
      </w:tr>
      <w:tr w:rsidR="00EC6D52" w:rsidRPr="00AE48B7" w14:paraId="78E85B7B" w14:textId="77777777" w:rsidTr="00A20382">
        <w:trPr>
          <w:trHeight w:val="120"/>
        </w:trPr>
        <w:tc>
          <w:tcPr>
            <w:tcW w:w="2976" w:type="dxa"/>
            <w:tcBorders>
              <w:top w:val="nil"/>
              <w:left w:val="nil"/>
              <w:bottom w:val="nil"/>
              <w:right w:val="nil"/>
            </w:tcBorders>
            <w:shd w:val="clear" w:color="auto" w:fill="auto"/>
            <w:noWrap/>
            <w:vAlign w:val="bottom"/>
            <w:hideMark/>
          </w:tcPr>
          <w:p w14:paraId="445D3CA6" w14:textId="77777777" w:rsidR="00EC6D52" w:rsidRPr="00AE48B7" w:rsidRDefault="00EC6D52" w:rsidP="003B6DFB">
            <w:pPr>
              <w:spacing w:before="0" w:after="0"/>
              <w:rPr>
                <w:rFonts w:eastAsia="Times New Roman" w:cs="Arial"/>
                <w:sz w:val="18"/>
                <w:szCs w:val="18"/>
                <w:lang w:eastAsia="en-GB"/>
              </w:rPr>
            </w:pPr>
          </w:p>
        </w:tc>
        <w:tc>
          <w:tcPr>
            <w:tcW w:w="283" w:type="dxa"/>
            <w:tcBorders>
              <w:top w:val="nil"/>
              <w:left w:val="nil"/>
              <w:bottom w:val="nil"/>
              <w:right w:val="nil"/>
            </w:tcBorders>
            <w:shd w:val="clear" w:color="auto" w:fill="auto"/>
            <w:noWrap/>
            <w:vAlign w:val="bottom"/>
            <w:hideMark/>
          </w:tcPr>
          <w:p w14:paraId="47EC7F8D"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560" w:type="dxa"/>
            <w:tcBorders>
              <w:top w:val="nil"/>
              <w:left w:val="nil"/>
              <w:bottom w:val="nil"/>
              <w:right w:val="nil"/>
            </w:tcBorders>
            <w:shd w:val="clear" w:color="auto" w:fill="auto"/>
            <w:noWrap/>
            <w:vAlign w:val="bottom"/>
            <w:hideMark/>
          </w:tcPr>
          <w:p w14:paraId="56E6167E"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480" w:type="dxa"/>
            <w:tcBorders>
              <w:top w:val="nil"/>
              <w:left w:val="nil"/>
              <w:bottom w:val="nil"/>
              <w:right w:val="nil"/>
            </w:tcBorders>
            <w:shd w:val="clear" w:color="auto" w:fill="auto"/>
            <w:noWrap/>
            <w:vAlign w:val="bottom"/>
            <w:hideMark/>
          </w:tcPr>
          <w:p w14:paraId="53F9CA8C"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30DC307B"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0A3CAD70"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844" w:type="dxa"/>
            <w:gridSpan w:val="2"/>
            <w:tcBorders>
              <w:top w:val="nil"/>
              <w:left w:val="nil"/>
              <w:bottom w:val="nil"/>
              <w:right w:val="nil"/>
            </w:tcBorders>
            <w:shd w:val="clear" w:color="auto" w:fill="auto"/>
            <w:noWrap/>
            <w:vAlign w:val="bottom"/>
            <w:hideMark/>
          </w:tcPr>
          <w:p w14:paraId="54D6517E"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3D012444"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6FD92835"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r>
      <w:tr w:rsidR="00D57AE3" w:rsidRPr="00AE48B7" w14:paraId="7F4FB66A" w14:textId="77777777" w:rsidTr="00A20382">
        <w:trPr>
          <w:gridAfter w:val="1"/>
          <w:wAfter w:w="240" w:type="dxa"/>
          <w:trHeight w:val="260"/>
        </w:trPr>
        <w:tc>
          <w:tcPr>
            <w:tcW w:w="10490" w:type="dxa"/>
            <w:gridSpan w:val="12"/>
            <w:tcBorders>
              <w:top w:val="nil"/>
              <w:left w:val="nil"/>
              <w:bottom w:val="nil"/>
              <w:right w:val="nil"/>
            </w:tcBorders>
            <w:shd w:val="clear" w:color="auto" w:fill="auto"/>
            <w:noWrap/>
            <w:vAlign w:val="bottom"/>
            <w:hideMark/>
          </w:tcPr>
          <w:p w14:paraId="050A82FC" w14:textId="77777777" w:rsidR="00EC6D52" w:rsidRPr="00AE48B7" w:rsidRDefault="00EC6D52" w:rsidP="003B6DFB">
            <w:pPr>
              <w:spacing w:before="0" w:after="0"/>
              <w:rPr>
                <w:rFonts w:eastAsia="Times New Roman" w:cs="Arial"/>
                <w:b/>
                <w:bCs/>
                <w:sz w:val="20"/>
                <w:szCs w:val="20"/>
                <w:lang w:eastAsia="en-GB"/>
              </w:rPr>
            </w:pPr>
            <w:r w:rsidRPr="00AE48B7">
              <w:rPr>
                <w:rFonts w:eastAsia="Times New Roman" w:cs="Arial"/>
                <w:b/>
                <w:bCs/>
                <w:sz w:val="20"/>
                <w:szCs w:val="20"/>
                <w:lang w:eastAsia="en-GB"/>
              </w:rPr>
              <w:t>10.3 Lease Liabilities - Maturity Analysis of Undiscounted Future Lease Payments</w:t>
            </w:r>
          </w:p>
        </w:tc>
      </w:tr>
      <w:tr w:rsidR="00EC6D52" w:rsidRPr="00AE48B7" w14:paraId="5962BC89" w14:textId="77777777" w:rsidTr="00A20382">
        <w:trPr>
          <w:trHeight w:val="120"/>
        </w:trPr>
        <w:tc>
          <w:tcPr>
            <w:tcW w:w="2976" w:type="dxa"/>
            <w:tcBorders>
              <w:top w:val="nil"/>
              <w:left w:val="nil"/>
              <w:bottom w:val="nil"/>
              <w:right w:val="nil"/>
            </w:tcBorders>
            <w:shd w:val="clear" w:color="auto" w:fill="auto"/>
            <w:noWrap/>
            <w:vAlign w:val="bottom"/>
            <w:hideMark/>
          </w:tcPr>
          <w:p w14:paraId="3015FB8B" w14:textId="77777777" w:rsidR="00EC6D52" w:rsidRPr="00AE48B7" w:rsidRDefault="00EC6D52" w:rsidP="003B6DFB">
            <w:pPr>
              <w:spacing w:before="0" w:after="0"/>
              <w:rPr>
                <w:rFonts w:eastAsia="Times New Roman" w:cs="Arial"/>
                <w:b/>
                <w:bCs/>
                <w:sz w:val="20"/>
                <w:szCs w:val="20"/>
                <w:lang w:eastAsia="en-GB"/>
              </w:rPr>
            </w:pPr>
          </w:p>
        </w:tc>
        <w:tc>
          <w:tcPr>
            <w:tcW w:w="283" w:type="dxa"/>
            <w:tcBorders>
              <w:top w:val="nil"/>
              <w:left w:val="nil"/>
              <w:bottom w:val="nil"/>
              <w:right w:val="nil"/>
            </w:tcBorders>
            <w:shd w:val="clear" w:color="auto" w:fill="auto"/>
            <w:noWrap/>
            <w:vAlign w:val="bottom"/>
            <w:hideMark/>
          </w:tcPr>
          <w:p w14:paraId="565FC0DD"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560" w:type="dxa"/>
            <w:tcBorders>
              <w:top w:val="nil"/>
              <w:left w:val="nil"/>
              <w:bottom w:val="nil"/>
              <w:right w:val="nil"/>
            </w:tcBorders>
            <w:shd w:val="clear" w:color="auto" w:fill="auto"/>
            <w:noWrap/>
            <w:vAlign w:val="bottom"/>
            <w:hideMark/>
          </w:tcPr>
          <w:p w14:paraId="3276AF0F"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480" w:type="dxa"/>
            <w:tcBorders>
              <w:top w:val="nil"/>
              <w:left w:val="nil"/>
              <w:bottom w:val="nil"/>
              <w:right w:val="nil"/>
            </w:tcBorders>
            <w:shd w:val="clear" w:color="auto" w:fill="auto"/>
            <w:noWrap/>
            <w:vAlign w:val="bottom"/>
            <w:hideMark/>
          </w:tcPr>
          <w:p w14:paraId="0E26A4F3"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7B92B13A"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45A5EBB1"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844" w:type="dxa"/>
            <w:gridSpan w:val="2"/>
            <w:tcBorders>
              <w:top w:val="nil"/>
              <w:left w:val="nil"/>
              <w:bottom w:val="nil"/>
              <w:right w:val="nil"/>
            </w:tcBorders>
            <w:shd w:val="clear" w:color="auto" w:fill="auto"/>
            <w:noWrap/>
            <w:vAlign w:val="bottom"/>
            <w:hideMark/>
          </w:tcPr>
          <w:p w14:paraId="094FB541"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51E92AD2"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791C9A92"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r>
      <w:tr w:rsidR="00EC6D52" w:rsidRPr="00AE48B7" w14:paraId="2DB97068" w14:textId="77777777" w:rsidTr="00A20382">
        <w:trPr>
          <w:trHeight w:val="1000"/>
        </w:trPr>
        <w:tc>
          <w:tcPr>
            <w:tcW w:w="2976" w:type="dxa"/>
            <w:tcBorders>
              <w:top w:val="nil"/>
              <w:left w:val="nil"/>
              <w:bottom w:val="nil"/>
              <w:right w:val="nil"/>
            </w:tcBorders>
            <w:shd w:val="clear" w:color="auto" w:fill="auto"/>
            <w:noWrap/>
            <w:vAlign w:val="bottom"/>
            <w:hideMark/>
          </w:tcPr>
          <w:p w14:paraId="3BE7CA62"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83" w:type="dxa"/>
            <w:tcBorders>
              <w:top w:val="nil"/>
              <w:left w:val="nil"/>
              <w:bottom w:val="nil"/>
              <w:right w:val="nil"/>
            </w:tcBorders>
            <w:shd w:val="clear" w:color="auto" w:fill="auto"/>
            <w:noWrap/>
            <w:vAlign w:val="bottom"/>
            <w:hideMark/>
          </w:tcPr>
          <w:p w14:paraId="464BD9AF"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560" w:type="dxa"/>
            <w:tcBorders>
              <w:top w:val="nil"/>
              <w:left w:val="nil"/>
              <w:bottom w:val="nil"/>
              <w:right w:val="nil"/>
            </w:tcBorders>
            <w:shd w:val="clear" w:color="000000" w:fill="FFFFFF"/>
            <w:vAlign w:val="bottom"/>
            <w:hideMark/>
          </w:tcPr>
          <w:p w14:paraId="66EADE5F" w14:textId="77777777" w:rsidR="00EC6D52" w:rsidRPr="00AE48B7" w:rsidRDefault="00EC6D52" w:rsidP="00830827">
            <w:pPr>
              <w:spacing w:before="0" w:after="0"/>
              <w:jc w:val="right"/>
              <w:rPr>
                <w:rFonts w:eastAsia="Times New Roman" w:cs="Arial"/>
                <w:b/>
                <w:bCs/>
                <w:sz w:val="20"/>
                <w:szCs w:val="20"/>
                <w:lang w:eastAsia="en-GB"/>
              </w:rPr>
            </w:pPr>
            <w:r w:rsidRPr="00AE48B7">
              <w:rPr>
                <w:rFonts w:eastAsia="Times New Roman" w:cs="Arial"/>
                <w:b/>
                <w:bCs/>
                <w:sz w:val="20"/>
                <w:szCs w:val="20"/>
                <w:lang w:eastAsia="en-GB"/>
              </w:rPr>
              <w:t>31-Mar-24</w:t>
            </w:r>
          </w:p>
        </w:tc>
        <w:tc>
          <w:tcPr>
            <w:tcW w:w="480" w:type="dxa"/>
            <w:tcBorders>
              <w:top w:val="nil"/>
              <w:left w:val="nil"/>
              <w:bottom w:val="nil"/>
              <w:right w:val="nil"/>
            </w:tcBorders>
            <w:shd w:val="clear" w:color="auto" w:fill="auto"/>
            <w:vAlign w:val="bottom"/>
            <w:hideMark/>
          </w:tcPr>
          <w:p w14:paraId="5B61CD82" w14:textId="77777777" w:rsidR="00EC6D52" w:rsidRPr="00AE48B7" w:rsidRDefault="00EC6D52" w:rsidP="00830827">
            <w:pPr>
              <w:spacing w:before="0" w:after="0"/>
              <w:jc w:val="right"/>
              <w:rPr>
                <w:rFonts w:eastAsia="Times New Roman" w:cs="Arial"/>
                <w:b/>
                <w:bCs/>
                <w:sz w:val="20"/>
                <w:szCs w:val="20"/>
                <w:lang w:eastAsia="en-GB"/>
              </w:rPr>
            </w:pPr>
          </w:p>
        </w:tc>
        <w:tc>
          <w:tcPr>
            <w:tcW w:w="1614" w:type="dxa"/>
            <w:gridSpan w:val="2"/>
            <w:tcBorders>
              <w:top w:val="nil"/>
              <w:left w:val="nil"/>
              <w:bottom w:val="nil"/>
              <w:right w:val="nil"/>
            </w:tcBorders>
            <w:shd w:val="clear" w:color="auto" w:fill="auto"/>
            <w:vAlign w:val="bottom"/>
            <w:hideMark/>
          </w:tcPr>
          <w:p w14:paraId="5215DCC0" w14:textId="77777777" w:rsidR="00EC6D52" w:rsidRPr="00AE48B7" w:rsidRDefault="00EC6D52" w:rsidP="00830827">
            <w:pPr>
              <w:spacing w:before="0" w:after="0"/>
              <w:jc w:val="right"/>
              <w:rPr>
                <w:rFonts w:eastAsia="Times New Roman" w:cs="Arial"/>
                <w:b/>
                <w:bCs/>
                <w:color w:val="000000"/>
                <w:sz w:val="18"/>
                <w:szCs w:val="18"/>
                <w:lang w:eastAsia="en-GB"/>
              </w:rPr>
            </w:pPr>
            <w:r w:rsidRPr="00AE48B7">
              <w:rPr>
                <w:rFonts w:eastAsia="Times New Roman" w:cs="Arial"/>
                <w:b/>
                <w:bCs/>
                <w:color w:val="000000"/>
                <w:sz w:val="18"/>
                <w:szCs w:val="18"/>
                <w:lang w:eastAsia="en-GB"/>
              </w:rPr>
              <w:t>Of which: leased from DHSC group bodies</w:t>
            </w:r>
          </w:p>
        </w:tc>
        <w:tc>
          <w:tcPr>
            <w:tcW w:w="272" w:type="dxa"/>
            <w:gridSpan w:val="2"/>
            <w:tcBorders>
              <w:top w:val="nil"/>
              <w:left w:val="nil"/>
              <w:bottom w:val="nil"/>
              <w:right w:val="nil"/>
            </w:tcBorders>
            <w:shd w:val="clear" w:color="auto" w:fill="auto"/>
            <w:vAlign w:val="bottom"/>
            <w:hideMark/>
          </w:tcPr>
          <w:p w14:paraId="2BC29A80" w14:textId="77777777" w:rsidR="00EC6D52" w:rsidRPr="00AE48B7" w:rsidRDefault="00EC6D52" w:rsidP="00830827">
            <w:pPr>
              <w:spacing w:before="0" w:after="0"/>
              <w:jc w:val="right"/>
              <w:rPr>
                <w:rFonts w:eastAsia="Times New Roman" w:cs="Arial"/>
                <w:b/>
                <w:bCs/>
                <w:color w:val="000000"/>
                <w:sz w:val="18"/>
                <w:szCs w:val="18"/>
                <w:lang w:eastAsia="en-GB"/>
              </w:rPr>
            </w:pPr>
          </w:p>
        </w:tc>
        <w:tc>
          <w:tcPr>
            <w:tcW w:w="1844" w:type="dxa"/>
            <w:gridSpan w:val="2"/>
            <w:tcBorders>
              <w:top w:val="nil"/>
              <w:left w:val="nil"/>
              <w:bottom w:val="nil"/>
              <w:right w:val="nil"/>
            </w:tcBorders>
            <w:shd w:val="clear" w:color="000000" w:fill="FFFFFF"/>
            <w:vAlign w:val="bottom"/>
            <w:hideMark/>
          </w:tcPr>
          <w:p w14:paraId="63ADF7CA" w14:textId="77777777" w:rsidR="00EC6D52" w:rsidRPr="00AE48B7" w:rsidRDefault="00EC6D52" w:rsidP="00830827">
            <w:pPr>
              <w:spacing w:before="0" w:after="0"/>
              <w:jc w:val="right"/>
              <w:rPr>
                <w:rFonts w:eastAsia="Times New Roman" w:cs="Arial"/>
                <w:sz w:val="20"/>
                <w:szCs w:val="20"/>
                <w:lang w:eastAsia="en-GB"/>
              </w:rPr>
            </w:pPr>
            <w:r w:rsidRPr="00AE48B7">
              <w:rPr>
                <w:rFonts w:eastAsia="Times New Roman" w:cs="Arial"/>
                <w:sz w:val="20"/>
                <w:szCs w:val="20"/>
                <w:lang w:eastAsia="en-GB"/>
              </w:rPr>
              <w:t>31-Mar-23</w:t>
            </w:r>
          </w:p>
        </w:tc>
        <w:tc>
          <w:tcPr>
            <w:tcW w:w="272" w:type="dxa"/>
            <w:tcBorders>
              <w:top w:val="nil"/>
              <w:left w:val="nil"/>
              <w:bottom w:val="nil"/>
              <w:right w:val="nil"/>
            </w:tcBorders>
            <w:shd w:val="clear" w:color="auto" w:fill="auto"/>
            <w:vAlign w:val="bottom"/>
            <w:hideMark/>
          </w:tcPr>
          <w:p w14:paraId="2407F1AD" w14:textId="77777777" w:rsidR="00EC6D52" w:rsidRPr="00AE48B7" w:rsidRDefault="00EC6D52" w:rsidP="00830827">
            <w:pPr>
              <w:spacing w:before="0" w:after="0"/>
              <w:jc w:val="right"/>
              <w:rPr>
                <w:rFonts w:eastAsia="Times New Roman" w:cs="Arial"/>
                <w:sz w:val="20"/>
                <w:szCs w:val="20"/>
                <w:lang w:eastAsia="en-GB"/>
              </w:rPr>
            </w:pPr>
          </w:p>
        </w:tc>
        <w:tc>
          <w:tcPr>
            <w:tcW w:w="1429" w:type="dxa"/>
            <w:gridSpan w:val="2"/>
            <w:tcBorders>
              <w:top w:val="nil"/>
              <w:left w:val="nil"/>
              <w:bottom w:val="nil"/>
              <w:right w:val="nil"/>
            </w:tcBorders>
            <w:shd w:val="clear" w:color="auto" w:fill="auto"/>
            <w:vAlign w:val="bottom"/>
            <w:hideMark/>
          </w:tcPr>
          <w:p w14:paraId="5FCF45E6" w14:textId="77777777" w:rsidR="00EC6D52" w:rsidRPr="00AE48B7" w:rsidRDefault="00EC6D52" w:rsidP="00830827">
            <w:pPr>
              <w:spacing w:before="0" w:after="0"/>
              <w:jc w:val="right"/>
              <w:rPr>
                <w:rFonts w:eastAsia="Times New Roman" w:cs="Arial"/>
                <w:color w:val="000000"/>
                <w:sz w:val="18"/>
                <w:szCs w:val="18"/>
                <w:lang w:eastAsia="en-GB"/>
              </w:rPr>
            </w:pPr>
            <w:r w:rsidRPr="00AE48B7">
              <w:rPr>
                <w:rFonts w:eastAsia="Times New Roman" w:cs="Arial"/>
                <w:color w:val="000000"/>
                <w:sz w:val="18"/>
                <w:szCs w:val="18"/>
                <w:lang w:eastAsia="en-GB"/>
              </w:rPr>
              <w:t>Of which: leased from DHSC group bodies</w:t>
            </w:r>
          </w:p>
        </w:tc>
      </w:tr>
      <w:tr w:rsidR="00EC6D52" w:rsidRPr="00AE48B7" w14:paraId="578C8969" w14:textId="77777777" w:rsidTr="00A20382">
        <w:trPr>
          <w:trHeight w:val="260"/>
        </w:trPr>
        <w:tc>
          <w:tcPr>
            <w:tcW w:w="2976" w:type="dxa"/>
            <w:tcBorders>
              <w:top w:val="nil"/>
              <w:left w:val="nil"/>
              <w:bottom w:val="nil"/>
              <w:right w:val="nil"/>
            </w:tcBorders>
            <w:shd w:val="clear" w:color="auto" w:fill="auto"/>
            <w:noWrap/>
            <w:vAlign w:val="bottom"/>
            <w:hideMark/>
          </w:tcPr>
          <w:p w14:paraId="3E1A162E" w14:textId="77777777" w:rsidR="00EC6D52" w:rsidRPr="00AE48B7" w:rsidRDefault="00EC6D52" w:rsidP="003B6DFB">
            <w:pPr>
              <w:spacing w:before="0" w:after="0"/>
              <w:jc w:val="right"/>
              <w:rPr>
                <w:rFonts w:eastAsia="Times New Roman" w:cs="Arial"/>
                <w:color w:val="000000"/>
                <w:sz w:val="18"/>
                <w:szCs w:val="18"/>
                <w:lang w:eastAsia="en-GB"/>
              </w:rPr>
            </w:pPr>
          </w:p>
        </w:tc>
        <w:tc>
          <w:tcPr>
            <w:tcW w:w="283" w:type="dxa"/>
            <w:tcBorders>
              <w:top w:val="nil"/>
              <w:left w:val="nil"/>
              <w:bottom w:val="nil"/>
              <w:right w:val="nil"/>
            </w:tcBorders>
            <w:shd w:val="clear" w:color="auto" w:fill="auto"/>
            <w:noWrap/>
            <w:vAlign w:val="bottom"/>
            <w:hideMark/>
          </w:tcPr>
          <w:p w14:paraId="09D1B8BB"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560" w:type="dxa"/>
            <w:tcBorders>
              <w:top w:val="nil"/>
              <w:left w:val="nil"/>
              <w:bottom w:val="nil"/>
              <w:right w:val="nil"/>
            </w:tcBorders>
            <w:shd w:val="clear" w:color="auto" w:fill="auto"/>
            <w:vAlign w:val="bottom"/>
            <w:hideMark/>
          </w:tcPr>
          <w:p w14:paraId="4DA8A57D" w14:textId="77777777" w:rsidR="00EC6D52" w:rsidRPr="00AE48B7" w:rsidRDefault="00EC6D52" w:rsidP="00830827">
            <w:pPr>
              <w:spacing w:before="0" w:after="0"/>
              <w:jc w:val="right"/>
              <w:rPr>
                <w:rFonts w:eastAsia="Times New Roman" w:cs="Arial"/>
                <w:b/>
                <w:bCs/>
                <w:sz w:val="20"/>
                <w:szCs w:val="20"/>
                <w:lang w:eastAsia="en-GB"/>
              </w:rPr>
            </w:pPr>
            <w:r w:rsidRPr="00AE48B7">
              <w:rPr>
                <w:rFonts w:eastAsia="Times New Roman" w:cs="Arial"/>
                <w:b/>
                <w:bCs/>
                <w:sz w:val="20"/>
                <w:szCs w:val="20"/>
                <w:lang w:eastAsia="en-GB"/>
              </w:rPr>
              <w:t>£'000</w:t>
            </w:r>
          </w:p>
        </w:tc>
        <w:tc>
          <w:tcPr>
            <w:tcW w:w="480" w:type="dxa"/>
            <w:tcBorders>
              <w:top w:val="nil"/>
              <w:left w:val="nil"/>
              <w:bottom w:val="nil"/>
              <w:right w:val="nil"/>
            </w:tcBorders>
            <w:shd w:val="clear" w:color="auto" w:fill="auto"/>
            <w:vAlign w:val="bottom"/>
            <w:hideMark/>
          </w:tcPr>
          <w:p w14:paraId="59E19828" w14:textId="77777777" w:rsidR="00EC6D52" w:rsidRPr="00AE48B7" w:rsidRDefault="00EC6D52" w:rsidP="00830827">
            <w:pPr>
              <w:spacing w:before="0" w:after="0"/>
              <w:jc w:val="right"/>
              <w:rPr>
                <w:rFonts w:eastAsia="Times New Roman" w:cs="Arial"/>
                <w:b/>
                <w:bCs/>
                <w:sz w:val="20"/>
                <w:szCs w:val="20"/>
                <w:lang w:eastAsia="en-GB"/>
              </w:rPr>
            </w:pPr>
          </w:p>
        </w:tc>
        <w:tc>
          <w:tcPr>
            <w:tcW w:w="1614" w:type="dxa"/>
            <w:gridSpan w:val="2"/>
            <w:tcBorders>
              <w:top w:val="nil"/>
              <w:left w:val="nil"/>
              <w:bottom w:val="nil"/>
              <w:right w:val="nil"/>
            </w:tcBorders>
            <w:shd w:val="clear" w:color="auto" w:fill="auto"/>
            <w:vAlign w:val="bottom"/>
            <w:hideMark/>
          </w:tcPr>
          <w:p w14:paraId="3E971803" w14:textId="46BC783D" w:rsidR="00EC6D52" w:rsidRPr="00AE48B7" w:rsidRDefault="00EC6D52" w:rsidP="00830827">
            <w:pPr>
              <w:spacing w:before="0" w:after="0"/>
              <w:jc w:val="right"/>
              <w:rPr>
                <w:rFonts w:eastAsia="Times New Roman" w:cs="Arial"/>
                <w:b/>
                <w:bCs/>
                <w:color w:val="000000"/>
                <w:sz w:val="18"/>
                <w:szCs w:val="18"/>
                <w:lang w:eastAsia="en-GB"/>
              </w:rPr>
            </w:pPr>
            <w:r w:rsidRPr="00AE48B7">
              <w:rPr>
                <w:rFonts w:eastAsia="Times New Roman" w:cs="Arial"/>
                <w:b/>
                <w:bCs/>
                <w:color w:val="000000"/>
                <w:sz w:val="18"/>
                <w:szCs w:val="18"/>
                <w:lang w:eastAsia="en-GB"/>
              </w:rPr>
              <w:t>£</w:t>
            </w:r>
            <w:r w:rsidR="00830827">
              <w:rPr>
                <w:rFonts w:eastAsia="Times New Roman" w:cs="Arial"/>
                <w:b/>
                <w:bCs/>
                <w:color w:val="000000"/>
                <w:sz w:val="18"/>
                <w:szCs w:val="18"/>
                <w:lang w:eastAsia="en-GB"/>
              </w:rPr>
              <w:t>000</w:t>
            </w:r>
            <w:r w:rsidRPr="00AE48B7">
              <w:rPr>
                <w:rFonts w:eastAsia="Times New Roman" w:cs="Arial"/>
                <w:b/>
                <w:bCs/>
                <w:color w:val="000000"/>
                <w:sz w:val="18"/>
                <w:szCs w:val="18"/>
                <w:lang w:eastAsia="en-GB"/>
              </w:rPr>
              <w:t xml:space="preserve"> </w:t>
            </w:r>
          </w:p>
        </w:tc>
        <w:tc>
          <w:tcPr>
            <w:tcW w:w="272" w:type="dxa"/>
            <w:gridSpan w:val="2"/>
            <w:tcBorders>
              <w:top w:val="nil"/>
              <w:left w:val="nil"/>
              <w:bottom w:val="nil"/>
              <w:right w:val="nil"/>
            </w:tcBorders>
            <w:shd w:val="clear" w:color="auto" w:fill="auto"/>
            <w:vAlign w:val="bottom"/>
            <w:hideMark/>
          </w:tcPr>
          <w:p w14:paraId="458110FE" w14:textId="77777777" w:rsidR="00EC6D52" w:rsidRPr="00AE48B7" w:rsidRDefault="00EC6D52" w:rsidP="00830827">
            <w:pPr>
              <w:spacing w:before="0" w:after="0"/>
              <w:jc w:val="right"/>
              <w:rPr>
                <w:rFonts w:eastAsia="Times New Roman" w:cs="Arial"/>
                <w:b/>
                <w:bCs/>
                <w:color w:val="000000"/>
                <w:sz w:val="18"/>
                <w:szCs w:val="18"/>
                <w:lang w:eastAsia="en-GB"/>
              </w:rPr>
            </w:pPr>
          </w:p>
        </w:tc>
        <w:tc>
          <w:tcPr>
            <w:tcW w:w="1844" w:type="dxa"/>
            <w:gridSpan w:val="2"/>
            <w:tcBorders>
              <w:top w:val="nil"/>
              <w:left w:val="nil"/>
              <w:bottom w:val="nil"/>
              <w:right w:val="nil"/>
            </w:tcBorders>
            <w:shd w:val="clear" w:color="auto" w:fill="auto"/>
            <w:vAlign w:val="bottom"/>
            <w:hideMark/>
          </w:tcPr>
          <w:p w14:paraId="0375BB51" w14:textId="77777777" w:rsidR="00EC6D52" w:rsidRPr="00AE48B7" w:rsidRDefault="00EC6D52" w:rsidP="00830827">
            <w:pPr>
              <w:spacing w:before="0" w:after="0"/>
              <w:jc w:val="right"/>
              <w:rPr>
                <w:rFonts w:eastAsia="Times New Roman" w:cs="Arial"/>
                <w:sz w:val="20"/>
                <w:szCs w:val="20"/>
                <w:lang w:eastAsia="en-GB"/>
              </w:rPr>
            </w:pPr>
            <w:r w:rsidRPr="00AE48B7">
              <w:rPr>
                <w:rFonts w:eastAsia="Times New Roman" w:cs="Arial"/>
                <w:sz w:val="20"/>
                <w:szCs w:val="20"/>
                <w:lang w:eastAsia="en-GB"/>
              </w:rPr>
              <w:t>£'000</w:t>
            </w:r>
          </w:p>
        </w:tc>
        <w:tc>
          <w:tcPr>
            <w:tcW w:w="272" w:type="dxa"/>
            <w:tcBorders>
              <w:top w:val="nil"/>
              <w:left w:val="nil"/>
              <w:bottom w:val="nil"/>
              <w:right w:val="nil"/>
            </w:tcBorders>
            <w:shd w:val="clear" w:color="auto" w:fill="auto"/>
            <w:vAlign w:val="bottom"/>
            <w:hideMark/>
          </w:tcPr>
          <w:p w14:paraId="569FBA23" w14:textId="77777777" w:rsidR="00EC6D52" w:rsidRPr="00AE48B7" w:rsidRDefault="00EC6D52" w:rsidP="00830827">
            <w:pPr>
              <w:spacing w:before="0" w:after="0"/>
              <w:jc w:val="right"/>
              <w:rPr>
                <w:rFonts w:eastAsia="Times New Roman" w:cs="Arial"/>
                <w:sz w:val="20"/>
                <w:szCs w:val="20"/>
                <w:lang w:eastAsia="en-GB"/>
              </w:rPr>
            </w:pPr>
          </w:p>
        </w:tc>
        <w:tc>
          <w:tcPr>
            <w:tcW w:w="1429" w:type="dxa"/>
            <w:gridSpan w:val="2"/>
            <w:tcBorders>
              <w:top w:val="nil"/>
              <w:left w:val="nil"/>
              <w:bottom w:val="nil"/>
              <w:right w:val="nil"/>
            </w:tcBorders>
            <w:shd w:val="clear" w:color="auto" w:fill="auto"/>
            <w:vAlign w:val="bottom"/>
            <w:hideMark/>
          </w:tcPr>
          <w:p w14:paraId="48B4B4E5" w14:textId="77777777" w:rsidR="00EC6D52" w:rsidRPr="00AE48B7" w:rsidRDefault="00EC6D52" w:rsidP="00830827">
            <w:pPr>
              <w:spacing w:before="0" w:after="0"/>
              <w:jc w:val="right"/>
              <w:rPr>
                <w:rFonts w:eastAsia="Times New Roman" w:cs="Arial"/>
                <w:color w:val="000000"/>
                <w:sz w:val="18"/>
                <w:szCs w:val="18"/>
                <w:lang w:eastAsia="en-GB"/>
              </w:rPr>
            </w:pPr>
            <w:r w:rsidRPr="00AE48B7">
              <w:rPr>
                <w:rFonts w:eastAsia="Times New Roman" w:cs="Arial"/>
                <w:color w:val="000000"/>
                <w:sz w:val="18"/>
                <w:szCs w:val="18"/>
                <w:lang w:eastAsia="en-GB"/>
              </w:rPr>
              <w:t xml:space="preserve">£000 </w:t>
            </w:r>
          </w:p>
        </w:tc>
      </w:tr>
      <w:tr w:rsidR="00EC6D52" w:rsidRPr="00AE48B7" w14:paraId="59C379A8" w14:textId="77777777" w:rsidTr="00A20382">
        <w:trPr>
          <w:trHeight w:val="250"/>
        </w:trPr>
        <w:tc>
          <w:tcPr>
            <w:tcW w:w="2976" w:type="dxa"/>
            <w:tcBorders>
              <w:top w:val="nil"/>
              <w:left w:val="nil"/>
              <w:bottom w:val="nil"/>
              <w:right w:val="nil"/>
            </w:tcBorders>
            <w:shd w:val="clear" w:color="auto" w:fill="auto"/>
            <w:noWrap/>
            <w:vAlign w:val="bottom"/>
            <w:hideMark/>
          </w:tcPr>
          <w:p w14:paraId="45806147" w14:textId="77777777" w:rsidR="00EC6D52" w:rsidRPr="00AE48B7" w:rsidRDefault="00EC6D52" w:rsidP="003B6DFB">
            <w:pPr>
              <w:spacing w:before="0" w:after="0"/>
              <w:rPr>
                <w:rFonts w:eastAsia="Times New Roman" w:cs="Arial"/>
                <w:sz w:val="20"/>
                <w:szCs w:val="20"/>
                <w:lang w:eastAsia="en-GB"/>
              </w:rPr>
            </w:pPr>
            <w:r w:rsidRPr="00AE48B7">
              <w:rPr>
                <w:rFonts w:eastAsia="Times New Roman" w:cs="Arial"/>
                <w:sz w:val="20"/>
                <w:szCs w:val="20"/>
                <w:lang w:eastAsia="en-GB"/>
              </w:rPr>
              <w:t>Within one year</w:t>
            </w:r>
          </w:p>
        </w:tc>
        <w:tc>
          <w:tcPr>
            <w:tcW w:w="283" w:type="dxa"/>
            <w:tcBorders>
              <w:top w:val="nil"/>
              <w:left w:val="nil"/>
              <w:bottom w:val="nil"/>
              <w:right w:val="nil"/>
            </w:tcBorders>
            <w:shd w:val="clear" w:color="auto" w:fill="auto"/>
            <w:noWrap/>
            <w:vAlign w:val="bottom"/>
            <w:hideMark/>
          </w:tcPr>
          <w:p w14:paraId="6920BC5A" w14:textId="77777777" w:rsidR="00EC6D52" w:rsidRPr="00AE48B7" w:rsidRDefault="00EC6D52" w:rsidP="003B6DFB">
            <w:pPr>
              <w:spacing w:before="0" w:after="0"/>
              <w:rPr>
                <w:rFonts w:eastAsia="Times New Roman" w:cs="Arial"/>
                <w:sz w:val="20"/>
                <w:szCs w:val="20"/>
                <w:lang w:eastAsia="en-GB"/>
              </w:rPr>
            </w:pPr>
          </w:p>
        </w:tc>
        <w:tc>
          <w:tcPr>
            <w:tcW w:w="1560" w:type="dxa"/>
            <w:tcBorders>
              <w:top w:val="nil"/>
              <w:left w:val="nil"/>
              <w:bottom w:val="nil"/>
              <w:right w:val="nil"/>
            </w:tcBorders>
            <w:shd w:val="clear" w:color="000000" w:fill="FFFFFF"/>
            <w:noWrap/>
            <w:vAlign w:val="bottom"/>
            <w:hideMark/>
          </w:tcPr>
          <w:p w14:paraId="27E6C78D" w14:textId="77777777" w:rsidR="00EC6D52" w:rsidRPr="00AE48B7" w:rsidRDefault="00EC6D52" w:rsidP="00830827">
            <w:pPr>
              <w:spacing w:before="0" w:after="0"/>
              <w:jc w:val="right"/>
              <w:rPr>
                <w:rFonts w:eastAsia="Times New Roman" w:cs="Arial"/>
                <w:sz w:val="20"/>
                <w:szCs w:val="20"/>
                <w:lang w:eastAsia="en-GB"/>
              </w:rPr>
            </w:pPr>
            <w:r w:rsidRPr="00AE48B7">
              <w:rPr>
                <w:rFonts w:eastAsia="Times New Roman" w:cs="Arial"/>
                <w:sz w:val="20"/>
                <w:szCs w:val="20"/>
                <w:lang w:eastAsia="en-GB"/>
              </w:rPr>
              <w:t>308</w:t>
            </w:r>
          </w:p>
        </w:tc>
        <w:tc>
          <w:tcPr>
            <w:tcW w:w="480" w:type="dxa"/>
            <w:tcBorders>
              <w:top w:val="nil"/>
              <w:left w:val="nil"/>
              <w:bottom w:val="nil"/>
              <w:right w:val="nil"/>
            </w:tcBorders>
            <w:shd w:val="clear" w:color="auto" w:fill="auto"/>
            <w:noWrap/>
            <w:vAlign w:val="bottom"/>
            <w:hideMark/>
          </w:tcPr>
          <w:p w14:paraId="5B82338E" w14:textId="77777777" w:rsidR="00EC6D52" w:rsidRPr="00AE48B7" w:rsidRDefault="00EC6D52" w:rsidP="00830827">
            <w:pPr>
              <w:spacing w:before="0" w:after="0"/>
              <w:jc w:val="right"/>
              <w:rPr>
                <w:rFonts w:eastAsia="Times New Roman" w:cs="Arial"/>
                <w:sz w:val="20"/>
                <w:szCs w:val="20"/>
                <w:lang w:eastAsia="en-GB"/>
              </w:rPr>
            </w:pPr>
          </w:p>
        </w:tc>
        <w:tc>
          <w:tcPr>
            <w:tcW w:w="1614" w:type="dxa"/>
            <w:gridSpan w:val="2"/>
            <w:tcBorders>
              <w:top w:val="nil"/>
              <w:left w:val="nil"/>
              <w:bottom w:val="nil"/>
              <w:right w:val="nil"/>
            </w:tcBorders>
            <w:shd w:val="clear" w:color="000000" w:fill="FFFFFF"/>
            <w:noWrap/>
            <w:vAlign w:val="bottom"/>
            <w:hideMark/>
          </w:tcPr>
          <w:p w14:paraId="2D00A56E" w14:textId="77777777" w:rsidR="00EC6D52" w:rsidRPr="00AE48B7" w:rsidRDefault="00EC6D52" w:rsidP="00830827">
            <w:pPr>
              <w:spacing w:before="0" w:after="0"/>
              <w:jc w:val="right"/>
              <w:rPr>
                <w:rFonts w:eastAsia="Times New Roman" w:cs="Arial"/>
                <w:sz w:val="18"/>
                <w:szCs w:val="18"/>
                <w:lang w:eastAsia="en-GB"/>
              </w:rPr>
            </w:pPr>
            <w:r w:rsidRPr="00AE48B7">
              <w:rPr>
                <w:rFonts w:eastAsia="Times New Roman" w:cs="Arial"/>
                <w:sz w:val="18"/>
                <w:szCs w:val="18"/>
                <w:lang w:eastAsia="en-GB"/>
              </w:rPr>
              <w:t>308</w:t>
            </w:r>
          </w:p>
        </w:tc>
        <w:tc>
          <w:tcPr>
            <w:tcW w:w="272" w:type="dxa"/>
            <w:gridSpan w:val="2"/>
            <w:tcBorders>
              <w:top w:val="nil"/>
              <w:left w:val="nil"/>
              <w:bottom w:val="nil"/>
              <w:right w:val="nil"/>
            </w:tcBorders>
            <w:shd w:val="clear" w:color="auto" w:fill="auto"/>
            <w:noWrap/>
            <w:vAlign w:val="bottom"/>
            <w:hideMark/>
          </w:tcPr>
          <w:p w14:paraId="0CD73472" w14:textId="77777777" w:rsidR="00EC6D52" w:rsidRPr="00AE48B7" w:rsidRDefault="00EC6D52" w:rsidP="00830827">
            <w:pPr>
              <w:spacing w:before="0" w:after="0"/>
              <w:jc w:val="right"/>
              <w:rPr>
                <w:rFonts w:eastAsia="Times New Roman" w:cs="Arial"/>
                <w:sz w:val="18"/>
                <w:szCs w:val="18"/>
                <w:lang w:eastAsia="en-GB"/>
              </w:rPr>
            </w:pPr>
          </w:p>
        </w:tc>
        <w:tc>
          <w:tcPr>
            <w:tcW w:w="1844" w:type="dxa"/>
            <w:gridSpan w:val="2"/>
            <w:tcBorders>
              <w:top w:val="nil"/>
              <w:left w:val="nil"/>
              <w:bottom w:val="nil"/>
              <w:right w:val="nil"/>
            </w:tcBorders>
            <w:shd w:val="clear" w:color="auto" w:fill="auto"/>
            <w:noWrap/>
            <w:vAlign w:val="bottom"/>
            <w:hideMark/>
          </w:tcPr>
          <w:p w14:paraId="3703B7D5" w14:textId="77777777" w:rsidR="00EC6D52" w:rsidRPr="00AE48B7" w:rsidRDefault="00EC6D52" w:rsidP="00830827">
            <w:pPr>
              <w:spacing w:before="0" w:after="0"/>
              <w:jc w:val="right"/>
              <w:rPr>
                <w:rFonts w:eastAsia="Times New Roman" w:cs="Arial"/>
                <w:sz w:val="20"/>
                <w:szCs w:val="20"/>
                <w:lang w:eastAsia="en-GB"/>
              </w:rPr>
            </w:pPr>
            <w:r w:rsidRPr="00AE48B7">
              <w:rPr>
                <w:rFonts w:eastAsia="Times New Roman" w:cs="Arial"/>
                <w:sz w:val="20"/>
                <w:szCs w:val="20"/>
                <w:lang w:eastAsia="en-GB"/>
              </w:rPr>
              <w:t>468</w:t>
            </w:r>
          </w:p>
        </w:tc>
        <w:tc>
          <w:tcPr>
            <w:tcW w:w="272" w:type="dxa"/>
            <w:tcBorders>
              <w:top w:val="nil"/>
              <w:left w:val="nil"/>
              <w:bottom w:val="nil"/>
              <w:right w:val="nil"/>
            </w:tcBorders>
            <w:shd w:val="clear" w:color="auto" w:fill="auto"/>
            <w:noWrap/>
            <w:vAlign w:val="bottom"/>
            <w:hideMark/>
          </w:tcPr>
          <w:p w14:paraId="24B0259F" w14:textId="77777777" w:rsidR="00EC6D52" w:rsidRPr="00AE48B7" w:rsidRDefault="00EC6D52" w:rsidP="00830827">
            <w:pPr>
              <w:spacing w:before="0" w:after="0"/>
              <w:jc w:val="right"/>
              <w:rPr>
                <w:rFonts w:eastAsia="Times New Roman" w:cs="Arial"/>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14A003EE" w14:textId="77777777" w:rsidR="00EC6D52" w:rsidRPr="00AE48B7" w:rsidRDefault="00EC6D52" w:rsidP="00830827">
            <w:pPr>
              <w:spacing w:before="0" w:after="0"/>
              <w:jc w:val="right"/>
              <w:rPr>
                <w:rFonts w:eastAsia="Times New Roman" w:cs="Arial"/>
                <w:sz w:val="18"/>
                <w:szCs w:val="18"/>
                <w:lang w:eastAsia="en-GB"/>
              </w:rPr>
            </w:pPr>
            <w:r w:rsidRPr="00AE48B7">
              <w:rPr>
                <w:rFonts w:eastAsia="Times New Roman" w:cs="Arial"/>
                <w:sz w:val="18"/>
                <w:szCs w:val="18"/>
                <w:lang w:eastAsia="en-GB"/>
              </w:rPr>
              <w:t>(382)</w:t>
            </w:r>
          </w:p>
        </w:tc>
      </w:tr>
      <w:tr w:rsidR="00EC6D52" w:rsidRPr="00AE48B7" w14:paraId="59F0F8A9" w14:textId="77777777" w:rsidTr="00A20382">
        <w:trPr>
          <w:trHeight w:val="250"/>
        </w:trPr>
        <w:tc>
          <w:tcPr>
            <w:tcW w:w="2976" w:type="dxa"/>
            <w:tcBorders>
              <w:top w:val="nil"/>
              <w:left w:val="nil"/>
              <w:bottom w:val="nil"/>
              <w:right w:val="nil"/>
            </w:tcBorders>
            <w:shd w:val="clear" w:color="auto" w:fill="auto"/>
            <w:noWrap/>
            <w:vAlign w:val="bottom"/>
            <w:hideMark/>
          </w:tcPr>
          <w:p w14:paraId="3B1F04B6" w14:textId="77777777" w:rsidR="00EC6D52" w:rsidRPr="00AE48B7" w:rsidRDefault="00EC6D52" w:rsidP="003B6DFB">
            <w:pPr>
              <w:spacing w:before="0" w:after="0"/>
              <w:rPr>
                <w:rFonts w:eastAsia="Times New Roman" w:cs="Arial"/>
                <w:sz w:val="20"/>
                <w:szCs w:val="20"/>
                <w:lang w:eastAsia="en-GB"/>
              </w:rPr>
            </w:pPr>
            <w:r w:rsidRPr="00AE48B7">
              <w:rPr>
                <w:rFonts w:eastAsia="Times New Roman" w:cs="Arial"/>
                <w:sz w:val="20"/>
                <w:szCs w:val="20"/>
                <w:lang w:eastAsia="en-GB"/>
              </w:rPr>
              <w:t>Between one and five years</w:t>
            </w:r>
          </w:p>
        </w:tc>
        <w:tc>
          <w:tcPr>
            <w:tcW w:w="283" w:type="dxa"/>
            <w:tcBorders>
              <w:top w:val="nil"/>
              <w:left w:val="nil"/>
              <w:bottom w:val="nil"/>
              <w:right w:val="nil"/>
            </w:tcBorders>
            <w:shd w:val="clear" w:color="auto" w:fill="auto"/>
            <w:noWrap/>
            <w:vAlign w:val="bottom"/>
            <w:hideMark/>
          </w:tcPr>
          <w:p w14:paraId="30049C6D" w14:textId="77777777" w:rsidR="00EC6D52" w:rsidRPr="00AE48B7" w:rsidRDefault="00EC6D52" w:rsidP="003B6DFB">
            <w:pPr>
              <w:spacing w:before="0" w:after="0"/>
              <w:rPr>
                <w:rFonts w:eastAsia="Times New Roman" w:cs="Arial"/>
                <w:sz w:val="20"/>
                <w:szCs w:val="20"/>
                <w:lang w:eastAsia="en-GB"/>
              </w:rPr>
            </w:pPr>
          </w:p>
        </w:tc>
        <w:tc>
          <w:tcPr>
            <w:tcW w:w="1560" w:type="dxa"/>
            <w:tcBorders>
              <w:top w:val="nil"/>
              <w:left w:val="nil"/>
              <w:bottom w:val="nil"/>
              <w:right w:val="nil"/>
            </w:tcBorders>
            <w:shd w:val="clear" w:color="000000" w:fill="FFFFFF"/>
            <w:noWrap/>
            <w:vAlign w:val="bottom"/>
            <w:hideMark/>
          </w:tcPr>
          <w:p w14:paraId="3BF1C110" w14:textId="77777777" w:rsidR="00EC6D52" w:rsidRPr="00AE48B7" w:rsidRDefault="00EC6D52" w:rsidP="00830827">
            <w:pPr>
              <w:spacing w:before="0" w:after="0"/>
              <w:jc w:val="right"/>
              <w:rPr>
                <w:rFonts w:eastAsia="Times New Roman" w:cs="Arial"/>
                <w:sz w:val="20"/>
                <w:szCs w:val="20"/>
                <w:lang w:eastAsia="en-GB"/>
              </w:rPr>
            </w:pPr>
            <w:r w:rsidRPr="00AE48B7">
              <w:rPr>
                <w:rFonts w:eastAsia="Times New Roman" w:cs="Arial"/>
                <w:sz w:val="20"/>
                <w:szCs w:val="20"/>
                <w:lang w:eastAsia="en-GB"/>
              </w:rPr>
              <w:t>1,216</w:t>
            </w:r>
          </w:p>
        </w:tc>
        <w:tc>
          <w:tcPr>
            <w:tcW w:w="480" w:type="dxa"/>
            <w:tcBorders>
              <w:top w:val="nil"/>
              <w:left w:val="nil"/>
              <w:bottom w:val="nil"/>
              <w:right w:val="nil"/>
            </w:tcBorders>
            <w:shd w:val="clear" w:color="auto" w:fill="auto"/>
            <w:noWrap/>
            <w:vAlign w:val="bottom"/>
            <w:hideMark/>
          </w:tcPr>
          <w:p w14:paraId="448856E2" w14:textId="77777777" w:rsidR="00EC6D52" w:rsidRPr="00AE48B7" w:rsidRDefault="00EC6D52" w:rsidP="00830827">
            <w:pPr>
              <w:spacing w:before="0" w:after="0"/>
              <w:jc w:val="right"/>
              <w:rPr>
                <w:rFonts w:eastAsia="Times New Roman" w:cs="Arial"/>
                <w:sz w:val="20"/>
                <w:szCs w:val="20"/>
                <w:lang w:eastAsia="en-GB"/>
              </w:rPr>
            </w:pPr>
          </w:p>
        </w:tc>
        <w:tc>
          <w:tcPr>
            <w:tcW w:w="1614" w:type="dxa"/>
            <w:gridSpan w:val="2"/>
            <w:tcBorders>
              <w:top w:val="nil"/>
              <w:left w:val="nil"/>
              <w:bottom w:val="nil"/>
              <w:right w:val="nil"/>
            </w:tcBorders>
            <w:shd w:val="clear" w:color="000000" w:fill="FFFFFF"/>
            <w:noWrap/>
            <w:vAlign w:val="bottom"/>
            <w:hideMark/>
          </w:tcPr>
          <w:p w14:paraId="3D79EE4C" w14:textId="77777777" w:rsidR="00EC6D52" w:rsidRPr="00AE48B7" w:rsidRDefault="00EC6D52" w:rsidP="00830827">
            <w:pPr>
              <w:spacing w:before="0" w:after="0"/>
              <w:jc w:val="right"/>
              <w:rPr>
                <w:rFonts w:eastAsia="Times New Roman" w:cs="Arial"/>
                <w:sz w:val="18"/>
                <w:szCs w:val="18"/>
                <w:lang w:eastAsia="en-GB"/>
              </w:rPr>
            </w:pPr>
            <w:r w:rsidRPr="00AE48B7">
              <w:rPr>
                <w:rFonts w:eastAsia="Times New Roman" w:cs="Arial"/>
                <w:sz w:val="18"/>
                <w:szCs w:val="18"/>
                <w:lang w:eastAsia="en-GB"/>
              </w:rPr>
              <w:t>1,216</w:t>
            </w:r>
          </w:p>
        </w:tc>
        <w:tc>
          <w:tcPr>
            <w:tcW w:w="272" w:type="dxa"/>
            <w:gridSpan w:val="2"/>
            <w:tcBorders>
              <w:top w:val="nil"/>
              <w:left w:val="nil"/>
              <w:bottom w:val="nil"/>
              <w:right w:val="nil"/>
            </w:tcBorders>
            <w:shd w:val="clear" w:color="auto" w:fill="auto"/>
            <w:noWrap/>
            <w:vAlign w:val="bottom"/>
            <w:hideMark/>
          </w:tcPr>
          <w:p w14:paraId="09B7BD6B" w14:textId="77777777" w:rsidR="00EC6D52" w:rsidRPr="00AE48B7" w:rsidRDefault="00EC6D52" w:rsidP="00830827">
            <w:pPr>
              <w:spacing w:before="0" w:after="0"/>
              <w:jc w:val="right"/>
              <w:rPr>
                <w:rFonts w:eastAsia="Times New Roman" w:cs="Arial"/>
                <w:sz w:val="18"/>
                <w:szCs w:val="18"/>
                <w:lang w:eastAsia="en-GB"/>
              </w:rPr>
            </w:pPr>
          </w:p>
        </w:tc>
        <w:tc>
          <w:tcPr>
            <w:tcW w:w="1844" w:type="dxa"/>
            <w:gridSpan w:val="2"/>
            <w:tcBorders>
              <w:top w:val="nil"/>
              <w:left w:val="nil"/>
              <w:bottom w:val="nil"/>
              <w:right w:val="nil"/>
            </w:tcBorders>
            <w:shd w:val="clear" w:color="auto" w:fill="auto"/>
            <w:noWrap/>
            <w:vAlign w:val="bottom"/>
            <w:hideMark/>
          </w:tcPr>
          <w:p w14:paraId="68EA633F" w14:textId="77777777" w:rsidR="00EC6D52" w:rsidRPr="00AE48B7" w:rsidRDefault="00EC6D52" w:rsidP="00830827">
            <w:pPr>
              <w:spacing w:before="0" w:after="0"/>
              <w:jc w:val="right"/>
              <w:rPr>
                <w:rFonts w:eastAsia="Times New Roman" w:cs="Arial"/>
                <w:sz w:val="20"/>
                <w:szCs w:val="20"/>
                <w:lang w:eastAsia="en-GB"/>
              </w:rPr>
            </w:pPr>
            <w:r w:rsidRPr="00AE48B7">
              <w:rPr>
                <w:rFonts w:eastAsia="Times New Roman" w:cs="Arial"/>
                <w:sz w:val="20"/>
                <w:szCs w:val="20"/>
                <w:lang w:eastAsia="en-GB"/>
              </w:rPr>
              <w:t>1,675</w:t>
            </w:r>
          </w:p>
        </w:tc>
        <w:tc>
          <w:tcPr>
            <w:tcW w:w="272" w:type="dxa"/>
            <w:tcBorders>
              <w:top w:val="nil"/>
              <w:left w:val="nil"/>
              <w:bottom w:val="nil"/>
              <w:right w:val="nil"/>
            </w:tcBorders>
            <w:shd w:val="clear" w:color="auto" w:fill="auto"/>
            <w:noWrap/>
            <w:vAlign w:val="bottom"/>
            <w:hideMark/>
          </w:tcPr>
          <w:p w14:paraId="02EE5CA1" w14:textId="77777777" w:rsidR="00EC6D52" w:rsidRPr="00AE48B7" w:rsidRDefault="00EC6D52" w:rsidP="00830827">
            <w:pPr>
              <w:spacing w:before="0" w:after="0"/>
              <w:jc w:val="right"/>
              <w:rPr>
                <w:rFonts w:eastAsia="Times New Roman" w:cs="Arial"/>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0D643FD1" w14:textId="77777777" w:rsidR="00EC6D52" w:rsidRPr="00AE48B7" w:rsidRDefault="00EC6D52" w:rsidP="00830827">
            <w:pPr>
              <w:spacing w:before="0" w:after="0"/>
              <w:jc w:val="right"/>
              <w:rPr>
                <w:rFonts w:eastAsia="Times New Roman" w:cs="Arial"/>
                <w:sz w:val="18"/>
                <w:szCs w:val="18"/>
                <w:lang w:eastAsia="en-GB"/>
              </w:rPr>
            </w:pPr>
            <w:r w:rsidRPr="00AE48B7">
              <w:rPr>
                <w:rFonts w:eastAsia="Times New Roman" w:cs="Arial"/>
                <w:sz w:val="18"/>
                <w:szCs w:val="18"/>
                <w:lang w:eastAsia="en-GB"/>
              </w:rPr>
              <w:t>(1,522)</w:t>
            </w:r>
          </w:p>
        </w:tc>
      </w:tr>
      <w:tr w:rsidR="00EC6D52" w:rsidRPr="00AE48B7" w14:paraId="56E4C90C" w14:textId="77777777" w:rsidTr="00A20382">
        <w:trPr>
          <w:trHeight w:val="250"/>
        </w:trPr>
        <w:tc>
          <w:tcPr>
            <w:tcW w:w="2976" w:type="dxa"/>
            <w:tcBorders>
              <w:top w:val="nil"/>
              <w:left w:val="nil"/>
              <w:bottom w:val="nil"/>
              <w:right w:val="nil"/>
            </w:tcBorders>
            <w:shd w:val="clear" w:color="auto" w:fill="auto"/>
            <w:noWrap/>
            <w:vAlign w:val="bottom"/>
            <w:hideMark/>
          </w:tcPr>
          <w:p w14:paraId="0C806408" w14:textId="77777777" w:rsidR="00EC6D52" w:rsidRPr="00AE48B7" w:rsidRDefault="00EC6D52" w:rsidP="003B6DFB">
            <w:pPr>
              <w:spacing w:before="0" w:after="0"/>
              <w:rPr>
                <w:rFonts w:eastAsia="Times New Roman" w:cs="Arial"/>
                <w:sz w:val="20"/>
                <w:szCs w:val="20"/>
                <w:lang w:eastAsia="en-GB"/>
              </w:rPr>
            </w:pPr>
            <w:r w:rsidRPr="00AE48B7">
              <w:rPr>
                <w:rFonts w:eastAsia="Times New Roman" w:cs="Arial"/>
                <w:sz w:val="20"/>
                <w:szCs w:val="20"/>
                <w:lang w:eastAsia="en-GB"/>
              </w:rPr>
              <w:t>After five years</w:t>
            </w:r>
          </w:p>
        </w:tc>
        <w:tc>
          <w:tcPr>
            <w:tcW w:w="283" w:type="dxa"/>
            <w:tcBorders>
              <w:top w:val="nil"/>
              <w:left w:val="nil"/>
              <w:bottom w:val="nil"/>
              <w:right w:val="nil"/>
            </w:tcBorders>
            <w:shd w:val="clear" w:color="auto" w:fill="auto"/>
            <w:noWrap/>
            <w:vAlign w:val="bottom"/>
            <w:hideMark/>
          </w:tcPr>
          <w:p w14:paraId="348A4B51" w14:textId="77777777" w:rsidR="00EC6D52" w:rsidRPr="00AE48B7" w:rsidRDefault="00EC6D52" w:rsidP="003B6DFB">
            <w:pPr>
              <w:spacing w:before="0" w:after="0"/>
              <w:rPr>
                <w:rFonts w:eastAsia="Times New Roman" w:cs="Arial"/>
                <w:sz w:val="20"/>
                <w:szCs w:val="20"/>
                <w:lang w:eastAsia="en-GB"/>
              </w:rPr>
            </w:pPr>
          </w:p>
        </w:tc>
        <w:tc>
          <w:tcPr>
            <w:tcW w:w="1560" w:type="dxa"/>
            <w:tcBorders>
              <w:top w:val="nil"/>
              <w:left w:val="nil"/>
              <w:bottom w:val="nil"/>
              <w:right w:val="nil"/>
            </w:tcBorders>
            <w:shd w:val="clear" w:color="000000" w:fill="FFFFFF"/>
            <w:noWrap/>
            <w:vAlign w:val="bottom"/>
            <w:hideMark/>
          </w:tcPr>
          <w:p w14:paraId="3878360C" w14:textId="77777777" w:rsidR="00EC6D52" w:rsidRPr="00AE48B7" w:rsidRDefault="00EC6D52" w:rsidP="00830827">
            <w:pPr>
              <w:spacing w:before="0" w:after="0"/>
              <w:jc w:val="right"/>
              <w:rPr>
                <w:rFonts w:eastAsia="Times New Roman" w:cs="Arial"/>
                <w:sz w:val="20"/>
                <w:szCs w:val="20"/>
                <w:lang w:eastAsia="en-GB"/>
              </w:rPr>
            </w:pPr>
            <w:r w:rsidRPr="00AE48B7">
              <w:rPr>
                <w:rFonts w:eastAsia="Times New Roman" w:cs="Arial"/>
                <w:sz w:val="20"/>
                <w:szCs w:val="20"/>
                <w:lang w:eastAsia="en-GB"/>
              </w:rPr>
              <w:t>974</w:t>
            </w:r>
          </w:p>
        </w:tc>
        <w:tc>
          <w:tcPr>
            <w:tcW w:w="480" w:type="dxa"/>
            <w:tcBorders>
              <w:top w:val="nil"/>
              <w:left w:val="nil"/>
              <w:bottom w:val="nil"/>
              <w:right w:val="nil"/>
            </w:tcBorders>
            <w:shd w:val="clear" w:color="auto" w:fill="auto"/>
            <w:noWrap/>
            <w:vAlign w:val="bottom"/>
            <w:hideMark/>
          </w:tcPr>
          <w:p w14:paraId="76BE391B" w14:textId="77777777" w:rsidR="00EC6D52" w:rsidRPr="00AE48B7" w:rsidRDefault="00EC6D52" w:rsidP="00830827">
            <w:pPr>
              <w:spacing w:before="0" w:after="0"/>
              <w:jc w:val="right"/>
              <w:rPr>
                <w:rFonts w:eastAsia="Times New Roman" w:cs="Arial"/>
                <w:sz w:val="20"/>
                <w:szCs w:val="20"/>
                <w:lang w:eastAsia="en-GB"/>
              </w:rPr>
            </w:pPr>
          </w:p>
        </w:tc>
        <w:tc>
          <w:tcPr>
            <w:tcW w:w="1614" w:type="dxa"/>
            <w:gridSpan w:val="2"/>
            <w:tcBorders>
              <w:top w:val="nil"/>
              <w:left w:val="nil"/>
              <w:bottom w:val="nil"/>
              <w:right w:val="nil"/>
            </w:tcBorders>
            <w:shd w:val="clear" w:color="000000" w:fill="FFFFFF"/>
            <w:noWrap/>
            <w:vAlign w:val="bottom"/>
            <w:hideMark/>
          </w:tcPr>
          <w:p w14:paraId="7AA1BD56" w14:textId="77777777" w:rsidR="00EC6D52" w:rsidRPr="00AE48B7" w:rsidRDefault="00EC6D52" w:rsidP="00830827">
            <w:pPr>
              <w:spacing w:before="0" w:after="0"/>
              <w:jc w:val="right"/>
              <w:rPr>
                <w:rFonts w:eastAsia="Times New Roman" w:cs="Arial"/>
                <w:sz w:val="18"/>
                <w:szCs w:val="18"/>
                <w:lang w:eastAsia="en-GB"/>
              </w:rPr>
            </w:pPr>
            <w:r w:rsidRPr="00AE48B7">
              <w:rPr>
                <w:rFonts w:eastAsia="Times New Roman" w:cs="Arial"/>
                <w:sz w:val="18"/>
                <w:szCs w:val="18"/>
                <w:lang w:eastAsia="en-GB"/>
              </w:rPr>
              <w:t>974</w:t>
            </w:r>
          </w:p>
        </w:tc>
        <w:tc>
          <w:tcPr>
            <w:tcW w:w="272" w:type="dxa"/>
            <w:gridSpan w:val="2"/>
            <w:tcBorders>
              <w:top w:val="nil"/>
              <w:left w:val="nil"/>
              <w:bottom w:val="nil"/>
              <w:right w:val="nil"/>
            </w:tcBorders>
            <w:shd w:val="clear" w:color="auto" w:fill="auto"/>
            <w:noWrap/>
            <w:vAlign w:val="bottom"/>
            <w:hideMark/>
          </w:tcPr>
          <w:p w14:paraId="29E98840" w14:textId="77777777" w:rsidR="00EC6D52" w:rsidRPr="00AE48B7" w:rsidRDefault="00EC6D52" w:rsidP="00830827">
            <w:pPr>
              <w:spacing w:before="0" w:after="0"/>
              <w:jc w:val="right"/>
              <w:rPr>
                <w:rFonts w:eastAsia="Times New Roman" w:cs="Arial"/>
                <w:sz w:val="18"/>
                <w:szCs w:val="18"/>
                <w:lang w:eastAsia="en-GB"/>
              </w:rPr>
            </w:pPr>
          </w:p>
        </w:tc>
        <w:tc>
          <w:tcPr>
            <w:tcW w:w="1844" w:type="dxa"/>
            <w:gridSpan w:val="2"/>
            <w:tcBorders>
              <w:top w:val="nil"/>
              <w:left w:val="nil"/>
              <w:bottom w:val="nil"/>
              <w:right w:val="nil"/>
            </w:tcBorders>
            <w:shd w:val="clear" w:color="auto" w:fill="auto"/>
            <w:noWrap/>
            <w:vAlign w:val="bottom"/>
            <w:hideMark/>
          </w:tcPr>
          <w:p w14:paraId="7F1CCA66" w14:textId="77777777" w:rsidR="00EC6D52" w:rsidRPr="00AE48B7" w:rsidRDefault="00EC6D52" w:rsidP="00830827">
            <w:pPr>
              <w:spacing w:before="0" w:after="0"/>
              <w:jc w:val="right"/>
              <w:rPr>
                <w:rFonts w:eastAsia="Times New Roman" w:cs="Arial"/>
                <w:sz w:val="20"/>
                <w:szCs w:val="20"/>
                <w:lang w:eastAsia="en-GB"/>
              </w:rPr>
            </w:pPr>
            <w:r w:rsidRPr="00AE48B7">
              <w:rPr>
                <w:rFonts w:eastAsia="Times New Roman" w:cs="Arial"/>
                <w:sz w:val="20"/>
                <w:szCs w:val="20"/>
                <w:lang w:eastAsia="en-GB"/>
              </w:rPr>
              <w:t>899</w:t>
            </w:r>
          </w:p>
        </w:tc>
        <w:tc>
          <w:tcPr>
            <w:tcW w:w="272" w:type="dxa"/>
            <w:tcBorders>
              <w:top w:val="nil"/>
              <w:left w:val="nil"/>
              <w:bottom w:val="nil"/>
              <w:right w:val="nil"/>
            </w:tcBorders>
            <w:shd w:val="clear" w:color="auto" w:fill="auto"/>
            <w:noWrap/>
            <w:vAlign w:val="bottom"/>
            <w:hideMark/>
          </w:tcPr>
          <w:p w14:paraId="0E8DB261" w14:textId="77777777" w:rsidR="00EC6D52" w:rsidRPr="00AE48B7" w:rsidRDefault="00EC6D52" w:rsidP="00830827">
            <w:pPr>
              <w:spacing w:before="0" w:after="0"/>
              <w:jc w:val="right"/>
              <w:rPr>
                <w:rFonts w:eastAsia="Times New Roman" w:cs="Arial"/>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6D00E883" w14:textId="77777777" w:rsidR="00EC6D52" w:rsidRPr="00AE48B7" w:rsidRDefault="00EC6D52" w:rsidP="00830827">
            <w:pPr>
              <w:spacing w:before="0" w:after="0"/>
              <w:jc w:val="right"/>
              <w:rPr>
                <w:rFonts w:eastAsia="Times New Roman" w:cs="Arial"/>
                <w:sz w:val="18"/>
                <w:szCs w:val="18"/>
                <w:lang w:eastAsia="en-GB"/>
              </w:rPr>
            </w:pPr>
            <w:r w:rsidRPr="00AE48B7">
              <w:rPr>
                <w:rFonts w:eastAsia="Times New Roman" w:cs="Arial"/>
                <w:sz w:val="18"/>
                <w:szCs w:val="18"/>
                <w:lang w:eastAsia="en-GB"/>
              </w:rPr>
              <w:t>(899)</w:t>
            </w:r>
          </w:p>
        </w:tc>
      </w:tr>
      <w:tr w:rsidR="00EC6D52" w:rsidRPr="00AE48B7" w14:paraId="150B895E" w14:textId="77777777" w:rsidTr="00A20382">
        <w:trPr>
          <w:trHeight w:val="260"/>
        </w:trPr>
        <w:tc>
          <w:tcPr>
            <w:tcW w:w="2976" w:type="dxa"/>
            <w:tcBorders>
              <w:top w:val="nil"/>
              <w:left w:val="nil"/>
              <w:bottom w:val="nil"/>
              <w:right w:val="nil"/>
            </w:tcBorders>
            <w:shd w:val="clear" w:color="auto" w:fill="auto"/>
            <w:noWrap/>
            <w:vAlign w:val="bottom"/>
            <w:hideMark/>
          </w:tcPr>
          <w:p w14:paraId="2201BB16" w14:textId="77777777" w:rsidR="00EC6D52" w:rsidRPr="00AE48B7" w:rsidRDefault="00EC6D52" w:rsidP="003B6DFB">
            <w:pPr>
              <w:spacing w:before="0" w:after="0"/>
              <w:rPr>
                <w:rFonts w:eastAsia="Times New Roman" w:cs="Arial"/>
                <w:b/>
                <w:bCs/>
                <w:sz w:val="20"/>
                <w:szCs w:val="20"/>
                <w:lang w:eastAsia="en-GB"/>
              </w:rPr>
            </w:pPr>
            <w:r w:rsidRPr="00AE48B7">
              <w:rPr>
                <w:rFonts w:eastAsia="Times New Roman" w:cs="Arial"/>
                <w:b/>
                <w:bCs/>
                <w:sz w:val="20"/>
                <w:szCs w:val="20"/>
                <w:lang w:eastAsia="en-GB"/>
              </w:rPr>
              <w:t>Balance at 31 March 2024</w:t>
            </w:r>
          </w:p>
        </w:tc>
        <w:tc>
          <w:tcPr>
            <w:tcW w:w="283" w:type="dxa"/>
            <w:tcBorders>
              <w:top w:val="nil"/>
              <w:left w:val="nil"/>
              <w:bottom w:val="nil"/>
              <w:right w:val="nil"/>
            </w:tcBorders>
            <w:shd w:val="clear" w:color="auto" w:fill="auto"/>
            <w:noWrap/>
            <w:vAlign w:val="bottom"/>
            <w:hideMark/>
          </w:tcPr>
          <w:p w14:paraId="3772F9C8" w14:textId="77777777" w:rsidR="00EC6D52" w:rsidRPr="00AE48B7" w:rsidRDefault="00EC6D52" w:rsidP="003B6DFB">
            <w:pPr>
              <w:spacing w:before="0" w:after="0"/>
              <w:rPr>
                <w:rFonts w:eastAsia="Times New Roman" w:cs="Arial"/>
                <w:b/>
                <w:bCs/>
                <w:sz w:val="20"/>
                <w:szCs w:val="20"/>
                <w:lang w:eastAsia="en-GB"/>
              </w:rPr>
            </w:pPr>
          </w:p>
        </w:tc>
        <w:tc>
          <w:tcPr>
            <w:tcW w:w="1560" w:type="dxa"/>
            <w:tcBorders>
              <w:top w:val="single" w:sz="4" w:space="0" w:color="auto"/>
              <w:left w:val="nil"/>
              <w:bottom w:val="single" w:sz="4" w:space="0" w:color="auto"/>
              <w:right w:val="nil"/>
            </w:tcBorders>
            <w:shd w:val="clear" w:color="000000" w:fill="FFFFFF"/>
            <w:noWrap/>
            <w:vAlign w:val="bottom"/>
            <w:hideMark/>
          </w:tcPr>
          <w:p w14:paraId="50E54FBD" w14:textId="77777777" w:rsidR="00EC6D52" w:rsidRPr="00AE48B7" w:rsidRDefault="00EC6D52" w:rsidP="00830827">
            <w:pPr>
              <w:spacing w:before="0" w:after="0"/>
              <w:jc w:val="right"/>
              <w:rPr>
                <w:rFonts w:eastAsia="Times New Roman" w:cs="Arial"/>
                <w:b/>
                <w:bCs/>
                <w:sz w:val="20"/>
                <w:szCs w:val="20"/>
                <w:lang w:eastAsia="en-GB"/>
              </w:rPr>
            </w:pPr>
            <w:r w:rsidRPr="00AE48B7">
              <w:rPr>
                <w:rFonts w:eastAsia="Times New Roman" w:cs="Arial"/>
                <w:b/>
                <w:bCs/>
                <w:sz w:val="20"/>
                <w:szCs w:val="20"/>
                <w:lang w:eastAsia="en-GB"/>
              </w:rPr>
              <w:t>2,498</w:t>
            </w:r>
          </w:p>
        </w:tc>
        <w:tc>
          <w:tcPr>
            <w:tcW w:w="480" w:type="dxa"/>
            <w:tcBorders>
              <w:top w:val="nil"/>
              <w:left w:val="nil"/>
              <w:bottom w:val="nil"/>
              <w:right w:val="nil"/>
            </w:tcBorders>
            <w:shd w:val="clear" w:color="auto" w:fill="auto"/>
            <w:noWrap/>
            <w:vAlign w:val="bottom"/>
            <w:hideMark/>
          </w:tcPr>
          <w:p w14:paraId="0830D696" w14:textId="77777777" w:rsidR="00EC6D52" w:rsidRPr="00AE48B7" w:rsidRDefault="00EC6D52" w:rsidP="00830827">
            <w:pPr>
              <w:spacing w:before="0" w:after="0"/>
              <w:jc w:val="right"/>
              <w:rPr>
                <w:rFonts w:eastAsia="Times New Roman" w:cs="Arial"/>
                <w:b/>
                <w:bCs/>
                <w:sz w:val="20"/>
                <w:szCs w:val="20"/>
                <w:lang w:eastAsia="en-GB"/>
              </w:rPr>
            </w:pPr>
          </w:p>
        </w:tc>
        <w:tc>
          <w:tcPr>
            <w:tcW w:w="1614" w:type="dxa"/>
            <w:gridSpan w:val="2"/>
            <w:tcBorders>
              <w:top w:val="dashed" w:sz="4" w:space="0" w:color="auto"/>
              <w:left w:val="nil"/>
              <w:bottom w:val="dashed" w:sz="4" w:space="0" w:color="auto"/>
              <w:right w:val="nil"/>
            </w:tcBorders>
            <w:shd w:val="clear" w:color="auto" w:fill="auto"/>
            <w:noWrap/>
            <w:vAlign w:val="bottom"/>
            <w:hideMark/>
          </w:tcPr>
          <w:p w14:paraId="54A4F290" w14:textId="77777777" w:rsidR="00EC6D52" w:rsidRPr="00AE48B7" w:rsidRDefault="00EC6D52" w:rsidP="00830827">
            <w:pPr>
              <w:spacing w:before="0" w:after="0"/>
              <w:jc w:val="right"/>
              <w:rPr>
                <w:rFonts w:eastAsia="Times New Roman" w:cs="Arial"/>
                <w:b/>
                <w:bCs/>
                <w:sz w:val="18"/>
                <w:szCs w:val="18"/>
                <w:lang w:eastAsia="en-GB"/>
              </w:rPr>
            </w:pPr>
            <w:r w:rsidRPr="00AE48B7">
              <w:rPr>
                <w:rFonts w:eastAsia="Times New Roman" w:cs="Arial"/>
                <w:b/>
                <w:bCs/>
                <w:sz w:val="18"/>
                <w:szCs w:val="18"/>
                <w:lang w:eastAsia="en-GB"/>
              </w:rPr>
              <w:t>2,498</w:t>
            </w:r>
          </w:p>
        </w:tc>
        <w:tc>
          <w:tcPr>
            <w:tcW w:w="272" w:type="dxa"/>
            <w:gridSpan w:val="2"/>
            <w:tcBorders>
              <w:top w:val="nil"/>
              <w:left w:val="nil"/>
              <w:bottom w:val="nil"/>
              <w:right w:val="nil"/>
            </w:tcBorders>
            <w:shd w:val="clear" w:color="auto" w:fill="auto"/>
            <w:noWrap/>
            <w:vAlign w:val="bottom"/>
            <w:hideMark/>
          </w:tcPr>
          <w:p w14:paraId="56FA4F62" w14:textId="77777777" w:rsidR="00EC6D52" w:rsidRPr="00AE48B7" w:rsidRDefault="00EC6D52" w:rsidP="00830827">
            <w:pPr>
              <w:spacing w:before="0" w:after="0"/>
              <w:jc w:val="right"/>
              <w:rPr>
                <w:rFonts w:eastAsia="Times New Roman" w:cs="Arial"/>
                <w:b/>
                <w:bCs/>
                <w:sz w:val="18"/>
                <w:szCs w:val="18"/>
                <w:lang w:eastAsia="en-GB"/>
              </w:rPr>
            </w:pPr>
          </w:p>
        </w:tc>
        <w:tc>
          <w:tcPr>
            <w:tcW w:w="1844" w:type="dxa"/>
            <w:gridSpan w:val="2"/>
            <w:tcBorders>
              <w:top w:val="single" w:sz="4" w:space="0" w:color="auto"/>
              <w:left w:val="nil"/>
              <w:bottom w:val="single" w:sz="4" w:space="0" w:color="auto"/>
              <w:right w:val="nil"/>
            </w:tcBorders>
            <w:shd w:val="clear" w:color="auto" w:fill="auto"/>
            <w:noWrap/>
            <w:vAlign w:val="bottom"/>
            <w:hideMark/>
          </w:tcPr>
          <w:p w14:paraId="5BC450F8" w14:textId="77777777" w:rsidR="00EC6D52" w:rsidRPr="00AE48B7" w:rsidRDefault="00EC6D52" w:rsidP="00830827">
            <w:pPr>
              <w:spacing w:before="0" w:after="0"/>
              <w:jc w:val="right"/>
              <w:rPr>
                <w:rFonts w:eastAsia="Times New Roman" w:cs="Arial"/>
                <w:b/>
                <w:bCs/>
                <w:sz w:val="20"/>
                <w:szCs w:val="20"/>
                <w:lang w:eastAsia="en-GB"/>
              </w:rPr>
            </w:pPr>
            <w:r w:rsidRPr="00AE48B7">
              <w:rPr>
                <w:rFonts w:eastAsia="Times New Roman" w:cs="Arial"/>
                <w:b/>
                <w:bCs/>
                <w:sz w:val="20"/>
                <w:szCs w:val="20"/>
                <w:lang w:eastAsia="en-GB"/>
              </w:rPr>
              <w:t>3,042</w:t>
            </w:r>
          </w:p>
        </w:tc>
        <w:tc>
          <w:tcPr>
            <w:tcW w:w="272" w:type="dxa"/>
            <w:tcBorders>
              <w:top w:val="nil"/>
              <w:left w:val="nil"/>
              <w:bottom w:val="nil"/>
              <w:right w:val="nil"/>
            </w:tcBorders>
            <w:shd w:val="clear" w:color="auto" w:fill="auto"/>
            <w:noWrap/>
            <w:vAlign w:val="bottom"/>
            <w:hideMark/>
          </w:tcPr>
          <w:p w14:paraId="1563294A" w14:textId="77777777" w:rsidR="00EC6D52" w:rsidRPr="00AE48B7" w:rsidRDefault="00EC6D52" w:rsidP="00830827">
            <w:pPr>
              <w:spacing w:before="0" w:after="0"/>
              <w:jc w:val="right"/>
              <w:rPr>
                <w:rFonts w:eastAsia="Times New Roman" w:cs="Arial"/>
                <w:b/>
                <w:bCs/>
                <w:sz w:val="20"/>
                <w:szCs w:val="20"/>
                <w:lang w:eastAsia="en-GB"/>
              </w:rPr>
            </w:pPr>
          </w:p>
        </w:tc>
        <w:tc>
          <w:tcPr>
            <w:tcW w:w="1429" w:type="dxa"/>
            <w:gridSpan w:val="2"/>
            <w:tcBorders>
              <w:top w:val="dashed" w:sz="4" w:space="0" w:color="auto"/>
              <w:left w:val="nil"/>
              <w:bottom w:val="dashed" w:sz="4" w:space="0" w:color="auto"/>
              <w:right w:val="nil"/>
            </w:tcBorders>
            <w:shd w:val="clear" w:color="auto" w:fill="auto"/>
            <w:noWrap/>
            <w:vAlign w:val="bottom"/>
            <w:hideMark/>
          </w:tcPr>
          <w:p w14:paraId="1833C4A4" w14:textId="77777777" w:rsidR="00EC6D52" w:rsidRPr="00AE48B7" w:rsidRDefault="00EC6D52" w:rsidP="00830827">
            <w:pPr>
              <w:spacing w:before="0" w:after="0"/>
              <w:jc w:val="right"/>
              <w:rPr>
                <w:rFonts w:eastAsia="Times New Roman" w:cs="Arial"/>
                <w:b/>
                <w:bCs/>
                <w:sz w:val="18"/>
                <w:szCs w:val="18"/>
                <w:lang w:eastAsia="en-GB"/>
              </w:rPr>
            </w:pPr>
            <w:r w:rsidRPr="00AE48B7">
              <w:rPr>
                <w:rFonts w:eastAsia="Times New Roman" w:cs="Arial"/>
                <w:b/>
                <w:bCs/>
                <w:sz w:val="18"/>
                <w:szCs w:val="18"/>
                <w:lang w:eastAsia="en-GB"/>
              </w:rPr>
              <w:t>(2,803)</w:t>
            </w:r>
          </w:p>
        </w:tc>
      </w:tr>
      <w:tr w:rsidR="00EC6D52" w:rsidRPr="00AE48B7" w14:paraId="240CDFA5" w14:textId="77777777" w:rsidTr="00A20382">
        <w:trPr>
          <w:trHeight w:val="120"/>
        </w:trPr>
        <w:tc>
          <w:tcPr>
            <w:tcW w:w="2976" w:type="dxa"/>
            <w:tcBorders>
              <w:top w:val="nil"/>
              <w:left w:val="nil"/>
              <w:bottom w:val="nil"/>
              <w:right w:val="nil"/>
            </w:tcBorders>
            <w:shd w:val="clear" w:color="auto" w:fill="auto"/>
            <w:noWrap/>
            <w:vAlign w:val="bottom"/>
            <w:hideMark/>
          </w:tcPr>
          <w:p w14:paraId="76A1A10E" w14:textId="77777777" w:rsidR="00EC6D52" w:rsidRPr="00AE48B7" w:rsidRDefault="00EC6D52" w:rsidP="003B6DFB">
            <w:pPr>
              <w:spacing w:before="0" w:after="0"/>
              <w:jc w:val="right"/>
              <w:rPr>
                <w:rFonts w:eastAsia="Times New Roman" w:cs="Arial"/>
                <w:b/>
                <w:bCs/>
                <w:sz w:val="18"/>
                <w:szCs w:val="18"/>
                <w:lang w:eastAsia="en-GB"/>
              </w:rPr>
            </w:pPr>
          </w:p>
        </w:tc>
        <w:tc>
          <w:tcPr>
            <w:tcW w:w="283" w:type="dxa"/>
            <w:tcBorders>
              <w:top w:val="nil"/>
              <w:left w:val="nil"/>
              <w:bottom w:val="nil"/>
              <w:right w:val="nil"/>
            </w:tcBorders>
            <w:shd w:val="clear" w:color="auto" w:fill="auto"/>
            <w:noWrap/>
            <w:vAlign w:val="bottom"/>
            <w:hideMark/>
          </w:tcPr>
          <w:p w14:paraId="31AC81FC"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560" w:type="dxa"/>
            <w:tcBorders>
              <w:top w:val="nil"/>
              <w:left w:val="nil"/>
              <w:bottom w:val="nil"/>
              <w:right w:val="nil"/>
            </w:tcBorders>
            <w:shd w:val="clear" w:color="000000" w:fill="FFFFFF"/>
            <w:noWrap/>
            <w:vAlign w:val="bottom"/>
            <w:hideMark/>
          </w:tcPr>
          <w:p w14:paraId="4203699A" w14:textId="77777777" w:rsidR="00EC6D52" w:rsidRPr="00AE48B7" w:rsidRDefault="00EC6D52" w:rsidP="00830827">
            <w:pPr>
              <w:spacing w:before="0" w:after="0"/>
              <w:jc w:val="right"/>
              <w:rPr>
                <w:rFonts w:eastAsia="Times New Roman" w:cs="Arial"/>
                <w:sz w:val="20"/>
                <w:szCs w:val="20"/>
                <w:lang w:eastAsia="en-GB"/>
              </w:rPr>
            </w:pPr>
            <w:r w:rsidRPr="00AE48B7">
              <w:rPr>
                <w:rFonts w:eastAsia="Times New Roman" w:cs="Arial"/>
                <w:sz w:val="20"/>
                <w:szCs w:val="20"/>
                <w:lang w:eastAsia="en-GB"/>
              </w:rPr>
              <w:t> </w:t>
            </w:r>
          </w:p>
        </w:tc>
        <w:tc>
          <w:tcPr>
            <w:tcW w:w="480" w:type="dxa"/>
            <w:tcBorders>
              <w:top w:val="nil"/>
              <w:left w:val="nil"/>
              <w:bottom w:val="nil"/>
              <w:right w:val="nil"/>
            </w:tcBorders>
            <w:shd w:val="clear" w:color="auto" w:fill="auto"/>
            <w:noWrap/>
            <w:vAlign w:val="bottom"/>
            <w:hideMark/>
          </w:tcPr>
          <w:p w14:paraId="17F7169C" w14:textId="77777777" w:rsidR="00EC6D52" w:rsidRPr="00AE48B7" w:rsidRDefault="00EC6D52" w:rsidP="00830827">
            <w:pPr>
              <w:spacing w:before="0" w:after="0"/>
              <w:jc w:val="right"/>
              <w:rPr>
                <w:rFonts w:eastAsia="Times New Roman" w:cs="Arial"/>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7D2B1418"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78AECA1C"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c>
          <w:tcPr>
            <w:tcW w:w="1844" w:type="dxa"/>
            <w:gridSpan w:val="2"/>
            <w:tcBorders>
              <w:top w:val="nil"/>
              <w:left w:val="nil"/>
              <w:bottom w:val="nil"/>
              <w:right w:val="nil"/>
            </w:tcBorders>
            <w:shd w:val="clear" w:color="auto" w:fill="auto"/>
            <w:noWrap/>
            <w:vAlign w:val="bottom"/>
            <w:hideMark/>
          </w:tcPr>
          <w:p w14:paraId="648C9BDD"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01446BB1"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38E42930"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r>
      <w:tr w:rsidR="00EC6D52" w:rsidRPr="00AE48B7" w14:paraId="49034255" w14:textId="77777777" w:rsidTr="00A20382">
        <w:trPr>
          <w:trHeight w:val="250"/>
        </w:trPr>
        <w:tc>
          <w:tcPr>
            <w:tcW w:w="2976" w:type="dxa"/>
            <w:tcBorders>
              <w:top w:val="nil"/>
              <w:left w:val="nil"/>
              <w:bottom w:val="nil"/>
              <w:right w:val="nil"/>
            </w:tcBorders>
            <w:shd w:val="clear" w:color="000000" w:fill="FFFFFF"/>
            <w:noWrap/>
            <w:vAlign w:val="bottom"/>
            <w:hideMark/>
          </w:tcPr>
          <w:p w14:paraId="1CEC8DA4" w14:textId="77777777" w:rsidR="00EC6D52" w:rsidRPr="00AE48B7" w:rsidRDefault="00EC6D52" w:rsidP="003B6DFB">
            <w:pPr>
              <w:spacing w:before="0" w:after="0"/>
              <w:rPr>
                <w:rFonts w:eastAsia="Times New Roman" w:cs="Arial"/>
                <w:sz w:val="20"/>
                <w:szCs w:val="20"/>
                <w:lang w:eastAsia="en-GB"/>
              </w:rPr>
            </w:pPr>
            <w:r w:rsidRPr="00AE48B7">
              <w:rPr>
                <w:rFonts w:eastAsia="Times New Roman" w:cs="Arial"/>
                <w:sz w:val="20"/>
                <w:szCs w:val="20"/>
                <w:lang w:eastAsia="en-GB"/>
              </w:rPr>
              <w:t>Effect of discounting</w:t>
            </w:r>
          </w:p>
        </w:tc>
        <w:tc>
          <w:tcPr>
            <w:tcW w:w="283" w:type="dxa"/>
            <w:tcBorders>
              <w:top w:val="nil"/>
              <w:left w:val="nil"/>
              <w:bottom w:val="nil"/>
              <w:right w:val="nil"/>
            </w:tcBorders>
            <w:shd w:val="clear" w:color="000000" w:fill="FFFFFF"/>
            <w:noWrap/>
            <w:vAlign w:val="bottom"/>
            <w:hideMark/>
          </w:tcPr>
          <w:p w14:paraId="3A02981B" w14:textId="77777777" w:rsidR="00EC6D52" w:rsidRPr="00AE48B7" w:rsidRDefault="00EC6D52" w:rsidP="003B6DFB">
            <w:pPr>
              <w:spacing w:before="0" w:after="0"/>
              <w:rPr>
                <w:rFonts w:eastAsia="Times New Roman" w:cs="Arial"/>
                <w:sz w:val="20"/>
                <w:szCs w:val="20"/>
                <w:lang w:eastAsia="en-GB"/>
              </w:rPr>
            </w:pPr>
            <w:r w:rsidRPr="00AE48B7">
              <w:rPr>
                <w:rFonts w:eastAsia="Times New Roman" w:cs="Arial"/>
                <w:sz w:val="20"/>
                <w:szCs w:val="20"/>
                <w:lang w:eastAsia="en-GB"/>
              </w:rPr>
              <w:t> </w:t>
            </w:r>
          </w:p>
        </w:tc>
        <w:tc>
          <w:tcPr>
            <w:tcW w:w="1560" w:type="dxa"/>
            <w:tcBorders>
              <w:top w:val="nil"/>
              <w:left w:val="nil"/>
              <w:bottom w:val="nil"/>
              <w:right w:val="nil"/>
            </w:tcBorders>
            <w:shd w:val="clear" w:color="000000" w:fill="FFFFFF"/>
            <w:noWrap/>
            <w:vAlign w:val="bottom"/>
            <w:hideMark/>
          </w:tcPr>
          <w:p w14:paraId="1092213F" w14:textId="77777777" w:rsidR="00EC6D52" w:rsidRPr="00AE48B7" w:rsidRDefault="00EC6D52" w:rsidP="00830827">
            <w:pPr>
              <w:spacing w:before="0" w:after="0"/>
              <w:jc w:val="right"/>
              <w:rPr>
                <w:rFonts w:eastAsia="Times New Roman" w:cs="Arial"/>
                <w:sz w:val="20"/>
                <w:szCs w:val="20"/>
                <w:lang w:eastAsia="en-GB"/>
              </w:rPr>
            </w:pPr>
            <w:r w:rsidRPr="00AE48B7">
              <w:rPr>
                <w:rFonts w:eastAsia="Times New Roman" w:cs="Arial"/>
                <w:sz w:val="20"/>
                <w:szCs w:val="20"/>
                <w:lang w:eastAsia="en-GB"/>
              </w:rPr>
              <w:t>(88)</w:t>
            </w:r>
          </w:p>
        </w:tc>
        <w:tc>
          <w:tcPr>
            <w:tcW w:w="480" w:type="dxa"/>
            <w:tcBorders>
              <w:top w:val="nil"/>
              <w:left w:val="nil"/>
              <w:bottom w:val="nil"/>
              <w:right w:val="nil"/>
            </w:tcBorders>
            <w:shd w:val="clear" w:color="auto" w:fill="auto"/>
            <w:noWrap/>
            <w:vAlign w:val="bottom"/>
            <w:hideMark/>
          </w:tcPr>
          <w:p w14:paraId="511234C5" w14:textId="77777777" w:rsidR="00EC6D52" w:rsidRPr="00AE48B7" w:rsidRDefault="00EC6D52" w:rsidP="00830827">
            <w:pPr>
              <w:spacing w:before="0" w:after="0"/>
              <w:jc w:val="right"/>
              <w:rPr>
                <w:rFonts w:eastAsia="Times New Roman" w:cs="Arial"/>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427F3CF6"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26528994"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c>
          <w:tcPr>
            <w:tcW w:w="1844" w:type="dxa"/>
            <w:gridSpan w:val="2"/>
            <w:tcBorders>
              <w:top w:val="nil"/>
              <w:left w:val="nil"/>
              <w:bottom w:val="nil"/>
              <w:right w:val="nil"/>
            </w:tcBorders>
            <w:shd w:val="clear" w:color="000000" w:fill="FFFFFF"/>
            <w:noWrap/>
            <w:vAlign w:val="bottom"/>
            <w:hideMark/>
          </w:tcPr>
          <w:p w14:paraId="4774AEEF" w14:textId="77777777" w:rsidR="00EC6D52" w:rsidRPr="00AE48B7" w:rsidRDefault="00EC6D52" w:rsidP="00830827">
            <w:pPr>
              <w:spacing w:before="0" w:after="0"/>
              <w:jc w:val="right"/>
              <w:rPr>
                <w:rFonts w:eastAsia="Times New Roman" w:cs="Arial"/>
                <w:sz w:val="20"/>
                <w:szCs w:val="20"/>
                <w:lang w:eastAsia="en-GB"/>
              </w:rPr>
            </w:pPr>
            <w:r w:rsidRPr="00AE48B7">
              <w:rPr>
                <w:rFonts w:eastAsia="Times New Roman" w:cs="Arial"/>
                <w:sz w:val="20"/>
                <w:szCs w:val="20"/>
                <w:lang w:eastAsia="en-GB"/>
              </w:rPr>
              <w:t>(97)</w:t>
            </w:r>
          </w:p>
        </w:tc>
        <w:tc>
          <w:tcPr>
            <w:tcW w:w="272" w:type="dxa"/>
            <w:tcBorders>
              <w:top w:val="nil"/>
              <w:left w:val="nil"/>
              <w:bottom w:val="nil"/>
              <w:right w:val="nil"/>
            </w:tcBorders>
            <w:shd w:val="clear" w:color="auto" w:fill="auto"/>
            <w:noWrap/>
            <w:vAlign w:val="bottom"/>
            <w:hideMark/>
          </w:tcPr>
          <w:p w14:paraId="6267DB31" w14:textId="77777777" w:rsidR="00EC6D52" w:rsidRPr="00AE48B7" w:rsidRDefault="00EC6D52" w:rsidP="00830827">
            <w:pPr>
              <w:spacing w:before="0" w:after="0"/>
              <w:jc w:val="right"/>
              <w:rPr>
                <w:rFonts w:eastAsia="Times New Roman" w:cs="Arial"/>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4550D4DF"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r>
      <w:tr w:rsidR="00EC6D52" w:rsidRPr="00AE48B7" w14:paraId="321FDAB8" w14:textId="77777777" w:rsidTr="00A20382">
        <w:trPr>
          <w:trHeight w:val="120"/>
        </w:trPr>
        <w:tc>
          <w:tcPr>
            <w:tcW w:w="2976" w:type="dxa"/>
            <w:tcBorders>
              <w:top w:val="nil"/>
              <w:left w:val="nil"/>
              <w:bottom w:val="nil"/>
              <w:right w:val="nil"/>
            </w:tcBorders>
            <w:shd w:val="clear" w:color="000000" w:fill="FFFFFF"/>
            <w:noWrap/>
            <w:vAlign w:val="bottom"/>
            <w:hideMark/>
          </w:tcPr>
          <w:p w14:paraId="1D14901F" w14:textId="77777777" w:rsidR="00EC6D52" w:rsidRPr="00AE48B7" w:rsidRDefault="00EC6D52" w:rsidP="003B6DFB">
            <w:pPr>
              <w:spacing w:before="0" w:after="0"/>
              <w:rPr>
                <w:rFonts w:eastAsia="Times New Roman" w:cs="Arial"/>
                <w:sz w:val="20"/>
                <w:szCs w:val="20"/>
                <w:lang w:eastAsia="en-GB"/>
              </w:rPr>
            </w:pPr>
            <w:r w:rsidRPr="00AE48B7">
              <w:rPr>
                <w:rFonts w:eastAsia="Times New Roman" w:cs="Arial"/>
                <w:sz w:val="20"/>
                <w:szCs w:val="20"/>
                <w:lang w:eastAsia="en-GB"/>
              </w:rPr>
              <w:t> </w:t>
            </w:r>
          </w:p>
        </w:tc>
        <w:tc>
          <w:tcPr>
            <w:tcW w:w="283" w:type="dxa"/>
            <w:tcBorders>
              <w:top w:val="nil"/>
              <w:left w:val="nil"/>
              <w:bottom w:val="nil"/>
              <w:right w:val="nil"/>
            </w:tcBorders>
            <w:shd w:val="clear" w:color="000000" w:fill="FFFFFF"/>
            <w:noWrap/>
            <w:vAlign w:val="bottom"/>
            <w:hideMark/>
          </w:tcPr>
          <w:p w14:paraId="38E9B58D" w14:textId="77777777" w:rsidR="00EC6D52" w:rsidRPr="00AE48B7" w:rsidRDefault="00EC6D52" w:rsidP="003B6DFB">
            <w:pPr>
              <w:spacing w:before="0" w:after="0"/>
              <w:rPr>
                <w:rFonts w:eastAsia="Times New Roman" w:cs="Arial"/>
                <w:sz w:val="20"/>
                <w:szCs w:val="20"/>
                <w:lang w:eastAsia="en-GB"/>
              </w:rPr>
            </w:pPr>
            <w:r w:rsidRPr="00AE48B7">
              <w:rPr>
                <w:rFonts w:eastAsia="Times New Roman" w:cs="Arial"/>
                <w:sz w:val="20"/>
                <w:szCs w:val="20"/>
                <w:lang w:eastAsia="en-GB"/>
              </w:rPr>
              <w:t> </w:t>
            </w:r>
          </w:p>
        </w:tc>
        <w:tc>
          <w:tcPr>
            <w:tcW w:w="1560" w:type="dxa"/>
            <w:tcBorders>
              <w:top w:val="nil"/>
              <w:left w:val="nil"/>
              <w:bottom w:val="nil"/>
              <w:right w:val="nil"/>
            </w:tcBorders>
            <w:shd w:val="clear" w:color="000000" w:fill="FFFFFF"/>
            <w:noWrap/>
            <w:vAlign w:val="bottom"/>
            <w:hideMark/>
          </w:tcPr>
          <w:p w14:paraId="78E6B637" w14:textId="77777777" w:rsidR="00EC6D52" w:rsidRPr="00AE48B7" w:rsidRDefault="00EC6D52" w:rsidP="00830827">
            <w:pPr>
              <w:spacing w:before="0" w:after="0"/>
              <w:jc w:val="right"/>
              <w:rPr>
                <w:rFonts w:eastAsia="Times New Roman" w:cs="Arial"/>
                <w:sz w:val="20"/>
                <w:szCs w:val="20"/>
                <w:lang w:eastAsia="en-GB"/>
              </w:rPr>
            </w:pPr>
            <w:r w:rsidRPr="00AE48B7">
              <w:rPr>
                <w:rFonts w:eastAsia="Times New Roman" w:cs="Arial"/>
                <w:sz w:val="20"/>
                <w:szCs w:val="20"/>
                <w:lang w:eastAsia="en-GB"/>
              </w:rPr>
              <w:t> </w:t>
            </w:r>
          </w:p>
        </w:tc>
        <w:tc>
          <w:tcPr>
            <w:tcW w:w="480" w:type="dxa"/>
            <w:tcBorders>
              <w:top w:val="nil"/>
              <w:left w:val="nil"/>
              <w:bottom w:val="nil"/>
              <w:right w:val="nil"/>
            </w:tcBorders>
            <w:shd w:val="clear" w:color="auto" w:fill="auto"/>
            <w:noWrap/>
            <w:vAlign w:val="bottom"/>
            <w:hideMark/>
          </w:tcPr>
          <w:p w14:paraId="45E94D92" w14:textId="77777777" w:rsidR="00EC6D52" w:rsidRPr="00AE48B7" w:rsidRDefault="00EC6D52" w:rsidP="00830827">
            <w:pPr>
              <w:spacing w:before="0" w:after="0"/>
              <w:jc w:val="right"/>
              <w:rPr>
                <w:rFonts w:eastAsia="Times New Roman" w:cs="Arial"/>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2251C1F7"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358AF819"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c>
          <w:tcPr>
            <w:tcW w:w="1844" w:type="dxa"/>
            <w:gridSpan w:val="2"/>
            <w:tcBorders>
              <w:top w:val="nil"/>
              <w:left w:val="nil"/>
              <w:bottom w:val="nil"/>
              <w:right w:val="nil"/>
            </w:tcBorders>
            <w:shd w:val="clear" w:color="000000" w:fill="FFFFFF"/>
            <w:noWrap/>
            <w:vAlign w:val="bottom"/>
            <w:hideMark/>
          </w:tcPr>
          <w:p w14:paraId="2F5CA8FB" w14:textId="77777777" w:rsidR="00EC6D52" w:rsidRPr="00AE48B7" w:rsidRDefault="00EC6D52" w:rsidP="00830827">
            <w:pPr>
              <w:spacing w:before="0" w:after="0"/>
              <w:jc w:val="right"/>
              <w:rPr>
                <w:rFonts w:eastAsia="Times New Roman" w:cs="Arial"/>
                <w:sz w:val="20"/>
                <w:szCs w:val="20"/>
                <w:lang w:eastAsia="en-GB"/>
              </w:rPr>
            </w:pPr>
            <w:r w:rsidRPr="00AE48B7">
              <w:rPr>
                <w:rFonts w:eastAsia="Times New Roman" w:cs="Arial"/>
                <w:sz w:val="20"/>
                <w:szCs w:val="20"/>
                <w:lang w:eastAsia="en-GB"/>
              </w:rPr>
              <w:t> </w:t>
            </w:r>
          </w:p>
        </w:tc>
        <w:tc>
          <w:tcPr>
            <w:tcW w:w="272" w:type="dxa"/>
            <w:tcBorders>
              <w:top w:val="nil"/>
              <w:left w:val="nil"/>
              <w:bottom w:val="nil"/>
              <w:right w:val="nil"/>
            </w:tcBorders>
            <w:shd w:val="clear" w:color="auto" w:fill="auto"/>
            <w:noWrap/>
            <w:vAlign w:val="bottom"/>
            <w:hideMark/>
          </w:tcPr>
          <w:p w14:paraId="10CB6D1E" w14:textId="77777777" w:rsidR="00EC6D52" w:rsidRPr="00AE48B7" w:rsidRDefault="00EC6D52" w:rsidP="00830827">
            <w:pPr>
              <w:spacing w:before="0" w:after="0"/>
              <w:jc w:val="right"/>
              <w:rPr>
                <w:rFonts w:eastAsia="Times New Roman" w:cs="Arial"/>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6725D9C2"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r>
      <w:tr w:rsidR="00EC6D52" w:rsidRPr="00AE48B7" w14:paraId="26A16580" w14:textId="77777777" w:rsidTr="00A20382">
        <w:trPr>
          <w:trHeight w:val="260"/>
        </w:trPr>
        <w:tc>
          <w:tcPr>
            <w:tcW w:w="2976" w:type="dxa"/>
            <w:tcBorders>
              <w:top w:val="nil"/>
              <w:left w:val="nil"/>
              <w:bottom w:val="nil"/>
              <w:right w:val="nil"/>
            </w:tcBorders>
            <w:shd w:val="clear" w:color="000000" w:fill="FFFFFF"/>
            <w:noWrap/>
            <w:vAlign w:val="bottom"/>
            <w:hideMark/>
          </w:tcPr>
          <w:p w14:paraId="0B168642" w14:textId="77777777" w:rsidR="00EC6D52" w:rsidRPr="00AE48B7" w:rsidRDefault="00EC6D52" w:rsidP="003B6DFB">
            <w:pPr>
              <w:spacing w:before="0" w:after="0"/>
              <w:rPr>
                <w:rFonts w:eastAsia="Times New Roman" w:cs="Arial"/>
                <w:b/>
                <w:bCs/>
                <w:sz w:val="20"/>
                <w:szCs w:val="20"/>
                <w:lang w:eastAsia="en-GB"/>
              </w:rPr>
            </w:pPr>
            <w:r w:rsidRPr="00AE48B7">
              <w:rPr>
                <w:rFonts w:eastAsia="Times New Roman" w:cs="Arial"/>
                <w:b/>
                <w:bCs/>
                <w:sz w:val="20"/>
                <w:szCs w:val="20"/>
                <w:lang w:eastAsia="en-GB"/>
              </w:rPr>
              <w:t>Total</w:t>
            </w:r>
          </w:p>
        </w:tc>
        <w:tc>
          <w:tcPr>
            <w:tcW w:w="283" w:type="dxa"/>
            <w:tcBorders>
              <w:top w:val="nil"/>
              <w:left w:val="nil"/>
              <w:bottom w:val="nil"/>
              <w:right w:val="nil"/>
            </w:tcBorders>
            <w:shd w:val="clear" w:color="000000" w:fill="FFFFFF"/>
            <w:noWrap/>
            <w:vAlign w:val="bottom"/>
            <w:hideMark/>
          </w:tcPr>
          <w:p w14:paraId="7A295B67" w14:textId="77777777" w:rsidR="00EC6D52" w:rsidRPr="00AE48B7" w:rsidRDefault="00EC6D52" w:rsidP="003B6DFB">
            <w:pPr>
              <w:spacing w:before="0" w:after="0"/>
              <w:rPr>
                <w:rFonts w:eastAsia="Times New Roman" w:cs="Arial"/>
                <w:sz w:val="20"/>
                <w:szCs w:val="20"/>
                <w:lang w:eastAsia="en-GB"/>
              </w:rPr>
            </w:pPr>
            <w:r w:rsidRPr="00AE48B7">
              <w:rPr>
                <w:rFonts w:eastAsia="Times New Roman" w:cs="Arial"/>
                <w:sz w:val="20"/>
                <w:szCs w:val="20"/>
                <w:lang w:eastAsia="en-GB"/>
              </w:rPr>
              <w:t> </w:t>
            </w:r>
          </w:p>
        </w:tc>
        <w:tc>
          <w:tcPr>
            <w:tcW w:w="1560" w:type="dxa"/>
            <w:tcBorders>
              <w:top w:val="single" w:sz="4" w:space="0" w:color="auto"/>
              <w:left w:val="nil"/>
              <w:bottom w:val="single" w:sz="4" w:space="0" w:color="auto"/>
              <w:right w:val="nil"/>
            </w:tcBorders>
            <w:shd w:val="clear" w:color="000000" w:fill="FFFFFF"/>
            <w:noWrap/>
            <w:vAlign w:val="bottom"/>
            <w:hideMark/>
          </w:tcPr>
          <w:p w14:paraId="1FA47EEC" w14:textId="77777777" w:rsidR="00EC6D52" w:rsidRPr="00AE48B7" w:rsidRDefault="00EC6D52" w:rsidP="00830827">
            <w:pPr>
              <w:spacing w:before="0" w:after="0"/>
              <w:jc w:val="right"/>
              <w:rPr>
                <w:rFonts w:eastAsia="Times New Roman" w:cs="Arial"/>
                <w:b/>
                <w:bCs/>
                <w:sz w:val="20"/>
                <w:szCs w:val="20"/>
                <w:lang w:eastAsia="en-GB"/>
              </w:rPr>
            </w:pPr>
            <w:r w:rsidRPr="00AE48B7">
              <w:rPr>
                <w:rFonts w:eastAsia="Times New Roman" w:cs="Arial"/>
                <w:b/>
                <w:bCs/>
                <w:sz w:val="20"/>
                <w:szCs w:val="20"/>
                <w:lang w:eastAsia="en-GB"/>
              </w:rPr>
              <w:t>2,410</w:t>
            </w:r>
          </w:p>
        </w:tc>
        <w:tc>
          <w:tcPr>
            <w:tcW w:w="480" w:type="dxa"/>
            <w:tcBorders>
              <w:top w:val="nil"/>
              <w:left w:val="nil"/>
              <w:bottom w:val="nil"/>
              <w:right w:val="nil"/>
            </w:tcBorders>
            <w:shd w:val="clear" w:color="auto" w:fill="auto"/>
            <w:noWrap/>
            <w:vAlign w:val="bottom"/>
            <w:hideMark/>
          </w:tcPr>
          <w:p w14:paraId="04A5EAFF" w14:textId="77777777" w:rsidR="00EC6D52" w:rsidRPr="00AE48B7" w:rsidRDefault="00EC6D52" w:rsidP="00830827">
            <w:pPr>
              <w:spacing w:before="0" w:after="0"/>
              <w:jc w:val="right"/>
              <w:rPr>
                <w:rFonts w:eastAsia="Times New Roman" w:cs="Arial"/>
                <w:b/>
                <w:bCs/>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6C34E225"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43D49768"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c>
          <w:tcPr>
            <w:tcW w:w="1844" w:type="dxa"/>
            <w:gridSpan w:val="2"/>
            <w:tcBorders>
              <w:top w:val="single" w:sz="4" w:space="0" w:color="auto"/>
              <w:left w:val="nil"/>
              <w:bottom w:val="single" w:sz="4" w:space="0" w:color="auto"/>
              <w:right w:val="nil"/>
            </w:tcBorders>
            <w:shd w:val="clear" w:color="000000" w:fill="FFFFFF"/>
            <w:noWrap/>
            <w:vAlign w:val="bottom"/>
            <w:hideMark/>
          </w:tcPr>
          <w:p w14:paraId="4DC15542" w14:textId="77777777" w:rsidR="00EC6D52" w:rsidRPr="00AE48B7" w:rsidRDefault="00EC6D52" w:rsidP="00830827">
            <w:pPr>
              <w:spacing w:before="0" w:after="0"/>
              <w:jc w:val="right"/>
              <w:rPr>
                <w:rFonts w:eastAsia="Times New Roman" w:cs="Arial"/>
                <w:b/>
                <w:bCs/>
                <w:sz w:val="20"/>
                <w:szCs w:val="20"/>
                <w:lang w:eastAsia="en-GB"/>
              </w:rPr>
            </w:pPr>
            <w:r w:rsidRPr="00AE48B7">
              <w:rPr>
                <w:rFonts w:eastAsia="Times New Roman" w:cs="Arial"/>
                <w:b/>
                <w:bCs/>
                <w:sz w:val="20"/>
                <w:szCs w:val="20"/>
                <w:lang w:eastAsia="en-GB"/>
              </w:rPr>
              <w:t>2,945</w:t>
            </w:r>
          </w:p>
        </w:tc>
        <w:tc>
          <w:tcPr>
            <w:tcW w:w="272" w:type="dxa"/>
            <w:tcBorders>
              <w:top w:val="nil"/>
              <w:left w:val="nil"/>
              <w:bottom w:val="nil"/>
              <w:right w:val="nil"/>
            </w:tcBorders>
            <w:shd w:val="clear" w:color="auto" w:fill="auto"/>
            <w:noWrap/>
            <w:vAlign w:val="bottom"/>
            <w:hideMark/>
          </w:tcPr>
          <w:p w14:paraId="0CF0B513" w14:textId="77777777" w:rsidR="00EC6D52" w:rsidRPr="00AE48B7" w:rsidRDefault="00EC6D52" w:rsidP="00830827">
            <w:pPr>
              <w:spacing w:before="0" w:after="0"/>
              <w:jc w:val="right"/>
              <w:rPr>
                <w:rFonts w:eastAsia="Times New Roman" w:cs="Arial"/>
                <w:b/>
                <w:bCs/>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095F4331"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r>
      <w:tr w:rsidR="00EC6D52" w:rsidRPr="00AE48B7" w14:paraId="15EBB1F7" w14:textId="77777777" w:rsidTr="00A20382">
        <w:trPr>
          <w:trHeight w:val="120"/>
        </w:trPr>
        <w:tc>
          <w:tcPr>
            <w:tcW w:w="2976" w:type="dxa"/>
            <w:tcBorders>
              <w:top w:val="nil"/>
              <w:left w:val="nil"/>
              <w:bottom w:val="nil"/>
              <w:right w:val="nil"/>
            </w:tcBorders>
            <w:shd w:val="clear" w:color="000000" w:fill="FFFFFF"/>
            <w:noWrap/>
            <w:vAlign w:val="bottom"/>
            <w:hideMark/>
          </w:tcPr>
          <w:p w14:paraId="18BFA9E8" w14:textId="77777777" w:rsidR="00EC6D52" w:rsidRPr="00AE48B7" w:rsidRDefault="00EC6D52" w:rsidP="003B6DFB">
            <w:pPr>
              <w:spacing w:before="0" w:after="0"/>
              <w:rPr>
                <w:rFonts w:eastAsia="Times New Roman" w:cs="Arial"/>
                <w:b/>
                <w:bCs/>
                <w:sz w:val="20"/>
                <w:szCs w:val="20"/>
                <w:lang w:eastAsia="en-GB"/>
              </w:rPr>
            </w:pPr>
            <w:r w:rsidRPr="00AE48B7">
              <w:rPr>
                <w:rFonts w:eastAsia="Times New Roman" w:cs="Arial"/>
                <w:b/>
                <w:bCs/>
                <w:sz w:val="20"/>
                <w:szCs w:val="20"/>
                <w:lang w:eastAsia="en-GB"/>
              </w:rPr>
              <w:t> </w:t>
            </w:r>
          </w:p>
        </w:tc>
        <w:tc>
          <w:tcPr>
            <w:tcW w:w="283" w:type="dxa"/>
            <w:tcBorders>
              <w:top w:val="nil"/>
              <w:left w:val="nil"/>
              <w:bottom w:val="nil"/>
              <w:right w:val="nil"/>
            </w:tcBorders>
            <w:shd w:val="clear" w:color="000000" w:fill="FFFFFF"/>
            <w:noWrap/>
            <w:vAlign w:val="bottom"/>
            <w:hideMark/>
          </w:tcPr>
          <w:p w14:paraId="0BE5EAEC" w14:textId="77777777" w:rsidR="00EC6D52" w:rsidRPr="00AE48B7" w:rsidRDefault="00EC6D52" w:rsidP="003B6DFB">
            <w:pPr>
              <w:spacing w:before="0" w:after="0"/>
              <w:rPr>
                <w:rFonts w:eastAsia="Times New Roman" w:cs="Arial"/>
                <w:sz w:val="20"/>
                <w:szCs w:val="20"/>
                <w:lang w:eastAsia="en-GB"/>
              </w:rPr>
            </w:pPr>
            <w:r w:rsidRPr="00AE48B7">
              <w:rPr>
                <w:rFonts w:eastAsia="Times New Roman" w:cs="Arial"/>
                <w:sz w:val="20"/>
                <w:szCs w:val="20"/>
                <w:lang w:eastAsia="en-GB"/>
              </w:rPr>
              <w:t> </w:t>
            </w:r>
          </w:p>
        </w:tc>
        <w:tc>
          <w:tcPr>
            <w:tcW w:w="1560" w:type="dxa"/>
            <w:tcBorders>
              <w:top w:val="nil"/>
              <w:left w:val="nil"/>
              <w:bottom w:val="nil"/>
              <w:right w:val="nil"/>
            </w:tcBorders>
            <w:shd w:val="clear" w:color="000000" w:fill="FFFFFF"/>
            <w:noWrap/>
            <w:vAlign w:val="bottom"/>
            <w:hideMark/>
          </w:tcPr>
          <w:p w14:paraId="0E7217B6" w14:textId="77777777" w:rsidR="00EC6D52" w:rsidRPr="00AE48B7" w:rsidRDefault="00EC6D52" w:rsidP="00830827">
            <w:pPr>
              <w:spacing w:before="0" w:after="0"/>
              <w:jc w:val="right"/>
              <w:rPr>
                <w:rFonts w:eastAsia="Times New Roman" w:cs="Arial"/>
                <w:b/>
                <w:bCs/>
                <w:sz w:val="20"/>
                <w:szCs w:val="20"/>
                <w:lang w:eastAsia="en-GB"/>
              </w:rPr>
            </w:pPr>
            <w:r w:rsidRPr="00AE48B7">
              <w:rPr>
                <w:rFonts w:eastAsia="Times New Roman" w:cs="Arial"/>
                <w:b/>
                <w:bCs/>
                <w:sz w:val="20"/>
                <w:szCs w:val="20"/>
                <w:lang w:eastAsia="en-GB"/>
              </w:rPr>
              <w:t> </w:t>
            </w:r>
          </w:p>
        </w:tc>
        <w:tc>
          <w:tcPr>
            <w:tcW w:w="480" w:type="dxa"/>
            <w:tcBorders>
              <w:top w:val="nil"/>
              <w:left w:val="nil"/>
              <w:bottom w:val="nil"/>
              <w:right w:val="nil"/>
            </w:tcBorders>
            <w:shd w:val="clear" w:color="auto" w:fill="auto"/>
            <w:noWrap/>
            <w:vAlign w:val="bottom"/>
            <w:hideMark/>
          </w:tcPr>
          <w:p w14:paraId="4A044887" w14:textId="77777777" w:rsidR="00EC6D52" w:rsidRPr="00AE48B7" w:rsidRDefault="00EC6D52" w:rsidP="00830827">
            <w:pPr>
              <w:spacing w:before="0" w:after="0"/>
              <w:jc w:val="right"/>
              <w:rPr>
                <w:rFonts w:eastAsia="Times New Roman" w:cs="Arial"/>
                <w:b/>
                <w:bCs/>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215F51B7"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60CE97D2"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c>
          <w:tcPr>
            <w:tcW w:w="1844" w:type="dxa"/>
            <w:gridSpan w:val="2"/>
            <w:tcBorders>
              <w:top w:val="nil"/>
              <w:left w:val="nil"/>
              <w:bottom w:val="nil"/>
              <w:right w:val="nil"/>
            </w:tcBorders>
            <w:shd w:val="clear" w:color="000000" w:fill="FFFFFF"/>
            <w:noWrap/>
            <w:vAlign w:val="bottom"/>
            <w:hideMark/>
          </w:tcPr>
          <w:p w14:paraId="70A331EC" w14:textId="77777777" w:rsidR="00EC6D52" w:rsidRPr="00AE48B7" w:rsidRDefault="00EC6D52" w:rsidP="00830827">
            <w:pPr>
              <w:spacing w:before="0" w:after="0"/>
              <w:jc w:val="right"/>
              <w:rPr>
                <w:rFonts w:eastAsia="Times New Roman" w:cs="Arial"/>
                <w:b/>
                <w:bCs/>
                <w:sz w:val="20"/>
                <w:szCs w:val="20"/>
                <w:lang w:eastAsia="en-GB"/>
              </w:rPr>
            </w:pPr>
            <w:r w:rsidRPr="00AE48B7">
              <w:rPr>
                <w:rFonts w:eastAsia="Times New Roman" w:cs="Arial"/>
                <w:b/>
                <w:bCs/>
                <w:sz w:val="20"/>
                <w:szCs w:val="20"/>
                <w:lang w:eastAsia="en-GB"/>
              </w:rPr>
              <w:t> </w:t>
            </w:r>
          </w:p>
        </w:tc>
        <w:tc>
          <w:tcPr>
            <w:tcW w:w="272" w:type="dxa"/>
            <w:tcBorders>
              <w:top w:val="nil"/>
              <w:left w:val="nil"/>
              <w:bottom w:val="nil"/>
              <w:right w:val="nil"/>
            </w:tcBorders>
            <w:shd w:val="clear" w:color="auto" w:fill="auto"/>
            <w:noWrap/>
            <w:vAlign w:val="bottom"/>
            <w:hideMark/>
          </w:tcPr>
          <w:p w14:paraId="3FBF1462" w14:textId="77777777" w:rsidR="00EC6D52" w:rsidRPr="00AE48B7" w:rsidRDefault="00EC6D52" w:rsidP="00830827">
            <w:pPr>
              <w:spacing w:before="0" w:after="0"/>
              <w:jc w:val="right"/>
              <w:rPr>
                <w:rFonts w:eastAsia="Times New Roman" w:cs="Arial"/>
                <w:b/>
                <w:bCs/>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207DD1F0"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r>
      <w:tr w:rsidR="00EC6D52" w:rsidRPr="00AE48B7" w14:paraId="4D91E6B8" w14:textId="77777777" w:rsidTr="00A20382">
        <w:trPr>
          <w:trHeight w:val="260"/>
        </w:trPr>
        <w:tc>
          <w:tcPr>
            <w:tcW w:w="2976" w:type="dxa"/>
            <w:tcBorders>
              <w:top w:val="nil"/>
              <w:left w:val="nil"/>
              <w:bottom w:val="nil"/>
              <w:right w:val="nil"/>
            </w:tcBorders>
            <w:shd w:val="clear" w:color="000000" w:fill="FFFFFF"/>
            <w:noWrap/>
            <w:vAlign w:val="bottom"/>
            <w:hideMark/>
          </w:tcPr>
          <w:p w14:paraId="0E17190A" w14:textId="77777777" w:rsidR="00EC6D52" w:rsidRPr="00AE48B7" w:rsidRDefault="00EC6D52" w:rsidP="003B6DFB">
            <w:pPr>
              <w:spacing w:before="0" w:after="0"/>
              <w:rPr>
                <w:rFonts w:eastAsia="Times New Roman" w:cs="Arial"/>
                <w:b/>
                <w:bCs/>
                <w:i/>
                <w:iCs/>
                <w:sz w:val="20"/>
                <w:szCs w:val="20"/>
                <w:lang w:eastAsia="en-GB"/>
              </w:rPr>
            </w:pPr>
            <w:r w:rsidRPr="00AE48B7">
              <w:rPr>
                <w:rFonts w:eastAsia="Times New Roman" w:cs="Arial"/>
                <w:b/>
                <w:bCs/>
                <w:i/>
                <w:iCs/>
                <w:sz w:val="20"/>
                <w:szCs w:val="20"/>
                <w:lang w:eastAsia="en-GB"/>
              </w:rPr>
              <w:t>Included in:</w:t>
            </w:r>
          </w:p>
        </w:tc>
        <w:tc>
          <w:tcPr>
            <w:tcW w:w="283" w:type="dxa"/>
            <w:tcBorders>
              <w:top w:val="nil"/>
              <w:left w:val="nil"/>
              <w:bottom w:val="nil"/>
              <w:right w:val="nil"/>
            </w:tcBorders>
            <w:shd w:val="clear" w:color="000000" w:fill="FFFFFF"/>
            <w:noWrap/>
            <w:vAlign w:val="bottom"/>
            <w:hideMark/>
          </w:tcPr>
          <w:p w14:paraId="272852FA" w14:textId="77777777" w:rsidR="00EC6D52" w:rsidRPr="00AE48B7" w:rsidRDefault="00EC6D52" w:rsidP="003B6DFB">
            <w:pPr>
              <w:spacing w:before="0" w:after="0"/>
              <w:rPr>
                <w:rFonts w:eastAsia="Times New Roman" w:cs="Arial"/>
                <w:sz w:val="20"/>
                <w:szCs w:val="20"/>
                <w:lang w:eastAsia="en-GB"/>
              </w:rPr>
            </w:pPr>
            <w:r w:rsidRPr="00AE48B7">
              <w:rPr>
                <w:rFonts w:eastAsia="Times New Roman" w:cs="Arial"/>
                <w:sz w:val="20"/>
                <w:szCs w:val="20"/>
                <w:lang w:eastAsia="en-GB"/>
              </w:rPr>
              <w:t> </w:t>
            </w:r>
          </w:p>
        </w:tc>
        <w:tc>
          <w:tcPr>
            <w:tcW w:w="1560" w:type="dxa"/>
            <w:tcBorders>
              <w:top w:val="nil"/>
              <w:left w:val="nil"/>
              <w:bottom w:val="nil"/>
              <w:right w:val="nil"/>
            </w:tcBorders>
            <w:shd w:val="clear" w:color="000000" w:fill="FFFFFF"/>
            <w:noWrap/>
            <w:vAlign w:val="bottom"/>
            <w:hideMark/>
          </w:tcPr>
          <w:p w14:paraId="5103F917" w14:textId="77777777" w:rsidR="00EC6D52" w:rsidRPr="00AE48B7" w:rsidRDefault="00EC6D52" w:rsidP="00830827">
            <w:pPr>
              <w:spacing w:before="0" w:after="0"/>
              <w:jc w:val="right"/>
              <w:rPr>
                <w:rFonts w:eastAsia="Times New Roman" w:cs="Arial"/>
                <w:sz w:val="20"/>
                <w:szCs w:val="20"/>
                <w:lang w:eastAsia="en-GB"/>
              </w:rPr>
            </w:pPr>
            <w:r w:rsidRPr="00AE48B7">
              <w:rPr>
                <w:rFonts w:eastAsia="Times New Roman" w:cs="Arial"/>
                <w:sz w:val="20"/>
                <w:szCs w:val="20"/>
                <w:lang w:eastAsia="en-GB"/>
              </w:rPr>
              <w:t> </w:t>
            </w:r>
          </w:p>
        </w:tc>
        <w:tc>
          <w:tcPr>
            <w:tcW w:w="480" w:type="dxa"/>
            <w:tcBorders>
              <w:top w:val="nil"/>
              <w:left w:val="nil"/>
              <w:bottom w:val="nil"/>
              <w:right w:val="nil"/>
            </w:tcBorders>
            <w:shd w:val="clear" w:color="auto" w:fill="auto"/>
            <w:noWrap/>
            <w:vAlign w:val="bottom"/>
            <w:hideMark/>
          </w:tcPr>
          <w:p w14:paraId="2077D102" w14:textId="77777777" w:rsidR="00EC6D52" w:rsidRPr="00AE48B7" w:rsidRDefault="00EC6D52" w:rsidP="00830827">
            <w:pPr>
              <w:spacing w:before="0" w:after="0"/>
              <w:jc w:val="right"/>
              <w:rPr>
                <w:rFonts w:eastAsia="Times New Roman" w:cs="Arial"/>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2F99F18D"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3FD46E10"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c>
          <w:tcPr>
            <w:tcW w:w="1844" w:type="dxa"/>
            <w:gridSpan w:val="2"/>
            <w:tcBorders>
              <w:top w:val="nil"/>
              <w:left w:val="nil"/>
              <w:bottom w:val="nil"/>
              <w:right w:val="nil"/>
            </w:tcBorders>
            <w:shd w:val="clear" w:color="000000" w:fill="FFFFFF"/>
            <w:noWrap/>
            <w:vAlign w:val="bottom"/>
            <w:hideMark/>
          </w:tcPr>
          <w:p w14:paraId="538F2C5C" w14:textId="77777777" w:rsidR="00EC6D52" w:rsidRPr="00AE48B7" w:rsidRDefault="00EC6D52" w:rsidP="00830827">
            <w:pPr>
              <w:spacing w:before="0" w:after="0"/>
              <w:jc w:val="right"/>
              <w:rPr>
                <w:rFonts w:eastAsia="Times New Roman" w:cs="Arial"/>
                <w:sz w:val="20"/>
                <w:szCs w:val="20"/>
                <w:lang w:eastAsia="en-GB"/>
              </w:rPr>
            </w:pPr>
            <w:r w:rsidRPr="00AE48B7">
              <w:rPr>
                <w:rFonts w:eastAsia="Times New Roman" w:cs="Arial"/>
                <w:sz w:val="20"/>
                <w:szCs w:val="20"/>
                <w:lang w:eastAsia="en-GB"/>
              </w:rPr>
              <w:t> </w:t>
            </w:r>
          </w:p>
        </w:tc>
        <w:tc>
          <w:tcPr>
            <w:tcW w:w="272" w:type="dxa"/>
            <w:tcBorders>
              <w:top w:val="nil"/>
              <w:left w:val="nil"/>
              <w:bottom w:val="nil"/>
              <w:right w:val="nil"/>
            </w:tcBorders>
            <w:shd w:val="clear" w:color="auto" w:fill="auto"/>
            <w:noWrap/>
            <w:vAlign w:val="bottom"/>
            <w:hideMark/>
          </w:tcPr>
          <w:p w14:paraId="36A5A961" w14:textId="77777777" w:rsidR="00EC6D52" w:rsidRPr="00AE48B7" w:rsidRDefault="00EC6D52" w:rsidP="00830827">
            <w:pPr>
              <w:spacing w:before="0" w:after="0"/>
              <w:jc w:val="right"/>
              <w:rPr>
                <w:rFonts w:eastAsia="Times New Roman" w:cs="Arial"/>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0C5FAD8E"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r>
      <w:tr w:rsidR="00EC6D52" w:rsidRPr="00AE48B7" w14:paraId="2A4F61C7" w14:textId="77777777" w:rsidTr="00A20382">
        <w:trPr>
          <w:trHeight w:val="250"/>
        </w:trPr>
        <w:tc>
          <w:tcPr>
            <w:tcW w:w="2976" w:type="dxa"/>
            <w:tcBorders>
              <w:top w:val="nil"/>
              <w:left w:val="nil"/>
              <w:bottom w:val="nil"/>
              <w:right w:val="nil"/>
            </w:tcBorders>
            <w:shd w:val="clear" w:color="000000" w:fill="FFFFFF"/>
            <w:noWrap/>
            <w:vAlign w:val="bottom"/>
            <w:hideMark/>
          </w:tcPr>
          <w:p w14:paraId="714CFB48" w14:textId="77777777" w:rsidR="00EC6D52" w:rsidRPr="00AE48B7" w:rsidRDefault="00EC6D52" w:rsidP="003B6DFB">
            <w:pPr>
              <w:spacing w:before="0" w:after="0"/>
              <w:rPr>
                <w:rFonts w:eastAsia="Times New Roman" w:cs="Arial"/>
                <w:sz w:val="20"/>
                <w:szCs w:val="20"/>
                <w:lang w:eastAsia="en-GB"/>
              </w:rPr>
            </w:pPr>
            <w:r w:rsidRPr="00AE48B7">
              <w:rPr>
                <w:rFonts w:eastAsia="Times New Roman" w:cs="Arial"/>
                <w:sz w:val="20"/>
                <w:szCs w:val="20"/>
                <w:lang w:eastAsia="en-GB"/>
              </w:rPr>
              <w:t xml:space="preserve">  -  Current lease liabilities</w:t>
            </w:r>
          </w:p>
        </w:tc>
        <w:tc>
          <w:tcPr>
            <w:tcW w:w="283" w:type="dxa"/>
            <w:tcBorders>
              <w:top w:val="nil"/>
              <w:left w:val="nil"/>
              <w:bottom w:val="nil"/>
              <w:right w:val="nil"/>
            </w:tcBorders>
            <w:shd w:val="clear" w:color="auto" w:fill="auto"/>
            <w:noWrap/>
            <w:vAlign w:val="bottom"/>
            <w:hideMark/>
          </w:tcPr>
          <w:p w14:paraId="3150DC36" w14:textId="77777777" w:rsidR="00EC6D52" w:rsidRPr="00AE48B7" w:rsidRDefault="00EC6D52" w:rsidP="003B6DFB">
            <w:pPr>
              <w:spacing w:before="0" w:after="0"/>
              <w:rPr>
                <w:rFonts w:eastAsia="Times New Roman" w:cs="Arial"/>
                <w:sz w:val="20"/>
                <w:szCs w:val="20"/>
                <w:lang w:eastAsia="en-GB"/>
              </w:rPr>
            </w:pPr>
          </w:p>
        </w:tc>
        <w:tc>
          <w:tcPr>
            <w:tcW w:w="1560" w:type="dxa"/>
            <w:tcBorders>
              <w:top w:val="nil"/>
              <w:left w:val="nil"/>
              <w:bottom w:val="nil"/>
              <w:right w:val="nil"/>
            </w:tcBorders>
            <w:shd w:val="clear" w:color="000000" w:fill="FFFFFF"/>
            <w:noWrap/>
            <w:vAlign w:val="bottom"/>
            <w:hideMark/>
          </w:tcPr>
          <w:p w14:paraId="061CE28E" w14:textId="77777777" w:rsidR="00EC6D52" w:rsidRPr="00AE48B7" w:rsidRDefault="00EC6D52" w:rsidP="00830827">
            <w:pPr>
              <w:spacing w:before="0" w:after="0"/>
              <w:jc w:val="right"/>
              <w:rPr>
                <w:rFonts w:eastAsia="Times New Roman" w:cs="Arial"/>
                <w:sz w:val="20"/>
                <w:szCs w:val="20"/>
                <w:lang w:eastAsia="en-GB"/>
              </w:rPr>
            </w:pPr>
            <w:r w:rsidRPr="00AE48B7">
              <w:rPr>
                <w:rFonts w:eastAsia="Times New Roman" w:cs="Arial"/>
                <w:sz w:val="20"/>
                <w:szCs w:val="20"/>
                <w:lang w:eastAsia="en-GB"/>
              </w:rPr>
              <w:t>285</w:t>
            </w:r>
          </w:p>
        </w:tc>
        <w:tc>
          <w:tcPr>
            <w:tcW w:w="480" w:type="dxa"/>
            <w:tcBorders>
              <w:top w:val="nil"/>
              <w:left w:val="nil"/>
              <w:bottom w:val="nil"/>
              <w:right w:val="nil"/>
            </w:tcBorders>
            <w:shd w:val="clear" w:color="auto" w:fill="auto"/>
            <w:noWrap/>
            <w:vAlign w:val="bottom"/>
            <w:hideMark/>
          </w:tcPr>
          <w:p w14:paraId="1D2C1A62" w14:textId="77777777" w:rsidR="00EC6D52" w:rsidRPr="00AE48B7" w:rsidRDefault="00EC6D52" w:rsidP="00830827">
            <w:pPr>
              <w:spacing w:before="0" w:after="0"/>
              <w:jc w:val="right"/>
              <w:rPr>
                <w:rFonts w:eastAsia="Times New Roman" w:cs="Arial"/>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3FFCEF4D"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657544AC"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c>
          <w:tcPr>
            <w:tcW w:w="1844" w:type="dxa"/>
            <w:gridSpan w:val="2"/>
            <w:tcBorders>
              <w:top w:val="nil"/>
              <w:left w:val="nil"/>
              <w:bottom w:val="nil"/>
              <w:right w:val="nil"/>
            </w:tcBorders>
            <w:shd w:val="clear" w:color="000000" w:fill="FFFFFF"/>
            <w:noWrap/>
            <w:vAlign w:val="bottom"/>
            <w:hideMark/>
          </w:tcPr>
          <w:p w14:paraId="5ED8634F" w14:textId="77777777" w:rsidR="00EC6D52" w:rsidRPr="00AE48B7" w:rsidRDefault="00EC6D52" w:rsidP="00830827">
            <w:pPr>
              <w:spacing w:before="0" w:after="0"/>
              <w:jc w:val="right"/>
              <w:rPr>
                <w:rFonts w:eastAsia="Times New Roman" w:cs="Arial"/>
                <w:sz w:val="20"/>
                <w:szCs w:val="20"/>
                <w:lang w:eastAsia="en-GB"/>
              </w:rPr>
            </w:pPr>
            <w:r w:rsidRPr="00AE48B7">
              <w:rPr>
                <w:rFonts w:eastAsia="Times New Roman" w:cs="Arial"/>
                <w:sz w:val="20"/>
                <w:szCs w:val="20"/>
                <w:lang w:eastAsia="en-GB"/>
              </w:rPr>
              <w:t>216</w:t>
            </w:r>
          </w:p>
        </w:tc>
        <w:tc>
          <w:tcPr>
            <w:tcW w:w="272" w:type="dxa"/>
            <w:tcBorders>
              <w:top w:val="nil"/>
              <w:left w:val="nil"/>
              <w:bottom w:val="nil"/>
              <w:right w:val="nil"/>
            </w:tcBorders>
            <w:shd w:val="clear" w:color="auto" w:fill="auto"/>
            <w:noWrap/>
            <w:vAlign w:val="bottom"/>
            <w:hideMark/>
          </w:tcPr>
          <w:p w14:paraId="2E66ABF6" w14:textId="77777777" w:rsidR="00EC6D52" w:rsidRPr="00AE48B7" w:rsidRDefault="00EC6D52" w:rsidP="00830827">
            <w:pPr>
              <w:spacing w:before="0" w:after="0"/>
              <w:jc w:val="right"/>
              <w:rPr>
                <w:rFonts w:eastAsia="Times New Roman" w:cs="Arial"/>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33DFC32D"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r>
      <w:tr w:rsidR="00EC6D52" w:rsidRPr="00AE48B7" w14:paraId="42E0F603" w14:textId="77777777" w:rsidTr="00A20382">
        <w:trPr>
          <w:trHeight w:val="250"/>
        </w:trPr>
        <w:tc>
          <w:tcPr>
            <w:tcW w:w="2976" w:type="dxa"/>
            <w:tcBorders>
              <w:top w:val="nil"/>
              <w:left w:val="nil"/>
              <w:bottom w:val="nil"/>
              <w:right w:val="nil"/>
            </w:tcBorders>
            <w:shd w:val="clear" w:color="000000" w:fill="FFFFFF"/>
            <w:noWrap/>
            <w:vAlign w:val="bottom"/>
            <w:hideMark/>
          </w:tcPr>
          <w:p w14:paraId="4266CD42" w14:textId="77777777" w:rsidR="00EC6D52" w:rsidRPr="00AE48B7" w:rsidRDefault="00EC6D52" w:rsidP="003B6DFB">
            <w:pPr>
              <w:spacing w:before="0" w:after="0"/>
              <w:rPr>
                <w:rFonts w:eastAsia="Times New Roman" w:cs="Arial"/>
                <w:sz w:val="20"/>
                <w:szCs w:val="20"/>
                <w:lang w:eastAsia="en-GB"/>
              </w:rPr>
            </w:pPr>
            <w:r w:rsidRPr="00AE48B7">
              <w:rPr>
                <w:rFonts w:eastAsia="Times New Roman" w:cs="Arial"/>
                <w:sz w:val="20"/>
                <w:szCs w:val="20"/>
                <w:lang w:eastAsia="en-GB"/>
              </w:rPr>
              <w:t xml:space="preserve">  -  Non-current lease liabilities</w:t>
            </w:r>
          </w:p>
        </w:tc>
        <w:tc>
          <w:tcPr>
            <w:tcW w:w="283" w:type="dxa"/>
            <w:tcBorders>
              <w:top w:val="nil"/>
              <w:left w:val="nil"/>
              <w:bottom w:val="nil"/>
              <w:right w:val="nil"/>
            </w:tcBorders>
            <w:shd w:val="clear" w:color="auto" w:fill="auto"/>
            <w:noWrap/>
            <w:vAlign w:val="bottom"/>
            <w:hideMark/>
          </w:tcPr>
          <w:p w14:paraId="7CDD3F21" w14:textId="77777777" w:rsidR="00EC6D52" w:rsidRPr="00AE48B7" w:rsidRDefault="00EC6D52" w:rsidP="003B6DFB">
            <w:pPr>
              <w:spacing w:before="0" w:after="0"/>
              <w:rPr>
                <w:rFonts w:eastAsia="Times New Roman" w:cs="Arial"/>
                <w:sz w:val="20"/>
                <w:szCs w:val="20"/>
                <w:lang w:eastAsia="en-GB"/>
              </w:rPr>
            </w:pPr>
          </w:p>
        </w:tc>
        <w:tc>
          <w:tcPr>
            <w:tcW w:w="1560" w:type="dxa"/>
            <w:tcBorders>
              <w:top w:val="nil"/>
              <w:left w:val="nil"/>
              <w:bottom w:val="single" w:sz="4" w:space="0" w:color="auto"/>
              <w:right w:val="nil"/>
            </w:tcBorders>
            <w:shd w:val="clear" w:color="000000" w:fill="FFFFFF"/>
            <w:noWrap/>
            <w:vAlign w:val="bottom"/>
            <w:hideMark/>
          </w:tcPr>
          <w:p w14:paraId="4ECBD33E" w14:textId="77777777" w:rsidR="00EC6D52" w:rsidRPr="00AE48B7" w:rsidRDefault="00EC6D52" w:rsidP="00830827">
            <w:pPr>
              <w:spacing w:before="0" w:after="0"/>
              <w:jc w:val="right"/>
              <w:rPr>
                <w:rFonts w:eastAsia="Times New Roman" w:cs="Arial"/>
                <w:sz w:val="20"/>
                <w:szCs w:val="20"/>
                <w:lang w:eastAsia="en-GB"/>
              </w:rPr>
            </w:pPr>
            <w:r w:rsidRPr="00AE48B7">
              <w:rPr>
                <w:rFonts w:eastAsia="Times New Roman" w:cs="Arial"/>
                <w:sz w:val="20"/>
                <w:szCs w:val="20"/>
                <w:lang w:eastAsia="en-GB"/>
              </w:rPr>
              <w:t>2,125</w:t>
            </w:r>
          </w:p>
        </w:tc>
        <w:tc>
          <w:tcPr>
            <w:tcW w:w="480" w:type="dxa"/>
            <w:tcBorders>
              <w:top w:val="nil"/>
              <w:left w:val="nil"/>
              <w:bottom w:val="nil"/>
              <w:right w:val="nil"/>
            </w:tcBorders>
            <w:shd w:val="clear" w:color="auto" w:fill="auto"/>
            <w:noWrap/>
            <w:vAlign w:val="bottom"/>
            <w:hideMark/>
          </w:tcPr>
          <w:p w14:paraId="7C73CDE8" w14:textId="77777777" w:rsidR="00EC6D52" w:rsidRPr="00AE48B7" w:rsidRDefault="00EC6D52" w:rsidP="00830827">
            <w:pPr>
              <w:spacing w:before="0" w:after="0"/>
              <w:jc w:val="right"/>
              <w:rPr>
                <w:rFonts w:eastAsia="Times New Roman" w:cs="Arial"/>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01AF3C10"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3A9FF22D"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c>
          <w:tcPr>
            <w:tcW w:w="1844" w:type="dxa"/>
            <w:gridSpan w:val="2"/>
            <w:tcBorders>
              <w:top w:val="nil"/>
              <w:left w:val="nil"/>
              <w:bottom w:val="single" w:sz="4" w:space="0" w:color="auto"/>
              <w:right w:val="nil"/>
            </w:tcBorders>
            <w:shd w:val="clear" w:color="000000" w:fill="FFFFFF"/>
            <w:noWrap/>
            <w:vAlign w:val="bottom"/>
            <w:hideMark/>
          </w:tcPr>
          <w:p w14:paraId="251A8351" w14:textId="77777777" w:rsidR="00EC6D52" w:rsidRPr="00AE48B7" w:rsidRDefault="00EC6D52" w:rsidP="00830827">
            <w:pPr>
              <w:spacing w:before="0" w:after="0"/>
              <w:jc w:val="right"/>
              <w:rPr>
                <w:rFonts w:eastAsia="Times New Roman" w:cs="Arial"/>
                <w:sz w:val="20"/>
                <w:szCs w:val="20"/>
                <w:lang w:eastAsia="en-GB"/>
              </w:rPr>
            </w:pPr>
            <w:r w:rsidRPr="00AE48B7">
              <w:rPr>
                <w:rFonts w:eastAsia="Times New Roman" w:cs="Arial"/>
                <w:sz w:val="20"/>
                <w:szCs w:val="20"/>
                <w:lang w:eastAsia="en-GB"/>
              </w:rPr>
              <w:t>2,729</w:t>
            </w:r>
          </w:p>
        </w:tc>
        <w:tc>
          <w:tcPr>
            <w:tcW w:w="272" w:type="dxa"/>
            <w:tcBorders>
              <w:top w:val="nil"/>
              <w:left w:val="nil"/>
              <w:bottom w:val="nil"/>
              <w:right w:val="nil"/>
            </w:tcBorders>
            <w:shd w:val="clear" w:color="auto" w:fill="auto"/>
            <w:noWrap/>
            <w:vAlign w:val="bottom"/>
            <w:hideMark/>
          </w:tcPr>
          <w:p w14:paraId="052C722D" w14:textId="77777777" w:rsidR="00EC6D52" w:rsidRPr="00AE48B7" w:rsidRDefault="00EC6D52" w:rsidP="00830827">
            <w:pPr>
              <w:spacing w:before="0" w:after="0"/>
              <w:jc w:val="right"/>
              <w:rPr>
                <w:rFonts w:eastAsia="Times New Roman" w:cs="Arial"/>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1524E139"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r>
      <w:tr w:rsidR="00EC6D52" w:rsidRPr="00AE48B7" w14:paraId="0568F0B2" w14:textId="77777777" w:rsidTr="00A20382">
        <w:trPr>
          <w:trHeight w:val="260"/>
        </w:trPr>
        <w:tc>
          <w:tcPr>
            <w:tcW w:w="2976" w:type="dxa"/>
            <w:tcBorders>
              <w:top w:val="nil"/>
              <w:left w:val="nil"/>
              <w:bottom w:val="nil"/>
              <w:right w:val="nil"/>
            </w:tcBorders>
            <w:shd w:val="clear" w:color="000000" w:fill="FFFFFF"/>
            <w:noWrap/>
            <w:vAlign w:val="bottom"/>
            <w:hideMark/>
          </w:tcPr>
          <w:p w14:paraId="4B4AB4AB" w14:textId="77777777" w:rsidR="00EC6D52" w:rsidRPr="00AE48B7" w:rsidRDefault="00EC6D52" w:rsidP="003B6DFB">
            <w:pPr>
              <w:spacing w:before="0" w:after="0"/>
              <w:rPr>
                <w:rFonts w:eastAsia="Times New Roman" w:cs="Arial"/>
                <w:b/>
                <w:bCs/>
                <w:sz w:val="20"/>
                <w:szCs w:val="20"/>
                <w:lang w:eastAsia="en-GB"/>
              </w:rPr>
            </w:pPr>
            <w:r w:rsidRPr="00AE48B7">
              <w:rPr>
                <w:rFonts w:eastAsia="Times New Roman" w:cs="Arial"/>
                <w:b/>
                <w:bCs/>
                <w:sz w:val="20"/>
                <w:szCs w:val="20"/>
                <w:lang w:eastAsia="en-GB"/>
              </w:rPr>
              <w:t>Total</w:t>
            </w:r>
          </w:p>
        </w:tc>
        <w:tc>
          <w:tcPr>
            <w:tcW w:w="283" w:type="dxa"/>
            <w:tcBorders>
              <w:top w:val="nil"/>
              <w:left w:val="nil"/>
              <w:bottom w:val="nil"/>
              <w:right w:val="nil"/>
            </w:tcBorders>
            <w:shd w:val="clear" w:color="auto" w:fill="auto"/>
            <w:noWrap/>
            <w:vAlign w:val="bottom"/>
            <w:hideMark/>
          </w:tcPr>
          <w:p w14:paraId="0C01ED53" w14:textId="77777777" w:rsidR="00EC6D52" w:rsidRPr="00AE48B7" w:rsidRDefault="00EC6D52" w:rsidP="003B6DFB">
            <w:pPr>
              <w:spacing w:before="0" w:after="0"/>
              <w:rPr>
                <w:rFonts w:eastAsia="Times New Roman" w:cs="Arial"/>
                <w:b/>
                <w:bCs/>
                <w:sz w:val="20"/>
                <w:szCs w:val="20"/>
                <w:lang w:eastAsia="en-GB"/>
              </w:rPr>
            </w:pPr>
          </w:p>
        </w:tc>
        <w:tc>
          <w:tcPr>
            <w:tcW w:w="1560" w:type="dxa"/>
            <w:tcBorders>
              <w:top w:val="nil"/>
              <w:left w:val="nil"/>
              <w:bottom w:val="single" w:sz="4" w:space="0" w:color="auto"/>
              <w:right w:val="nil"/>
            </w:tcBorders>
            <w:shd w:val="clear" w:color="000000" w:fill="FFFFFF"/>
            <w:noWrap/>
            <w:vAlign w:val="bottom"/>
            <w:hideMark/>
          </w:tcPr>
          <w:p w14:paraId="40FA3D87" w14:textId="77777777" w:rsidR="00EC6D52" w:rsidRPr="00AE48B7" w:rsidRDefault="00EC6D52" w:rsidP="00830827">
            <w:pPr>
              <w:spacing w:before="0" w:after="0"/>
              <w:jc w:val="right"/>
              <w:rPr>
                <w:rFonts w:eastAsia="Times New Roman" w:cs="Arial"/>
                <w:b/>
                <w:bCs/>
                <w:sz w:val="20"/>
                <w:szCs w:val="20"/>
                <w:lang w:eastAsia="en-GB"/>
              </w:rPr>
            </w:pPr>
            <w:r w:rsidRPr="00AE48B7">
              <w:rPr>
                <w:rFonts w:eastAsia="Times New Roman" w:cs="Arial"/>
                <w:b/>
                <w:bCs/>
                <w:sz w:val="20"/>
                <w:szCs w:val="20"/>
                <w:lang w:eastAsia="en-GB"/>
              </w:rPr>
              <w:t>2,410</w:t>
            </w:r>
          </w:p>
        </w:tc>
        <w:tc>
          <w:tcPr>
            <w:tcW w:w="480" w:type="dxa"/>
            <w:tcBorders>
              <w:top w:val="nil"/>
              <w:left w:val="nil"/>
              <w:bottom w:val="nil"/>
              <w:right w:val="nil"/>
            </w:tcBorders>
            <w:shd w:val="clear" w:color="auto" w:fill="auto"/>
            <w:noWrap/>
            <w:vAlign w:val="bottom"/>
            <w:hideMark/>
          </w:tcPr>
          <w:p w14:paraId="5B173C9B" w14:textId="77777777" w:rsidR="00EC6D52" w:rsidRPr="00AE48B7" w:rsidRDefault="00EC6D52" w:rsidP="00830827">
            <w:pPr>
              <w:spacing w:before="0" w:after="0"/>
              <w:jc w:val="right"/>
              <w:rPr>
                <w:rFonts w:eastAsia="Times New Roman" w:cs="Arial"/>
                <w:b/>
                <w:bCs/>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257CFAF9"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46B4F52E"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c>
          <w:tcPr>
            <w:tcW w:w="1844" w:type="dxa"/>
            <w:gridSpan w:val="2"/>
            <w:tcBorders>
              <w:top w:val="nil"/>
              <w:left w:val="nil"/>
              <w:bottom w:val="single" w:sz="4" w:space="0" w:color="auto"/>
              <w:right w:val="nil"/>
            </w:tcBorders>
            <w:shd w:val="clear" w:color="000000" w:fill="FFFFFF"/>
            <w:noWrap/>
            <w:vAlign w:val="bottom"/>
            <w:hideMark/>
          </w:tcPr>
          <w:p w14:paraId="272EAD92" w14:textId="77777777" w:rsidR="00EC6D52" w:rsidRPr="00AE48B7" w:rsidRDefault="00EC6D52" w:rsidP="00830827">
            <w:pPr>
              <w:spacing w:before="0" w:after="0"/>
              <w:jc w:val="right"/>
              <w:rPr>
                <w:rFonts w:eastAsia="Times New Roman" w:cs="Arial"/>
                <w:b/>
                <w:bCs/>
                <w:sz w:val="20"/>
                <w:szCs w:val="20"/>
                <w:lang w:eastAsia="en-GB"/>
              </w:rPr>
            </w:pPr>
            <w:r w:rsidRPr="00AE48B7">
              <w:rPr>
                <w:rFonts w:eastAsia="Times New Roman" w:cs="Arial"/>
                <w:b/>
                <w:bCs/>
                <w:sz w:val="20"/>
                <w:szCs w:val="20"/>
                <w:lang w:eastAsia="en-GB"/>
              </w:rPr>
              <w:t>2,945</w:t>
            </w:r>
          </w:p>
        </w:tc>
        <w:tc>
          <w:tcPr>
            <w:tcW w:w="272" w:type="dxa"/>
            <w:tcBorders>
              <w:top w:val="nil"/>
              <w:left w:val="nil"/>
              <w:bottom w:val="nil"/>
              <w:right w:val="nil"/>
            </w:tcBorders>
            <w:shd w:val="clear" w:color="auto" w:fill="auto"/>
            <w:noWrap/>
            <w:vAlign w:val="bottom"/>
            <w:hideMark/>
          </w:tcPr>
          <w:p w14:paraId="44C574EF" w14:textId="77777777" w:rsidR="00EC6D52" w:rsidRPr="00AE48B7" w:rsidRDefault="00EC6D52" w:rsidP="00830827">
            <w:pPr>
              <w:spacing w:before="0" w:after="0"/>
              <w:jc w:val="right"/>
              <w:rPr>
                <w:rFonts w:eastAsia="Times New Roman" w:cs="Arial"/>
                <w:b/>
                <w:bCs/>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6623C5D2" w14:textId="77777777" w:rsidR="00EC6D52" w:rsidRPr="00AE48B7" w:rsidRDefault="00EC6D52" w:rsidP="00830827">
            <w:pPr>
              <w:spacing w:before="0" w:after="0"/>
              <w:jc w:val="right"/>
              <w:rPr>
                <w:rFonts w:ascii="Times New Roman" w:eastAsia="Times New Roman" w:hAnsi="Times New Roman" w:cs="Times New Roman"/>
                <w:sz w:val="20"/>
                <w:szCs w:val="20"/>
                <w:lang w:eastAsia="en-GB"/>
              </w:rPr>
            </w:pPr>
          </w:p>
        </w:tc>
      </w:tr>
      <w:tr w:rsidR="00EC6D52" w:rsidRPr="00AE48B7" w14:paraId="54C78BDA" w14:textId="77777777" w:rsidTr="00A20382">
        <w:trPr>
          <w:trHeight w:val="260"/>
        </w:trPr>
        <w:tc>
          <w:tcPr>
            <w:tcW w:w="2976" w:type="dxa"/>
            <w:tcBorders>
              <w:top w:val="nil"/>
              <w:left w:val="nil"/>
              <w:bottom w:val="nil"/>
              <w:right w:val="nil"/>
            </w:tcBorders>
            <w:shd w:val="clear" w:color="000000" w:fill="FFFFFF"/>
            <w:noWrap/>
            <w:vAlign w:val="bottom"/>
            <w:hideMark/>
          </w:tcPr>
          <w:p w14:paraId="25E68341" w14:textId="77777777" w:rsidR="00EC6D52" w:rsidRPr="00AE48B7" w:rsidRDefault="00EC6D52" w:rsidP="003B6DFB">
            <w:pPr>
              <w:spacing w:before="0" w:after="0"/>
              <w:rPr>
                <w:rFonts w:eastAsia="Times New Roman" w:cs="Arial"/>
                <w:b/>
                <w:bCs/>
                <w:sz w:val="20"/>
                <w:szCs w:val="20"/>
                <w:lang w:eastAsia="en-GB"/>
              </w:rPr>
            </w:pPr>
            <w:r w:rsidRPr="00AE48B7">
              <w:rPr>
                <w:rFonts w:eastAsia="Times New Roman" w:cs="Arial"/>
                <w:b/>
                <w:bCs/>
                <w:sz w:val="20"/>
                <w:szCs w:val="20"/>
                <w:lang w:eastAsia="en-GB"/>
              </w:rPr>
              <w:t> </w:t>
            </w:r>
          </w:p>
        </w:tc>
        <w:tc>
          <w:tcPr>
            <w:tcW w:w="283" w:type="dxa"/>
            <w:tcBorders>
              <w:top w:val="nil"/>
              <w:left w:val="nil"/>
              <w:bottom w:val="nil"/>
              <w:right w:val="nil"/>
            </w:tcBorders>
            <w:shd w:val="clear" w:color="auto" w:fill="auto"/>
            <w:noWrap/>
            <w:vAlign w:val="bottom"/>
            <w:hideMark/>
          </w:tcPr>
          <w:p w14:paraId="17461CFF" w14:textId="77777777" w:rsidR="00EC6D52" w:rsidRPr="00AE48B7" w:rsidRDefault="00EC6D52" w:rsidP="003B6DFB">
            <w:pPr>
              <w:spacing w:before="0" w:after="0"/>
              <w:rPr>
                <w:rFonts w:eastAsia="Times New Roman" w:cs="Arial"/>
                <w:b/>
                <w:bCs/>
                <w:sz w:val="20"/>
                <w:szCs w:val="20"/>
                <w:lang w:eastAsia="en-GB"/>
              </w:rPr>
            </w:pPr>
          </w:p>
        </w:tc>
        <w:tc>
          <w:tcPr>
            <w:tcW w:w="1560" w:type="dxa"/>
            <w:tcBorders>
              <w:top w:val="nil"/>
              <w:left w:val="nil"/>
              <w:bottom w:val="nil"/>
              <w:right w:val="nil"/>
            </w:tcBorders>
            <w:shd w:val="clear" w:color="000000" w:fill="FFFFFF"/>
            <w:noWrap/>
            <w:vAlign w:val="bottom"/>
            <w:hideMark/>
          </w:tcPr>
          <w:p w14:paraId="77D327F1" w14:textId="77777777" w:rsidR="00EC6D52" w:rsidRPr="00AE48B7" w:rsidRDefault="00EC6D52" w:rsidP="003B6DFB">
            <w:pPr>
              <w:spacing w:before="0" w:after="0"/>
              <w:rPr>
                <w:rFonts w:eastAsia="Times New Roman" w:cs="Arial"/>
                <w:b/>
                <w:bCs/>
                <w:sz w:val="20"/>
                <w:szCs w:val="20"/>
                <w:lang w:eastAsia="en-GB"/>
              </w:rPr>
            </w:pPr>
            <w:r w:rsidRPr="00AE48B7">
              <w:rPr>
                <w:rFonts w:eastAsia="Times New Roman" w:cs="Arial"/>
                <w:b/>
                <w:bCs/>
                <w:sz w:val="20"/>
                <w:szCs w:val="20"/>
                <w:lang w:eastAsia="en-GB"/>
              </w:rPr>
              <w:t> </w:t>
            </w:r>
          </w:p>
        </w:tc>
        <w:tc>
          <w:tcPr>
            <w:tcW w:w="480" w:type="dxa"/>
            <w:tcBorders>
              <w:top w:val="nil"/>
              <w:left w:val="nil"/>
              <w:bottom w:val="nil"/>
              <w:right w:val="nil"/>
            </w:tcBorders>
            <w:shd w:val="clear" w:color="auto" w:fill="auto"/>
            <w:noWrap/>
            <w:vAlign w:val="bottom"/>
            <w:hideMark/>
          </w:tcPr>
          <w:p w14:paraId="7AB0496D" w14:textId="77777777" w:rsidR="00EC6D52" w:rsidRPr="00AE48B7" w:rsidRDefault="00EC6D52" w:rsidP="003B6DFB">
            <w:pPr>
              <w:spacing w:before="0" w:after="0"/>
              <w:rPr>
                <w:rFonts w:eastAsia="Times New Roman" w:cs="Arial"/>
                <w:b/>
                <w:bCs/>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57FDC49F"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3D6CE280"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844" w:type="dxa"/>
            <w:gridSpan w:val="2"/>
            <w:tcBorders>
              <w:top w:val="nil"/>
              <w:left w:val="nil"/>
              <w:bottom w:val="nil"/>
              <w:right w:val="nil"/>
            </w:tcBorders>
            <w:shd w:val="clear" w:color="000000" w:fill="FFFFFF"/>
            <w:noWrap/>
            <w:vAlign w:val="bottom"/>
            <w:hideMark/>
          </w:tcPr>
          <w:p w14:paraId="153A2111" w14:textId="77777777" w:rsidR="00EC6D52" w:rsidRPr="00AE48B7" w:rsidRDefault="00EC6D52" w:rsidP="003B6DFB">
            <w:pPr>
              <w:spacing w:before="0" w:after="0"/>
              <w:rPr>
                <w:rFonts w:eastAsia="Times New Roman" w:cs="Arial"/>
                <w:b/>
                <w:bCs/>
                <w:sz w:val="20"/>
                <w:szCs w:val="20"/>
                <w:lang w:eastAsia="en-GB"/>
              </w:rPr>
            </w:pPr>
            <w:r w:rsidRPr="00AE48B7">
              <w:rPr>
                <w:rFonts w:eastAsia="Times New Roman" w:cs="Arial"/>
                <w:b/>
                <w:bCs/>
                <w:sz w:val="20"/>
                <w:szCs w:val="20"/>
                <w:lang w:eastAsia="en-GB"/>
              </w:rPr>
              <w:t> </w:t>
            </w:r>
          </w:p>
        </w:tc>
        <w:tc>
          <w:tcPr>
            <w:tcW w:w="272" w:type="dxa"/>
            <w:tcBorders>
              <w:top w:val="nil"/>
              <w:left w:val="nil"/>
              <w:bottom w:val="nil"/>
              <w:right w:val="nil"/>
            </w:tcBorders>
            <w:shd w:val="clear" w:color="auto" w:fill="auto"/>
            <w:noWrap/>
            <w:vAlign w:val="bottom"/>
            <w:hideMark/>
          </w:tcPr>
          <w:p w14:paraId="72135779" w14:textId="77777777" w:rsidR="00EC6D52" w:rsidRPr="00AE48B7" w:rsidRDefault="00EC6D52" w:rsidP="003B6DFB">
            <w:pPr>
              <w:spacing w:before="0" w:after="0"/>
              <w:rPr>
                <w:rFonts w:eastAsia="Times New Roman" w:cs="Arial"/>
                <w:b/>
                <w:bCs/>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6B0FB60A"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r>
      <w:tr w:rsidR="00EC6D52" w:rsidRPr="00AE48B7" w14:paraId="321D849D" w14:textId="77777777" w:rsidTr="00A20382">
        <w:trPr>
          <w:trHeight w:val="250"/>
        </w:trPr>
        <w:tc>
          <w:tcPr>
            <w:tcW w:w="2976" w:type="dxa"/>
            <w:tcBorders>
              <w:top w:val="nil"/>
              <w:left w:val="nil"/>
              <w:bottom w:val="nil"/>
              <w:right w:val="nil"/>
            </w:tcBorders>
            <w:shd w:val="clear" w:color="auto" w:fill="auto"/>
            <w:noWrap/>
            <w:vAlign w:val="bottom"/>
            <w:hideMark/>
          </w:tcPr>
          <w:p w14:paraId="064D0B88"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83" w:type="dxa"/>
            <w:tcBorders>
              <w:top w:val="nil"/>
              <w:left w:val="nil"/>
              <w:bottom w:val="nil"/>
              <w:right w:val="nil"/>
            </w:tcBorders>
            <w:shd w:val="clear" w:color="auto" w:fill="auto"/>
            <w:noWrap/>
            <w:vAlign w:val="bottom"/>
            <w:hideMark/>
          </w:tcPr>
          <w:p w14:paraId="54C01202"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560" w:type="dxa"/>
            <w:tcBorders>
              <w:top w:val="nil"/>
              <w:left w:val="nil"/>
              <w:bottom w:val="nil"/>
              <w:right w:val="nil"/>
            </w:tcBorders>
            <w:shd w:val="clear" w:color="auto" w:fill="auto"/>
            <w:noWrap/>
            <w:vAlign w:val="bottom"/>
            <w:hideMark/>
          </w:tcPr>
          <w:p w14:paraId="677FBA01"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480" w:type="dxa"/>
            <w:tcBorders>
              <w:top w:val="nil"/>
              <w:left w:val="nil"/>
              <w:bottom w:val="nil"/>
              <w:right w:val="nil"/>
            </w:tcBorders>
            <w:shd w:val="clear" w:color="auto" w:fill="auto"/>
            <w:noWrap/>
            <w:vAlign w:val="bottom"/>
            <w:hideMark/>
          </w:tcPr>
          <w:p w14:paraId="2A0FAC0E"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364859F2"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10AF6FFC"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844" w:type="dxa"/>
            <w:gridSpan w:val="2"/>
            <w:tcBorders>
              <w:top w:val="nil"/>
              <w:left w:val="nil"/>
              <w:bottom w:val="nil"/>
              <w:right w:val="nil"/>
            </w:tcBorders>
            <w:shd w:val="clear" w:color="auto" w:fill="auto"/>
            <w:noWrap/>
            <w:vAlign w:val="bottom"/>
            <w:hideMark/>
          </w:tcPr>
          <w:p w14:paraId="3567CC92"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6A1FD574"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624CA9DE"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r>
      <w:tr w:rsidR="00EC6D52" w:rsidRPr="00AE48B7" w14:paraId="7A774760" w14:textId="77777777" w:rsidTr="00A20382">
        <w:trPr>
          <w:gridAfter w:val="1"/>
          <w:wAfter w:w="240" w:type="dxa"/>
          <w:trHeight w:val="260"/>
        </w:trPr>
        <w:tc>
          <w:tcPr>
            <w:tcW w:w="10490" w:type="dxa"/>
            <w:gridSpan w:val="12"/>
            <w:tcBorders>
              <w:top w:val="nil"/>
              <w:left w:val="nil"/>
              <w:bottom w:val="nil"/>
            </w:tcBorders>
            <w:shd w:val="clear" w:color="auto" w:fill="auto"/>
            <w:noWrap/>
            <w:vAlign w:val="bottom"/>
            <w:hideMark/>
          </w:tcPr>
          <w:p w14:paraId="31754225" w14:textId="77777777" w:rsidR="00EC6D52" w:rsidRPr="00AE48B7" w:rsidRDefault="00EC6D52" w:rsidP="003B6DFB">
            <w:pPr>
              <w:spacing w:before="0" w:after="0"/>
              <w:rPr>
                <w:rFonts w:ascii="Times New Roman" w:eastAsia="Times New Roman" w:hAnsi="Times New Roman" w:cs="Times New Roman"/>
                <w:sz w:val="20"/>
                <w:szCs w:val="20"/>
                <w:lang w:eastAsia="en-GB"/>
              </w:rPr>
            </w:pPr>
            <w:r w:rsidRPr="00AE48B7">
              <w:rPr>
                <w:rFonts w:eastAsia="Times New Roman" w:cs="Arial"/>
                <w:b/>
                <w:bCs/>
                <w:sz w:val="20"/>
                <w:szCs w:val="20"/>
                <w:lang w:eastAsia="en-GB"/>
              </w:rPr>
              <w:t>10.4 Amounts Recognised in Statement of Comprehensive Net Expenditure</w:t>
            </w:r>
          </w:p>
        </w:tc>
      </w:tr>
      <w:tr w:rsidR="00EC6D52" w:rsidRPr="00AE48B7" w14:paraId="312BB435" w14:textId="77777777" w:rsidTr="00A20382">
        <w:trPr>
          <w:trHeight w:val="120"/>
        </w:trPr>
        <w:tc>
          <w:tcPr>
            <w:tcW w:w="2976" w:type="dxa"/>
            <w:tcBorders>
              <w:top w:val="nil"/>
              <w:left w:val="nil"/>
              <w:bottom w:val="nil"/>
              <w:right w:val="nil"/>
            </w:tcBorders>
            <w:shd w:val="clear" w:color="auto" w:fill="auto"/>
            <w:noWrap/>
            <w:vAlign w:val="bottom"/>
            <w:hideMark/>
          </w:tcPr>
          <w:p w14:paraId="4CFA2815"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83" w:type="dxa"/>
            <w:tcBorders>
              <w:top w:val="nil"/>
              <w:left w:val="nil"/>
              <w:bottom w:val="nil"/>
              <w:right w:val="nil"/>
            </w:tcBorders>
            <w:shd w:val="clear" w:color="auto" w:fill="auto"/>
            <w:noWrap/>
            <w:vAlign w:val="bottom"/>
            <w:hideMark/>
          </w:tcPr>
          <w:p w14:paraId="33E0915C"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560" w:type="dxa"/>
            <w:tcBorders>
              <w:top w:val="nil"/>
              <w:left w:val="nil"/>
              <w:bottom w:val="nil"/>
              <w:right w:val="nil"/>
            </w:tcBorders>
            <w:shd w:val="clear" w:color="auto" w:fill="auto"/>
            <w:noWrap/>
            <w:vAlign w:val="bottom"/>
            <w:hideMark/>
          </w:tcPr>
          <w:p w14:paraId="49354732"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480" w:type="dxa"/>
            <w:tcBorders>
              <w:top w:val="nil"/>
              <w:left w:val="nil"/>
              <w:bottom w:val="nil"/>
              <w:right w:val="nil"/>
            </w:tcBorders>
            <w:shd w:val="clear" w:color="auto" w:fill="auto"/>
            <w:noWrap/>
            <w:vAlign w:val="bottom"/>
            <w:hideMark/>
          </w:tcPr>
          <w:p w14:paraId="1BF91BAA"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3EA6FBB6"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27133C60"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844" w:type="dxa"/>
            <w:gridSpan w:val="2"/>
            <w:tcBorders>
              <w:top w:val="nil"/>
              <w:left w:val="nil"/>
              <w:bottom w:val="nil"/>
              <w:right w:val="nil"/>
            </w:tcBorders>
            <w:shd w:val="clear" w:color="auto" w:fill="auto"/>
            <w:noWrap/>
            <w:vAlign w:val="bottom"/>
            <w:hideMark/>
          </w:tcPr>
          <w:p w14:paraId="27FFFEC0"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22DCD75B"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0D3E7C1A"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r>
      <w:tr w:rsidR="00EC6D52" w:rsidRPr="00AE48B7" w14:paraId="1D308DD0" w14:textId="77777777" w:rsidTr="00A20382">
        <w:trPr>
          <w:trHeight w:val="620"/>
        </w:trPr>
        <w:tc>
          <w:tcPr>
            <w:tcW w:w="2976" w:type="dxa"/>
            <w:tcBorders>
              <w:top w:val="nil"/>
              <w:left w:val="nil"/>
              <w:bottom w:val="nil"/>
              <w:right w:val="nil"/>
            </w:tcBorders>
            <w:shd w:val="clear" w:color="auto" w:fill="auto"/>
            <w:noWrap/>
            <w:vAlign w:val="bottom"/>
            <w:hideMark/>
          </w:tcPr>
          <w:p w14:paraId="74AD2905"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83" w:type="dxa"/>
            <w:tcBorders>
              <w:top w:val="nil"/>
              <w:left w:val="nil"/>
              <w:bottom w:val="nil"/>
              <w:right w:val="nil"/>
            </w:tcBorders>
            <w:shd w:val="clear" w:color="auto" w:fill="auto"/>
            <w:noWrap/>
            <w:vAlign w:val="bottom"/>
            <w:hideMark/>
          </w:tcPr>
          <w:p w14:paraId="320BA7DE"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560" w:type="dxa"/>
            <w:tcBorders>
              <w:top w:val="nil"/>
              <w:left w:val="nil"/>
              <w:bottom w:val="nil"/>
              <w:right w:val="nil"/>
            </w:tcBorders>
            <w:shd w:val="clear" w:color="auto" w:fill="auto"/>
            <w:noWrap/>
            <w:vAlign w:val="bottom"/>
            <w:hideMark/>
          </w:tcPr>
          <w:p w14:paraId="0433BDA7"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480" w:type="dxa"/>
            <w:tcBorders>
              <w:top w:val="nil"/>
              <w:left w:val="nil"/>
              <w:bottom w:val="nil"/>
              <w:right w:val="nil"/>
            </w:tcBorders>
            <w:shd w:val="clear" w:color="auto" w:fill="auto"/>
            <w:noWrap/>
            <w:vAlign w:val="bottom"/>
            <w:hideMark/>
          </w:tcPr>
          <w:p w14:paraId="4FFF6684"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140CAE4C"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45875301"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844" w:type="dxa"/>
            <w:gridSpan w:val="2"/>
            <w:tcBorders>
              <w:top w:val="nil"/>
              <w:left w:val="nil"/>
              <w:bottom w:val="nil"/>
              <w:right w:val="nil"/>
            </w:tcBorders>
            <w:shd w:val="clear" w:color="000000" w:fill="FFFFFF"/>
            <w:vAlign w:val="bottom"/>
            <w:hideMark/>
          </w:tcPr>
          <w:p w14:paraId="73882C72" w14:textId="77777777" w:rsidR="00EC6D52" w:rsidRPr="00AE48B7" w:rsidRDefault="00EC6D52" w:rsidP="003B6DFB">
            <w:pPr>
              <w:spacing w:before="0" w:after="0"/>
              <w:jc w:val="right"/>
              <w:rPr>
                <w:rFonts w:eastAsia="Times New Roman" w:cs="Arial"/>
                <w:b/>
                <w:bCs/>
                <w:sz w:val="20"/>
                <w:szCs w:val="20"/>
                <w:lang w:eastAsia="en-GB"/>
              </w:rPr>
            </w:pPr>
            <w:r w:rsidRPr="00AE48B7">
              <w:rPr>
                <w:rFonts w:eastAsia="Times New Roman" w:cs="Arial"/>
                <w:b/>
                <w:bCs/>
                <w:sz w:val="20"/>
                <w:szCs w:val="20"/>
                <w:lang w:eastAsia="en-GB"/>
              </w:rPr>
              <w:t>1-Apr-23 to 31-Mar-24</w:t>
            </w:r>
          </w:p>
        </w:tc>
        <w:tc>
          <w:tcPr>
            <w:tcW w:w="272" w:type="dxa"/>
            <w:tcBorders>
              <w:top w:val="nil"/>
              <w:left w:val="nil"/>
              <w:bottom w:val="nil"/>
              <w:right w:val="nil"/>
            </w:tcBorders>
            <w:shd w:val="clear" w:color="auto" w:fill="auto"/>
            <w:vAlign w:val="bottom"/>
            <w:hideMark/>
          </w:tcPr>
          <w:p w14:paraId="4A1DFE82" w14:textId="77777777" w:rsidR="00EC6D52" w:rsidRPr="00AE48B7" w:rsidRDefault="00EC6D52" w:rsidP="003B6DFB">
            <w:pPr>
              <w:spacing w:before="0" w:after="0"/>
              <w:jc w:val="right"/>
              <w:rPr>
                <w:rFonts w:eastAsia="Times New Roman" w:cs="Arial"/>
                <w:b/>
                <w:bCs/>
                <w:sz w:val="20"/>
                <w:szCs w:val="20"/>
                <w:lang w:eastAsia="en-GB"/>
              </w:rPr>
            </w:pPr>
          </w:p>
        </w:tc>
        <w:tc>
          <w:tcPr>
            <w:tcW w:w="1429" w:type="dxa"/>
            <w:gridSpan w:val="2"/>
            <w:tcBorders>
              <w:top w:val="nil"/>
              <w:left w:val="nil"/>
              <w:bottom w:val="nil"/>
              <w:right w:val="nil"/>
            </w:tcBorders>
            <w:shd w:val="clear" w:color="000000" w:fill="FFFFFF"/>
            <w:vAlign w:val="bottom"/>
            <w:hideMark/>
          </w:tcPr>
          <w:p w14:paraId="7BB9AD0C" w14:textId="77777777" w:rsidR="00EC6D52" w:rsidRPr="00AE48B7" w:rsidRDefault="00EC6D52" w:rsidP="003B6DFB">
            <w:pPr>
              <w:spacing w:before="0" w:after="0"/>
              <w:jc w:val="right"/>
              <w:rPr>
                <w:rFonts w:eastAsia="Times New Roman" w:cs="Arial"/>
                <w:sz w:val="18"/>
                <w:szCs w:val="18"/>
                <w:lang w:eastAsia="en-GB"/>
              </w:rPr>
            </w:pPr>
            <w:r w:rsidRPr="00AE48B7">
              <w:rPr>
                <w:rFonts w:eastAsia="Times New Roman" w:cs="Arial"/>
                <w:sz w:val="18"/>
                <w:szCs w:val="18"/>
                <w:lang w:eastAsia="en-GB"/>
              </w:rPr>
              <w:t xml:space="preserve">  1-Jul-22 to 31-Mar-23</w:t>
            </w:r>
          </w:p>
        </w:tc>
      </w:tr>
      <w:tr w:rsidR="00EC6D52" w:rsidRPr="00AE48B7" w14:paraId="7876050E" w14:textId="77777777" w:rsidTr="00A20382">
        <w:trPr>
          <w:trHeight w:val="260"/>
        </w:trPr>
        <w:tc>
          <w:tcPr>
            <w:tcW w:w="2976" w:type="dxa"/>
            <w:tcBorders>
              <w:top w:val="nil"/>
              <w:left w:val="nil"/>
              <w:bottom w:val="nil"/>
              <w:right w:val="nil"/>
            </w:tcBorders>
            <w:shd w:val="clear" w:color="auto" w:fill="auto"/>
            <w:noWrap/>
            <w:vAlign w:val="bottom"/>
            <w:hideMark/>
          </w:tcPr>
          <w:p w14:paraId="6ABD2021" w14:textId="77777777" w:rsidR="00EC6D52" w:rsidRPr="00AE48B7" w:rsidRDefault="00EC6D52" w:rsidP="003B6DFB">
            <w:pPr>
              <w:spacing w:before="0" w:after="0"/>
              <w:jc w:val="right"/>
              <w:rPr>
                <w:rFonts w:eastAsia="Times New Roman" w:cs="Arial"/>
                <w:sz w:val="18"/>
                <w:szCs w:val="18"/>
                <w:lang w:eastAsia="en-GB"/>
              </w:rPr>
            </w:pPr>
          </w:p>
        </w:tc>
        <w:tc>
          <w:tcPr>
            <w:tcW w:w="283" w:type="dxa"/>
            <w:tcBorders>
              <w:top w:val="nil"/>
              <w:left w:val="nil"/>
              <w:bottom w:val="nil"/>
              <w:right w:val="nil"/>
            </w:tcBorders>
            <w:shd w:val="clear" w:color="auto" w:fill="auto"/>
            <w:noWrap/>
            <w:vAlign w:val="bottom"/>
            <w:hideMark/>
          </w:tcPr>
          <w:p w14:paraId="74867B56"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560" w:type="dxa"/>
            <w:tcBorders>
              <w:top w:val="nil"/>
              <w:left w:val="nil"/>
              <w:bottom w:val="nil"/>
              <w:right w:val="nil"/>
            </w:tcBorders>
            <w:shd w:val="clear" w:color="auto" w:fill="auto"/>
            <w:noWrap/>
            <w:vAlign w:val="bottom"/>
            <w:hideMark/>
          </w:tcPr>
          <w:p w14:paraId="66367AEA"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480" w:type="dxa"/>
            <w:tcBorders>
              <w:top w:val="nil"/>
              <w:left w:val="nil"/>
              <w:bottom w:val="nil"/>
              <w:right w:val="nil"/>
            </w:tcBorders>
            <w:shd w:val="clear" w:color="auto" w:fill="auto"/>
            <w:noWrap/>
            <w:vAlign w:val="bottom"/>
            <w:hideMark/>
          </w:tcPr>
          <w:p w14:paraId="531659C5"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1B7EB096"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6649320C"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844" w:type="dxa"/>
            <w:gridSpan w:val="2"/>
            <w:tcBorders>
              <w:top w:val="nil"/>
              <w:left w:val="nil"/>
              <w:bottom w:val="nil"/>
              <w:right w:val="nil"/>
            </w:tcBorders>
            <w:shd w:val="clear" w:color="auto" w:fill="auto"/>
            <w:vAlign w:val="bottom"/>
            <w:hideMark/>
          </w:tcPr>
          <w:p w14:paraId="2111E21C" w14:textId="77777777" w:rsidR="00EC6D52" w:rsidRPr="00AE48B7" w:rsidRDefault="00EC6D52" w:rsidP="003B6DFB">
            <w:pPr>
              <w:spacing w:before="0" w:after="0"/>
              <w:jc w:val="right"/>
              <w:rPr>
                <w:rFonts w:eastAsia="Times New Roman" w:cs="Arial"/>
                <w:b/>
                <w:bCs/>
                <w:sz w:val="20"/>
                <w:szCs w:val="20"/>
                <w:lang w:eastAsia="en-GB"/>
              </w:rPr>
            </w:pPr>
            <w:r w:rsidRPr="00AE48B7">
              <w:rPr>
                <w:rFonts w:eastAsia="Times New Roman" w:cs="Arial"/>
                <w:b/>
                <w:bCs/>
                <w:sz w:val="20"/>
                <w:szCs w:val="20"/>
                <w:lang w:eastAsia="en-GB"/>
              </w:rPr>
              <w:t>£'000</w:t>
            </w:r>
          </w:p>
        </w:tc>
        <w:tc>
          <w:tcPr>
            <w:tcW w:w="272" w:type="dxa"/>
            <w:tcBorders>
              <w:top w:val="nil"/>
              <w:left w:val="nil"/>
              <w:bottom w:val="nil"/>
              <w:right w:val="nil"/>
            </w:tcBorders>
            <w:shd w:val="clear" w:color="auto" w:fill="auto"/>
            <w:vAlign w:val="bottom"/>
            <w:hideMark/>
          </w:tcPr>
          <w:p w14:paraId="461C074A" w14:textId="77777777" w:rsidR="00EC6D52" w:rsidRPr="00AE48B7" w:rsidRDefault="00EC6D52" w:rsidP="003B6DFB">
            <w:pPr>
              <w:spacing w:before="0" w:after="0"/>
              <w:jc w:val="right"/>
              <w:rPr>
                <w:rFonts w:eastAsia="Times New Roman" w:cs="Arial"/>
                <w:b/>
                <w:bCs/>
                <w:sz w:val="20"/>
                <w:szCs w:val="20"/>
                <w:lang w:eastAsia="en-GB"/>
              </w:rPr>
            </w:pPr>
          </w:p>
        </w:tc>
        <w:tc>
          <w:tcPr>
            <w:tcW w:w="1429" w:type="dxa"/>
            <w:gridSpan w:val="2"/>
            <w:tcBorders>
              <w:top w:val="nil"/>
              <w:left w:val="nil"/>
              <w:bottom w:val="nil"/>
              <w:right w:val="nil"/>
            </w:tcBorders>
            <w:shd w:val="clear" w:color="000000" w:fill="FFFFFF"/>
            <w:noWrap/>
            <w:vAlign w:val="bottom"/>
            <w:hideMark/>
          </w:tcPr>
          <w:p w14:paraId="3C5087C9" w14:textId="77777777" w:rsidR="00EC6D52" w:rsidRPr="00AE48B7" w:rsidRDefault="00EC6D52" w:rsidP="003B6DFB">
            <w:pPr>
              <w:spacing w:before="0" w:after="0"/>
              <w:jc w:val="right"/>
              <w:rPr>
                <w:rFonts w:eastAsia="Times New Roman" w:cs="Arial"/>
                <w:sz w:val="18"/>
                <w:szCs w:val="18"/>
                <w:lang w:eastAsia="en-GB"/>
              </w:rPr>
            </w:pPr>
            <w:r w:rsidRPr="00AE48B7">
              <w:rPr>
                <w:rFonts w:eastAsia="Times New Roman" w:cs="Arial"/>
                <w:sz w:val="18"/>
                <w:szCs w:val="18"/>
                <w:lang w:eastAsia="en-GB"/>
              </w:rPr>
              <w:t>£'000</w:t>
            </w:r>
          </w:p>
        </w:tc>
      </w:tr>
      <w:tr w:rsidR="00EC6D52" w:rsidRPr="00AE48B7" w14:paraId="1296B70A" w14:textId="77777777" w:rsidTr="00A20382">
        <w:trPr>
          <w:trHeight w:val="250"/>
        </w:trPr>
        <w:tc>
          <w:tcPr>
            <w:tcW w:w="5305" w:type="dxa"/>
            <w:gridSpan w:val="5"/>
            <w:tcBorders>
              <w:top w:val="nil"/>
              <w:left w:val="nil"/>
              <w:bottom w:val="nil"/>
              <w:right w:val="nil"/>
            </w:tcBorders>
            <w:shd w:val="clear" w:color="auto" w:fill="auto"/>
            <w:noWrap/>
            <w:vAlign w:val="bottom"/>
            <w:hideMark/>
          </w:tcPr>
          <w:p w14:paraId="62ACDE86" w14:textId="77777777" w:rsidR="00EC6D52" w:rsidRPr="00AE48B7" w:rsidRDefault="00EC6D52" w:rsidP="003B6DFB">
            <w:pPr>
              <w:spacing w:before="0" w:after="0"/>
              <w:rPr>
                <w:rFonts w:ascii="Times New Roman" w:eastAsia="Times New Roman" w:hAnsi="Times New Roman" w:cs="Times New Roman"/>
                <w:sz w:val="20"/>
                <w:szCs w:val="20"/>
                <w:lang w:eastAsia="en-GB"/>
              </w:rPr>
            </w:pPr>
            <w:r w:rsidRPr="00AE48B7">
              <w:rPr>
                <w:rFonts w:eastAsia="Times New Roman" w:cs="Arial"/>
                <w:sz w:val="20"/>
                <w:szCs w:val="20"/>
                <w:lang w:eastAsia="en-GB"/>
              </w:rPr>
              <w:t>Depreciation expense on right-of-use assets</w:t>
            </w:r>
          </w:p>
        </w:tc>
        <w:tc>
          <w:tcPr>
            <w:tcW w:w="1614" w:type="dxa"/>
            <w:gridSpan w:val="2"/>
            <w:tcBorders>
              <w:top w:val="nil"/>
              <w:left w:val="nil"/>
              <w:bottom w:val="nil"/>
              <w:right w:val="nil"/>
            </w:tcBorders>
            <w:shd w:val="clear" w:color="auto" w:fill="auto"/>
            <w:noWrap/>
            <w:vAlign w:val="bottom"/>
            <w:hideMark/>
          </w:tcPr>
          <w:p w14:paraId="1CE19F03"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169DF1E3"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838" w:type="dxa"/>
            <w:tcBorders>
              <w:top w:val="nil"/>
              <w:left w:val="nil"/>
              <w:bottom w:val="nil"/>
              <w:right w:val="nil"/>
            </w:tcBorders>
            <w:shd w:val="clear" w:color="auto" w:fill="auto"/>
            <w:noWrap/>
            <w:vAlign w:val="bottom"/>
            <w:hideMark/>
          </w:tcPr>
          <w:p w14:paraId="445542FE" w14:textId="77777777" w:rsidR="00EC6D52" w:rsidRPr="00AE48B7" w:rsidRDefault="00EC6D52" w:rsidP="003B6DFB">
            <w:pPr>
              <w:spacing w:before="0" w:after="0"/>
              <w:jc w:val="right"/>
              <w:rPr>
                <w:rFonts w:eastAsia="Times New Roman" w:cs="Arial"/>
                <w:sz w:val="20"/>
                <w:szCs w:val="20"/>
                <w:lang w:eastAsia="en-GB"/>
              </w:rPr>
            </w:pPr>
            <w:r w:rsidRPr="00AE48B7">
              <w:rPr>
                <w:rFonts w:eastAsia="Times New Roman" w:cs="Arial"/>
                <w:sz w:val="20"/>
                <w:szCs w:val="20"/>
                <w:lang w:eastAsia="en-GB"/>
              </w:rPr>
              <w:t>462</w:t>
            </w:r>
          </w:p>
        </w:tc>
        <w:tc>
          <w:tcPr>
            <w:tcW w:w="272" w:type="dxa"/>
            <w:tcBorders>
              <w:top w:val="nil"/>
              <w:left w:val="nil"/>
              <w:bottom w:val="nil"/>
              <w:right w:val="nil"/>
            </w:tcBorders>
            <w:shd w:val="clear" w:color="auto" w:fill="auto"/>
            <w:noWrap/>
            <w:vAlign w:val="bottom"/>
            <w:hideMark/>
          </w:tcPr>
          <w:p w14:paraId="15F7E697" w14:textId="77777777" w:rsidR="00EC6D52" w:rsidRPr="00AE48B7" w:rsidRDefault="00EC6D52" w:rsidP="003B6DFB">
            <w:pPr>
              <w:spacing w:before="0" w:after="0"/>
              <w:jc w:val="right"/>
              <w:rPr>
                <w:rFonts w:eastAsia="Times New Roman" w:cs="Arial"/>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6255D9F0" w14:textId="77777777" w:rsidR="00EC6D52" w:rsidRPr="00AE48B7" w:rsidRDefault="00EC6D52" w:rsidP="003B6DFB">
            <w:pPr>
              <w:spacing w:before="0" w:after="0"/>
              <w:jc w:val="right"/>
              <w:rPr>
                <w:rFonts w:eastAsia="Times New Roman" w:cs="Arial"/>
                <w:sz w:val="18"/>
                <w:szCs w:val="18"/>
                <w:lang w:eastAsia="en-GB"/>
              </w:rPr>
            </w:pPr>
            <w:r w:rsidRPr="00AE48B7">
              <w:rPr>
                <w:rFonts w:eastAsia="Times New Roman" w:cs="Arial"/>
                <w:sz w:val="18"/>
                <w:szCs w:val="18"/>
                <w:lang w:eastAsia="en-GB"/>
              </w:rPr>
              <w:t>505</w:t>
            </w:r>
          </w:p>
        </w:tc>
      </w:tr>
      <w:tr w:rsidR="00EC6D52" w:rsidRPr="00AE48B7" w14:paraId="173103C8" w14:textId="77777777" w:rsidTr="00A20382">
        <w:trPr>
          <w:trHeight w:val="250"/>
        </w:trPr>
        <w:tc>
          <w:tcPr>
            <w:tcW w:w="2976" w:type="dxa"/>
            <w:tcBorders>
              <w:top w:val="nil"/>
              <w:left w:val="nil"/>
              <w:bottom w:val="nil"/>
              <w:right w:val="nil"/>
            </w:tcBorders>
            <w:shd w:val="clear" w:color="auto" w:fill="auto"/>
            <w:noWrap/>
            <w:vAlign w:val="bottom"/>
            <w:hideMark/>
          </w:tcPr>
          <w:p w14:paraId="3AF8AEDC" w14:textId="77777777" w:rsidR="00EC6D52" w:rsidRPr="00AE48B7" w:rsidRDefault="00EC6D52" w:rsidP="003B6DFB">
            <w:pPr>
              <w:spacing w:before="0" w:after="0"/>
              <w:rPr>
                <w:rFonts w:eastAsia="Times New Roman" w:cs="Arial"/>
                <w:sz w:val="20"/>
                <w:szCs w:val="20"/>
                <w:lang w:eastAsia="en-GB"/>
              </w:rPr>
            </w:pPr>
            <w:r w:rsidRPr="00AE48B7">
              <w:rPr>
                <w:rFonts w:eastAsia="Times New Roman" w:cs="Arial"/>
                <w:sz w:val="20"/>
                <w:szCs w:val="20"/>
                <w:lang w:eastAsia="en-GB"/>
              </w:rPr>
              <w:t>Interest expense on lease liabilities</w:t>
            </w:r>
          </w:p>
        </w:tc>
        <w:tc>
          <w:tcPr>
            <w:tcW w:w="283" w:type="dxa"/>
            <w:tcBorders>
              <w:top w:val="nil"/>
              <w:left w:val="nil"/>
              <w:bottom w:val="nil"/>
              <w:right w:val="nil"/>
            </w:tcBorders>
            <w:shd w:val="clear" w:color="auto" w:fill="auto"/>
            <w:noWrap/>
            <w:vAlign w:val="bottom"/>
            <w:hideMark/>
          </w:tcPr>
          <w:p w14:paraId="7158F88C" w14:textId="77777777" w:rsidR="00EC6D52" w:rsidRPr="00AE48B7" w:rsidRDefault="00EC6D52" w:rsidP="003B6DFB">
            <w:pPr>
              <w:spacing w:before="0" w:after="0"/>
              <w:rPr>
                <w:rFonts w:eastAsia="Times New Roman" w:cs="Arial"/>
                <w:sz w:val="20"/>
                <w:szCs w:val="20"/>
                <w:lang w:eastAsia="en-GB"/>
              </w:rPr>
            </w:pPr>
          </w:p>
        </w:tc>
        <w:tc>
          <w:tcPr>
            <w:tcW w:w="1560" w:type="dxa"/>
            <w:tcBorders>
              <w:top w:val="nil"/>
              <w:left w:val="nil"/>
              <w:bottom w:val="nil"/>
              <w:right w:val="nil"/>
            </w:tcBorders>
            <w:shd w:val="clear" w:color="auto" w:fill="auto"/>
            <w:noWrap/>
            <w:vAlign w:val="bottom"/>
            <w:hideMark/>
          </w:tcPr>
          <w:p w14:paraId="7D440FC3"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480" w:type="dxa"/>
            <w:tcBorders>
              <w:top w:val="nil"/>
              <w:left w:val="nil"/>
              <w:bottom w:val="nil"/>
              <w:right w:val="nil"/>
            </w:tcBorders>
            <w:shd w:val="clear" w:color="auto" w:fill="auto"/>
            <w:noWrap/>
            <w:vAlign w:val="bottom"/>
            <w:hideMark/>
          </w:tcPr>
          <w:p w14:paraId="371DA440"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07330132"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4AC19BC0"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844" w:type="dxa"/>
            <w:gridSpan w:val="2"/>
            <w:tcBorders>
              <w:top w:val="nil"/>
              <w:left w:val="nil"/>
              <w:bottom w:val="nil"/>
              <w:right w:val="nil"/>
            </w:tcBorders>
            <w:shd w:val="clear" w:color="auto" w:fill="auto"/>
            <w:noWrap/>
            <w:vAlign w:val="bottom"/>
            <w:hideMark/>
          </w:tcPr>
          <w:p w14:paraId="0081049F" w14:textId="77777777" w:rsidR="00EC6D52" w:rsidRPr="00AE48B7" w:rsidRDefault="00EC6D52" w:rsidP="003B6DFB">
            <w:pPr>
              <w:spacing w:before="0" w:after="0"/>
              <w:jc w:val="right"/>
              <w:rPr>
                <w:rFonts w:eastAsia="Times New Roman" w:cs="Arial"/>
                <w:sz w:val="20"/>
                <w:szCs w:val="20"/>
                <w:lang w:eastAsia="en-GB"/>
              </w:rPr>
            </w:pPr>
            <w:r w:rsidRPr="00AE48B7">
              <w:rPr>
                <w:rFonts w:eastAsia="Times New Roman" w:cs="Arial"/>
                <w:sz w:val="20"/>
                <w:szCs w:val="20"/>
                <w:lang w:eastAsia="en-GB"/>
              </w:rPr>
              <w:t>20</w:t>
            </w:r>
          </w:p>
        </w:tc>
        <w:tc>
          <w:tcPr>
            <w:tcW w:w="272" w:type="dxa"/>
            <w:tcBorders>
              <w:top w:val="nil"/>
              <w:left w:val="nil"/>
              <w:bottom w:val="nil"/>
              <w:right w:val="nil"/>
            </w:tcBorders>
            <w:shd w:val="clear" w:color="auto" w:fill="auto"/>
            <w:noWrap/>
            <w:vAlign w:val="bottom"/>
            <w:hideMark/>
          </w:tcPr>
          <w:p w14:paraId="709B0281" w14:textId="77777777" w:rsidR="00EC6D52" w:rsidRPr="00AE48B7" w:rsidRDefault="00EC6D52" w:rsidP="003B6DFB">
            <w:pPr>
              <w:spacing w:before="0" w:after="0"/>
              <w:jc w:val="right"/>
              <w:rPr>
                <w:rFonts w:eastAsia="Times New Roman" w:cs="Arial"/>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05BBF84B" w14:textId="77777777" w:rsidR="00EC6D52" w:rsidRPr="00AE48B7" w:rsidRDefault="00EC6D52" w:rsidP="003B6DFB">
            <w:pPr>
              <w:spacing w:before="0" w:after="0"/>
              <w:jc w:val="right"/>
              <w:rPr>
                <w:rFonts w:eastAsia="Times New Roman" w:cs="Arial"/>
                <w:sz w:val="18"/>
                <w:szCs w:val="18"/>
                <w:lang w:eastAsia="en-GB"/>
              </w:rPr>
            </w:pPr>
            <w:r w:rsidRPr="00AE48B7">
              <w:rPr>
                <w:rFonts w:eastAsia="Times New Roman" w:cs="Arial"/>
                <w:sz w:val="18"/>
                <w:szCs w:val="18"/>
                <w:lang w:eastAsia="en-GB"/>
              </w:rPr>
              <w:t>19</w:t>
            </w:r>
          </w:p>
        </w:tc>
      </w:tr>
      <w:tr w:rsidR="00EC6D52" w:rsidRPr="00AE48B7" w14:paraId="17DCC8DB" w14:textId="77777777" w:rsidTr="00A20382">
        <w:trPr>
          <w:trHeight w:val="250"/>
        </w:trPr>
        <w:tc>
          <w:tcPr>
            <w:tcW w:w="4819" w:type="dxa"/>
            <w:gridSpan w:val="3"/>
            <w:tcBorders>
              <w:top w:val="nil"/>
              <w:left w:val="nil"/>
              <w:bottom w:val="nil"/>
              <w:right w:val="nil"/>
            </w:tcBorders>
            <w:shd w:val="clear" w:color="auto" w:fill="auto"/>
            <w:noWrap/>
            <w:vAlign w:val="bottom"/>
            <w:hideMark/>
          </w:tcPr>
          <w:p w14:paraId="4E6ABB6A" w14:textId="77777777" w:rsidR="00EC6D52" w:rsidRPr="00AE48B7" w:rsidRDefault="00EC6D52" w:rsidP="003B6DFB">
            <w:pPr>
              <w:spacing w:before="0" w:after="0"/>
              <w:rPr>
                <w:rFonts w:ascii="Times New Roman" w:eastAsia="Times New Roman" w:hAnsi="Times New Roman" w:cs="Times New Roman"/>
                <w:sz w:val="20"/>
                <w:szCs w:val="20"/>
                <w:lang w:eastAsia="en-GB"/>
              </w:rPr>
            </w:pPr>
            <w:r w:rsidRPr="00AE48B7">
              <w:rPr>
                <w:rFonts w:eastAsia="Times New Roman" w:cs="Arial"/>
                <w:sz w:val="20"/>
                <w:szCs w:val="20"/>
                <w:lang w:eastAsia="en-GB"/>
              </w:rPr>
              <w:t>Expense relating to short-term leases</w:t>
            </w:r>
          </w:p>
        </w:tc>
        <w:tc>
          <w:tcPr>
            <w:tcW w:w="480" w:type="dxa"/>
            <w:tcBorders>
              <w:top w:val="nil"/>
              <w:left w:val="nil"/>
              <w:bottom w:val="nil"/>
              <w:right w:val="nil"/>
            </w:tcBorders>
            <w:shd w:val="clear" w:color="auto" w:fill="auto"/>
            <w:noWrap/>
            <w:vAlign w:val="bottom"/>
            <w:hideMark/>
          </w:tcPr>
          <w:p w14:paraId="6FA4AE57"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1BC141D5"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60075687"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844" w:type="dxa"/>
            <w:gridSpan w:val="2"/>
            <w:tcBorders>
              <w:top w:val="nil"/>
              <w:left w:val="nil"/>
              <w:bottom w:val="nil"/>
              <w:right w:val="nil"/>
            </w:tcBorders>
            <w:shd w:val="clear" w:color="000000" w:fill="FFFFFF"/>
            <w:noWrap/>
            <w:vAlign w:val="bottom"/>
            <w:hideMark/>
          </w:tcPr>
          <w:p w14:paraId="148F6432" w14:textId="77777777" w:rsidR="00EC6D52" w:rsidRPr="00AE48B7" w:rsidRDefault="00EC6D52" w:rsidP="003B6DFB">
            <w:pPr>
              <w:spacing w:before="0" w:after="0"/>
              <w:jc w:val="right"/>
              <w:rPr>
                <w:rFonts w:eastAsia="Times New Roman" w:cs="Arial"/>
                <w:sz w:val="20"/>
                <w:szCs w:val="20"/>
                <w:lang w:eastAsia="en-GB"/>
              </w:rPr>
            </w:pPr>
            <w:r w:rsidRPr="00AE48B7">
              <w:rPr>
                <w:rFonts w:eastAsia="Times New Roman" w:cs="Arial"/>
                <w:sz w:val="20"/>
                <w:szCs w:val="20"/>
                <w:lang w:eastAsia="en-GB"/>
              </w:rPr>
              <w:t>-</w:t>
            </w:r>
          </w:p>
        </w:tc>
        <w:tc>
          <w:tcPr>
            <w:tcW w:w="272" w:type="dxa"/>
            <w:tcBorders>
              <w:top w:val="nil"/>
              <w:left w:val="nil"/>
              <w:bottom w:val="nil"/>
              <w:right w:val="nil"/>
            </w:tcBorders>
            <w:shd w:val="clear" w:color="auto" w:fill="auto"/>
            <w:noWrap/>
            <w:vAlign w:val="bottom"/>
            <w:hideMark/>
          </w:tcPr>
          <w:p w14:paraId="5C037BE6" w14:textId="77777777" w:rsidR="00EC6D52" w:rsidRPr="00AE48B7" w:rsidRDefault="00EC6D52" w:rsidP="003B6DFB">
            <w:pPr>
              <w:spacing w:before="0" w:after="0"/>
              <w:jc w:val="right"/>
              <w:rPr>
                <w:rFonts w:eastAsia="Times New Roman" w:cs="Arial"/>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0CB50711" w14:textId="77777777" w:rsidR="00EC6D52" w:rsidRPr="00AE48B7" w:rsidRDefault="00EC6D52" w:rsidP="003B6DFB">
            <w:pPr>
              <w:spacing w:before="0" w:after="0"/>
              <w:jc w:val="right"/>
              <w:rPr>
                <w:rFonts w:eastAsia="Times New Roman" w:cs="Arial"/>
                <w:sz w:val="18"/>
                <w:szCs w:val="18"/>
                <w:lang w:eastAsia="en-GB"/>
              </w:rPr>
            </w:pPr>
            <w:r w:rsidRPr="00AE48B7">
              <w:rPr>
                <w:rFonts w:eastAsia="Times New Roman" w:cs="Arial"/>
                <w:sz w:val="18"/>
                <w:szCs w:val="18"/>
                <w:lang w:eastAsia="en-GB"/>
              </w:rPr>
              <w:t>5</w:t>
            </w:r>
          </w:p>
        </w:tc>
      </w:tr>
      <w:tr w:rsidR="00EC6D52" w:rsidRPr="00AE48B7" w14:paraId="4532E663" w14:textId="77777777" w:rsidTr="00A20382">
        <w:trPr>
          <w:trHeight w:val="250"/>
        </w:trPr>
        <w:tc>
          <w:tcPr>
            <w:tcW w:w="2976" w:type="dxa"/>
            <w:tcBorders>
              <w:top w:val="nil"/>
              <w:left w:val="nil"/>
              <w:bottom w:val="nil"/>
              <w:right w:val="nil"/>
            </w:tcBorders>
            <w:shd w:val="clear" w:color="auto" w:fill="auto"/>
            <w:noWrap/>
            <w:vAlign w:val="bottom"/>
            <w:hideMark/>
          </w:tcPr>
          <w:p w14:paraId="0C123D72" w14:textId="77777777" w:rsidR="00EC6D52" w:rsidRPr="00AE48B7" w:rsidRDefault="00EC6D52" w:rsidP="003B6DFB">
            <w:pPr>
              <w:spacing w:before="0" w:after="0"/>
              <w:jc w:val="right"/>
              <w:rPr>
                <w:rFonts w:eastAsia="Times New Roman" w:cs="Arial"/>
                <w:sz w:val="18"/>
                <w:szCs w:val="18"/>
                <w:lang w:eastAsia="en-GB"/>
              </w:rPr>
            </w:pPr>
          </w:p>
        </w:tc>
        <w:tc>
          <w:tcPr>
            <w:tcW w:w="283" w:type="dxa"/>
            <w:tcBorders>
              <w:top w:val="nil"/>
              <w:left w:val="nil"/>
              <w:bottom w:val="nil"/>
              <w:right w:val="nil"/>
            </w:tcBorders>
            <w:shd w:val="clear" w:color="auto" w:fill="auto"/>
            <w:noWrap/>
            <w:vAlign w:val="bottom"/>
            <w:hideMark/>
          </w:tcPr>
          <w:p w14:paraId="32CC079F"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560" w:type="dxa"/>
            <w:tcBorders>
              <w:top w:val="nil"/>
              <w:left w:val="nil"/>
              <w:bottom w:val="nil"/>
              <w:right w:val="nil"/>
            </w:tcBorders>
            <w:shd w:val="clear" w:color="auto" w:fill="auto"/>
            <w:noWrap/>
            <w:vAlign w:val="bottom"/>
            <w:hideMark/>
          </w:tcPr>
          <w:p w14:paraId="584D23FF"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480" w:type="dxa"/>
            <w:tcBorders>
              <w:top w:val="nil"/>
              <w:left w:val="nil"/>
              <w:bottom w:val="nil"/>
              <w:right w:val="nil"/>
            </w:tcBorders>
            <w:shd w:val="clear" w:color="auto" w:fill="auto"/>
            <w:noWrap/>
            <w:vAlign w:val="bottom"/>
            <w:hideMark/>
          </w:tcPr>
          <w:p w14:paraId="226AC12F"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7481EFDA"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37DB7ED9"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844" w:type="dxa"/>
            <w:gridSpan w:val="2"/>
            <w:tcBorders>
              <w:top w:val="nil"/>
              <w:left w:val="nil"/>
              <w:bottom w:val="nil"/>
              <w:right w:val="nil"/>
            </w:tcBorders>
            <w:shd w:val="clear" w:color="auto" w:fill="auto"/>
            <w:noWrap/>
            <w:vAlign w:val="bottom"/>
            <w:hideMark/>
          </w:tcPr>
          <w:p w14:paraId="7A9E2006"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1F3F742D"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6058AEB3"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r>
      <w:tr w:rsidR="00EC6D52" w:rsidRPr="00AE48B7" w14:paraId="34E4EEFE" w14:textId="77777777" w:rsidTr="00A20382">
        <w:trPr>
          <w:trHeight w:val="250"/>
        </w:trPr>
        <w:tc>
          <w:tcPr>
            <w:tcW w:w="2976" w:type="dxa"/>
            <w:tcBorders>
              <w:top w:val="nil"/>
              <w:left w:val="nil"/>
              <w:bottom w:val="nil"/>
              <w:right w:val="nil"/>
            </w:tcBorders>
            <w:shd w:val="clear" w:color="auto" w:fill="auto"/>
            <w:noWrap/>
            <w:vAlign w:val="bottom"/>
            <w:hideMark/>
          </w:tcPr>
          <w:p w14:paraId="4CBD4A3E"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83" w:type="dxa"/>
            <w:tcBorders>
              <w:top w:val="nil"/>
              <w:left w:val="nil"/>
              <w:bottom w:val="nil"/>
              <w:right w:val="nil"/>
            </w:tcBorders>
            <w:shd w:val="clear" w:color="auto" w:fill="auto"/>
            <w:noWrap/>
            <w:vAlign w:val="bottom"/>
            <w:hideMark/>
          </w:tcPr>
          <w:p w14:paraId="14D6040B"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560" w:type="dxa"/>
            <w:tcBorders>
              <w:top w:val="nil"/>
              <w:left w:val="nil"/>
              <w:bottom w:val="nil"/>
              <w:right w:val="nil"/>
            </w:tcBorders>
            <w:shd w:val="clear" w:color="auto" w:fill="auto"/>
            <w:noWrap/>
            <w:vAlign w:val="bottom"/>
            <w:hideMark/>
          </w:tcPr>
          <w:p w14:paraId="7165D377"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480" w:type="dxa"/>
            <w:tcBorders>
              <w:top w:val="nil"/>
              <w:left w:val="nil"/>
              <w:bottom w:val="nil"/>
              <w:right w:val="nil"/>
            </w:tcBorders>
            <w:shd w:val="clear" w:color="auto" w:fill="auto"/>
            <w:noWrap/>
            <w:vAlign w:val="bottom"/>
            <w:hideMark/>
          </w:tcPr>
          <w:p w14:paraId="6A6E6248"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27BD4D48"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244A96EE"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844" w:type="dxa"/>
            <w:gridSpan w:val="2"/>
            <w:tcBorders>
              <w:top w:val="nil"/>
              <w:left w:val="nil"/>
              <w:bottom w:val="nil"/>
              <w:right w:val="nil"/>
            </w:tcBorders>
            <w:shd w:val="clear" w:color="auto" w:fill="auto"/>
            <w:noWrap/>
            <w:vAlign w:val="bottom"/>
            <w:hideMark/>
          </w:tcPr>
          <w:p w14:paraId="5C8CDEC8"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234B92F2"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25512429"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r>
      <w:tr w:rsidR="00121EA8" w:rsidRPr="00AE48B7" w14:paraId="5BDD3A28" w14:textId="77777777" w:rsidTr="00C62C7A">
        <w:trPr>
          <w:trHeight w:val="260"/>
        </w:trPr>
        <w:tc>
          <w:tcPr>
            <w:tcW w:w="9029" w:type="dxa"/>
            <w:gridSpan w:val="10"/>
            <w:tcBorders>
              <w:top w:val="nil"/>
              <w:left w:val="nil"/>
              <w:bottom w:val="nil"/>
              <w:right w:val="nil"/>
            </w:tcBorders>
            <w:shd w:val="clear" w:color="auto" w:fill="auto"/>
            <w:noWrap/>
            <w:vAlign w:val="bottom"/>
            <w:hideMark/>
          </w:tcPr>
          <w:p w14:paraId="75B0F32B" w14:textId="694C0AAF" w:rsidR="00121EA8" w:rsidRPr="00AE48B7" w:rsidRDefault="00121EA8" w:rsidP="003B6DFB">
            <w:pPr>
              <w:spacing w:before="0" w:after="0"/>
              <w:rPr>
                <w:rFonts w:ascii="Times New Roman" w:eastAsia="Times New Roman" w:hAnsi="Times New Roman" w:cs="Times New Roman"/>
                <w:sz w:val="20"/>
                <w:szCs w:val="20"/>
                <w:lang w:eastAsia="en-GB"/>
              </w:rPr>
            </w:pPr>
            <w:r w:rsidRPr="00AE48B7">
              <w:rPr>
                <w:rFonts w:eastAsia="Times New Roman" w:cs="Arial"/>
                <w:b/>
                <w:bCs/>
                <w:sz w:val="20"/>
                <w:szCs w:val="20"/>
                <w:lang w:eastAsia="en-GB"/>
              </w:rPr>
              <w:t>10.5 Amounts Recognised in Statement of Cash Flows</w:t>
            </w:r>
          </w:p>
        </w:tc>
        <w:tc>
          <w:tcPr>
            <w:tcW w:w="272" w:type="dxa"/>
            <w:tcBorders>
              <w:top w:val="nil"/>
              <w:left w:val="nil"/>
              <w:bottom w:val="nil"/>
              <w:right w:val="nil"/>
            </w:tcBorders>
            <w:shd w:val="clear" w:color="auto" w:fill="auto"/>
            <w:noWrap/>
            <w:vAlign w:val="bottom"/>
            <w:hideMark/>
          </w:tcPr>
          <w:p w14:paraId="206DB2D5" w14:textId="77777777" w:rsidR="00121EA8" w:rsidRPr="00AE48B7" w:rsidRDefault="00121EA8" w:rsidP="003B6DFB">
            <w:pPr>
              <w:spacing w:before="0" w:after="0"/>
              <w:rPr>
                <w:rFonts w:ascii="Times New Roman" w:eastAsia="Times New Roman" w:hAnsi="Times New Roman" w:cs="Times New Roman"/>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2B7252BF" w14:textId="77777777" w:rsidR="00121EA8" w:rsidRPr="00AE48B7" w:rsidRDefault="00121EA8" w:rsidP="003B6DFB">
            <w:pPr>
              <w:spacing w:before="0" w:after="0"/>
              <w:rPr>
                <w:rFonts w:ascii="Times New Roman" w:eastAsia="Times New Roman" w:hAnsi="Times New Roman" w:cs="Times New Roman"/>
                <w:sz w:val="20"/>
                <w:szCs w:val="20"/>
                <w:lang w:eastAsia="en-GB"/>
              </w:rPr>
            </w:pPr>
          </w:p>
        </w:tc>
      </w:tr>
      <w:tr w:rsidR="00EC6D52" w:rsidRPr="00AE48B7" w14:paraId="7E6E66F1" w14:textId="77777777" w:rsidTr="00A20382">
        <w:trPr>
          <w:trHeight w:val="600"/>
        </w:trPr>
        <w:tc>
          <w:tcPr>
            <w:tcW w:w="2976" w:type="dxa"/>
            <w:tcBorders>
              <w:top w:val="nil"/>
              <w:left w:val="nil"/>
              <w:bottom w:val="nil"/>
              <w:right w:val="nil"/>
            </w:tcBorders>
            <w:shd w:val="clear" w:color="auto" w:fill="auto"/>
            <w:noWrap/>
            <w:vAlign w:val="bottom"/>
            <w:hideMark/>
          </w:tcPr>
          <w:p w14:paraId="2FB5BC28"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83" w:type="dxa"/>
            <w:tcBorders>
              <w:top w:val="nil"/>
              <w:left w:val="nil"/>
              <w:bottom w:val="nil"/>
              <w:right w:val="nil"/>
            </w:tcBorders>
            <w:shd w:val="clear" w:color="auto" w:fill="auto"/>
            <w:noWrap/>
            <w:vAlign w:val="bottom"/>
            <w:hideMark/>
          </w:tcPr>
          <w:p w14:paraId="6A00177B"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560" w:type="dxa"/>
            <w:tcBorders>
              <w:top w:val="nil"/>
              <w:left w:val="nil"/>
              <w:bottom w:val="nil"/>
              <w:right w:val="nil"/>
            </w:tcBorders>
            <w:shd w:val="clear" w:color="auto" w:fill="auto"/>
            <w:noWrap/>
            <w:vAlign w:val="bottom"/>
            <w:hideMark/>
          </w:tcPr>
          <w:p w14:paraId="2091B86E"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480" w:type="dxa"/>
            <w:tcBorders>
              <w:top w:val="nil"/>
              <w:left w:val="nil"/>
              <w:bottom w:val="nil"/>
              <w:right w:val="nil"/>
            </w:tcBorders>
            <w:shd w:val="clear" w:color="auto" w:fill="auto"/>
            <w:noWrap/>
            <w:vAlign w:val="bottom"/>
            <w:hideMark/>
          </w:tcPr>
          <w:p w14:paraId="115D1946"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3B9F4695"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686385C9"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844" w:type="dxa"/>
            <w:gridSpan w:val="2"/>
            <w:tcBorders>
              <w:top w:val="nil"/>
              <w:left w:val="nil"/>
              <w:bottom w:val="nil"/>
              <w:right w:val="nil"/>
            </w:tcBorders>
            <w:shd w:val="clear" w:color="auto" w:fill="auto"/>
            <w:vAlign w:val="bottom"/>
            <w:hideMark/>
          </w:tcPr>
          <w:p w14:paraId="4D10710C" w14:textId="77777777" w:rsidR="00EC6D52" w:rsidRPr="00AE48B7" w:rsidRDefault="00EC6D52" w:rsidP="003B6DFB">
            <w:pPr>
              <w:spacing w:before="0" w:after="0"/>
              <w:jc w:val="right"/>
              <w:rPr>
                <w:rFonts w:eastAsia="Times New Roman" w:cs="Arial"/>
                <w:b/>
                <w:bCs/>
                <w:sz w:val="20"/>
                <w:szCs w:val="20"/>
                <w:lang w:eastAsia="en-GB"/>
              </w:rPr>
            </w:pPr>
            <w:r w:rsidRPr="00AE48B7">
              <w:rPr>
                <w:rFonts w:eastAsia="Times New Roman" w:cs="Arial"/>
                <w:b/>
                <w:bCs/>
                <w:sz w:val="20"/>
                <w:szCs w:val="20"/>
                <w:lang w:eastAsia="en-GB"/>
              </w:rPr>
              <w:t>1-Apr-23 to 31-Mar-24</w:t>
            </w:r>
          </w:p>
        </w:tc>
        <w:tc>
          <w:tcPr>
            <w:tcW w:w="272" w:type="dxa"/>
            <w:tcBorders>
              <w:top w:val="nil"/>
              <w:left w:val="nil"/>
              <w:bottom w:val="nil"/>
              <w:right w:val="nil"/>
            </w:tcBorders>
            <w:shd w:val="clear" w:color="auto" w:fill="auto"/>
            <w:vAlign w:val="bottom"/>
            <w:hideMark/>
          </w:tcPr>
          <w:p w14:paraId="0ACDAAF6" w14:textId="77777777" w:rsidR="00EC6D52" w:rsidRPr="00AE48B7" w:rsidRDefault="00EC6D52" w:rsidP="003B6DFB">
            <w:pPr>
              <w:spacing w:before="0" w:after="0"/>
              <w:jc w:val="right"/>
              <w:rPr>
                <w:rFonts w:eastAsia="Times New Roman" w:cs="Arial"/>
                <w:b/>
                <w:bCs/>
                <w:sz w:val="20"/>
                <w:szCs w:val="20"/>
                <w:lang w:eastAsia="en-GB"/>
              </w:rPr>
            </w:pPr>
          </w:p>
        </w:tc>
        <w:tc>
          <w:tcPr>
            <w:tcW w:w="1429" w:type="dxa"/>
            <w:gridSpan w:val="2"/>
            <w:tcBorders>
              <w:top w:val="nil"/>
              <w:left w:val="nil"/>
              <w:bottom w:val="nil"/>
              <w:right w:val="nil"/>
            </w:tcBorders>
            <w:shd w:val="clear" w:color="auto" w:fill="auto"/>
            <w:vAlign w:val="bottom"/>
            <w:hideMark/>
          </w:tcPr>
          <w:p w14:paraId="0F244B6E" w14:textId="77777777" w:rsidR="00EC6D52" w:rsidRPr="00AE48B7" w:rsidRDefault="00EC6D52" w:rsidP="003B6DFB">
            <w:pPr>
              <w:spacing w:before="0" w:after="0"/>
              <w:jc w:val="right"/>
              <w:rPr>
                <w:rFonts w:eastAsia="Times New Roman" w:cs="Arial"/>
                <w:sz w:val="18"/>
                <w:szCs w:val="18"/>
                <w:lang w:eastAsia="en-GB"/>
              </w:rPr>
            </w:pPr>
            <w:r w:rsidRPr="00AE48B7">
              <w:rPr>
                <w:rFonts w:eastAsia="Times New Roman" w:cs="Arial"/>
                <w:sz w:val="18"/>
                <w:szCs w:val="18"/>
                <w:lang w:eastAsia="en-GB"/>
              </w:rPr>
              <w:t xml:space="preserve">  1-Jul-22 to 31-Mar-23</w:t>
            </w:r>
          </w:p>
        </w:tc>
      </w:tr>
      <w:tr w:rsidR="00EC6D52" w:rsidRPr="00AE48B7" w14:paraId="58FD9AAD" w14:textId="77777777" w:rsidTr="00A20382">
        <w:trPr>
          <w:trHeight w:val="260"/>
        </w:trPr>
        <w:tc>
          <w:tcPr>
            <w:tcW w:w="2976" w:type="dxa"/>
            <w:tcBorders>
              <w:top w:val="nil"/>
              <w:left w:val="nil"/>
              <w:bottom w:val="nil"/>
              <w:right w:val="nil"/>
            </w:tcBorders>
            <w:shd w:val="clear" w:color="auto" w:fill="auto"/>
            <w:noWrap/>
            <w:vAlign w:val="bottom"/>
            <w:hideMark/>
          </w:tcPr>
          <w:p w14:paraId="6C701D4A" w14:textId="77777777" w:rsidR="00EC6D52" w:rsidRPr="00AE48B7" w:rsidRDefault="00EC6D52" w:rsidP="003B6DFB">
            <w:pPr>
              <w:spacing w:before="0" w:after="0"/>
              <w:jc w:val="right"/>
              <w:rPr>
                <w:rFonts w:eastAsia="Times New Roman" w:cs="Arial"/>
                <w:sz w:val="18"/>
                <w:szCs w:val="18"/>
                <w:lang w:eastAsia="en-GB"/>
              </w:rPr>
            </w:pPr>
          </w:p>
        </w:tc>
        <w:tc>
          <w:tcPr>
            <w:tcW w:w="283" w:type="dxa"/>
            <w:tcBorders>
              <w:top w:val="nil"/>
              <w:left w:val="nil"/>
              <w:bottom w:val="nil"/>
              <w:right w:val="nil"/>
            </w:tcBorders>
            <w:shd w:val="clear" w:color="auto" w:fill="auto"/>
            <w:noWrap/>
            <w:vAlign w:val="bottom"/>
            <w:hideMark/>
          </w:tcPr>
          <w:p w14:paraId="242095E6"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560" w:type="dxa"/>
            <w:tcBorders>
              <w:top w:val="nil"/>
              <w:left w:val="nil"/>
              <w:bottom w:val="nil"/>
              <w:right w:val="nil"/>
            </w:tcBorders>
            <w:shd w:val="clear" w:color="auto" w:fill="auto"/>
            <w:noWrap/>
            <w:vAlign w:val="bottom"/>
            <w:hideMark/>
          </w:tcPr>
          <w:p w14:paraId="11234F55"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480" w:type="dxa"/>
            <w:tcBorders>
              <w:top w:val="nil"/>
              <w:left w:val="nil"/>
              <w:bottom w:val="nil"/>
              <w:right w:val="nil"/>
            </w:tcBorders>
            <w:shd w:val="clear" w:color="auto" w:fill="auto"/>
            <w:noWrap/>
            <w:vAlign w:val="bottom"/>
            <w:hideMark/>
          </w:tcPr>
          <w:p w14:paraId="12A71AE4"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2FBF5A58"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5AF9C0AD"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844" w:type="dxa"/>
            <w:gridSpan w:val="2"/>
            <w:tcBorders>
              <w:top w:val="nil"/>
              <w:left w:val="nil"/>
              <w:bottom w:val="nil"/>
              <w:right w:val="nil"/>
            </w:tcBorders>
            <w:shd w:val="clear" w:color="auto" w:fill="auto"/>
            <w:vAlign w:val="bottom"/>
            <w:hideMark/>
          </w:tcPr>
          <w:p w14:paraId="3A619D77" w14:textId="77777777" w:rsidR="00EC6D52" w:rsidRPr="00AE48B7" w:rsidRDefault="00EC6D52" w:rsidP="003B6DFB">
            <w:pPr>
              <w:spacing w:before="0" w:after="0"/>
              <w:jc w:val="right"/>
              <w:rPr>
                <w:rFonts w:eastAsia="Times New Roman" w:cs="Arial"/>
                <w:b/>
                <w:bCs/>
                <w:sz w:val="20"/>
                <w:szCs w:val="20"/>
                <w:lang w:eastAsia="en-GB"/>
              </w:rPr>
            </w:pPr>
            <w:r w:rsidRPr="00AE48B7">
              <w:rPr>
                <w:rFonts w:eastAsia="Times New Roman" w:cs="Arial"/>
                <w:b/>
                <w:bCs/>
                <w:sz w:val="20"/>
                <w:szCs w:val="20"/>
                <w:lang w:eastAsia="en-GB"/>
              </w:rPr>
              <w:t>£'000</w:t>
            </w:r>
          </w:p>
        </w:tc>
        <w:tc>
          <w:tcPr>
            <w:tcW w:w="272" w:type="dxa"/>
            <w:tcBorders>
              <w:top w:val="nil"/>
              <w:left w:val="nil"/>
              <w:bottom w:val="nil"/>
              <w:right w:val="nil"/>
            </w:tcBorders>
            <w:shd w:val="clear" w:color="auto" w:fill="auto"/>
            <w:vAlign w:val="bottom"/>
            <w:hideMark/>
          </w:tcPr>
          <w:p w14:paraId="4DE2B84B" w14:textId="77777777" w:rsidR="00EC6D52" w:rsidRPr="00AE48B7" w:rsidRDefault="00EC6D52" w:rsidP="003B6DFB">
            <w:pPr>
              <w:spacing w:before="0" w:after="0"/>
              <w:jc w:val="right"/>
              <w:rPr>
                <w:rFonts w:eastAsia="Times New Roman" w:cs="Arial"/>
                <w:b/>
                <w:bCs/>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0DC4FBD4" w14:textId="77777777" w:rsidR="00EC6D52" w:rsidRPr="00AE48B7" w:rsidRDefault="00EC6D52" w:rsidP="003B6DFB">
            <w:pPr>
              <w:spacing w:before="0" w:after="0"/>
              <w:jc w:val="right"/>
              <w:rPr>
                <w:rFonts w:eastAsia="Times New Roman" w:cs="Arial"/>
                <w:sz w:val="18"/>
                <w:szCs w:val="18"/>
                <w:lang w:eastAsia="en-GB"/>
              </w:rPr>
            </w:pPr>
            <w:r w:rsidRPr="00AE48B7">
              <w:rPr>
                <w:rFonts w:eastAsia="Times New Roman" w:cs="Arial"/>
                <w:sz w:val="18"/>
                <w:szCs w:val="18"/>
                <w:lang w:eastAsia="en-GB"/>
              </w:rPr>
              <w:t>£'000</w:t>
            </w:r>
          </w:p>
        </w:tc>
      </w:tr>
      <w:tr w:rsidR="00EC6D52" w:rsidRPr="00AE48B7" w14:paraId="21A3F6BE" w14:textId="77777777" w:rsidTr="00A20382">
        <w:trPr>
          <w:trHeight w:val="250"/>
        </w:trPr>
        <w:tc>
          <w:tcPr>
            <w:tcW w:w="4819" w:type="dxa"/>
            <w:gridSpan w:val="3"/>
            <w:tcBorders>
              <w:top w:val="nil"/>
              <w:left w:val="nil"/>
              <w:bottom w:val="nil"/>
              <w:right w:val="nil"/>
            </w:tcBorders>
            <w:shd w:val="clear" w:color="auto" w:fill="auto"/>
            <w:noWrap/>
            <w:vAlign w:val="bottom"/>
            <w:hideMark/>
          </w:tcPr>
          <w:p w14:paraId="1423D490" w14:textId="77777777" w:rsidR="00EC6D52" w:rsidRPr="00AE48B7" w:rsidRDefault="00EC6D52" w:rsidP="003B6DFB">
            <w:pPr>
              <w:spacing w:before="0" w:after="0"/>
              <w:rPr>
                <w:rFonts w:ascii="Times New Roman" w:eastAsia="Times New Roman" w:hAnsi="Times New Roman" w:cs="Times New Roman"/>
                <w:sz w:val="20"/>
                <w:szCs w:val="20"/>
                <w:lang w:eastAsia="en-GB"/>
              </w:rPr>
            </w:pPr>
            <w:r w:rsidRPr="00AE48B7">
              <w:rPr>
                <w:rFonts w:eastAsia="Times New Roman" w:cs="Arial"/>
                <w:sz w:val="20"/>
                <w:szCs w:val="20"/>
                <w:lang w:eastAsia="en-GB"/>
              </w:rPr>
              <w:t>Total cash outflow on leases under IFRS 16</w:t>
            </w:r>
          </w:p>
        </w:tc>
        <w:tc>
          <w:tcPr>
            <w:tcW w:w="480" w:type="dxa"/>
            <w:tcBorders>
              <w:top w:val="nil"/>
              <w:left w:val="nil"/>
              <w:bottom w:val="nil"/>
              <w:right w:val="nil"/>
            </w:tcBorders>
            <w:shd w:val="clear" w:color="auto" w:fill="auto"/>
            <w:noWrap/>
            <w:vAlign w:val="bottom"/>
            <w:hideMark/>
          </w:tcPr>
          <w:p w14:paraId="3D9E5980"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614" w:type="dxa"/>
            <w:gridSpan w:val="2"/>
            <w:tcBorders>
              <w:top w:val="nil"/>
              <w:left w:val="nil"/>
              <w:bottom w:val="nil"/>
              <w:right w:val="nil"/>
            </w:tcBorders>
            <w:shd w:val="clear" w:color="auto" w:fill="auto"/>
            <w:noWrap/>
            <w:vAlign w:val="bottom"/>
            <w:hideMark/>
          </w:tcPr>
          <w:p w14:paraId="7EDC5E62"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272" w:type="dxa"/>
            <w:gridSpan w:val="2"/>
            <w:tcBorders>
              <w:top w:val="nil"/>
              <w:left w:val="nil"/>
              <w:bottom w:val="nil"/>
              <w:right w:val="nil"/>
            </w:tcBorders>
            <w:shd w:val="clear" w:color="auto" w:fill="auto"/>
            <w:noWrap/>
            <w:vAlign w:val="bottom"/>
            <w:hideMark/>
          </w:tcPr>
          <w:p w14:paraId="671DE277" w14:textId="77777777" w:rsidR="00EC6D52" w:rsidRPr="00AE48B7" w:rsidRDefault="00EC6D52" w:rsidP="003B6DFB">
            <w:pPr>
              <w:spacing w:before="0" w:after="0"/>
              <w:rPr>
                <w:rFonts w:ascii="Times New Roman" w:eastAsia="Times New Roman" w:hAnsi="Times New Roman" w:cs="Times New Roman"/>
                <w:sz w:val="20"/>
                <w:szCs w:val="20"/>
                <w:lang w:eastAsia="en-GB"/>
              </w:rPr>
            </w:pPr>
          </w:p>
        </w:tc>
        <w:tc>
          <w:tcPr>
            <w:tcW w:w="1844" w:type="dxa"/>
            <w:gridSpan w:val="2"/>
            <w:tcBorders>
              <w:top w:val="nil"/>
              <w:left w:val="nil"/>
              <w:bottom w:val="nil"/>
              <w:right w:val="nil"/>
            </w:tcBorders>
            <w:shd w:val="clear" w:color="000000" w:fill="FFFFFF"/>
            <w:noWrap/>
            <w:vAlign w:val="bottom"/>
            <w:hideMark/>
          </w:tcPr>
          <w:p w14:paraId="0085DBA8" w14:textId="77777777" w:rsidR="00EC6D52" w:rsidRPr="00AE48B7" w:rsidRDefault="00EC6D52" w:rsidP="003B6DFB">
            <w:pPr>
              <w:spacing w:before="0" w:after="0"/>
              <w:jc w:val="right"/>
              <w:rPr>
                <w:rFonts w:eastAsia="Times New Roman" w:cs="Arial"/>
                <w:sz w:val="20"/>
                <w:szCs w:val="20"/>
                <w:lang w:eastAsia="en-GB"/>
              </w:rPr>
            </w:pPr>
            <w:r w:rsidRPr="00AE48B7">
              <w:rPr>
                <w:rFonts w:eastAsia="Times New Roman" w:cs="Arial"/>
                <w:sz w:val="20"/>
                <w:szCs w:val="20"/>
                <w:lang w:eastAsia="en-GB"/>
              </w:rPr>
              <w:t>403</w:t>
            </w:r>
          </w:p>
        </w:tc>
        <w:tc>
          <w:tcPr>
            <w:tcW w:w="272" w:type="dxa"/>
            <w:tcBorders>
              <w:top w:val="nil"/>
              <w:left w:val="nil"/>
              <w:bottom w:val="nil"/>
              <w:right w:val="nil"/>
            </w:tcBorders>
            <w:shd w:val="clear" w:color="auto" w:fill="auto"/>
            <w:noWrap/>
            <w:vAlign w:val="bottom"/>
            <w:hideMark/>
          </w:tcPr>
          <w:p w14:paraId="2A486924" w14:textId="77777777" w:rsidR="00EC6D52" w:rsidRPr="00AE48B7" w:rsidRDefault="00EC6D52" w:rsidP="003B6DFB">
            <w:pPr>
              <w:spacing w:before="0" w:after="0"/>
              <w:jc w:val="right"/>
              <w:rPr>
                <w:rFonts w:eastAsia="Times New Roman" w:cs="Arial"/>
                <w:sz w:val="20"/>
                <w:szCs w:val="20"/>
                <w:lang w:eastAsia="en-GB"/>
              </w:rPr>
            </w:pPr>
          </w:p>
        </w:tc>
        <w:tc>
          <w:tcPr>
            <w:tcW w:w="1429" w:type="dxa"/>
            <w:gridSpan w:val="2"/>
            <w:tcBorders>
              <w:top w:val="nil"/>
              <w:left w:val="nil"/>
              <w:bottom w:val="nil"/>
              <w:right w:val="nil"/>
            </w:tcBorders>
            <w:shd w:val="clear" w:color="auto" w:fill="auto"/>
            <w:noWrap/>
            <w:vAlign w:val="bottom"/>
            <w:hideMark/>
          </w:tcPr>
          <w:p w14:paraId="36F64AE5" w14:textId="77777777" w:rsidR="00EC6D52" w:rsidRPr="00AE48B7" w:rsidRDefault="00EC6D52" w:rsidP="003B6DFB">
            <w:pPr>
              <w:spacing w:before="0" w:after="0"/>
              <w:jc w:val="right"/>
              <w:rPr>
                <w:rFonts w:eastAsia="Times New Roman" w:cs="Arial"/>
                <w:sz w:val="18"/>
                <w:szCs w:val="18"/>
                <w:lang w:eastAsia="en-GB"/>
              </w:rPr>
            </w:pPr>
            <w:r w:rsidRPr="00AE48B7">
              <w:rPr>
                <w:rFonts w:eastAsia="Times New Roman" w:cs="Arial"/>
                <w:sz w:val="18"/>
                <w:szCs w:val="18"/>
                <w:lang w:eastAsia="en-GB"/>
              </w:rPr>
              <w:t>411</w:t>
            </w:r>
          </w:p>
        </w:tc>
      </w:tr>
    </w:tbl>
    <w:p w14:paraId="71863D40" w14:textId="77777777" w:rsidR="00EC6D52" w:rsidRDefault="00EC6D52" w:rsidP="00C70A7F">
      <w:pPr>
        <w:spacing w:before="0" w:after="200" w:line="276" w:lineRule="auto"/>
      </w:pPr>
    </w:p>
    <w:p w14:paraId="15EB59B1" w14:textId="15DAECCB" w:rsidR="00D57AE3" w:rsidRDefault="00D57AE3">
      <w:pPr>
        <w:spacing w:before="0" w:after="200" w:line="276" w:lineRule="auto"/>
      </w:pPr>
      <w:r>
        <w:br w:type="page"/>
      </w:r>
    </w:p>
    <w:tbl>
      <w:tblPr>
        <w:tblW w:w="10490" w:type="dxa"/>
        <w:tblLayout w:type="fixed"/>
        <w:tblLook w:val="04A0" w:firstRow="1" w:lastRow="0" w:firstColumn="1" w:lastColumn="0" w:noHBand="0" w:noVBand="1"/>
      </w:tblPr>
      <w:tblGrid>
        <w:gridCol w:w="5927"/>
        <w:gridCol w:w="1585"/>
        <w:gridCol w:w="272"/>
        <w:gridCol w:w="272"/>
        <w:gridCol w:w="1725"/>
        <w:gridCol w:w="709"/>
      </w:tblGrid>
      <w:tr w:rsidR="00794062" w:rsidRPr="00794062" w14:paraId="1CDFFA30" w14:textId="77777777" w:rsidTr="00AA3AFA">
        <w:trPr>
          <w:trHeight w:val="260"/>
        </w:trPr>
        <w:tc>
          <w:tcPr>
            <w:tcW w:w="5927" w:type="dxa"/>
            <w:tcBorders>
              <w:top w:val="nil"/>
              <w:left w:val="nil"/>
              <w:bottom w:val="nil"/>
              <w:right w:val="nil"/>
            </w:tcBorders>
            <w:shd w:val="clear" w:color="000000" w:fill="FFFFFF"/>
            <w:noWrap/>
            <w:vAlign w:val="bottom"/>
            <w:hideMark/>
          </w:tcPr>
          <w:p w14:paraId="37B836D0" w14:textId="77777777" w:rsidR="00794062" w:rsidRPr="00794062" w:rsidRDefault="00794062" w:rsidP="00794062">
            <w:pPr>
              <w:spacing w:before="0" w:after="0"/>
              <w:rPr>
                <w:rFonts w:eastAsia="Times New Roman" w:cs="Arial"/>
                <w:b/>
                <w:bCs/>
                <w:sz w:val="20"/>
                <w:szCs w:val="20"/>
                <w:lang w:eastAsia="en-GB"/>
              </w:rPr>
            </w:pPr>
            <w:r w:rsidRPr="00794062">
              <w:rPr>
                <w:rFonts w:eastAsia="Times New Roman" w:cs="Arial"/>
                <w:b/>
                <w:bCs/>
                <w:sz w:val="20"/>
                <w:szCs w:val="20"/>
                <w:lang w:eastAsia="en-GB"/>
              </w:rPr>
              <w:lastRenderedPageBreak/>
              <w:t>10.6 Narrative</w:t>
            </w:r>
          </w:p>
        </w:tc>
        <w:tc>
          <w:tcPr>
            <w:tcW w:w="1585" w:type="dxa"/>
            <w:tcBorders>
              <w:top w:val="nil"/>
              <w:left w:val="nil"/>
              <w:bottom w:val="nil"/>
              <w:right w:val="nil"/>
            </w:tcBorders>
            <w:shd w:val="clear" w:color="000000" w:fill="FFFFFF"/>
            <w:noWrap/>
            <w:vAlign w:val="bottom"/>
            <w:hideMark/>
          </w:tcPr>
          <w:p w14:paraId="311B8F79"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95BDA7F"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3D9DCD5"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434" w:type="dxa"/>
            <w:gridSpan w:val="2"/>
            <w:tcBorders>
              <w:top w:val="nil"/>
              <w:left w:val="nil"/>
              <w:bottom w:val="nil"/>
              <w:right w:val="nil"/>
            </w:tcBorders>
            <w:shd w:val="clear" w:color="000000" w:fill="FFFFFF"/>
            <w:noWrap/>
            <w:vAlign w:val="bottom"/>
            <w:hideMark/>
          </w:tcPr>
          <w:p w14:paraId="77F98EAC"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r>
      <w:tr w:rsidR="00794062" w:rsidRPr="00794062" w14:paraId="26C19A73" w14:textId="77777777" w:rsidTr="00AA3AFA">
        <w:trPr>
          <w:trHeight w:val="120"/>
        </w:trPr>
        <w:tc>
          <w:tcPr>
            <w:tcW w:w="5927" w:type="dxa"/>
            <w:tcBorders>
              <w:top w:val="nil"/>
              <w:left w:val="nil"/>
              <w:bottom w:val="nil"/>
              <w:right w:val="nil"/>
            </w:tcBorders>
            <w:shd w:val="clear" w:color="000000" w:fill="FFFFFF"/>
            <w:noWrap/>
            <w:vAlign w:val="bottom"/>
            <w:hideMark/>
          </w:tcPr>
          <w:p w14:paraId="578DB261" w14:textId="77777777" w:rsidR="00794062" w:rsidRPr="00794062" w:rsidRDefault="00794062" w:rsidP="00794062">
            <w:pPr>
              <w:spacing w:before="0" w:after="0"/>
              <w:rPr>
                <w:rFonts w:eastAsia="Times New Roman" w:cs="Arial"/>
                <w:b/>
                <w:bCs/>
                <w:color w:val="FF0000"/>
                <w:sz w:val="20"/>
                <w:szCs w:val="20"/>
                <w:lang w:eastAsia="en-GB"/>
              </w:rPr>
            </w:pPr>
            <w:r w:rsidRPr="00794062">
              <w:rPr>
                <w:rFonts w:eastAsia="Times New Roman" w:cs="Arial"/>
                <w:b/>
                <w:bCs/>
                <w:color w:val="FF0000"/>
                <w:sz w:val="20"/>
                <w:szCs w:val="20"/>
                <w:lang w:eastAsia="en-GB"/>
              </w:rPr>
              <w:t> </w:t>
            </w:r>
          </w:p>
        </w:tc>
        <w:tc>
          <w:tcPr>
            <w:tcW w:w="1585" w:type="dxa"/>
            <w:tcBorders>
              <w:top w:val="nil"/>
              <w:left w:val="nil"/>
              <w:bottom w:val="nil"/>
              <w:right w:val="nil"/>
            </w:tcBorders>
            <w:shd w:val="clear" w:color="000000" w:fill="FFFFFF"/>
            <w:noWrap/>
            <w:vAlign w:val="bottom"/>
            <w:hideMark/>
          </w:tcPr>
          <w:p w14:paraId="72011880" w14:textId="77777777" w:rsidR="00794062" w:rsidRPr="00794062" w:rsidRDefault="00794062" w:rsidP="00794062">
            <w:pPr>
              <w:spacing w:before="0" w:after="0"/>
              <w:rPr>
                <w:rFonts w:eastAsia="Times New Roman" w:cs="Arial"/>
                <w:color w:val="FF0000"/>
                <w:sz w:val="20"/>
                <w:szCs w:val="20"/>
                <w:lang w:eastAsia="en-GB"/>
              </w:rPr>
            </w:pPr>
            <w:r w:rsidRPr="00794062">
              <w:rPr>
                <w:rFonts w:eastAsia="Times New Roman" w:cs="Arial"/>
                <w:color w:val="FF0000"/>
                <w:sz w:val="20"/>
                <w:szCs w:val="20"/>
                <w:lang w:eastAsia="en-GB"/>
              </w:rPr>
              <w:t> </w:t>
            </w:r>
          </w:p>
        </w:tc>
        <w:tc>
          <w:tcPr>
            <w:tcW w:w="272" w:type="dxa"/>
            <w:tcBorders>
              <w:top w:val="nil"/>
              <w:left w:val="nil"/>
              <w:bottom w:val="nil"/>
              <w:right w:val="nil"/>
            </w:tcBorders>
            <w:shd w:val="clear" w:color="000000" w:fill="FFFFFF"/>
            <w:noWrap/>
            <w:vAlign w:val="bottom"/>
            <w:hideMark/>
          </w:tcPr>
          <w:p w14:paraId="2F15E62E" w14:textId="77777777" w:rsidR="00794062" w:rsidRPr="00794062" w:rsidRDefault="00794062" w:rsidP="00794062">
            <w:pPr>
              <w:spacing w:before="0" w:after="0"/>
              <w:rPr>
                <w:rFonts w:eastAsia="Times New Roman" w:cs="Arial"/>
                <w:color w:val="FF0000"/>
                <w:sz w:val="20"/>
                <w:szCs w:val="20"/>
                <w:lang w:eastAsia="en-GB"/>
              </w:rPr>
            </w:pPr>
            <w:r w:rsidRPr="00794062">
              <w:rPr>
                <w:rFonts w:eastAsia="Times New Roman" w:cs="Arial"/>
                <w:color w:val="FF0000"/>
                <w:sz w:val="20"/>
                <w:szCs w:val="20"/>
                <w:lang w:eastAsia="en-GB"/>
              </w:rPr>
              <w:t> </w:t>
            </w:r>
          </w:p>
        </w:tc>
        <w:tc>
          <w:tcPr>
            <w:tcW w:w="272" w:type="dxa"/>
            <w:tcBorders>
              <w:top w:val="nil"/>
              <w:left w:val="nil"/>
              <w:bottom w:val="nil"/>
              <w:right w:val="nil"/>
            </w:tcBorders>
            <w:shd w:val="clear" w:color="000000" w:fill="FFFFFF"/>
            <w:noWrap/>
            <w:vAlign w:val="bottom"/>
            <w:hideMark/>
          </w:tcPr>
          <w:p w14:paraId="762C39F7" w14:textId="77777777" w:rsidR="00794062" w:rsidRPr="00794062" w:rsidRDefault="00794062" w:rsidP="00794062">
            <w:pPr>
              <w:spacing w:before="0" w:after="0"/>
              <w:rPr>
                <w:rFonts w:eastAsia="Times New Roman" w:cs="Arial"/>
                <w:color w:val="FF0000"/>
                <w:sz w:val="20"/>
                <w:szCs w:val="20"/>
                <w:lang w:eastAsia="en-GB"/>
              </w:rPr>
            </w:pPr>
            <w:r w:rsidRPr="00794062">
              <w:rPr>
                <w:rFonts w:eastAsia="Times New Roman" w:cs="Arial"/>
                <w:color w:val="FF0000"/>
                <w:sz w:val="20"/>
                <w:szCs w:val="20"/>
                <w:lang w:eastAsia="en-GB"/>
              </w:rPr>
              <w:t> </w:t>
            </w:r>
          </w:p>
        </w:tc>
        <w:tc>
          <w:tcPr>
            <w:tcW w:w="2434" w:type="dxa"/>
            <w:gridSpan w:val="2"/>
            <w:tcBorders>
              <w:top w:val="nil"/>
              <w:left w:val="nil"/>
              <w:bottom w:val="nil"/>
              <w:right w:val="nil"/>
            </w:tcBorders>
            <w:shd w:val="clear" w:color="000000" w:fill="FFFFFF"/>
            <w:noWrap/>
            <w:vAlign w:val="bottom"/>
            <w:hideMark/>
          </w:tcPr>
          <w:p w14:paraId="19B8AEF8" w14:textId="77777777" w:rsidR="00794062" w:rsidRPr="00794062" w:rsidRDefault="00794062" w:rsidP="00794062">
            <w:pPr>
              <w:spacing w:before="0" w:after="0"/>
              <w:rPr>
                <w:rFonts w:eastAsia="Times New Roman" w:cs="Arial"/>
                <w:color w:val="FF0000"/>
                <w:sz w:val="20"/>
                <w:szCs w:val="20"/>
                <w:lang w:eastAsia="en-GB"/>
              </w:rPr>
            </w:pPr>
            <w:r w:rsidRPr="00794062">
              <w:rPr>
                <w:rFonts w:eastAsia="Times New Roman" w:cs="Arial"/>
                <w:color w:val="FF0000"/>
                <w:sz w:val="20"/>
                <w:szCs w:val="20"/>
                <w:lang w:eastAsia="en-GB"/>
              </w:rPr>
              <w:t> </w:t>
            </w:r>
          </w:p>
        </w:tc>
      </w:tr>
      <w:tr w:rsidR="00794062" w:rsidRPr="00794062" w14:paraId="68703017" w14:textId="77777777" w:rsidTr="00AA3AFA">
        <w:trPr>
          <w:trHeight w:val="260"/>
        </w:trPr>
        <w:tc>
          <w:tcPr>
            <w:tcW w:w="5927" w:type="dxa"/>
            <w:tcBorders>
              <w:top w:val="nil"/>
              <w:left w:val="nil"/>
              <w:bottom w:val="nil"/>
              <w:right w:val="nil"/>
            </w:tcBorders>
            <w:shd w:val="clear" w:color="000000" w:fill="FFFFFF"/>
            <w:noWrap/>
            <w:vAlign w:val="bottom"/>
            <w:hideMark/>
          </w:tcPr>
          <w:p w14:paraId="6C4EF8DA" w14:textId="77777777" w:rsidR="00794062" w:rsidRPr="00794062" w:rsidRDefault="00794062" w:rsidP="00794062">
            <w:pPr>
              <w:spacing w:before="0" w:after="0"/>
              <w:rPr>
                <w:rFonts w:eastAsia="Times New Roman" w:cs="Arial"/>
                <w:b/>
                <w:bCs/>
                <w:sz w:val="20"/>
                <w:szCs w:val="20"/>
                <w:lang w:eastAsia="en-GB"/>
              </w:rPr>
            </w:pPr>
            <w:r w:rsidRPr="00794062">
              <w:rPr>
                <w:rFonts w:eastAsia="Times New Roman" w:cs="Arial"/>
                <w:b/>
                <w:bCs/>
                <w:sz w:val="20"/>
                <w:szCs w:val="20"/>
                <w:lang w:eastAsia="en-GB"/>
              </w:rPr>
              <w:t>Phoenix Court, Basildon</w:t>
            </w:r>
          </w:p>
        </w:tc>
        <w:tc>
          <w:tcPr>
            <w:tcW w:w="1585" w:type="dxa"/>
            <w:tcBorders>
              <w:top w:val="nil"/>
              <w:left w:val="nil"/>
              <w:bottom w:val="nil"/>
              <w:right w:val="nil"/>
            </w:tcBorders>
            <w:shd w:val="clear" w:color="000000" w:fill="FFFFFF"/>
            <w:noWrap/>
            <w:vAlign w:val="bottom"/>
            <w:hideMark/>
          </w:tcPr>
          <w:p w14:paraId="2CADC38D"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133B18C"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72EF99C"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434" w:type="dxa"/>
            <w:gridSpan w:val="2"/>
            <w:tcBorders>
              <w:top w:val="nil"/>
              <w:left w:val="nil"/>
              <w:bottom w:val="nil"/>
              <w:right w:val="nil"/>
            </w:tcBorders>
            <w:shd w:val="clear" w:color="000000" w:fill="FFFFFF"/>
            <w:noWrap/>
            <w:vAlign w:val="bottom"/>
            <w:hideMark/>
          </w:tcPr>
          <w:p w14:paraId="402AC6E4"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r>
      <w:tr w:rsidR="00721926" w:rsidRPr="00794062" w14:paraId="308BA17D" w14:textId="77777777" w:rsidTr="00AA3AFA">
        <w:trPr>
          <w:gridAfter w:val="1"/>
          <w:wAfter w:w="709" w:type="dxa"/>
          <w:trHeight w:val="250"/>
        </w:trPr>
        <w:tc>
          <w:tcPr>
            <w:tcW w:w="9781" w:type="dxa"/>
            <w:gridSpan w:val="5"/>
            <w:tcBorders>
              <w:top w:val="nil"/>
              <w:left w:val="nil"/>
              <w:bottom w:val="nil"/>
            </w:tcBorders>
            <w:shd w:val="clear" w:color="000000" w:fill="FFFFFF"/>
            <w:vAlign w:val="center"/>
            <w:hideMark/>
          </w:tcPr>
          <w:p w14:paraId="541B25F2" w14:textId="48258F62" w:rsidR="00721926" w:rsidRPr="00794062" w:rsidRDefault="00721926" w:rsidP="00794062">
            <w:pPr>
              <w:spacing w:before="0" w:after="0"/>
              <w:rPr>
                <w:rFonts w:eastAsia="Times New Roman" w:cs="Arial"/>
                <w:sz w:val="20"/>
                <w:szCs w:val="20"/>
                <w:lang w:eastAsia="en-GB"/>
              </w:rPr>
            </w:pPr>
            <w:r w:rsidRPr="00794062">
              <w:rPr>
                <w:rFonts w:eastAsia="Times New Roman" w:cs="Arial"/>
                <w:sz w:val="20"/>
                <w:szCs w:val="20"/>
                <w:lang w:eastAsia="en-GB"/>
              </w:rPr>
              <w:t>The leasing activities falling under IFRS 16 relate to the administration premises at Phoenix Court, Basildon and associated car parking for the ICB.</w:t>
            </w:r>
          </w:p>
        </w:tc>
      </w:tr>
      <w:tr w:rsidR="00721926" w:rsidRPr="00794062" w14:paraId="501DC768" w14:textId="77777777" w:rsidTr="00AA3AFA">
        <w:trPr>
          <w:gridAfter w:val="1"/>
          <w:wAfter w:w="709" w:type="dxa"/>
          <w:trHeight w:val="250"/>
        </w:trPr>
        <w:tc>
          <w:tcPr>
            <w:tcW w:w="9781" w:type="dxa"/>
            <w:gridSpan w:val="5"/>
            <w:tcBorders>
              <w:top w:val="nil"/>
              <w:left w:val="nil"/>
              <w:bottom w:val="nil"/>
              <w:right w:val="nil"/>
            </w:tcBorders>
            <w:shd w:val="clear" w:color="000000" w:fill="FFFFFF"/>
            <w:noWrap/>
            <w:vAlign w:val="bottom"/>
            <w:hideMark/>
          </w:tcPr>
          <w:p w14:paraId="072C78AA" w14:textId="1C831CE9" w:rsidR="00721926" w:rsidRPr="00794062" w:rsidRDefault="00721926" w:rsidP="00794062">
            <w:pPr>
              <w:spacing w:before="0" w:after="0"/>
              <w:rPr>
                <w:rFonts w:eastAsia="Times New Roman" w:cs="Arial"/>
                <w:sz w:val="20"/>
                <w:szCs w:val="20"/>
                <w:lang w:eastAsia="en-GB"/>
              </w:rPr>
            </w:pPr>
            <w:r w:rsidRPr="00794062">
              <w:rPr>
                <w:rFonts w:eastAsia="Times New Roman" w:cs="Arial"/>
                <w:sz w:val="20"/>
                <w:szCs w:val="20"/>
                <w:lang w:eastAsia="en-GB"/>
              </w:rPr>
              <w:t>There are also the below charges relating to this lease, which are excluded from the calculation of the liability and asset.</w:t>
            </w:r>
          </w:p>
        </w:tc>
      </w:tr>
      <w:tr w:rsidR="001D01CD" w:rsidRPr="00794062" w14:paraId="6B82399F" w14:textId="77777777" w:rsidTr="00732309">
        <w:trPr>
          <w:trHeight w:val="250"/>
        </w:trPr>
        <w:tc>
          <w:tcPr>
            <w:tcW w:w="10490" w:type="dxa"/>
            <w:gridSpan w:val="6"/>
            <w:tcBorders>
              <w:top w:val="nil"/>
              <w:left w:val="nil"/>
              <w:bottom w:val="nil"/>
              <w:right w:val="nil"/>
            </w:tcBorders>
            <w:shd w:val="clear" w:color="000000" w:fill="FFFFFF"/>
            <w:noWrap/>
            <w:vAlign w:val="bottom"/>
            <w:hideMark/>
          </w:tcPr>
          <w:p w14:paraId="642131D6" w14:textId="56D7F282" w:rsidR="001D01CD" w:rsidRPr="00794062" w:rsidRDefault="001D01CD" w:rsidP="00794062">
            <w:pPr>
              <w:spacing w:before="0" w:after="0"/>
              <w:rPr>
                <w:rFonts w:eastAsia="Times New Roman" w:cs="Arial"/>
                <w:sz w:val="20"/>
                <w:szCs w:val="20"/>
                <w:lang w:eastAsia="en-GB"/>
              </w:rPr>
            </w:pPr>
            <w:r w:rsidRPr="00794062">
              <w:rPr>
                <w:rFonts w:eastAsia="Times New Roman" w:cs="Arial"/>
                <w:sz w:val="20"/>
                <w:szCs w:val="20"/>
                <w:lang w:eastAsia="en-GB"/>
              </w:rPr>
              <w:t xml:space="preserve"> - Rent Management Fees</w:t>
            </w:r>
          </w:p>
        </w:tc>
      </w:tr>
      <w:tr w:rsidR="001D01CD" w:rsidRPr="00794062" w14:paraId="7B088536" w14:textId="77777777" w:rsidTr="001B4369">
        <w:trPr>
          <w:trHeight w:val="250"/>
        </w:trPr>
        <w:tc>
          <w:tcPr>
            <w:tcW w:w="10490" w:type="dxa"/>
            <w:gridSpan w:val="6"/>
            <w:tcBorders>
              <w:top w:val="nil"/>
              <w:left w:val="nil"/>
              <w:bottom w:val="nil"/>
              <w:right w:val="nil"/>
            </w:tcBorders>
            <w:shd w:val="clear" w:color="000000" w:fill="FFFFFF"/>
            <w:noWrap/>
            <w:vAlign w:val="bottom"/>
            <w:hideMark/>
          </w:tcPr>
          <w:p w14:paraId="385DF47A" w14:textId="538C7D80" w:rsidR="001D01CD" w:rsidRPr="00794062" w:rsidRDefault="001D01CD" w:rsidP="00794062">
            <w:pPr>
              <w:spacing w:before="0" w:after="0"/>
              <w:rPr>
                <w:rFonts w:eastAsia="Times New Roman" w:cs="Arial"/>
                <w:sz w:val="20"/>
                <w:szCs w:val="20"/>
                <w:lang w:eastAsia="en-GB"/>
              </w:rPr>
            </w:pPr>
            <w:r w:rsidRPr="00794062">
              <w:rPr>
                <w:rFonts w:eastAsia="Times New Roman" w:cs="Arial"/>
                <w:sz w:val="20"/>
                <w:szCs w:val="20"/>
                <w:lang w:eastAsia="en-GB"/>
              </w:rPr>
              <w:t xml:space="preserve"> - Rates</w:t>
            </w:r>
          </w:p>
        </w:tc>
      </w:tr>
      <w:tr w:rsidR="0034238F" w:rsidRPr="00794062" w14:paraId="450006CD" w14:textId="77777777" w:rsidTr="00B04B81">
        <w:trPr>
          <w:trHeight w:val="250"/>
        </w:trPr>
        <w:tc>
          <w:tcPr>
            <w:tcW w:w="10490" w:type="dxa"/>
            <w:gridSpan w:val="6"/>
            <w:tcBorders>
              <w:top w:val="nil"/>
              <w:left w:val="nil"/>
              <w:bottom w:val="nil"/>
              <w:right w:val="nil"/>
            </w:tcBorders>
            <w:shd w:val="clear" w:color="000000" w:fill="FFFFFF"/>
            <w:noWrap/>
            <w:vAlign w:val="bottom"/>
            <w:hideMark/>
          </w:tcPr>
          <w:p w14:paraId="791BC33B" w14:textId="11BA988B" w:rsidR="0034238F" w:rsidRPr="00794062" w:rsidRDefault="0034238F" w:rsidP="00794062">
            <w:pPr>
              <w:spacing w:before="0" w:after="0"/>
              <w:rPr>
                <w:rFonts w:eastAsia="Times New Roman" w:cs="Arial"/>
                <w:sz w:val="20"/>
                <w:szCs w:val="20"/>
                <w:lang w:eastAsia="en-GB"/>
              </w:rPr>
            </w:pPr>
            <w:r w:rsidRPr="00794062">
              <w:rPr>
                <w:rFonts w:eastAsia="Times New Roman" w:cs="Arial"/>
                <w:sz w:val="20"/>
                <w:szCs w:val="20"/>
                <w:lang w:eastAsia="en-GB"/>
              </w:rPr>
              <w:t xml:space="preserve"> - Service Charge</w:t>
            </w:r>
          </w:p>
        </w:tc>
      </w:tr>
      <w:tr w:rsidR="0034238F" w:rsidRPr="00794062" w14:paraId="3C73124F" w14:textId="77777777" w:rsidTr="003A3449">
        <w:trPr>
          <w:trHeight w:val="250"/>
        </w:trPr>
        <w:tc>
          <w:tcPr>
            <w:tcW w:w="10490" w:type="dxa"/>
            <w:gridSpan w:val="6"/>
            <w:tcBorders>
              <w:top w:val="nil"/>
              <w:left w:val="nil"/>
              <w:bottom w:val="nil"/>
              <w:right w:val="nil"/>
            </w:tcBorders>
            <w:shd w:val="clear" w:color="000000" w:fill="FFFFFF"/>
            <w:noWrap/>
            <w:vAlign w:val="bottom"/>
            <w:hideMark/>
          </w:tcPr>
          <w:p w14:paraId="7AE87789" w14:textId="31F382B0" w:rsidR="0034238F" w:rsidRPr="00794062" w:rsidRDefault="0034238F" w:rsidP="00794062">
            <w:pPr>
              <w:spacing w:before="0" w:after="0"/>
              <w:rPr>
                <w:rFonts w:eastAsia="Times New Roman" w:cs="Arial"/>
                <w:sz w:val="20"/>
                <w:szCs w:val="20"/>
                <w:lang w:eastAsia="en-GB"/>
              </w:rPr>
            </w:pPr>
            <w:r w:rsidRPr="00794062">
              <w:rPr>
                <w:rFonts w:eastAsia="Times New Roman" w:cs="Arial"/>
                <w:sz w:val="20"/>
                <w:szCs w:val="20"/>
                <w:lang w:eastAsia="en-GB"/>
              </w:rPr>
              <w:t xml:space="preserve"> - Facilities Management</w:t>
            </w:r>
          </w:p>
        </w:tc>
      </w:tr>
      <w:tr w:rsidR="00186F0F" w:rsidRPr="00794062" w14:paraId="71860D2A" w14:textId="77777777" w:rsidTr="00AA3AFA">
        <w:trPr>
          <w:gridAfter w:val="1"/>
          <w:wAfter w:w="709" w:type="dxa"/>
          <w:trHeight w:val="250"/>
        </w:trPr>
        <w:tc>
          <w:tcPr>
            <w:tcW w:w="9781" w:type="dxa"/>
            <w:gridSpan w:val="5"/>
            <w:tcBorders>
              <w:top w:val="nil"/>
              <w:left w:val="nil"/>
              <w:bottom w:val="nil"/>
            </w:tcBorders>
            <w:shd w:val="clear" w:color="000000" w:fill="FFFFFF"/>
            <w:noWrap/>
            <w:vAlign w:val="bottom"/>
            <w:hideMark/>
          </w:tcPr>
          <w:p w14:paraId="46421E02" w14:textId="5533C72A" w:rsidR="00186F0F" w:rsidRPr="00794062" w:rsidRDefault="00186F0F" w:rsidP="00794062">
            <w:pPr>
              <w:spacing w:before="0" w:after="0"/>
              <w:rPr>
                <w:rFonts w:eastAsia="Times New Roman" w:cs="Arial"/>
                <w:sz w:val="20"/>
                <w:szCs w:val="20"/>
                <w:lang w:eastAsia="en-GB"/>
              </w:rPr>
            </w:pPr>
            <w:r w:rsidRPr="00794062">
              <w:rPr>
                <w:rFonts w:eastAsia="Times New Roman" w:cs="Arial"/>
                <w:sz w:val="20"/>
                <w:szCs w:val="20"/>
                <w:lang w:eastAsia="en-GB"/>
              </w:rPr>
              <w:t>The ICB receives an annual charging schedule from NHS Property Services in relation to these costs</w:t>
            </w:r>
          </w:p>
        </w:tc>
      </w:tr>
      <w:tr w:rsidR="00794062" w:rsidRPr="00794062" w14:paraId="31FB88D3" w14:textId="77777777" w:rsidTr="00AA3AFA">
        <w:trPr>
          <w:trHeight w:val="250"/>
        </w:trPr>
        <w:tc>
          <w:tcPr>
            <w:tcW w:w="5927" w:type="dxa"/>
            <w:tcBorders>
              <w:top w:val="nil"/>
              <w:left w:val="nil"/>
              <w:bottom w:val="nil"/>
              <w:right w:val="nil"/>
            </w:tcBorders>
            <w:shd w:val="clear" w:color="000000" w:fill="FFFFFF"/>
            <w:noWrap/>
            <w:vAlign w:val="bottom"/>
            <w:hideMark/>
          </w:tcPr>
          <w:p w14:paraId="3EB3E750" w14:textId="3E6C8321" w:rsidR="00794062" w:rsidRPr="00794062" w:rsidRDefault="00794062" w:rsidP="00794062">
            <w:pPr>
              <w:spacing w:before="0" w:after="0"/>
              <w:rPr>
                <w:rFonts w:eastAsia="Times New Roman" w:cs="Arial"/>
                <w:sz w:val="20"/>
                <w:szCs w:val="20"/>
                <w:lang w:eastAsia="en-GB"/>
              </w:rPr>
            </w:pPr>
          </w:p>
        </w:tc>
        <w:tc>
          <w:tcPr>
            <w:tcW w:w="1585" w:type="dxa"/>
            <w:tcBorders>
              <w:top w:val="nil"/>
              <w:left w:val="nil"/>
              <w:bottom w:val="nil"/>
              <w:right w:val="nil"/>
            </w:tcBorders>
            <w:shd w:val="clear" w:color="000000" w:fill="FFFFFF"/>
            <w:noWrap/>
            <w:vAlign w:val="bottom"/>
            <w:hideMark/>
          </w:tcPr>
          <w:p w14:paraId="16BDC700"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98803CD"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20676CF"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434" w:type="dxa"/>
            <w:gridSpan w:val="2"/>
            <w:tcBorders>
              <w:top w:val="nil"/>
              <w:left w:val="nil"/>
              <w:bottom w:val="nil"/>
              <w:right w:val="nil"/>
            </w:tcBorders>
            <w:shd w:val="clear" w:color="000000" w:fill="FFFFFF"/>
            <w:noWrap/>
            <w:vAlign w:val="bottom"/>
            <w:hideMark/>
          </w:tcPr>
          <w:p w14:paraId="0D08CAE7"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r>
      <w:tr w:rsidR="00794062" w:rsidRPr="00794062" w14:paraId="49B63CFA" w14:textId="77777777" w:rsidTr="00AA3AFA">
        <w:trPr>
          <w:trHeight w:val="260"/>
        </w:trPr>
        <w:tc>
          <w:tcPr>
            <w:tcW w:w="5927" w:type="dxa"/>
            <w:tcBorders>
              <w:top w:val="nil"/>
              <w:left w:val="nil"/>
              <w:bottom w:val="nil"/>
              <w:right w:val="nil"/>
            </w:tcBorders>
            <w:shd w:val="clear" w:color="000000" w:fill="FFFFFF"/>
            <w:noWrap/>
            <w:vAlign w:val="bottom"/>
            <w:hideMark/>
          </w:tcPr>
          <w:p w14:paraId="19BCE4B1" w14:textId="77777777" w:rsidR="00794062" w:rsidRPr="00794062" w:rsidRDefault="00794062" w:rsidP="00794062">
            <w:pPr>
              <w:spacing w:before="0" w:after="0"/>
              <w:rPr>
                <w:rFonts w:eastAsia="Times New Roman" w:cs="Arial"/>
                <w:b/>
                <w:bCs/>
                <w:sz w:val="20"/>
                <w:szCs w:val="20"/>
                <w:lang w:eastAsia="en-GB"/>
              </w:rPr>
            </w:pPr>
            <w:r w:rsidRPr="00794062">
              <w:rPr>
                <w:rFonts w:eastAsia="Times New Roman" w:cs="Arial"/>
                <w:b/>
                <w:bCs/>
                <w:sz w:val="20"/>
                <w:szCs w:val="20"/>
                <w:lang w:eastAsia="en-GB"/>
              </w:rPr>
              <w:t>Thurrock Borough Council Civic Offices</w:t>
            </w:r>
          </w:p>
        </w:tc>
        <w:tc>
          <w:tcPr>
            <w:tcW w:w="1585" w:type="dxa"/>
            <w:tcBorders>
              <w:top w:val="nil"/>
              <w:left w:val="nil"/>
              <w:bottom w:val="nil"/>
              <w:right w:val="nil"/>
            </w:tcBorders>
            <w:shd w:val="clear" w:color="000000" w:fill="FFFFFF"/>
            <w:noWrap/>
            <w:vAlign w:val="bottom"/>
            <w:hideMark/>
          </w:tcPr>
          <w:p w14:paraId="7E9E0C33"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1046FFAF"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ECB997F"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434" w:type="dxa"/>
            <w:gridSpan w:val="2"/>
            <w:tcBorders>
              <w:top w:val="nil"/>
              <w:left w:val="nil"/>
              <w:bottom w:val="nil"/>
              <w:right w:val="nil"/>
            </w:tcBorders>
            <w:shd w:val="clear" w:color="000000" w:fill="FFFFFF"/>
            <w:noWrap/>
            <w:vAlign w:val="bottom"/>
            <w:hideMark/>
          </w:tcPr>
          <w:p w14:paraId="33CC441A"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r>
      <w:tr w:rsidR="00794062" w:rsidRPr="00794062" w14:paraId="22D96F21" w14:textId="77777777" w:rsidTr="00AA3AFA">
        <w:trPr>
          <w:gridAfter w:val="1"/>
          <w:wAfter w:w="709" w:type="dxa"/>
          <w:trHeight w:val="570"/>
        </w:trPr>
        <w:tc>
          <w:tcPr>
            <w:tcW w:w="9781" w:type="dxa"/>
            <w:gridSpan w:val="5"/>
            <w:tcBorders>
              <w:top w:val="nil"/>
              <w:left w:val="nil"/>
              <w:bottom w:val="nil"/>
              <w:right w:val="nil"/>
            </w:tcBorders>
            <w:shd w:val="clear" w:color="000000" w:fill="FFFFFF"/>
            <w:vAlign w:val="center"/>
            <w:hideMark/>
          </w:tcPr>
          <w:p w14:paraId="6F4E1DC8"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The leasing activities falling under IFRS 16 relate to the administration premises at the Thurrock Borough Council Civic Offices for the ICB.</w:t>
            </w:r>
          </w:p>
        </w:tc>
      </w:tr>
      <w:tr w:rsidR="00186F0F" w:rsidRPr="00794062" w14:paraId="1D195D8C" w14:textId="77777777" w:rsidTr="00AA3AFA">
        <w:trPr>
          <w:gridAfter w:val="1"/>
          <w:wAfter w:w="709" w:type="dxa"/>
          <w:trHeight w:val="250"/>
        </w:trPr>
        <w:tc>
          <w:tcPr>
            <w:tcW w:w="9781" w:type="dxa"/>
            <w:gridSpan w:val="5"/>
            <w:tcBorders>
              <w:top w:val="nil"/>
              <w:left w:val="nil"/>
              <w:bottom w:val="nil"/>
              <w:right w:val="nil"/>
            </w:tcBorders>
            <w:shd w:val="clear" w:color="000000" w:fill="FFFFFF"/>
            <w:noWrap/>
            <w:vAlign w:val="bottom"/>
            <w:hideMark/>
          </w:tcPr>
          <w:p w14:paraId="09304D7D" w14:textId="3D7CC3B8" w:rsidR="00186F0F" w:rsidRPr="00794062" w:rsidRDefault="00186F0F" w:rsidP="00794062">
            <w:pPr>
              <w:spacing w:before="0" w:after="0"/>
              <w:rPr>
                <w:rFonts w:eastAsia="Times New Roman" w:cs="Arial"/>
                <w:sz w:val="20"/>
                <w:szCs w:val="20"/>
                <w:lang w:eastAsia="en-GB"/>
              </w:rPr>
            </w:pPr>
            <w:r w:rsidRPr="00794062">
              <w:rPr>
                <w:rFonts w:eastAsia="Times New Roman" w:cs="Arial"/>
                <w:sz w:val="20"/>
                <w:szCs w:val="20"/>
                <w:lang w:eastAsia="en-GB"/>
              </w:rPr>
              <w:t>There are also the below charges relating to this lease, which are excluded from the calculation of the liability and asset.</w:t>
            </w:r>
          </w:p>
        </w:tc>
      </w:tr>
      <w:tr w:rsidR="001D01CD" w:rsidRPr="00794062" w14:paraId="01ECB21F" w14:textId="77777777" w:rsidTr="0030200D">
        <w:trPr>
          <w:trHeight w:val="250"/>
        </w:trPr>
        <w:tc>
          <w:tcPr>
            <w:tcW w:w="10490" w:type="dxa"/>
            <w:gridSpan w:val="6"/>
            <w:tcBorders>
              <w:top w:val="nil"/>
              <w:left w:val="nil"/>
              <w:bottom w:val="nil"/>
              <w:right w:val="nil"/>
            </w:tcBorders>
            <w:shd w:val="clear" w:color="000000" w:fill="FFFFFF"/>
            <w:noWrap/>
            <w:vAlign w:val="bottom"/>
            <w:hideMark/>
          </w:tcPr>
          <w:p w14:paraId="1C9F0ED5" w14:textId="66FA3557" w:rsidR="001D01CD" w:rsidRPr="00794062" w:rsidRDefault="001D01CD" w:rsidP="00794062">
            <w:pPr>
              <w:spacing w:before="0" w:after="0"/>
              <w:rPr>
                <w:rFonts w:eastAsia="Times New Roman" w:cs="Arial"/>
                <w:sz w:val="20"/>
                <w:szCs w:val="20"/>
                <w:lang w:eastAsia="en-GB"/>
              </w:rPr>
            </w:pPr>
            <w:r w:rsidRPr="00794062">
              <w:rPr>
                <w:rFonts w:eastAsia="Times New Roman" w:cs="Arial"/>
                <w:sz w:val="20"/>
                <w:szCs w:val="20"/>
                <w:lang w:eastAsia="en-GB"/>
              </w:rPr>
              <w:t xml:space="preserve"> - Service Charge</w:t>
            </w:r>
          </w:p>
        </w:tc>
      </w:tr>
      <w:tr w:rsidR="001D01CD" w:rsidRPr="00794062" w14:paraId="727C9A64" w14:textId="77777777" w:rsidTr="00600EFD">
        <w:trPr>
          <w:trHeight w:val="250"/>
        </w:trPr>
        <w:tc>
          <w:tcPr>
            <w:tcW w:w="10490" w:type="dxa"/>
            <w:gridSpan w:val="6"/>
            <w:tcBorders>
              <w:top w:val="nil"/>
              <w:left w:val="nil"/>
              <w:bottom w:val="nil"/>
              <w:right w:val="nil"/>
            </w:tcBorders>
            <w:shd w:val="clear" w:color="000000" w:fill="FFFFFF"/>
            <w:noWrap/>
            <w:vAlign w:val="bottom"/>
            <w:hideMark/>
          </w:tcPr>
          <w:p w14:paraId="2429D7BB" w14:textId="38D8AF8E" w:rsidR="001D01CD" w:rsidRPr="00794062" w:rsidRDefault="001D01CD" w:rsidP="00794062">
            <w:pPr>
              <w:spacing w:before="0" w:after="0"/>
              <w:rPr>
                <w:rFonts w:eastAsia="Times New Roman" w:cs="Arial"/>
                <w:sz w:val="20"/>
                <w:szCs w:val="20"/>
                <w:lang w:eastAsia="en-GB"/>
              </w:rPr>
            </w:pPr>
            <w:r w:rsidRPr="00794062">
              <w:rPr>
                <w:rFonts w:eastAsia="Times New Roman" w:cs="Arial"/>
                <w:sz w:val="20"/>
                <w:szCs w:val="20"/>
                <w:lang w:eastAsia="en-GB"/>
              </w:rPr>
              <w:t xml:space="preserve"> - Landlord's costs</w:t>
            </w:r>
          </w:p>
        </w:tc>
      </w:tr>
      <w:tr w:rsidR="001D01CD" w:rsidRPr="00794062" w14:paraId="305B9604" w14:textId="77777777" w:rsidTr="00631A78">
        <w:trPr>
          <w:trHeight w:val="250"/>
        </w:trPr>
        <w:tc>
          <w:tcPr>
            <w:tcW w:w="10490" w:type="dxa"/>
            <w:gridSpan w:val="6"/>
            <w:tcBorders>
              <w:top w:val="nil"/>
              <w:left w:val="nil"/>
              <w:bottom w:val="nil"/>
              <w:right w:val="nil"/>
            </w:tcBorders>
            <w:shd w:val="clear" w:color="000000" w:fill="FFFFFF"/>
            <w:noWrap/>
            <w:vAlign w:val="bottom"/>
            <w:hideMark/>
          </w:tcPr>
          <w:p w14:paraId="62BA3429" w14:textId="43BBA033" w:rsidR="001D01CD" w:rsidRPr="00794062" w:rsidRDefault="001D01CD" w:rsidP="00794062">
            <w:pPr>
              <w:spacing w:before="0" w:after="0"/>
              <w:rPr>
                <w:rFonts w:eastAsia="Times New Roman" w:cs="Arial"/>
                <w:sz w:val="20"/>
                <w:szCs w:val="20"/>
                <w:lang w:eastAsia="en-GB"/>
              </w:rPr>
            </w:pPr>
            <w:r w:rsidRPr="00794062">
              <w:rPr>
                <w:rFonts w:eastAsia="Times New Roman" w:cs="Arial"/>
                <w:sz w:val="20"/>
                <w:szCs w:val="20"/>
                <w:lang w:eastAsia="en-GB"/>
              </w:rPr>
              <w:t xml:space="preserve"> - Utilities</w:t>
            </w:r>
          </w:p>
        </w:tc>
      </w:tr>
      <w:tr w:rsidR="00794062" w:rsidRPr="00794062" w14:paraId="6EA2312E" w14:textId="77777777" w:rsidTr="00AA3AFA">
        <w:trPr>
          <w:gridAfter w:val="1"/>
          <w:wAfter w:w="709" w:type="dxa"/>
          <w:trHeight w:val="600"/>
        </w:trPr>
        <w:tc>
          <w:tcPr>
            <w:tcW w:w="9781" w:type="dxa"/>
            <w:gridSpan w:val="5"/>
            <w:tcBorders>
              <w:top w:val="nil"/>
              <w:left w:val="nil"/>
              <w:bottom w:val="nil"/>
              <w:right w:val="nil"/>
            </w:tcBorders>
            <w:shd w:val="clear" w:color="000000" w:fill="FFFFFF"/>
            <w:vAlign w:val="center"/>
            <w:hideMark/>
          </w:tcPr>
          <w:p w14:paraId="4496F783"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The ICB holds the lease directly with Thurrock Borough Council and ended the lease in June 2023 as part of the estate rationalisation.</w:t>
            </w:r>
          </w:p>
        </w:tc>
      </w:tr>
      <w:tr w:rsidR="00794062" w:rsidRPr="00794062" w14:paraId="721BB185" w14:textId="77777777" w:rsidTr="00AA3AFA">
        <w:trPr>
          <w:trHeight w:val="250"/>
        </w:trPr>
        <w:tc>
          <w:tcPr>
            <w:tcW w:w="5927" w:type="dxa"/>
            <w:tcBorders>
              <w:top w:val="nil"/>
              <w:left w:val="nil"/>
              <w:bottom w:val="nil"/>
              <w:right w:val="nil"/>
            </w:tcBorders>
            <w:shd w:val="clear" w:color="000000" w:fill="FFFFFF"/>
            <w:noWrap/>
            <w:vAlign w:val="bottom"/>
            <w:hideMark/>
          </w:tcPr>
          <w:p w14:paraId="5F45B4AF"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1585" w:type="dxa"/>
            <w:tcBorders>
              <w:top w:val="nil"/>
              <w:left w:val="nil"/>
              <w:bottom w:val="nil"/>
              <w:right w:val="nil"/>
            </w:tcBorders>
            <w:shd w:val="clear" w:color="000000" w:fill="FFFFFF"/>
            <w:noWrap/>
            <w:vAlign w:val="bottom"/>
            <w:hideMark/>
          </w:tcPr>
          <w:p w14:paraId="10318AE6"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7AA4D8E"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3B6E1CAC"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434" w:type="dxa"/>
            <w:gridSpan w:val="2"/>
            <w:tcBorders>
              <w:top w:val="nil"/>
              <w:left w:val="nil"/>
              <w:bottom w:val="nil"/>
              <w:right w:val="nil"/>
            </w:tcBorders>
            <w:shd w:val="clear" w:color="000000" w:fill="FFFFFF"/>
            <w:noWrap/>
            <w:vAlign w:val="bottom"/>
            <w:hideMark/>
          </w:tcPr>
          <w:p w14:paraId="0A4ED565"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r>
      <w:tr w:rsidR="00794062" w:rsidRPr="00794062" w14:paraId="6E4B813C" w14:textId="77777777" w:rsidTr="00AA3AFA">
        <w:trPr>
          <w:trHeight w:val="260"/>
        </w:trPr>
        <w:tc>
          <w:tcPr>
            <w:tcW w:w="5927" w:type="dxa"/>
            <w:tcBorders>
              <w:top w:val="nil"/>
              <w:left w:val="nil"/>
              <w:bottom w:val="nil"/>
              <w:right w:val="nil"/>
            </w:tcBorders>
            <w:shd w:val="clear" w:color="000000" w:fill="FFFFFF"/>
            <w:noWrap/>
            <w:vAlign w:val="bottom"/>
            <w:hideMark/>
          </w:tcPr>
          <w:p w14:paraId="2B763F0B" w14:textId="77777777" w:rsidR="00794062" w:rsidRPr="00794062" w:rsidRDefault="00794062" w:rsidP="00794062">
            <w:pPr>
              <w:spacing w:before="0" w:after="0"/>
              <w:rPr>
                <w:rFonts w:eastAsia="Times New Roman" w:cs="Arial"/>
                <w:b/>
                <w:bCs/>
                <w:sz w:val="20"/>
                <w:szCs w:val="20"/>
                <w:lang w:eastAsia="en-GB"/>
              </w:rPr>
            </w:pPr>
            <w:r w:rsidRPr="00794062">
              <w:rPr>
                <w:rFonts w:eastAsia="Times New Roman" w:cs="Arial"/>
                <w:b/>
                <w:bCs/>
                <w:sz w:val="20"/>
                <w:szCs w:val="20"/>
                <w:lang w:eastAsia="en-GB"/>
              </w:rPr>
              <w:t>Fair Havens Hospice</w:t>
            </w:r>
          </w:p>
        </w:tc>
        <w:tc>
          <w:tcPr>
            <w:tcW w:w="1585" w:type="dxa"/>
            <w:tcBorders>
              <w:top w:val="nil"/>
              <w:left w:val="nil"/>
              <w:bottom w:val="nil"/>
              <w:right w:val="nil"/>
            </w:tcBorders>
            <w:shd w:val="clear" w:color="000000" w:fill="FFFFFF"/>
            <w:noWrap/>
            <w:vAlign w:val="bottom"/>
            <w:hideMark/>
          </w:tcPr>
          <w:p w14:paraId="725D490F"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FC8A9E6"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02ADAA9"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434" w:type="dxa"/>
            <w:gridSpan w:val="2"/>
            <w:tcBorders>
              <w:top w:val="nil"/>
              <w:left w:val="nil"/>
              <w:bottom w:val="nil"/>
              <w:right w:val="nil"/>
            </w:tcBorders>
            <w:shd w:val="clear" w:color="000000" w:fill="FFFFFF"/>
            <w:noWrap/>
            <w:vAlign w:val="bottom"/>
            <w:hideMark/>
          </w:tcPr>
          <w:p w14:paraId="171353D9"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r>
      <w:tr w:rsidR="001D01CD" w:rsidRPr="00794062" w14:paraId="6892E217" w14:textId="77777777" w:rsidTr="00072B3B">
        <w:trPr>
          <w:gridAfter w:val="1"/>
          <w:wAfter w:w="709" w:type="dxa"/>
          <w:trHeight w:val="250"/>
        </w:trPr>
        <w:tc>
          <w:tcPr>
            <w:tcW w:w="9781" w:type="dxa"/>
            <w:gridSpan w:val="5"/>
            <w:tcBorders>
              <w:top w:val="nil"/>
              <w:left w:val="nil"/>
              <w:bottom w:val="nil"/>
            </w:tcBorders>
            <w:shd w:val="clear" w:color="000000" w:fill="FFFFFF"/>
            <w:noWrap/>
            <w:vAlign w:val="center"/>
            <w:hideMark/>
          </w:tcPr>
          <w:p w14:paraId="28448AF0" w14:textId="48EC1A98" w:rsidR="001D01CD" w:rsidRPr="00794062" w:rsidRDefault="001D01CD" w:rsidP="00794062">
            <w:pPr>
              <w:spacing w:before="0" w:after="0"/>
              <w:rPr>
                <w:rFonts w:eastAsia="Times New Roman" w:cs="Arial"/>
                <w:sz w:val="20"/>
                <w:szCs w:val="20"/>
                <w:lang w:eastAsia="en-GB"/>
              </w:rPr>
            </w:pPr>
            <w:r w:rsidRPr="00794062">
              <w:rPr>
                <w:rFonts w:eastAsia="Times New Roman" w:cs="Arial"/>
                <w:sz w:val="20"/>
                <w:szCs w:val="20"/>
                <w:lang w:eastAsia="en-GB"/>
              </w:rPr>
              <w:t>The leasing activities falling under IFRS 16 relate to office space at the Fair Havens Hospice for the ICB's use.</w:t>
            </w:r>
          </w:p>
        </w:tc>
      </w:tr>
      <w:tr w:rsidR="001D01CD" w:rsidRPr="00794062" w14:paraId="09B10D15" w14:textId="77777777" w:rsidTr="00E10ABD">
        <w:trPr>
          <w:gridAfter w:val="1"/>
          <w:wAfter w:w="709" w:type="dxa"/>
          <w:trHeight w:val="760"/>
        </w:trPr>
        <w:tc>
          <w:tcPr>
            <w:tcW w:w="9781" w:type="dxa"/>
            <w:gridSpan w:val="5"/>
            <w:tcBorders>
              <w:top w:val="nil"/>
              <w:left w:val="nil"/>
              <w:bottom w:val="nil"/>
            </w:tcBorders>
            <w:shd w:val="clear" w:color="000000" w:fill="FFFFFF"/>
            <w:vAlign w:val="center"/>
            <w:hideMark/>
          </w:tcPr>
          <w:p w14:paraId="65F88271" w14:textId="77777777" w:rsidR="001D01CD" w:rsidRPr="00794062" w:rsidRDefault="001D01CD" w:rsidP="00794062">
            <w:pPr>
              <w:spacing w:before="0" w:after="0"/>
              <w:rPr>
                <w:rFonts w:eastAsia="Times New Roman" w:cs="Arial"/>
                <w:sz w:val="20"/>
                <w:szCs w:val="20"/>
                <w:lang w:eastAsia="en-GB"/>
              </w:rPr>
            </w:pPr>
            <w:r w:rsidRPr="00794062">
              <w:rPr>
                <w:rFonts w:eastAsia="Times New Roman" w:cs="Arial"/>
                <w:sz w:val="20"/>
                <w:szCs w:val="20"/>
                <w:lang w:eastAsia="en-GB"/>
              </w:rPr>
              <w:t>The lease for Fair Havens includes access to office space and associated working facilities. common areas, access routes, toilet facilities and car parking.  The ICB holds the lease directly with Fair Havens Hospice and ended the lease in May 2023 as part of the estate rationalisation.</w:t>
            </w:r>
          </w:p>
        </w:tc>
      </w:tr>
      <w:tr w:rsidR="00794062" w:rsidRPr="00794062" w14:paraId="6FE4DDEC" w14:textId="77777777" w:rsidTr="00AA3AFA">
        <w:trPr>
          <w:trHeight w:val="250"/>
        </w:trPr>
        <w:tc>
          <w:tcPr>
            <w:tcW w:w="5927" w:type="dxa"/>
            <w:tcBorders>
              <w:top w:val="nil"/>
              <w:left w:val="nil"/>
              <w:bottom w:val="nil"/>
              <w:right w:val="nil"/>
            </w:tcBorders>
            <w:shd w:val="clear" w:color="000000" w:fill="FFFFFF"/>
            <w:noWrap/>
            <w:vAlign w:val="bottom"/>
            <w:hideMark/>
          </w:tcPr>
          <w:p w14:paraId="684FA4E9"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1585" w:type="dxa"/>
            <w:tcBorders>
              <w:top w:val="nil"/>
              <w:left w:val="nil"/>
              <w:bottom w:val="nil"/>
              <w:right w:val="nil"/>
            </w:tcBorders>
            <w:shd w:val="clear" w:color="000000" w:fill="FFFFFF"/>
            <w:noWrap/>
            <w:vAlign w:val="bottom"/>
            <w:hideMark/>
          </w:tcPr>
          <w:p w14:paraId="52766705"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35B05A2"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5F3D105"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434" w:type="dxa"/>
            <w:gridSpan w:val="2"/>
            <w:tcBorders>
              <w:top w:val="nil"/>
              <w:left w:val="nil"/>
              <w:bottom w:val="nil"/>
              <w:right w:val="nil"/>
            </w:tcBorders>
            <w:shd w:val="clear" w:color="000000" w:fill="FFFFFF"/>
            <w:noWrap/>
            <w:vAlign w:val="bottom"/>
            <w:hideMark/>
          </w:tcPr>
          <w:p w14:paraId="25A69D5C"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r>
      <w:tr w:rsidR="00794062" w:rsidRPr="00794062" w14:paraId="4822E009" w14:textId="77777777" w:rsidTr="00AA3AFA">
        <w:trPr>
          <w:trHeight w:val="260"/>
        </w:trPr>
        <w:tc>
          <w:tcPr>
            <w:tcW w:w="5927" w:type="dxa"/>
            <w:tcBorders>
              <w:top w:val="nil"/>
              <w:left w:val="nil"/>
              <w:bottom w:val="nil"/>
              <w:right w:val="nil"/>
            </w:tcBorders>
            <w:shd w:val="clear" w:color="000000" w:fill="FFFFFF"/>
            <w:noWrap/>
            <w:vAlign w:val="bottom"/>
            <w:hideMark/>
          </w:tcPr>
          <w:p w14:paraId="3A22A344" w14:textId="77777777" w:rsidR="00794062" w:rsidRPr="00794062" w:rsidRDefault="00794062" w:rsidP="00794062">
            <w:pPr>
              <w:spacing w:before="0" w:after="0"/>
              <w:rPr>
                <w:rFonts w:eastAsia="Times New Roman" w:cs="Arial"/>
                <w:b/>
                <w:bCs/>
                <w:sz w:val="20"/>
                <w:szCs w:val="20"/>
                <w:lang w:eastAsia="en-GB"/>
              </w:rPr>
            </w:pPr>
            <w:r w:rsidRPr="00794062">
              <w:rPr>
                <w:rFonts w:eastAsia="Times New Roman" w:cs="Arial"/>
                <w:b/>
                <w:bCs/>
                <w:sz w:val="20"/>
                <w:szCs w:val="20"/>
                <w:lang w:eastAsia="en-GB"/>
              </w:rPr>
              <w:t xml:space="preserve">St.Edmund's Community Hall </w:t>
            </w:r>
          </w:p>
        </w:tc>
        <w:tc>
          <w:tcPr>
            <w:tcW w:w="1585" w:type="dxa"/>
            <w:tcBorders>
              <w:top w:val="nil"/>
              <w:left w:val="nil"/>
              <w:bottom w:val="nil"/>
              <w:right w:val="nil"/>
            </w:tcBorders>
            <w:shd w:val="clear" w:color="000000" w:fill="FFFFFF"/>
            <w:noWrap/>
            <w:vAlign w:val="bottom"/>
            <w:hideMark/>
          </w:tcPr>
          <w:p w14:paraId="5DDE3D58"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31E44A69"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1E077823"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434" w:type="dxa"/>
            <w:gridSpan w:val="2"/>
            <w:tcBorders>
              <w:top w:val="nil"/>
              <w:left w:val="nil"/>
              <w:bottom w:val="nil"/>
              <w:right w:val="nil"/>
            </w:tcBorders>
            <w:shd w:val="clear" w:color="000000" w:fill="FFFFFF"/>
            <w:noWrap/>
            <w:vAlign w:val="bottom"/>
            <w:hideMark/>
          </w:tcPr>
          <w:p w14:paraId="1F988FF6"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r>
      <w:tr w:rsidR="00AA3AFA" w:rsidRPr="00794062" w14:paraId="1876AAFA" w14:textId="77777777" w:rsidTr="00AA3AFA">
        <w:trPr>
          <w:gridAfter w:val="1"/>
          <w:wAfter w:w="709" w:type="dxa"/>
          <w:trHeight w:val="250"/>
        </w:trPr>
        <w:tc>
          <w:tcPr>
            <w:tcW w:w="9781" w:type="dxa"/>
            <w:gridSpan w:val="5"/>
            <w:tcBorders>
              <w:top w:val="nil"/>
              <w:left w:val="nil"/>
              <w:bottom w:val="nil"/>
              <w:right w:val="nil"/>
            </w:tcBorders>
            <w:shd w:val="clear" w:color="000000" w:fill="FFFFFF"/>
            <w:noWrap/>
            <w:vAlign w:val="bottom"/>
            <w:hideMark/>
          </w:tcPr>
          <w:p w14:paraId="0FB7C7BF" w14:textId="3AC3A4E8" w:rsidR="00AA3AFA" w:rsidRPr="00794062" w:rsidRDefault="00AA3AFA" w:rsidP="00794062">
            <w:pPr>
              <w:spacing w:before="0" w:after="0"/>
              <w:rPr>
                <w:rFonts w:eastAsia="Times New Roman" w:cs="Arial"/>
                <w:sz w:val="20"/>
                <w:szCs w:val="20"/>
                <w:lang w:eastAsia="en-GB"/>
              </w:rPr>
            </w:pPr>
            <w:r w:rsidRPr="00794062">
              <w:rPr>
                <w:rFonts w:eastAsia="Times New Roman" w:cs="Arial"/>
                <w:sz w:val="20"/>
                <w:szCs w:val="20"/>
                <w:lang w:eastAsia="en-GB"/>
              </w:rPr>
              <w:t>The leasing activities falling under IFRS 16 related to car parking facilities at St.Edmund's Community Hall.</w:t>
            </w:r>
          </w:p>
        </w:tc>
      </w:tr>
      <w:tr w:rsidR="00AA3AFA" w:rsidRPr="00794062" w14:paraId="744468C8" w14:textId="77777777" w:rsidTr="00AA3AFA">
        <w:trPr>
          <w:trHeight w:val="250"/>
        </w:trPr>
        <w:tc>
          <w:tcPr>
            <w:tcW w:w="10490" w:type="dxa"/>
            <w:gridSpan w:val="6"/>
            <w:tcBorders>
              <w:top w:val="nil"/>
              <w:left w:val="nil"/>
              <w:bottom w:val="nil"/>
              <w:right w:val="nil"/>
            </w:tcBorders>
            <w:shd w:val="clear" w:color="000000" w:fill="FFFFFF"/>
            <w:noWrap/>
            <w:vAlign w:val="bottom"/>
            <w:hideMark/>
          </w:tcPr>
          <w:p w14:paraId="3CC254B3" w14:textId="2C06A888" w:rsidR="00AA3AFA" w:rsidRPr="00794062" w:rsidRDefault="00AA3AFA" w:rsidP="00794062">
            <w:pPr>
              <w:spacing w:before="0" w:after="0"/>
              <w:rPr>
                <w:rFonts w:eastAsia="Times New Roman" w:cs="Arial"/>
                <w:sz w:val="20"/>
                <w:szCs w:val="20"/>
                <w:lang w:eastAsia="en-GB"/>
              </w:rPr>
            </w:pPr>
            <w:r w:rsidRPr="00794062">
              <w:rPr>
                <w:rFonts w:eastAsia="Times New Roman" w:cs="Arial"/>
                <w:sz w:val="20"/>
                <w:szCs w:val="20"/>
                <w:lang w:eastAsia="en-GB"/>
              </w:rPr>
              <w:t>The ICB receives an annual charging schedule from NHS Property Services in relation to the costs.</w:t>
            </w:r>
          </w:p>
        </w:tc>
      </w:tr>
      <w:tr w:rsidR="00AA3AFA" w:rsidRPr="00794062" w14:paraId="622724E8" w14:textId="77777777" w:rsidTr="00AA3AFA">
        <w:trPr>
          <w:trHeight w:val="250"/>
        </w:trPr>
        <w:tc>
          <w:tcPr>
            <w:tcW w:w="10490" w:type="dxa"/>
            <w:gridSpan w:val="6"/>
            <w:tcBorders>
              <w:top w:val="nil"/>
              <w:left w:val="nil"/>
              <w:bottom w:val="nil"/>
              <w:right w:val="nil"/>
            </w:tcBorders>
            <w:shd w:val="clear" w:color="000000" w:fill="FFFFFF"/>
            <w:noWrap/>
            <w:vAlign w:val="bottom"/>
            <w:hideMark/>
          </w:tcPr>
          <w:p w14:paraId="329F0C71" w14:textId="6904BDDB" w:rsidR="00AA3AFA" w:rsidRPr="00794062" w:rsidRDefault="00AA3AFA" w:rsidP="00794062">
            <w:pPr>
              <w:spacing w:before="0" w:after="0"/>
              <w:rPr>
                <w:rFonts w:eastAsia="Times New Roman" w:cs="Arial"/>
                <w:sz w:val="20"/>
                <w:szCs w:val="20"/>
                <w:lang w:eastAsia="en-GB"/>
              </w:rPr>
            </w:pPr>
          </w:p>
        </w:tc>
      </w:tr>
      <w:tr w:rsidR="00794062" w:rsidRPr="00794062" w14:paraId="6962C66F" w14:textId="77777777" w:rsidTr="00AA3AFA">
        <w:trPr>
          <w:trHeight w:val="260"/>
        </w:trPr>
        <w:tc>
          <w:tcPr>
            <w:tcW w:w="5927" w:type="dxa"/>
            <w:tcBorders>
              <w:top w:val="nil"/>
              <w:left w:val="nil"/>
              <w:bottom w:val="nil"/>
              <w:right w:val="nil"/>
            </w:tcBorders>
            <w:shd w:val="clear" w:color="000000" w:fill="FFFFFF"/>
            <w:noWrap/>
            <w:vAlign w:val="bottom"/>
            <w:hideMark/>
          </w:tcPr>
          <w:p w14:paraId="12BFD1BE" w14:textId="77777777" w:rsidR="00794062" w:rsidRPr="00794062" w:rsidRDefault="00794062" w:rsidP="00794062">
            <w:pPr>
              <w:spacing w:before="0" w:after="0"/>
              <w:rPr>
                <w:rFonts w:eastAsia="Times New Roman" w:cs="Arial"/>
                <w:b/>
                <w:bCs/>
                <w:sz w:val="20"/>
                <w:szCs w:val="20"/>
                <w:lang w:eastAsia="en-GB"/>
              </w:rPr>
            </w:pPr>
            <w:r w:rsidRPr="00794062">
              <w:rPr>
                <w:rFonts w:eastAsia="Times New Roman" w:cs="Arial"/>
                <w:b/>
                <w:bCs/>
                <w:sz w:val="20"/>
                <w:szCs w:val="20"/>
                <w:lang w:eastAsia="en-GB"/>
              </w:rPr>
              <w:t>Wren House</w:t>
            </w:r>
          </w:p>
        </w:tc>
        <w:tc>
          <w:tcPr>
            <w:tcW w:w="1585" w:type="dxa"/>
            <w:tcBorders>
              <w:top w:val="nil"/>
              <w:left w:val="nil"/>
              <w:bottom w:val="nil"/>
              <w:right w:val="nil"/>
            </w:tcBorders>
            <w:shd w:val="clear" w:color="000000" w:fill="FFFFFF"/>
            <w:noWrap/>
            <w:vAlign w:val="bottom"/>
            <w:hideMark/>
          </w:tcPr>
          <w:p w14:paraId="63DE2A5B"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D0BD812"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A6D23C6"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c>
          <w:tcPr>
            <w:tcW w:w="2434" w:type="dxa"/>
            <w:gridSpan w:val="2"/>
            <w:tcBorders>
              <w:top w:val="nil"/>
              <w:left w:val="nil"/>
              <w:bottom w:val="nil"/>
              <w:right w:val="nil"/>
            </w:tcBorders>
            <w:shd w:val="clear" w:color="000000" w:fill="FFFFFF"/>
            <w:noWrap/>
            <w:vAlign w:val="bottom"/>
            <w:hideMark/>
          </w:tcPr>
          <w:p w14:paraId="380238B9" w14:textId="77777777" w:rsidR="00794062" w:rsidRPr="00794062" w:rsidRDefault="00794062" w:rsidP="00794062">
            <w:pPr>
              <w:spacing w:before="0" w:after="0"/>
              <w:rPr>
                <w:rFonts w:eastAsia="Times New Roman" w:cs="Arial"/>
                <w:sz w:val="20"/>
                <w:szCs w:val="20"/>
                <w:lang w:eastAsia="en-GB"/>
              </w:rPr>
            </w:pPr>
            <w:r w:rsidRPr="00794062">
              <w:rPr>
                <w:rFonts w:eastAsia="Times New Roman" w:cs="Arial"/>
                <w:sz w:val="20"/>
                <w:szCs w:val="20"/>
                <w:lang w:eastAsia="en-GB"/>
              </w:rPr>
              <w:t> </w:t>
            </w:r>
          </w:p>
        </w:tc>
      </w:tr>
      <w:tr w:rsidR="00AA3AFA" w:rsidRPr="00794062" w14:paraId="3D117AB8" w14:textId="77777777" w:rsidTr="00AA3AFA">
        <w:trPr>
          <w:gridAfter w:val="1"/>
          <w:wAfter w:w="709" w:type="dxa"/>
          <w:trHeight w:val="520"/>
        </w:trPr>
        <w:tc>
          <w:tcPr>
            <w:tcW w:w="9781" w:type="dxa"/>
            <w:gridSpan w:val="5"/>
            <w:tcBorders>
              <w:top w:val="nil"/>
              <w:left w:val="nil"/>
              <w:bottom w:val="nil"/>
            </w:tcBorders>
            <w:shd w:val="clear" w:color="000000" w:fill="FFFFFF"/>
            <w:vAlign w:val="center"/>
            <w:hideMark/>
          </w:tcPr>
          <w:p w14:paraId="0D637F26" w14:textId="77777777" w:rsidR="00AA3AFA" w:rsidRPr="00794062" w:rsidRDefault="00AA3AFA" w:rsidP="00794062">
            <w:pPr>
              <w:spacing w:before="0" w:after="0"/>
              <w:rPr>
                <w:rFonts w:eastAsia="Times New Roman" w:cs="Arial"/>
                <w:sz w:val="20"/>
                <w:szCs w:val="20"/>
                <w:lang w:eastAsia="en-GB"/>
              </w:rPr>
            </w:pPr>
            <w:r w:rsidRPr="00794062">
              <w:rPr>
                <w:rFonts w:eastAsia="Times New Roman" w:cs="Arial"/>
                <w:sz w:val="20"/>
                <w:szCs w:val="20"/>
                <w:lang w:eastAsia="en-GB"/>
              </w:rPr>
              <w:t>The leasing activities falling under IFRS 16 relate to the administration premises at Wren House, Hedgerows Business Park, Chelmsford for the ICB.</w:t>
            </w:r>
          </w:p>
        </w:tc>
      </w:tr>
      <w:tr w:rsidR="00AA3AFA" w:rsidRPr="00794062" w14:paraId="5824D732" w14:textId="77777777" w:rsidTr="00AA3AFA">
        <w:trPr>
          <w:gridAfter w:val="1"/>
          <w:wAfter w:w="709" w:type="dxa"/>
          <w:trHeight w:val="550"/>
        </w:trPr>
        <w:tc>
          <w:tcPr>
            <w:tcW w:w="9781" w:type="dxa"/>
            <w:gridSpan w:val="5"/>
            <w:tcBorders>
              <w:top w:val="nil"/>
              <w:left w:val="nil"/>
              <w:bottom w:val="nil"/>
            </w:tcBorders>
            <w:shd w:val="clear" w:color="000000" w:fill="FFFFFF"/>
            <w:vAlign w:val="center"/>
            <w:hideMark/>
          </w:tcPr>
          <w:p w14:paraId="629DBB3C" w14:textId="77777777" w:rsidR="00AA3AFA" w:rsidRPr="00794062" w:rsidRDefault="00AA3AFA" w:rsidP="00794062">
            <w:pPr>
              <w:spacing w:before="0" w:after="0"/>
              <w:rPr>
                <w:rFonts w:eastAsia="Times New Roman" w:cs="Arial"/>
                <w:sz w:val="20"/>
                <w:szCs w:val="20"/>
                <w:lang w:eastAsia="en-GB"/>
              </w:rPr>
            </w:pPr>
            <w:r w:rsidRPr="00794062">
              <w:rPr>
                <w:rFonts w:eastAsia="Times New Roman" w:cs="Arial"/>
                <w:sz w:val="20"/>
                <w:szCs w:val="20"/>
                <w:lang w:eastAsia="en-GB"/>
              </w:rPr>
              <w:t>The ICB receives an annual charging schedule from NHS Property Services in relation to the costs and ended the lease in Sept 2023 as part of the estate rationalisation.</w:t>
            </w:r>
          </w:p>
        </w:tc>
      </w:tr>
    </w:tbl>
    <w:p w14:paraId="0ABAF5A3" w14:textId="5B6060CF" w:rsidR="00C6204E" w:rsidRDefault="00C6204E" w:rsidP="00C70A7F">
      <w:pPr>
        <w:spacing w:before="0" w:after="200" w:line="276" w:lineRule="auto"/>
      </w:pPr>
    </w:p>
    <w:p w14:paraId="1B6EC09D" w14:textId="77777777" w:rsidR="00C6204E" w:rsidRDefault="00C6204E">
      <w:pPr>
        <w:spacing w:before="0" w:after="200" w:line="276" w:lineRule="auto"/>
      </w:pPr>
      <w:r>
        <w:br w:type="page"/>
      </w:r>
    </w:p>
    <w:tbl>
      <w:tblPr>
        <w:tblW w:w="10446" w:type="dxa"/>
        <w:tblLook w:val="04A0" w:firstRow="1" w:lastRow="0" w:firstColumn="1" w:lastColumn="0" w:noHBand="0" w:noVBand="1"/>
      </w:tblPr>
      <w:tblGrid>
        <w:gridCol w:w="3544"/>
        <w:gridCol w:w="380"/>
        <w:gridCol w:w="6"/>
        <w:gridCol w:w="1514"/>
        <w:gridCol w:w="6"/>
        <w:gridCol w:w="266"/>
        <w:gridCol w:w="6"/>
        <w:gridCol w:w="1274"/>
        <w:gridCol w:w="6"/>
        <w:gridCol w:w="266"/>
        <w:gridCol w:w="6"/>
        <w:gridCol w:w="1214"/>
        <w:gridCol w:w="6"/>
        <w:gridCol w:w="266"/>
        <w:gridCol w:w="6"/>
        <w:gridCol w:w="1154"/>
        <w:gridCol w:w="6"/>
        <w:gridCol w:w="514"/>
        <w:gridCol w:w="6"/>
      </w:tblGrid>
      <w:tr w:rsidR="00541F03" w:rsidRPr="00037DAA" w14:paraId="016BD68A" w14:textId="77777777" w:rsidTr="00895CDC">
        <w:trPr>
          <w:trHeight w:val="260"/>
        </w:trPr>
        <w:tc>
          <w:tcPr>
            <w:tcW w:w="9926" w:type="dxa"/>
            <w:gridSpan w:val="17"/>
            <w:tcBorders>
              <w:top w:val="nil"/>
              <w:left w:val="nil"/>
              <w:bottom w:val="nil"/>
              <w:right w:val="nil"/>
            </w:tcBorders>
            <w:shd w:val="clear" w:color="auto" w:fill="auto"/>
            <w:noWrap/>
            <w:vAlign w:val="bottom"/>
            <w:hideMark/>
          </w:tcPr>
          <w:p w14:paraId="13681983" w14:textId="03F37519" w:rsidR="00541F03" w:rsidRPr="00037DAA" w:rsidRDefault="00541F03" w:rsidP="00037DAA">
            <w:pPr>
              <w:spacing w:before="0" w:after="0"/>
              <w:rPr>
                <w:rFonts w:eastAsia="Times New Roman" w:cs="Arial"/>
                <w:i/>
                <w:iCs/>
                <w:sz w:val="20"/>
                <w:szCs w:val="20"/>
                <w:lang w:eastAsia="en-GB"/>
              </w:rPr>
            </w:pPr>
            <w:r w:rsidRPr="00037DAA">
              <w:rPr>
                <w:rFonts w:eastAsia="Times New Roman" w:cs="Arial"/>
                <w:i/>
                <w:iCs/>
                <w:sz w:val="20"/>
                <w:szCs w:val="20"/>
                <w:lang w:eastAsia="en-GB"/>
              </w:rPr>
              <w:lastRenderedPageBreak/>
              <w:t>NHS Mid and South Essex Integrated Care Board - Statutory Accounts 2023-24</w:t>
            </w:r>
          </w:p>
        </w:tc>
        <w:tc>
          <w:tcPr>
            <w:tcW w:w="520" w:type="dxa"/>
            <w:gridSpan w:val="2"/>
            <w:tcBorders>
              <w:top w:val="nil"/>
              <w:left w:val="nil"/>
              <w:bottom w:val="nil"/>
              <w:right w:val="nil"/>
            </w:tcBorders>
            <w:shd w:val="clear" w:color="000000" w:fill="FFFFFF"/>
            <w:noWrap/>
            <w:vAlign w:val="bottom"/>
            <w:hideMark/>
          </w:tcPr>
          <w:p w14:paraId="1BA76F77" w14:textId="77777777" w:rsidR="00541F03" w:rsidRPr="00037DAA" w:rsidRDefault="00541F03"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530508EB" w14:textId="77777777" w:rsidTr="00037DAA">
        <w:trPr>
          <w:trHeight w:val="255"/>
        </w:trPr>
        <w:tc>
          <w:tcPr>
            <w:tcW w:w="3544" w:type="dxa"/>
            <w:tcBorders>
              <w:top w:val="nil"/>
              <w:left w:val="nil"/>
              <w:bottom w:val="nil"/>
              <w:right w:val="nil"/>
            </w:tcBorders>
            <w:shd w:val="clear" w:color="000000" w:fill="FFFFFF"/>
            <w:noWrap/>
            <w:vAlign w:val="bottom"/>
            <w:hideMark/>
          </w:tcPr>
          <w:p w14:paraId="2112295A"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386" w:type="dxa"/>
            <w:gridSpan w:val="2"/>
            <w:tcBorders>
              <w:top w:val="nil"/>
              <w:left w:val="nil"/>
              <w:bottom w:val="nil"/>
              <w:right w:val="nil"/>
            </w:tcBorders>
            <w:shd w:val="clear" w:color="000000" w:fill="FFFFFF"/>
            <w:noWrap/>
            <w:vAlign w:val="bottom"/>
            <w:hideMark/>
          </w:tcPr>
          <w:p w14:paraId="50C92488"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520" w:type="dxa"/>
            <w:gridSpan w:val="2"/>
            <w:tcBorders>
              <w:top w:val="nil"/>
              <w:left w:val="nil"/>
              <w:bottom w:val="nil"/>
              <w:right w:val="nil"/>
            </w:tcBorders>
            <w:shd w:val="clear" w:color="000000" w:fill="FFFFFF"/>
            <w:noWrap/>
            <w:vAlign w:val="bottom"/>
            <w:hideMark/>
          </w:tcPr>
          <w:p w14:paraId="4F8B5BA5"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3047B032"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493F2D2E"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17B50E56"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bottom"/>
            <w:hideMark/>
          </w:tcPr>
          <w:p w14:paraId="17F3BDCE"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7CC54307"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bottom"/>
            <w:hideMark/>
          </w:tcPr>
          <w:p w14:paraId="36A9506A"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520" w:type="dxa"/>
            <w:gridSpan w:val="2"/>
            <w:tcBorders>
              <w:top w:val="nil"/>
              <w:left w:val="nil"/>
              <w:bottom w:val="nil"/>
              <w:right w:val="nil"/>
            </w:tcBorders>
            <w:shd w:val="clear" w:color="000000" w:fill="FFFFFF"/>
            <w:noWrap/>
            <w:vAlign w:val="bottom"/>
            <w:hideMark/>
          </w:tcPr>
          <w:p w14:paraId="187EC981"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22387EF8" w14:textId="77777777" w:rsidTr="00037DAA">
        <w:trPr>
          <w:trHeight w:val="260"/>
        </w:trPr>
        <w:tc>
          <w:tcPr>
            <w:tcW w:w="3544" w:type="dxa"/>
            <w:tcBorders>
              <w:top w:val="nil"/>
              <w:left w:val="nil"/>
              <w:bottom w:val="nil"/>
              <w:right w:val="nil"/>
            </w:tcBorders>
            <w:shd w:val="clear" w:color="000000" w:fill="FFFFFF"/>
            <w:noWrap/>
            <w:vAlign w:val="bottom"/>
            <w:hideMark/>
          </w:tcPr>
          <w:p w14:paraId="0333FBE9" w14:textId="77777777" w:rsidR="00037DAA" w:rsidRPr="00037DAA" w:rsidRDefault="00037DAA" w:rsidP="00037DAA">
            <w:pPr>
              <w:spacing w:before="0" w:after="0"/>
              <w:rPr>
                <w:rFonts w:eastAsia="Times New Roman" w:cs="Arial"/>
                <w:b/>
                <w:bCs/>
                <w:sz w:val="20"/>
                <w:szCs w:val="20"/>
                <w:lang w:eastAsia="en-GB"/>
              </w:rPr>
            </w:pPr>
            <w:r w:rsidRPr="00037DAA">
              <w:rPr>
                <w:rFonts w:eastAsia="Times New Roman" w:cs="Arial"/>
                <w:b/>
                <w:bCs/>
                <w:sz w:val="20"/>
                <w:szCs w:val="20"/>
                <w:lang w:eastAsia="en-GB"/>
              </w:rPr>
              <w:t>11 Trade and Other Receivables</w:t>
            </w:r>
          </w:p>
        </w:tc>
        <w:tc>
          <w:tcPr>
            <w:tcW w:w="386" w:type="dxa"/>
            <w:gridSpan w:val="2"/>
            <w:tcBorders>
              <w:top w:val="nil"/>
              <w:left w:val="nil"/>
              <w:bottom w:val="nil"/>
              <w:right w:val="nil"/>
            </w:tcBorders>
            <w:shd w:val="clear" w:color="000000" w:fill="FFFFFF"/>
            <w:noWrap/>
            <w:vAlign w:val="bottom"/>
            <w:hideMark/>
          </w:tcPr>
          <w:p w14:paraId="7C53D9A1" w14:textId="77777777" w:rsidR="00037DAA" w:rsidRPr="00037DAA" w:rsidRDefault="00037DAA" w:rsidP="00037DAA">
            <w:pPr>
              <w:spacing w:before="0" w:after="0"/>
              <w:rPr>
                <w:rFonts w:eastAsia="Times New Roman" w:cs="Arial"/>
                <w:b/>
                <w:bCs/>
                <w:sz w:val="20"/>
                <w:szCs w:val="20"/>
                <w:lang w:eastAsia="en-GB"/>
              </w:rPr>
            </w:pPr>
            <w:r w:rsidRPr="00037DAA">
              <w:rPr>
                <w:rFonts w:eastAsia="Times New Roman" w:cs="Arial"/>
                <w:b/>
                <w:bCs/>
                <w:sz w:val="20"/>
                <w:szCs w:val="20"/>
                <w:lang w:eastAsia="en-GB"/>
              </w:rPr>
              <w:t> </w:t>
            </w:r>
          </w:p>
        </w:tc>
        <w:tc>
          <w:tcPr>
            <w:tcW w:w="1520" w:type="dxa"/>
            <w:gridSpan w:val="2"/>
            <w:tcBorders>
              <w:top w:val="nil"/>
              <w:left w:val="nil"/>
              <w:bottom w:val="nil"/>
              <w:right w:val="nil"/>
            </w:tcBorders>
            <w:shd w:val="clear" w:color="000000" w:fill="FFFFFF"/>
            <w:noWrap/>
            <w:vAlign w:val="bottom"/>
            <w:hideMark/>
          </w:tcPr>
          <w:p w14:paraId="37D0FA57"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6720A7F5"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6AD83F5D"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0503B911"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bottom"/>
            <w:hideMark/>
          </w:tcPr>
          <w:p w14:paraId="7ADF7267"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6934C038" w14:textId="77777777" w:rsidR="00037DAA" w:rsidRPr="00037DAA" w:rsidRDefault="00037DAA" w:rsidP="00037DAA">
            <w:pPr>
              <w:spacing w:before="0" w:after="0"/>
              <w:jc w:val="center"/>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bottom"/>
            <w:hideMark/>
          </w:tcPr>
          <w:p w14:paraId="27BF0647"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520" w:type="dxa"/>
            <w:gridSpan w:val="2"/>
            <w:tcBorders>
              <w:top w:val="nil"/>
              <w:left w:val="nil"/>
              <w:bottom w:val="nil"/>
              <w:right w:val="nil"/>
            </w:tcBorders>
            <w:shd w:val="clear" w:color="000000" w:fill="FFFFFF"/>
            <w:noWrap/>
            <w:vAlign w:val="bottom"/>
            <w:hideMark/>
          </w:tcPr>
          <w:p w14:paraId="666094C7"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556265CE" w14:textId="77777777" w:rsidTr="00037DAA">
        <w:trPr>
          <w:trHeight w:val="120"/>
        </w:trPr>
        <w:tc>
          <w:tcPr>
            <w:tcW w:w="3544" w:type="dxa"/>
            <w:tcBorders>
              <w:top w:val="nil"/>
              <w:left w:val="nil"/>
              <w:bottom w:val="nil"/>
              <w:right w:val="nil"/>
            </w:tcBorders>
            <w:shd w:val="clear" w:color="000000" w:fill="FFFFFF"/>
            <w:noWrap/>
            <w:vAlign w:val="bottom"/>
            <w:hideMark/>
          </w:tcPr>
          <w:p w14:paraId="6C6BC06A" w14:textId="77777777" w:rsidR="00037DAA" w:rsidRPr="00037DAA" w:rsidRDefault="00037DAA" w:rsidP="00037DAA">
            <w:pPr>
              <w:spacing w:before="0" w:after="0"/>
              <w:rPr>
                <w:rFonts w:eastAsia="Times New Roman" w:cs="Arial"/>
                <w:b/>
                <w:bCs/>
                <w:sz w:val="20"/>
                <w:szCs w:val="20"/>
                <w:lang w:eastAsia="en-GB"/>
              </w:rPr>
            </w:pPr>
            <w:r w:rsidRPr="00037DAA">
              <w:rPr>
                <w:rFonts w:eastAsia="Times New Roman" w:cs="Arial"/>
                <w:b/>
                <w:bCs/>
                <w:sz w:val="20"/>
                <w:szCs w:val="20"/>
                <w:lang w:eastAsia="en-GB"/>
              </w:rPr>
              <w:t> </w:t>
            </w:r>
          </w:p>
        </w:tc>
        <w:tc>
          <w:tcPr>
            <w:tcW w:w="386" w:type="dxa"/>
            <w:gridSpan w:val="2"/>
            <w:tcBorders>
              <w:top w:val="nil"/>
              <w:left w:val="nil"/>
              <w:bottom w:val="nil"/>
              <w:right w:val="nil"/>
            </w:tcBorders>
            <w:shd w:val="clear" w:color="000000" w:fill="FFFFFF"/>
            <w:noWrap/>
            <w:vAlign w:val="bottom"/>
            <w:hideMark/>
          </w:tcPr>
          <w:p w14:paraId="7CC197EB" w14:textId="77777777" w:rsidR="00037DAA" w:rsidRPr="00037DAA" w:rsidRDefault="00037DAA" w:rsidP="00037DAA">
            <w:pPr>
              <w:spacing w:before="0" w:after="0"/>
              <w:rPr>
                <w:rFonts w:eastAsia="Times New Roman" w:cs="Arial"/>
                <w:b/>
                <w:bCs/>
                <w:sz w:val="20"/>
                <w:szCs w:val="20"/>
                <w:lang w:eastAsia="en-GB"/>
              </w:rPr>
            </w:pPr>
            <w:r w:rsidRPr="00037DAA">
              <w:rPr>
                <w:rFonts w:eastAsia="Times New Roman" w:cs="Arial"/>
                <w:b/>
                <w:bCs/>
                <w:sz w:val="20"/>
                <w:szCs w:val="20"/>
                <w:lang w:eastAsia="en-GB"/>
              </w:rPr>
              <w:t> </w:t>
            </w:r>
          </w:p>
        </w:tc>
        <w:tc>
          <w:tcPr>
            <w:tcW w:w="1520" w:type="dxa"/>
            <w:gridSpan w:val="2"/>
            <w:tcBorders>
              <w:top w:val="nil"/>
              <w:left w:val="nil"/>
              <w:bottom w:val="nil"/>
              <w:right w:val="nil"/>
            </w:tcBorders>
            <w:shd w:val="clear" w:color="000000" w:fill="FFFFFF"/>
            <w:noWrap/>
            <w:vAlign w:val="bottom"/>
            <w:hideMark/>
          </w:tcPr>
          <w:p w14:paraId="29EE047D"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2B2EFB77"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4471C5B8"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5BBAF43E"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bottom"/>
            <w:hideMark/>
          </w:tcPr>
          <w:p w14:paraId="2E38C48B"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52D8D00D" w14:textId="77777777" w:rsidR="00037DAA" w:rsidRPr="00037DAA" w:rsidRDefault="00037DAA" w:rsidP="00037DAA">
            <w:pPr>
              <w:spacing w:before="0" w:after="0"/>
              <w:jc w:val="center"/>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bottom"/>
            <w:hideMark/>
          </w:tcPr>
          <w:p w14:paraId="62B26E78"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520" w:type="dxa"/>
            <w:gridSpan w:val="2"/>
            <w:tcBorders>
              <w:top w:val="nil"/>
              <w:left w:val="nil"/>
              <w:bottom w:val="nil"/>
              <w:right w:val="nil"/>
            </w:tcBorders>
            <w:shd w:val="clear" w:color="000000" w:fill="FFFFFF"/>
            <w:noWrap/>
            <w:vAlign w:val="bottom"/>
            <w:hideMark/>
          </w:tcPr>
          <w:p w14:paraId="7244D313"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0E9A4187" w14:textId="77777777" w:rsidTr="00037DAA">
        <w:trPr>
          <w:trHeight w:val="260"/>
        </w:trPr>
        <w:tc>
          <w:tcPr>
            <w:tcW w:w="3544" w:type="dxa"/>
            <w:tcBorders>
              <w:top w:val="nil"/>
              <w:left w:val="nil"/>
              <w:bottom w:val="nil"/>
              <w:right w:val="nil"/>
            </w:tcBorders>
            <w:shd w:val="clear" w:color="000000" w:fill="FFFFFF"/>
            <w:noWrap/>
            <w:vAlign w:val="bottom"/>
            <w:hideMark/>
          </w:tcPr>
          <w:p w14:paraId="3AE86AE0"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386" w:type="dxa"/>
            <w:gridSpan w:val="2"/>
            <w:tcBorders>
              <w:top w:val="nil"/>
              <w:left w:val="nil"/>
              <w:bottom w:val="nil"/>
              <w:right w:val="nil"/>
            </w:tcBorders>
            <w:shd w:val="clear" w:color="000000" w:fill="FFFFFF"/>
            <w:noWrap/>
            <w:vAlign w:val="bottom"/>
            <w:hideMark/>
          </w:tcPr>
          <w:p w14:paraId="0158E174"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520" w:type="dxa"/>
            <w:gridSpan w:val="2"/>
            <w:tcBorders>
              <w:top w:val="nil"/>
              <w:left w:val="nil"/>
              <w:bottom w:val="nil"/>
              <w:right w:val="nil"/>
            </w:tcBorders>
            <w:shd w:val="clear" w:color="000000" w:fill="FFFFFF"/>
            <w:noWrap/>
            <w:vAlign w:val="bottom"/>
            <w:hideMark/>
          </w:tcPr>
          <w:p w14:paraId="49CDDCF5"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79A27739"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68C4B14D"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5CD2D0E1"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vAlign w:val="bottom"/>
            <w:hideMark/>
          </w:tcPr>
          <w:p w14:paraId="1EA435E3"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31-Mar-24</w:t>
            </w:r>
          </w:p>
        </w:tc>
        <w:tc>
          <w:tcPr>
            <w:tcW w:w="272" w:type="dxa"/>
            <w:gridSpan w:val="2"/>
            <w:tcBorders>
              <w:top w:val="nil"/>
              <w:left w:val="nil"/>
              <w:bottom w:val="nil"/>
              <w:right w:val="nil"/>
            </w:tcBorders>
            <w:shd w:val="clear" w:color="000000" w:fill="FFFFFF"/>
            <w:noWrap/>
            <w:vAlign w:val="bottom"/>
            <w:hideMark/>
          </w:tcPr>
          <w:p w14:paraId="1CB3F965"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vAlign w:val="bottom"/>
            <w:hideMark/>
          </w:tcPr>
          <w:p w14:paraId="3F734672"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31-Mar-23</w:t>
            </w:r>
          </w:p>
        </w:tc>
        <w:tc>
          <w:tcPr>
            <w:tcW w:w="520" w:type="dxa"/>
            <w:gridSpan w:val="2"/>
            <w:tcBorders>
              <w:top w:val="nil"/>
              <w:left w:val="nil"/>
              <w:bottom w:val="nil"/>
              <w:right w:val="nil"/>
            </w:tcBorders>
            <w:shd w:val="clear" w:color="000000" w:fill="FFFFFF"/>
            <w:noWrap/>
            <w:vAlign w:val="bottom"/>
            <w:hideMark/>
          </w:tcPr>
          <w:p w14:paraId="44626A71"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76762E27" w14:textId="77777777" w:rsidTr="00037DAA">
        <w:trPr>
          <w:trHeight w:val="260"/>
        </w:trPr>
        <w:tc>
          <w:tcPr>
            <w:tcW w:w="3544" w:type="dxa"/>
            <w:tcBorders>
              <w:top w:val="nil"/>
              <w:left w:val="nil"/>
              <w:bottom w:val="nil"/>
              <w:right w:val="nil"/>
            </w:tcBorders>
            <w:shd w:val="clear" w:color="000000" w:fill="FFFFFF"/>
            <w:noWrap/>
            <w:vAlign w:val="bottom"/>
            <w:hideMark/>
          </w:tcPr>
          <w:p w14:paraId="4ED08EAA"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386" w:type="dxa"/>
            <w:gridSpan w:val="2"/>
            <w:tcBorders>
              <w:top w:val="nil"/>
              <w:left w:val="nil"/>
              <w:bottom w:val="nil"/>
              <w:right w:val="nil"/>
            </w:tcBorders>
            <w:shd w:val="clear" w:color="000000" w:fill="FFFFFF"/>
            <w:noWrap/>
            <w:vAlign w:val="bottom"/>
            <w:hideMark/>
          </w:tcPr>
          <w:p w14:paraId="31FDF98F"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520" w:type="dxa"/>
            <w:gridSpan w:val="2"/>
            <w:tcBorders>
              <w:top w:val="nil"/>
              <w:left w:val="nil"/>
              <w:bottom w:val="nil"/>
              <w:right w:val="nil"/>
            </w:tcBorders>
            <w:shd w:val="clear" w:color="000000" w:fill="FFFFFF"/>
            <w:noWrap/>
            <w:vAlign w:val="bottom"/>
            <w:hideMark/>
          </w:tcPr>
          <w:p w14:paraId="775BA8B4"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126405B8"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223C0EEE"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751584F1"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bottom"/>
            <w:hideMark/>
          </w:tcPr>
          <w:p w14:paraId="559A1280"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£'000</w:t>
            </w:r>
          </w:p>
        </w:tc>
        <w:tc>
          <w:tcPr>
            <w:tcW w:w="272" w:type="dxa"/>
            <w:gridSpan w:val="2"/>
            <w:tcBorders>
              <w:top w:val="nil"/>
              <w:left w:val="nil"/>
              <w:bottom w:val="nil"/>
              <w:right w:val="nil"/>
            </w:tcBorders>
            <w:shd w:val="clear" w:color="000000" w:fill="FFFFFF"/>
            <w:noWrap/>
            <w:vAlign w:val="bottom"/>
            <w:hideMark/>
          </w:tcPr>
          <w:p w14:paraId="12C4A992"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bottom"/>
            <w:hideMark/>
          </w:tcPr>
          <w:p w14:paraId="1DA9FD30"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£'000</w:t>
            </w:r>
          </w:p>
        </w:tc>
        <w:tc>
          <w:tcPr>
            <w:tcW w:w="520" w:type="dxa"/>
            <w:gridSpan w:val="2"/>
            <w:tcBorders>
              <w:top w:val="nil"/>
              <w:left w:val="nil"/>
              <w:bottom w:val="nil"/>
              <w:right w:val="nil"/>
            </w:tcBorders>
            <w:shd w:val="clear" w:color="000000" w:fill="FFFFFF"/>
            <w:noWrap/>
            <w:vAlign w:val="bottom"/>
            <w:hideMark/>
          </w:tcPr>
          <w:p w14:paraId="1D62E84A"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2B5B8417" w14:textId="77777777" w:rsidTr="00037DAA">
        <w:trPr>
          <w:trHeight w:val="100"/>
        </w:trPr>
        <w:tc>
          <w:tcPr>
            <w:tcW w:w="3544" w:type="dxa"/>
            <w:tcBorders>
              <w:top w:val="nil"/>
              <w:left w:val="nil"/>
              <w:bottom w:val="nil"/>
              <w:right w:val="nil"/>
            </w:tcBorders>
            <w:shd w:val="clear" w:color="000000" w:fill="FFFFFF"/>
            <w:noWrap/>
            <w:vAlign w:val="bottom"/>
            <w:hideMark/>
          </w:tcPr>
          <w:p w14:paraId="2ED5951D"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386" w:type="dxa"/>
            <w:gridSpan w:val="2"/>
            <w:tcBorders>
              <w:top w:val="nil"/>
              <w:left w:val="nil"/>
              <w:bottom w:val="nil"/>
              <w:right w:val="nil"/>
            </w:tcBorders>
            <w:shd w:val="clear" w:color="000000" w:fill="FFFFFF"/>
            <w:noWrap/>
            <w:vAlign w:val="bottom"/>
            <w:hideMark/>
          </w:tcPr>
          <w:p w14:paraId="52C6589E"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520" w:type="dxa"/>
            <w:gridSpan w:val="2"/>
            <w:tcBorders>
              <w:top w:val="nil"/>
              <w:left w:val="nil"/>
              <w:bottom w:val="nil"/>
              <w:right w:val="nil"/>
            </w:tcBorders>
            <w:shd w:val="clear" w:color="000000" w:fill="FFFFFF"/>
            <w:noWrap/>
            <w:vAlign w:val="bottom"/>
            <w:hideMark/>
          </w:tcPr>
          <w:p w14:paraId="1E42927F"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7AFAD798"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042DCAAC"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6BC4E40D"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bottom"/>
            <w:hideMark/>
          </w:tcPr>
          <w:p w14:paraId="7B6DB012"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3A088B5D"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bottom"/>
            <w:hideMark/>
          </w:tcPr>
          <w:p w14:paraId="74D74D1E"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520" w:type="dxa"/>
            <w:gridSpan w:val="2"/>
            <w:tcBorders>
              <w:top w:val="nil"/>
              <w:left w:val="nil"/>
              <w:bottom w:val="nil"/>
              <w:right w:val="nil"/>
            </w:tcBorders>
            <w:shd w:val="clear" w:color="000000" w:fill="FFFFFF"/>
            <w:noWrap/>
            <w:vAlign w:val="bottom"/>
            <w:hideMark/>
          </w:tcPr>
          <w:p w14:paraId="02B66C0B"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2414E1A1" w14:textId="77777777" w:rsidTr="007B4CFF">
        <w:trPr>
          <w:trHeight w:val="250"/>
        </w:trPr>
        <w:tc>
          <w:tcPr>
            <w:tcW w:w="5450" w:type="dxa"/>
            <w:gridSpan w:val="5"/>
            <w:tcBorders>
              <w:top w:val="nil"/>
              <w:left w:val="nil"/>
              <w:bottom w:val="nil"/>
              <w:right w:val="nil"/>
            </w:tcBorders>
            <w:shd w:val="clear" w:color="000000" w:fill="FFFFFF"/>
            <w:noWrap/>
            <w:vAlign w:val="bottom"/>
            <w:hideMark/>
          </w:tcPr>
          <w:p w14:paraId="20C27839" w14:textId="22ABFD98"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NHS receivables: revenue</w:t>
            </w:r>
          </w:p>
        </w:tc>
        <w:tc>
          <w:tcPr>
            <w:tcW w:w="272" w:type="dxa"/>
            <w:gridSpan w:val="2"/>
            <w:tcBorders>
              <w:top w:val="nil"/>
              <w:left w:val="nil"/>
              <w:bottom w:val="nil"/>
              <w:right w:val="nil"/>
            </w:tcBorders>
            <w:shd w:val="clear" w:color="000000" w:fill="FFFFFF"/>
            <w:noWrap/>
            <w:vAlign w:val="bottom"/>
            <w:hideMark/>
          </w:tcPr>
          <w:p w14:paraId="5F8AD462"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6C029DD9"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3B6E7D67"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bottom"/>
            <w:hideMark/>
          </w:tcPr>
          <w:p w14:paraId="18CD9DBB"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3,626</w:t>
            </w:r>
          </w:p>
        </w:tc>
        <w:tc>
          <w:tcPr>
            <w:tcW w:w="272" w:type="dxa"/>
            <w:gridSpan w:val="2"/>
            <w:tcBorders>
              <w:top w:val="nil"/>
              <w:left w:val="nil"/>
              <w:bottom w:val="nil"/>
              <w:right w:val="nil"/>
            </w:tcBorders>
            <w:shd w:val="clear" w:color="000000" w:fill="FFFFFF"/>
            <w:noWrap/>
            <w:vAlign w:val="bottom"/>
            <w:hideMark/>
          </w:tcPr>
          <w:p w14:paraId="2328C316"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bottom"/>
            <w:hideMark/>
          </w:tcPr>
          <w:p w14:paraId="6DD0E6A6"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5,712</w:t>
            </w:r>
          </w:p>
        </w:tc>
        <w:tc>
          <w:tcPr>
            <w:tcW w:w="520" w:type="dxa"/>
            <w:gridSpan w:val="2"/>
            <w:tcBorders>
              <w:top w:val="nil"/>
              <w:left w:val="nil"/>
              <w:bottom w:val="nil"/>
              <w:right w:val="nil"/>
            </w:tcBorders>
            <w:shd w:val="clear" w:color="000000" w:fill="FFFFFF"/>
            <w:noWrap/>
            <w:vAlign w:val="bottom"/>
            <w:hideMark/>
          </w:tcPr>
          <w:p w14:paraId="022D6F56"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1A4AAAA2" w14:textId="77777777" w:rsidTr="00037DAA">
        <w:trPr>
          <w:trHeight w:val="250"/>
        </w:trPr>
        <w:tc>
          <w:tcPr>
            <w:tcW w:w="3544" w:type="dxa"/>
            <w:tcBorders>
              <w:top w:val="nil"/>
              <w:left w:val="nil"/>
              <w:bottom w:val="nil"/>
              <w:right w:val="nil"/>
            </w:tcBorders>
            <w:shd w:val="clear" w:color="000000" w:fill="FFFFFF"/>
            <w:noWrap/>
            <w:vAlign w:val="bottom"/>
            <w:hideMark/>
          </w:tcPr>
          <w:p w14:paraId="5020977C"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NHS accrued income</w:t>
            </w:r>
          </w:p>
        </w:tc>
        <w:tc>
          <w:tcPr>
            <w:tcW w:w="386" w:type="dxa"/>
            <w:gridSpan w:val="2"/>
            <w:tcBorders>
              <w:top w:val="nil"/>
              <w:left w:val="nil"/>
              <w:bottom w:val="nil"/>
              <w:right w:val="nil"/>
            </w:tcBorders>
            <w:shd w:val="clear" w:color="000000" w:fill="FFFFFF"/>
            <w:noWrap/>
            <w:vAlign w:val="bottom"/>
            <w:hideMark/>
          </w:tcPr>
          <w:p w14:paraId="0D605128"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520" w:type="dxa"/>
            <w:gridSpan w:val="2"/>
            <w:tcBorders>
              <w:top w:val="nil"/>
              <w:left w:val="nil"/>
              <w:bottom w:val="nil"/>
              <w:right w:val="nil"/>
            </w:tcBorders>
            <w:shd w:val="clear" w:color="000000" w:fill="FFFFFF"/>
            <w:noWrap/>
            <w:vAlign w:val="bottom"/>
            <w:hideMark/>
          </w:tcPr>
          <w:p w14:paraId="43162E98"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45064680"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1CCB68B4"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427C90D1"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bottom"/>
            <w:hideMark/>
          </w:tcPr>
          <w:p w14:paraId="3FCC6A15"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200E7E66"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bottom"/>
            <w:hideMark/>
          </w:tcPr>
          <w:p w14:paraId="6713CF91"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122</w:t>
            </w:r>
          </w:p>
        </w:tc>
        <w:tc>
          <w:tcPr>
            <w:tcW w:w="520" w:type="dxa"/>
            <w:gridSpan w:val="2"/>
            <w:tcBorders>
              <w:top w:val="nil"/>
              <w:left w:val="nil"/>
              <w:bottom w:val="nil"/>
              <w:right w:val="nil"/>
            </w:tcBorders>
            <w:shd w:val="clear" w:color="000000" w:fill="FFFFFF"/>
            <w:noWrap/>
            <w:vAlign w:val="bottom"/>
            <w:hideMark/>
          </w:tcPr>
          <w:p w14:paraId="7E0ED692"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7140E147" w14:textId="77777777" w:rsidTr="00C37283">
        <w:trPr>
          <w:trHeight w:val="250"/>
        </w:trPr>
        <w:tc>
          <w:tcPr>
            <w:tcW w:w="5450" w:type="dxa"/>
            <w:gridSpan w:val="5"/>
            <w:tcBorders>
              <w:top w:val="nil"/>
              <w:left w:val="nil"/>
              <w:bottom w:val="nil"/>
              <w:right w:val="nil"/>
            </w:tcBorders>
            <w:shd w:val="clear" w:color="000000" w:fill="FFFFFF"/>
            <w:noWrap/>
            <w:vAlign w:val="bottom"/>
            <w:hideMark/>
          </w:tcPr>
          <w:p w14:paraId="31BAD086" w14:textId="23BBED34"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Non-NHS and Other WGA receivables: revenue</w:t>
            </w:r>
          </w:p>
        </w:tc>
        <w:tc>
          <w:tcPr>
            <w:tcW w:w="272" w:type="dxa"/>
            <w:gridSpan w:val="2"/>
            <w:tcBorders>
              <w:top w:val="nil"/>
              <w:left w:val="nil"/>
              <w:bottom w:val="nil"/>
              <w:right w:val="nil"/>
            </w:tcBorders>
            <w:shd w:val="clear" w:color="000000" w:fill="FFFFFF"/>
            <w:noWrap/>
            <w:vAlign w:val="bottom"/>
            <w:hideMark/>
          </w:tcPr>
          <w:p w14:paraId="66DE729A"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7EDF7A8C"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5E6D4FAF"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bottom"/>
            <w:hideMark/>
          </w:tcPr>
          <w:p w14:paraId="2296CC1C"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7,927</w:t>
            </w:r>
          </w:p>
        </w:tc>
        <w:tc>
          <w:tcPr>
            <w:tcW w:w="272" w:type="dxa"/>
            <w:gridSpan w:val="2"/>
            <w:tcBorders>
              <w:top w:val="nil"/>
              <w:left w:val="nil"/>
              <w:bottom w:val="nil"/>
              <w:right w:val="nil"/>
            </w:tcBorders>
            <w:shd w:val="clear" w:color="000000" w:fill="FFFFFF"/>
            <w:noWrap/>
            <w:vAlign w:val="bottom"/>
            <w:hideMark/>
          </w:tcPr>
          <w:p w14:paraId="0E21185B"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bottom"/>
            <w:hideMark/>
          </w:tcPr>
          <w:p w14:paraId="26B007CB"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1,174</w:t>
            </w:r>
          </w:p>
        </w:tc>
        <w:tc>
          <w:tcPr>
            <w:tcW w:w="520" w:type="dxa"/>
            <w:gridSpan w:val="2"/>
            <w:tcBorders>
              <w:top w:val="nil"/>
              <w:left w:val="nil"/>
              <w:bottom w:val="nil"/>
              <w:right w:val="nil"/>
            </w:tcBorders>
            <w:shd w:val="clear" w:color="000000" w:fill="FFFFFF"/>
            <w:noWrap/>
            <w:vAlign w:val="bottom"/>
            <w:hideMark/>
          </w:tcPr>
          <w:p w14:paraId="4A27BB15"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36150436" w14:textId="77777777" w:rsidTr="00725BDD">
        <w:trPr>
          <w:trHeight w:val="250"/>
        </w:trPr>
        <w:tc>
          <w:tcPr>
            <w:tcW w:w="5450" w:type="dxa"/>
            <w:gridSpan w:val="5"/>
            <w:tcBorders>
              <w:top w:val="nil"/>
              <w:left w:val="nil"/>
              <w:bottom w:val="nil"/>
              <w:right w:val="nil"/>
            </w:tcBorders>
            <w:shd w:val="clear" w:color="000000" w:fill="FFFFFF"/>
            <w:noWrap/>
            <w:vAlign w:val="bottom"/>
            <w:hideMark/>
          </w:tcPr>
          <w:p w14:paraId="2F364000" w14:textId="6623D883"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Non-NHS and Other WGA prepayments</w:t>
            </w:r>
          </w:p>
        </w:tc>
        <w:tc>
          <w:tcPr>
            <w:tcW w:w="272" w:type="dxa"/>
            <w:gridSpan w:val="2"/>
            <w:tcBorders>
              <w:top w:val="nil"/>
              <w:left w:val="nil"/>
              <w:bottom w:val="nil"/>
              <w:right w:val="nil"/>
            </w:tcBorders>
            <w:shd w:val="clear" w:color="000000" w:fill="FFFFFF"/>
            <w:noWrap/>
            <w:vAlign w:val="bottom"/>
            <w:hideMark/>
          </w:tcPr>
          <w:p w14:paraId="4F420981"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33737AF9"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70416584"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bottom"/>
            <w:hideMark/>
          </w:tcPr>
          <w:p w14:paraId="17E06899"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795</w:t>
            </w:r>
          </w:p>
        </w:tc>
        <w:tc>
          <w:tcPr>
            <w:tcW w:w="272" w:type="dxa"/>
            <w:gridSpan w:val="2"/>
            <w:tcBorders>
              <w:top w:val="nil"/>
              <w:left w:val="nil"/>
              <w:bottom w:val="nil"/>
              <w:right w:val="nil"/>
            </w:tcBorders>
            <w:shd w:val="clear" w:color="000000" w:fill="FFFFFF"/>
            <w:noWrap/>
            <w:vAlign w:val="bottom"/>
            <w:hideMark/>
          </w:tcPr>
          <w:p w14:paraId="171981F0"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bottom"/>
            <w:hideMark/>
          </w:tcPr>
          <w:p w14:paraId="489A8B2F"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2,255</w:t>
            </w:r>
          </w:p>
        </w:tc>
        <w:tc>
          <w:tcPr>
            <w:tcW w:w="520" w:type="dxa"/>
            <w:gridSpan w:val="2"/>
            <w:tcBorders>
              <w:top w:val="nil"/>
              <w:left w:val="nil"/>
              <w:bottom w:val="nil"/>
              <w:right w:val="nil"/>
            </w:tcBorders>
            <w:shd w:val="clear" w:color="000000" w:fill="FFFFFF"/>
            <w:noWrap/>
            <w:vAlign w:val="bottom"/>
            <w:hideMark/>
          </w:tcPr>
          <w:p w14:paraId="6BDA7059"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7205C750" w14:textId="77777777" w:rsidTr="004D47BC">
        <w:trPr>
          <w:trHeight w:val="250"/>
        </w:trPr>
        <w:tc>
          <w:tcPr>
            <w:tcW w:w="5450" w:type="dxa"/>
            <w:gridSpan w:val="5"/>
            <w:tcBorders>
              <w:top w:val="nil"/>
              <w:left w:val="nil"/>
              <w:bottom w:val="nil"/>
              <w:right w:val="nil"/>
            </w:tcBorders>
            <w:shd w:val="clear" w:color="000000" w:fill="FFFFFF"/>
            <w:noWrap/>
            <w:vAlign w:val="bottom"/>
            <w:hideMark/>
          </w:tcPr>
          <w:p w14:paraId="3A5EADFE" w14:textId="1F85FB80"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Non-NHS and Other WGA accrued income</w:t>
            </w:r>
          </w:p>
        </w:tc>
        <w:tc>
          <w:tcPr>
            <w:tcW w:w="272" w:type="dxa"/>
            <w:gridSpan w:val="2"/>
            <w:tcBorders>
              <w:top w:val="nil"/>
              <w:left w:val="nil"/>
              <w:bottom w:val="nil"/>
              <w:right w:val="nil"/>
            </w:tcBorders>
            <w:shd w:val="clear" w:color="000000" w:fill="FFFFFF"/>
            <w:noWrap/>
            <w:vAlign w:val="bottom"/>
            <w:hideMark/>
          </w:tcPr>
          <w:p w14:paraId="5D45AF1B"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555B83BC"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32D9B6D6"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bottom"/>
            <w:hideMark/>
          </w:tcPr>
          <w:p w14:paraId="65480D07"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629</w:t>
            </w:r>
          </w:p>
        </w:tc>
        <w:tc>
          <w:tcPr>
            <w:tcW w:w="272" w:type="dxa"/>
            <w:gridSpan w:val="2"/>
            <w:tcBorders>
              <w:top w:val="nil"/>
              <w:left w:val="nil"/>
              <w:bottom w:val="nil"/>
              <w:right w:val="nil"/>
            </w:tcBorders>
            <w:shd w:val="clear" w:color="000000" w:fill="FFFFFF"/>
            <w:noWrap/>
            <w:vAlign w:val="bottom"/>
            <w:hideMark/>
          </w:tcPr>
          <w:p w14:paraId="1828A4DB"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bottom"/>
            <w:hideMark/>
          </w:tcPr>
          <w:p w14:paraId="6A491AD5"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47</w:t>
            </w:r>
          </w:p>
        </w:tc>
        <w:tc>
          <w:tcPr>
            <w:tcW w:w="520" w:type="dxa"/>
            <w:gridSpan w:val="2"/>
            <w:tcBorders>
              <w:top w:val="nil"/>
              <w:left w:val="nil"/>
              <w:bottom w:val="nil"/>
              <w:right w:val="nil"/>
            </w:tcBorders>
            <w:shd w:val="clear" w:color="000000" w:fill="FFFFFF"/>
            <w:noWrap/>
            <w:vAlign w:val="bottom"/>
            <w:hideMark/>
          </w:tcPr>
          <w:p w14:paraId="11973CD7"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541F03" w:rsidRPr="00037DAA" w14:paraId="7B2AB213" w14:textId="77777777" w:rsidTr="002E2400">
        <w:trPr>
          <w:gridAfter w:val="1"/>
          <w:wAfter w:w="6" w:type="dxa"/>
          <w:trHeight w:val="250"/>
        </w:trPr>
        <w:tc>
          <w:tcPr>
            <w:tcW w:w="6996" w:type="dxa"/>
            <w:gridSpan w:val="8"/>
            <w:tcBorders>
              <w:top w:val="nil"/>
              <w:left w:val="nil"/>
              <w:bottom w:val="nil"/>
              <w:right w:val="nil"/>
            </w:tcBorders>
            <w:shd w:val="clear" w:color="000000" w:fill="FFFFFF"/>
            <w:noWrap/>
            <w:vAlign w:val="bottom"/>
            <w:hideMark/>
          </w:tcPr>
          <w:p w14:paraId="081F0418" w14:textId="13141875" w:rsidR="00541F03" w:rsidRPr="00037DAA" w:rsidRDefault="00541F03" w:rsidP="00037DAA">
            <w:pPr>
              <w:spacing w:before="0" w:after="0"/>
              <w:rPr>
                <w:rFonts w:eastAsia="Times New Roman" w:cs="Arial"/>
                <w:sz w:val="20"/>
                <w:szCs w:val="20"/>
                <w:lang w:eastAsia="en-GB"/>
              </w:rPr>
            </w:pPr>
            <w:r w:rsidRPr="00037DAA">
              <w:rPr>
                <w:rFonts w:eastAsia="Times New Roman" w:cs="Arial"/>
                <w:sz w:val="20"/>
                <w:szCs w:val="20"/>
                <w:lang w:eastAsia="en-GB"/>
              </w:rPr>
              <w:t>Non-NHS and Other WGA Contract Receivable not yet invoiced/non-invoice</w:t>
            </w:r>
          </w:p>
        </w:tc>
        <w:tc>
          <w:tcPr>
            <w:tcW w:w="272" w:type="dxa"/>
            <w:gridSpan w:val="2"/>
            <w:tcBorders>
              <w:top w:val="nil"/>
              <w:left w:val="nil"/>
              <w:bottom w:val="nil"/>
              <w:right w:val="nil"/>
            </w:tcBorders>
            <w:shd w:val="clear" w:color="000000" w:fill="FFFFFF"/>
            <w:noWrap/>
            <w:vAlign w:val="bottom"/>
            <w:hideMark/>
          </w:tcPr>
          <w:p w14:paraId="28ECCDFC" w14:textId="77777777" w:rsidR="00541F03" w:rsidRPr="00037DAA" w:rsidRDefault="00541F03"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bottom"/>
            <w:hideMark/>
          </w:tcPr>
          <w:p w14:paraId="1FA6F80B" w14:textId="77777777" w:rsidR="00541F03" w:rsidRPr="00037DAA" w:rsidRDefault="00541F03"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2,373</w:t>
            </w:r>
          </w:p>
        </w:tc>
        <w:tc>
          <w:tcPr>
            <w:tcW w:w="272" w:type="dxa"/>
            <w:gridSpan w:val="2"/>
            <w:tcBorders>
              <w:top w:val="nil"/>
              <w:left w:val="nil"/>
              <w:bottom w:val="nil"/>
              <w:right w:val="nil"/>
            </w:tcBorders>
            <w:shd w:val="clear" w:color="000000" w:fill="FFFFFF"/>
            <w:noWrap/>
            <w:vAlign w:val="bottom"/>
            <w:hideMark/>
          </w:tcPr>
          <w:p w14:paraId="63867A03" w14:textId="77777777" w:rsidR="00541F03" w:rsidRPr="00037DAA" w:rsidRDefault="00541F03"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bottom"/>
            <w:hideMark/>
          </w:tcPr>
          <w:p w14:paraId="3903B1E3" w14:textId="77777777" w:rsidR="00541F03" w:rsidRPr="00037DAA" w:rsidRDefault="00541F03"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w:t>
            </w:r>
          </w:p>
        </w:tc>
        <w:tc>
          <w:tcPr>
            <w:tcW w:w="520" w:type="dxa"/>
            <w:gridSpan w:val="2"/>
            <w:tcBorders>
              <w:top w:val="nil"/>
              <w:left w:val="nil"/>
              <w:bottom w:val="nil"/>
              <w:right w:val="nil"/>
            </w:tcBorders>
            <w:shd w:val="clear" w:color="000000" w:fill="FFFFFF"/>
            <w:noWrap/>
            <w:vAlign w:val="bottom"/>
            <w:hideMark/>
          </w:tcPr>
          <w:p w14:paraId="5DCC2169" w14:textId="77777777" w:rsidR="00541F03" w:rsidRPr="00037DAA" w:rsidRDefault="00541F03"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2E0AC219" w14:textId="77777777" w:rsidTr="00037DAA">
        <w:trPr>
          <w:trHeight w:val="285"/>
        </w:trPr>
        <w:tc>
          <w:tcPr>
            <w:tcW w:w="3544" w:type="dxa"/>
            <w:tcBorders>
              <w:top w:val="nil"/>
              <w:left w:val="nil"/>
              <w:bottom w:val="nil"/>
              <w:right w:val="nil"/>
            </w:tcBorders>
            <w:shd w:val="clear" w:color="000000" w:fill="FFFFFF"/>
            <w:noWrap/>
            <w:vAlign w:val="bottom"/>
            <w:hideMark/>
          </w:tcPr>
          <w:p w14:paraId="2FFE898D"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VAT</w:t>
            </w:r>
          </w:p>
        </w:tc>
        <w:tc>
          <w:tcPr>
            <w:tcW w:w="386" w:type="dxa"/>
            <w:gridSpan w:val="2"/>
            <w:tcBorders>
              <w:top w:val="nil"/>
              <w:left w:val="nil"/>
              <w:bottom w:val="nil"/>
              <w:right w:val="nil"/>
            </w:tcBorders>
            <w:shd w:val="clear" w:color="000000" w:fill="FFFFFF"/>
            <w:noWrap/>
            <w:vAlign w:val="bottom"/>
            <w:hideMark/>
          </w:tcPr>
          <w:p w14:paraId="52EFA96F"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520" w:type="dxa"/>
            <w:gridSpan w:val="2"/>
            <w:tcBorders>
              <w:top w:val="nil"/>
              <w:left w:val="nil"/>
              <w:bottom w:val="nil"/>
              <w:right w:val="nil"/>
            </w:tcBorders>
            <w:shd w:val="clear" w:color="000000" w:fill="FFFFFF"/>
            <w:noWrap/>
            <w:vAlign w:val="bottom"/>
            <w:hideMark/>
          </w:tcPr>
          <w:p w14:paraId="4F43DE8A"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79BD3E74"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6C11DEAD"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04987A7A"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bottom"/>
            <w:hideMark/>
          </w:tcPr>
          <w:p w14:paraId="689F55E3"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2,384</w:t>
            </w:r>
          </w:p>
        </w:tc>
        <w:tc>
          <w:tcPr>
            <w:tcW w:w="272" w:type="dxa"/>
            <w:gridSpan w:val="2"/>
            <w:tcBorders>
              <w:top w:val="nil"/>
              <w:left w:val="nil"/>
              <w:bottom w:val="nil"/>
              <w:right w:val="nil"/>
            </w:tcBorders>
            <w:shd w:val="clear" w:color="000000" w:fill="FFFFFF"/>
            <w:noWrap/>
            <w:vAlign w:val="bottom"/>
            <w:hideMark/>
          </w:tcPr>
          <w:p w14:paraId="43AECED0"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bottom"/>
            <w:hideMark/>
          </w:tcPr>
          <w:p w14:paraId="2440EA3D"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333</w:t>
            </w:r>
          </w:p>
        </w:tc>
        <w:tc>
          <w:tcPr>
            <w:tcW w:w="520" w:type="dxa"/>
            <w:gridSpan w:val="2"/>
            <w:tcBorders>
              <w:top w:val="nil"/>
              <w:left w:val="nil"/>
              <w:bottom w:val="nil"/>
              <w:right w:val="nil"/>
            </w:tcBorders>
            <w:shd w:val="clear" w:color="000000" w:fill="FFFFFF"/>
            <w:noWrap/>
            <w:vAlign w:val="bottom"/>
            <w:hideMark/>
          </w:tcPr>
          <w:p w14:paraId="6966F67B"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0B024146" w14:textId="77777777" w:rsidTr="00037DAA">
        <w:trPr>
          <w:trHeight w:val="285"/>
        </w:trPr>
        <w:tc>
          <w:tcPr>
            <w:tcW w:w="3544" w:type="dxa"/>
            <w:tcBorders>
              <w:top w:val="nil"/>
              <w:left w:val="nil"/>
              <w:bottom w:val="nil"/>
              <w:right w:val="nil"/>
            </w:tcBorders>
            <w:shd w:val="clear" w:color="000000" w:fill="FFFFFF"/>
            <w:noWrap/>
            <w:vAlign w:val="bottom"/>
            <w:hideMark/>
          </w:tcPr>
          <w:p w14:paraId="6DC504C2"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Other receivables and accruals</w:t>
            </w:r>
          </w:p>
        </w:tc>
        <w:tc>
          <w:tcPr>
            <w:tcW w:w="386" w:type="dxa"/>
            <w:gridSpan w:val="2"/>
            <w:tcBorders>
              <w:top w:val="nil"/>
              <w:left w:val="nil"/>
              <w:bottom w:val="nil"/>
              <w:right w:val="nil"/>
            </w:tcBorders>
            <w:shd w:val="clear" w:color="000000" w:fill="FFFFFF"/>
            <w:noWrap/>
            <w:vAlign w:val="bottom"/>
            <w:hideMark/>
          </w:tcPr>
          <w:p w14:paraId="3A5471D9"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520" w:type="dxa"/>
            <w:gridSpan w:val="2"/>
            <w:tcBorders>
              <w:top w:val="nil"/>
              <w:left w:val="nil"/>
              <w:bottom w:val="nil"/>
              <w:right w:val="nil"/>
            </w:tcBorders>
            <w:shd w:val="clear" w:color="000000" w:fill="FFFFFF"/>
            <w:noWrap/>
            <w:vAlign w:val="bottom"/>
            <w:hideMark/>
          </w:tcPr>
          <w:p w14:paraId="54A076E9"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2AFEA3C2"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05DD1E86"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0EE8B461"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bottom"/>
            <w:hideMark/>
          </w:tcPr>
          <w:p w14:paraId="105C9B79"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2</w:t>
            </w:r>
          </w:p>
        </w:tc>
        <w:tc>
          <w:tcPr>
            <w:tcW w:w="272" w:type="dxa"/>
            <w:gridSpan w:val="2"/>
            <w:tcBorders>
              <w:top w:val="nil"/>
              <w:left w:val="nil"/>
              <w:bottom w:val="nil"/>
              <w:right w:val="nil"/>
            </w:tcBorders>
            <w:shd w:val="clear" w:color="000000" w:fill="FFFFFF"/>
            <w:noWrap/>
            <w:vAlign w:val="bottom"/>
            <w:hideMark/>
          </w:tcPr>
          <w:p w14:paraId="4BC52734"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bottom"/>
            <w:hideMark/>
          </w:tcPr>
          <w:p w14:paraId="657DE336"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1</w:t>
            </w:r>
          </w:p>
        </w:tc>
        <w:tc>
          <w:tcPr>
            <w:tcW w:w="520" w:type="dxa"/>
            <w:gridSpan w:val="2"/>
            <w:tcBorders>
              <w:top w:val="nil"/>
              <w:left w:val="nil"/>
              <w:bottom w:val="nil"/>
              <w:right w:val="nil"/>
            </w:tcBorders>
            <w:shd w:val="clear" w:color="000000" w:fill="FFFFFF"/>
            <w:noWrap/>
            <w:vAlign w:val="bottom"/>
            <w:hideMark/>
          </w:tcPr>
          <w:p w14:paraId="298268FB"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51761D94" w14:textId="77777777" w:rsidTr="00037DAA">
        <w:trPr>
          <w:trHeight w:val="260"/>
        </w:trPr>
        <w:tc>
          <w:tcPr>
            <w:tcW w:w="3544" w:type="dxa"/>
            <w:tcBorders>
              <w:top w:val="nil"/>
              <w:left w:val="nil"/>
              <w:bottom w:val="nil"/>
              <w:right w:val="nil"/>
            </w:tcBorders>
            <w:shd w:val="clear" w:color="000000" w:fill="FFFFFF"/>
            <w:noWrap/>
            <w:vAlign w:val="bottom"/>
            <w:hideMark/>
          </w:tcPr>
          <w:p w14:paraId="708ED6F8" w14:textId="77777777" w:rsidR="00037DAA" w:rsidRPr="00037DAA" w:rsidRDefault="00037DAA" w:rsidP="00037DAA">
            <w:pPr>
              <w:spacing w:before="0" w:after="0"/>
              <w:rPr>
                <w:rFonts w:eastAsia="Times New Roman" w:cs="Arial"/>
                <w:b/>
                <w:bCs/>
                <w:sz w:val="20"/>
                <w:szCs w:val="20"/>
                <w:lang w:eastAsia="en-GB"/>
              </w:rPr>
            </w:pPr>
            <w:r w:rsidRPr="00037DAA">
              <w:rPr>
                <w:rFonts w:eastAsia="Times New Roman" w:cs="Arial"/>
                <w:b/>
                <w:bCs/>
                <w:sz w:val="20"/>
                <w:szCs w:val="20"/>
                <w:lang w:eastAsia="en-GB"/>
              </w:rPr>
              <w:t>Total trade &amp; other receivables</w:t>
            </w:r>
          </w:p>
        </w:tc>
        <w:tc>
          <w:tcPr>
            <w:tcW w:w="386" w:type="dxa"/>
            <w:gridSpan w:val="2"/>
            <w:tcBorders>
              <w:top w:val="nil"/>
              <w:left w:val="nil"/>
              <w:bottom w:val="nil"/>
              <w:right w:val="nil"/>
            </w:tcBorders>
            <w:shd w:val="clear" w:color="000000" w:fill="FFFFFF"/>
            <w:noWrap/>
            <w:vAlign w:val="bottom"/>
            <w:hideMark/>
          </w:tcPr>
          <w:p w14:paraId="32D9DF4E" w14:textId="77777777" w:rsidR="00037DAA" w:rsidRPr="00037DAA" w:rsidRDefault="00037DAA" w:rsidP="00037DAA">
            <w:pPr>
              <w:spacing w:before="0" w:after="0"/>
              <w:rPr>
                <w:rFonts w:eastAsia="Times New Roman" w:cs="Arial"/>
                <w:b/>
                <w:bCs/>
                <w:sz w:val="20"/>
                <w:szCs w:val="20"/>
                <w:lang w:eastAsia="en-GB"/>
              </w:rPr>
            </w:pPr>
            <w:r w:rsidRPr="00037DAA">
              <w:rPr>
                <w:rFonts w:eastAsia="Times New Roman" w:cs="Arial"/>
                <w:b/>
                <w:bCs/>
                <w:sz w:val="20"/>
                <w:szCs w:val="20"/>
                <w:lang w:eastAsia="en-GB"/>
              </w:rPr>
              <w:t> </w:t>
            </w:r>
          </w:p>
        </w:tc>
        <w:tc>
          <w:tcPr>
            <w:tcW w:w="1520" w:type="dxa"/>
            <w:gridSpan w:val="2"/>
            <w:tcBorders>
              <w:top w:val="nil"/>
              <w:left w:val="nil"/>
              <w:bottom w:val="nil"/>
              <w:right w:val="nil"/>
            </w:tcBorders>
            <w:shd w:val="clear" w:color="000000" w:fill="FFFFFF"/>
            <w:noWrap/>
            <w:vAlign w:val="bottom"/>
            <w:hideMark/>
          </w:tcPr>
          <w:p w14:paraId="6B588CDF"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3F21498A"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7B0EF6CA"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081EA46A"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single" w:sz="4" w:space="0" w:color="auto"/>
              <w:left w:val="nil"/>
              <w:bottom w:val="single" w:sz="4" w:space="0" w:color="auto"/>
              <w:right w:val="nil"/>
            </w:tcBorders>
            <w:shd w:val="clear" w:color="000000" w:fill="FFFFFF"/>
            <w:noWrap/>
            <w:vAlign w:val="bottom"/>
            <w:hideMark/>
          </w:tcPr>
          <w:p w14:paraId="1A9621E5"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17,736</w:t>
            </w:r>
          </w:p>
        </w:tc>
        <w:tc>
          <w:tcPr>
            <w:tcW w:w="272" w:type="dxa"/>
            <w:gridSpan w:val="2"/>
            <w:tcBorders>
              <w:top w:val="nil"/>
              <w:left w:val="nil"/>
              <w:bottom w:val="nil"/>
              <w:right w:val="nil"/>
            </w:tcBorders>
            <w:shd w:val="clear" w:color="000000" w:fill="FFFFFF"/>
            <w:noWrap/>
            <w:vAlign w:val="bottom"/>
            <w:hideMark/>
          </w:tcPr>
          <w:p w14:paraId="0C9F0830"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single" w:sz="4" w:space="0" w:color="auto"/>
              <w:left w:val="nil"/>
              <w:bottom w:val="single" w:sz="4" w:space="0" w:color="auto"/>
              <w:right w:val="nil"/>
            </w:tcBorders>
            <w:shd w:val="clear" w:color="000000" w:fill="FFFFFF"/>
            <w:noWrap/>
            <w:vAlign w:val="bottom"/>
            <w:hideMark/>
          </w:tcPr>
          <w:p w14:paraId="4C09E38B"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9,644</w:t>
            </w:r>
          </w:p>
        </w:tc>
        <w:tc>
          <w:tcPr>
            <w:tcW w:w="520" w:type="dxa"/>
            <w:gridSpan w:val="2"/>
            <w:tcBorders>
              <w:top w:val="nil"/>
              <w:left w:val="nil"/>
              <w:bottom w:val="nil"/>
              <w:right w:val="nil"/>
            </w:tcBorders>
            <w:shd w:val="clear" w:color="000000" w:fill="FFFFFF"/>
            <w:noWrap/>
            <w:vAlign w:val="bottom"/>
            <w:hideMark/>
          </w:tcPr>
          <w:p w14:paraId="326B17A0"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110ED072" w14:textId="77777777" w:rsidTr="00037DAA">
        <w:trPr>
          <w:trHeight w:val="250"/>
        </w:trPr>
        <w:tc>
          <w:tcPr>
            <w:tcW w:w="3544" w:type="dxa"/>
            <w:tcBorders>
              <w:top w:val="nil"/>
              <w:left w:val="nil"/>
              <w:bottom w:val="nil"/>
              <w:right w:val="nil"/>
            </w:tcBorders>
            <w:shd w:val="clear" w:color="000000" w:fill="FFFFFF"/>
            <w:noWrap/>
            <w:vAlign w:val="bottom"/>
            <w:hideMark/>
          </w:tcPr>
          <w:p w14:paraId="3B59A968"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386" w:type="dxa"/>
            <w:gridSpan w:val="2"/>
            <w:tcBorders>
              <w:top w:val="nil"/>
              <w:left w:val="nil"/>
              <w:bottom w:val="nil"/>
              <w:right w:val="nil"/>
            </w:tcBorders>
            <w:shd w:val="clear" w:color="000000" w:fill="FFFFFF"/>
            <w:noWrap/>
            <w:vAlign w:val="bottom"/>
            <w:hideMark/>
          </w:tcPr>
          <w:p w14:paraId="79C4D12C"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520" w:type="dxa"/>
            <w:gridSpan w:val="2"/>
            <w:tcBorders>
              <w:top w:val="nil"/>
              <w:left w:val="nil"/>
              <w:bottom w:val="nil"/>
              <w:right w:val="nil"/>
            </w:tcBorders>
            <w:shd w:val="clear" w:color="000000" w:fill="FFFFFF"/>
            <w:noWrap/>
            <w:vAlign w:val="bottom"/>
            <w:hideMark/>
          </w:tcPr>
          <w:p w14:paraId="0E996F63"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2F52D9BF"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18783162"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560B2A88"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bottom"/>
            <w:hideMark/>
          </w:tcPr>
          <w:p w14:paraId="056B8A83"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09AD74AC"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bottom"/>
            <w:hideMark/>
          </w:tcPr>
          <w:p w14:paraId="5E619CFC"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520" w:type="dxa"/>
            <w:gridSpan w:val="2"/>
            <w:tcBorders>
              <w:top w:val="nil"/>
              <w:left w:val="nil"/>
              <w:bottom w:val="nil"/>
              <w:right w:val="nil"/>
            </w:tcBorders>
            <w:shd w:val="clear" w:color="000000" w:fill="FFFFFF"/>
            <w:noWrap/>
            <w:vAlign w:val="bottom"/>
            <w:hideMark/>
          </w:tcPr>
          <w:p w14:paraId="61D059B8"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4AD26362" w14:textId="77777777" w:rsidTr="00037DAA">
        <w:trPr>
          <w:trHeight w:val="250"/>
        </w:trPr>
        <w:tc>
          <w:tcPr>
            <w:tcW w:w="3544" w:type="dxa"/>
            <w:tcBorders>
              <w:top w:val="nil"/>
              <w:left w:val="nil"/>
              <w:bottom w:val="nil"/>
              <w:right w:val="nil"/>
            </w:tcBorders>
            <w:shd w:val="clear" w:color="000000" w:fill="FFFFFF"/>
            <w:noWrap/>
            <w:vAlign w:val="bottom"/>
            <w:hideMark/>
          </w:tcPr>
          <w:p w14:paraId="005F6EC6"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386" w:type="dxa"/>
            <w:gridSpan w:val="2"/>
            <w:tcBorders>
              <w:top w:val="nil"/>
              <w:left w:val="nil"/>
              <w:bottom w:val="nil"/>
              <w:right w:val="nil"/>
            </w:tcBorders>
            <w:shd w:val="clear" w:color="000000" w:fill="FFFFFF"/>
            <w:noWrap/>
            <w:vAlign w:val="bottom"/>
            <w:hideMark/>
          </w:tcPr>
          <w:p w14:paraId="68294EBC"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520" w:type="dxa"/>
            <w:gridSpan w:val="2"/>
            <w:tcBorders>
              <w:top w:val="nil"/>
              <w:left w:val="nil"/>
              <w:bottom w:val="nil"/>
              <w:right w:val="nil"/>
            </w:tcBorders>
            <w:shd w:val="clear" w:color="000000" w:fill="FFFFFF"/>
            <w:noWrap/>
            <w:vAlign w:val="bottom"/>
            <w:hideMark/>
          </w:tcPr>
          <w:p w14:paraId="13BE73F8"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0C73A1A7"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4B0D2BC1"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53546BC5"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bottom"/>
            <w:hideMark/>
          </w:tcPr>
          <w:p w14:paraId="68B74A8B"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5AB39880"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bottom"/>
            <w:hideMark/>
          </w:tcPr>
          <w:p w14:paraId="36EE56D2"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520" w:type="dxa"/>
            <w:gridSpan w:val="2"/>
            <w:tcBorders>
              <w:top w:val="nil"/>
              <w:left w:val="nil"/>
              <w:bottom w:val="nil"/>
              <w:right w:val="nil"/>
            </w:tcBorders>
            <w:shd w:val="clear" w:color="000000" w:fill="FFFFFF"/>
            <w:noWrap/>
            <w:vAlign w:val="bottom"/>
            <w:hideMark/>
          </w:tcPr>
          <w:p w14:paraId="7085747A"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57A2B14F" w14:textId="77777777" w:rsidTr="00037DAA">
        <w:trPr>
          <w:trHeight w:val="250"/>
        </w:trPr>
        <w:tc>
          <w:tcPr>
            <w:tcW w:w="3544" w:type="dxa"/>
            <w:tcBorders>
              <w:top w:val="nil"/>
              <w:left w:val="nil"/>
              <w:bottom w:val="nil"/>
              <w:right w:val="nil"/>
            </w:tcBorders>
            <w:shd w:val="clear" w:color="000000" w:fill="FFFFFF"/>
            <w:noWrap/>
            <w:vAlign w:val="bottom"/>
            <w:hideMark/>
          </w:tcPr>
          <w:p w14:paraId="043B7235"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386" w:type="dxa"/>
            <w:gridSpan w:val="2"/>
            <w:tcBorders>
              <w:top w:val="nil"/>
              <w:left w:val="nil"/>
              <w:bottom w:val="nil"/>
              <w:right w:val="nil"/>
            </w:tcBorders>
            <w:shd w:val="clear" w:color="000000" w:fill="FFFFFF"/>
            <w:noWrap/>
            <w:vAlign w:val="bottom"/>
            <w:hideMark/>
          </w:tcPr>
          <w:p w14:paraId="7799194B"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520" w:type="dxa"/>
            <w:gridSpan w:val="2"/>
            <w:tcBorders>
              <w:top w:val="nil"/>
              <w:left w:val="nil"/>
              <w:bottom w:val="nil"/>
              <w:right w:val="nil"/>
            </w:tcBorders>
            <w:shd w:val="clear" w:color="000000" w:fill="FFFFFF"/>
            <w:noWrap/>
            <w:vAlign w:val="bottom"/>
            <w:hideMark/>
          </w:tcPr>
          <w:p w14:paraId="476C3B5F"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1E2E7F5C"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78D8A9B6"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2AF39B49"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bottom"/>
            <w:hideMark/>
          </w:tcPr>
          <w:p w14:paraId="5E991636"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31F5F587"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bottom"/>
            <w:hideMark/>
          </w:tcPr>
          <w:p w14:paraId="43D902B3"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520" w:type="dxa"/>
            <w:gridSpan w:val="2"/>
            <w:tcBorders>
              <w:top w:val="nil"/>
              <w:left w:val="nil"/>
              <w:bottom w:val="nil"/>
              <w:right w:val="nil"/>
            </w:tcBorders>
            <w:shd w:val="clear" w:color="000000" w:fill="FFFFFF"/>
            <w:noWrap/>
            <w:vAlign w:val="bottom"/>
            <w:hideMark/>
          </w:tcPr>
          <w:p w14:paraId="774971E1"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493165DB" w14:textId="77777777" w:rsidTr="00037DAA">
        <w:trPr>
          <w:gridAfter w:val="1"/>
          <w:wAfter w:w="6" w:type="dxa"/>
          <w:trHeight w:val="255"/>
        </w:trPr>
        <w:tc>
          <w:tcPr>
            <w:tcW w:w="3924" w:type="dxa"/>
            <w:gridSpan w:val="2"/>
            <w:tcBorders>
              <w:top w:val="nil"/>
              <w:left w:val="nil"/>
              <w:bottom w:val="nil"/>
              <w:right w:val="nil"/>
            </w:tcBorders>
            <w:shd w:val="clear" w:color="000000" w:fill="FFFFFF"/>
            <w:noWrap/>
            <w:vAlign w:val="bottom"/>
            <w:hideMark/>
          </w:tcPr>
          <w:p w14:paraId="1779052F" w14:textId="77777777" w:rsidR="00037DAA" w:rsidRPr="00037DAA" w:rsidRDefault="00037DAA" w:rsidP="00037DAA">
            <w:pPr>
              <w:spacing w:before="0" w:after="0"/>
              <w:rPr>
                <w:rFonts w:eastAsia="Times New Roman" w:cs="Arial"/>
                <w:b/>
                <w:bCs/>
                <w:sz w:val="20"/>
                <w:szCs w:val="20"/>
                <w:lang w:eastAsia="en-GB"/>
              </w:rPr>
            </w:pPr>
            <w:r w:rsidRPr="00037DAA">
              <w:rPr>
                <w:rFonts w:eastAsia="Times New Roman" w:cs="Arial"/>
                <w:b/>
                <w:bCs/>
                <w:sz w:val="20"/>
                <w:szCs w:val="20"/>
                <w:lang w:eastAsia="en-GB"/>
              </w:rPr>
              <w:t>11.1 Receivables Past Their Due Date but Not Impaired</w:t>
            </w:r>
          </w:p>
        </w:tc>
        <w:tc>
          <w:tcPr>
            <w:tcW w:w="1520" w:type="dxa"/>
            <w:gridSpan w:val="2"/>
            <w:tcBorders>
              <w:top w:val="nil"/>
              <w:left w:val="nil"/>
              <w:bottom w:val="nil"/>
              <w:right w:val="nil"/>
            </w:tcBorders>
            <w:shd w:val="clear" w:color="000000" w:fill="FFFFFF"/>
            <w:noWrap/>
            <w:vAlign w:val="bottom"/>
            <w:hideMark/>
          </w:tcPr>
          <w:p w14:paraId="18C89B9E" w14:textId="77777777" w:rsidR="00037DAA" w:rsidRPr="00037DAA" w:rsidRDefault="00037DAA" w:rsidP="00037DAA">
            <w:pPr>
              <w:spacing w:before="0" w:after="0"/>
              <w:jc w:val="center"/>
              <w:rPr>
                <w:rFonts w:eastAsia="Times New Roman" w:cs="Arial"/>
                <w:b/>
                <w:bCs/>
                <w:sz w:val="20"/>
                <w:szCs w:val="20"/>
                <w:lang w:eastAsia="en-GB"/>
              </w:rPr>
            </w:pPr>
            <w:r w:rsidRPr="00037DAA">
              <w:rPr>
                <w:rFonts w:eastAsia="Times New Roman" w:cs="Arial"/>
                <w:b/>
                <w:bCs/>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6306B112" w14:textId="77777777" w:rsidR="00037DAA" w:rsidRPr="00037DAA" w:rsidRDefault="00037DAA" w:rsidP="00037DAA">
            <w:pPr>
              <w:spacing w:before="0" w:after="0"/>
              <w:jc w:val="center"/>
              <w:rPr>
                <w:rFonts w:eastAsia="Times New Roman" w:cs="Arial"/>
                <w:b/>
                <w:bCs/>
                <w:sz w:val="20"/>
                <w:szCs w:val="20"/>
                <w:lang w:eastAsia="en-GB"/>
              </w:rPr>
            </w:pPr>
            <w:r w:rsidRPr="00037DAA">
              <w:rPr>
                <w:rFonts w:eastAsia="Times New Roman" w:cs="Arial"/>
                <w:b/>
                <w:bCs/>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12C3F3FB" w14:textId="77777777" w:rsidR="00037DAA" w:rsidRPr="00037DAA" w:rsidRDefault="00037DAA" w:rsidP="00037DAA">
            <w:pPr>
              <w:spacing w:before="0" w:after="0"/>
              <w:jc w:val="center"/>
              <w:rPr>
                <w:rFonts w:eastAsia="Times New Roman" w:cs="Arial"/>
                <w:b/>
                <w:bCs/>
                <w:sz w:val="20"/>
                <w:szCs w:val="20"/>
                <w:lang w:eastAsia="en-GB"/>
              </w:rPr>
            </w:pPr>
            <w:r w:rsidRPr="00037DAA">
              <w:rPr>
                <w:rFonts w:eastAsia="Times New Roman" w:cs="Arial"/>
                <w:b/>
                <w:bCs/>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0273A201" w14:textId="77777777" w:rsidR="00037DAA" w:rsidRPr="00037DAA" w:rsidRDefault="00037DAA" w:rsidP="00037DAA">
            <w:pPr>
              <w:spacing w:before="0" w:after="0"/>
              <w:jc w:val="center"/>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bottom"/>
            <w:hideMark/>
          </w:tcPr>
          <w:p w14:paraId="291AAE39" w14:textId="77777777" w:rsidR="00037DAA" w:rsidRPr="00037DAA" w:rsidRDefault="00037DAA" w:rsidP="00037DAA">
            <w:pPr>
              <w:spacing w:before="0" w:after="0"/>
              <w:jc w:val="center"/>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7F9A7A7A" w14:textId="77777777" w:rsidR="00037DAA" w:rsidRPr="00037DAA" w:rsidRDefault="00037DAA" w:rsidP="00037DAA">
            <w:pPr>
              <w:spacing w:before="0" w:after="0"/>
              <w:jc w:val="center"/>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bottom"/>
            <w:hideMark/>
          </w:tcPr>
          <w:p w14:paraId="64598CE2" w14:textId="77777777" w:rsidR="00037DAA" w:rsidRPr="00037DAA" w:rsidRDefault="00037DAA" w:rsidP="00037DAA">
            <w:pPr>
              <w:spacing w:before="0" w:after="0"/>
              <w:jc w:val="center"/>
              <w:rPr>
                <w:rFonts w:eastAsia="Times New Roman" w:cs="Arial"/>
                <w:sz w:val="20"/>
                <w:szCs w:val="20"/>
                <w:lang w:eastAsia="en-GB"/>
              </w:rPr>
            </w:pPr>
            <w:r w:rsidRPr="00037DAA">
              <w:rPr>
                <w:rFonts w:eastAsia="Times New Roman" w:cs="Arial"/>
                <w:sz w:val="20"/>
                <w:szCs w:val="20"/>
                <w:lang w:eastAsia="en-GB"/>
              </w:rPr>
              <w:t> </w:t>
            </w:r>
          </w:p>
        </w:tc>
        <w:tc>
          <w:tcPr>
            <w:tcW w:w="520" w:type="dxa"/>
            <w:gridSpan w:val="2"/>
            <w:tcBorders>
              <w:top w:val="nil"/>
              <w:left w:val="nil"/>
              <w:bottom w:val="nil"/>
              <w:right w:val="nil"/>
            </w:tcBorders>
            <w:shd w:val="clear" w:color="000000" w:fill="FFFFFF"/>
            <w:noWrap/>
            <w:vAlign w:val="bottom"/>
            <w:hideMark/>
          </w:tcPr>
          <w:p w14:paraId="5A7EAFF6"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39B1A215" w14:textId="77777777" w:rsidTr="00037DAA">
        <w:trPr>
          <w:trHeight w:val="100"/>
        </w:trPr>
        <w:tc>
          <w:tcPr>
            <w:tcW w:w="3544" w:type="dxa"/>
            <w:tcBorders>
              <w:top w:val="nil"/>
              <w:left w:val="nil"/>
              <w:bottom w:val="nil"/>
              <w:right w:val="nil"/>
            </w:tcBorders>
            <w:shd w:val="clear" w:color="000000" w:fill="FFFFFF"/>
            <w:noWrap/>
            <w:vAlign w:val="bottom"/>
            <w:hideMark/>
          </w:tcPr>
          <w:p w14:paraId="071D5535" w14:textId="77777777" w:rsidR="00037DAA" w:rsidRPr="00037DAA" w:rsidRDefault="00037DAA" w:rsidP="00037DAA">
            <w:pPr>
              <w:spacing w:before="0" w:after="0"/>
              <w:rPr>
                <w:rFonts w:eastAsia="Times New Roman" w:cs="Arial"/>
                <w:b/>
                <w:bCs/>
                <w:sz w:val="20"/>
                <w:szCs w:val="20"/>
                <w:lang w:eastAsia="en-GB"/>
              </w:rPr>
            </w:pPr>
            <w:r w:rsidRPr="00037DAA">
              <w:rPr>
                <w:rFonts w:eastAsia="Times New Roman" w:cs="Arial"/>
                <w:b/>
                <w:bCs/>
                <w:sz w:val="20"/>
                <w:szCs w:val="20"/>
                <w:lang w:eastAsia="en-GB"/>
              </w:rPr>
              <w:t> </w:t>
            </w:r>
          </w:p>
        </w:tc>
        <w:tc>
          <w:tcPr>
            <w:tcW w:w="386" w:type="dxa"/>
            <w:gridSpan w:val="2"/>
            <w:tcBorders>
              <w:top w:val="nil"/>
              <w:left w:val="nil"/>
              <w:bottom w:val="nil"/>
              <w:right w:val="nil"/>
            </w:tcBorders>
            <w:shd w:val="clear" w:color="000000" w:fill="FFFFFF"/>
            <w:noWrap/>
            <w:vAlign w:val="bottom"/>
            <w:hideMark/>
          </w:tcPr>
          <w:p w14:paraId="0B5A9325" w14:textId="77777777" w:rsidR="00037DAA" w:rsidRPr="00037DAA" w:rsidRDefault="00037DAA" w:rsidP="00037DAA">
            <w:pPr>
              <w:spacing w:before="0" w:after="0"/>
              <w:rPr>
                <w:rFonts w:eastAsia="Times New Roman" w:cs="Arial"/>
                <w:b/>
                <w:bCs/>
                <w:sz w:val="20"/>
                <w:szCs w:val="20"/>
                <w:lang w:eastAsia="en-GB"/>
              </w:rPr>
            </w:pPr>
            <w:r w:rsidRPr="00037DAA">
              <w:rPr>
                <w:rFonts w:eastAsia="Times New Roman" w:cs="Arial"/>
                <w:b/>
                <w:bCs/>
                <w:sz w:val="20"/>
                <w:szCs w:val="20"/>
                <w:lang w:eastAsia="en-GB"/>
              </w:rPr>
              <w:t> </w:t>
            </w:r>
          </w:p>
        </w:tc>
        <w:tc>
          <w:tcPr>
            <w:tcW w:w="1520" w:type="dxa"/>
            <w:gridSpan w:val="2"/>
            <w:tcBorders>
              <w:top w:val="nil"/>
              <w:left w:val="nil"/>
              <w:bottom w:val="nil"/>
              <w:right w:val="nil"/>
            </w:tcBorders>
            <w:shd w:val="clear" w:color="000000" w:fill="FFFFFF"/>
            <w:noWrap/>
            <w:vAlign w:val="bottom"/>
            <w:hideMark/>
          </w:tcPr>
          <w:p w14:paraId="2CCBB175" w14:textId="77777777" w:rsidR="00037DAA" w:rsidRPr="00037DAA" w:rsidRDefault="00037DAA" w:rsidP="00037DAA">
            <w:pPr>
              <w:spacing w:before="0" w:after="0"/>
              <w:jc w:val="center"/>
              <w:rPr>
                <w:rFonts w:eastAsia="Times New Roman" w:cs="Arial"/>
                <w:b/>
                <w:bCs/>
                <w:sz w:val="20"/>
                <w:szCs w:val="20"/>
                <w:lang w:eastAsia="en-GB"/>
              </w:rPr>
            </w:pPr>
            <w:r w:rsidRPr="00037DAA">
              <w:rPr>
                <w:rFonts w:eastAsia="Times New Roman" w:cs="Arial"/>
                <w:b/>
                <w:bCs/>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1D63A621" w14:textId="77777777" w:rsidR="00037DAA" w:rsidRPr="00037DAA" w:rsidRDefault="00037DAA" w:rsidP="00037DAA">
            <w:pPr>
              <w:spacing w:before="0" w:after="0"/>
              <w:jc w:val="center"/>
              <w:rPr>
                <w:rFonts w:eastAsia="Times New Roman" w:cs="Arial"/>
                <w:b/>
                <w:bCs/>
                <w:sz w:val="20"/>
                <w:szCs w:val="20"/>
                <w:lang w:eastAsia="en-GB"/>
              </w:rPr>
            </w:pPr>
            <w:r w:rsidRPr="00037DAA">
              <w:rPr>
                <w:rFonts w:eastAsia="Times New Roman" w:cs="Arial"/>
                <w:b/>
                <w:bCs/>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12E9048D" w14:textId="77777777" w:rsidR="00037DAA" w:rsidRPr="00037DAA" w:rsidRDefault="00037DAA" w:rsidP="00037DAA">
            <w:pPr>
              <w:spacing w:before="0" w:after="0"/>
              <w:jc w:val="center"/>
              <w:rPr>
                <w:rFonts w:eastAsia="Times New Roman" w:cs="Arial"/>
                <w:b/>
                <w:bCs/>
                <w:sz w:val="20"/>
                <w:szCs w:val="20"/>
                <w:lang w:eastAsia="en-GB"/>
              </w:rPr>
            </w:pPr>
            <w:r w:rsidRPr="00037DAA">
              <w:rPr>
                <w:rFonts w:eastAsia="Times New Roman" w:cs="Arial"/>
                <w:b/>
                <w:bCs/>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1060506B" w14:textId="77777777" w:rsidR="00037DAA" w:rsidRPr="00037DAA" w:rsidRDefault="00037DAA" w:rsidP="00037DAA">
            <w:pPr>
              <w:spacing w:before="0" w:after="0"/>
              <w:jc w:val="center"/>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bottom"/>
            <w:hideMark/>
          </w:tcPr>
          <w:p w14:paraId="59F9DF61" w14:textId="77777777" w:rsidR="00037DAA" w:rsidRPr="00037DAA" w:rsidRDefault="00037DAA" w:rsidP="00037DAA">
            <w:pPr>
              <w:spacing w:before="0" w:after="0"/>
              <w:jc w:val="center"/>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61FB6327" w14:textId="77777777" w:rsidR="00037DAA" w:rsidRPr="00037DAA" w:rsidRDefault="00037DAA" w:rsidP="00037DAA">
            <w:pPr>
              <w:spacing w:before="0" w:after="0"/>
              <w:jc w:val="center"/>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bottom"/>
            <w:hideMark/>
          </w:tcPr>
          <w:p w14:paraId="0417C3FC" w14:textId="77777777" w:rsidR="00037DAA" w:rsidRPr="00037DAA" w:rsidRDefault="00037DAA" w:rsidP="00037DAA">
            <w:pPr>
              <w:spacing w:before="0" w:after="0"/>
              <w:jc w:val="center"/>
              <w:rPr>
                <w:rFonts w:eastAsia="Times New Roman" w:cs="Arial"/>
                <w:sz w:val="20"/>
                <w:szCs w:val="20"/>
                <w:lang w:eastAsia="en-GB"/>
              </w:rPr>
            </w:pPr>
            <w:r w:rsidRPr="00037DAA">
              <w:rPr>
                <w:rFonts w:eastAsia="Times New Roman" w:cs="Arial"/>
                <w:sz w:val="20"/>
                <w:szCs w:val="20"/>
                <w:lang w:eastAsia="en-GB"/>
              </w:rPr>
              <w:t> </w:t>
            </w:r>
          </w:p>
        </w:tc>
        <w:tc>
          <w:tcPr>
            <w:tcW w:w="520" w:type="dxa"/>
            <w:gridSpan w:val="2"/>
            <w:tcBorders>
              <w:top w:val="nil"/>
              <w:left w:val="nil"/>
              <w:bottom w:val="nil"/>
              <w:right w:val="nil"/>
            </w:tcBorders>
            <w:shd w:val="clear" w:color="000000" w:fill="FFFFFF"/>
            <w:noWrap/>
            <w:vAlign w:val="bottom"/>
            <w:hideMark/>
          </w:tcPr>
          <w:p w14:paraId="1EC654D8"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75BE3085" w14:textId="77777777" w:rsidTr="00037DAA">
        <w:trPr>
          <w:trHeight w:val="260"/>
        </w:trPr>
        <w:tc>
          <w:tcPr>
            <w:tcW w:w="3544" w:type="dxa"/>
            <w:tcBorders>
              <w:top w:val="nil"/>
              <w:left w:val="nil"/>
              <w:bottom w:val="nil"/>
              <w:right w:val="nil"/>
            </w:tcBorders>
            <w:shd w:val="clear" w:color="000000" w:fill="FFFFFF"/>
            <w:noWrap/>
            <w:vAlign w:val="center"/>
            <w:hideMark/>
          </w:tcPr>
          <w:p w14:paraId="6EA3E1A2"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386" w:type="dxa"/>
            <w:gridSpan w:val="2"/>
            <w:tcBorders>
              <w:top w:val="nil"/>
              <w:left w:val="nil"/>
              <w:bottom w:val="nil"/>
              <w:right w:val="nil"/>
            </w:tcBorders>
            <w:shd w:val="clear" w:color="000000" w:fill="FFFFFF"/>
            <w:noWrap/>
            <w:vAlign w:val="center"/>
            <w:hideMark/>
          </w:tcPr>
          <w:p w14:paraId="2013F42C"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520" w:type="dxa"/>
            <w:gridSpan w:val="2"/>
            <w:tcBorders>
              <w:top w:val="nil"/>
              <w:left w:val="nil"/>
              <w:bottom w:val="nil"/>
              <w:right w:val="nil"/>
            </w:tcBorders>
            <w:shd w:val="clear" w:color="000000" w:fill="FFFFFF"/>
            <w:vAlign w:val="bottom"/>
            <w:hideMark/>
          </w:tcPr>
          <w:p w14:paraId="388AFA40"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31-Mar-24</w:t>
            </w:r>
          </w:p>
        </w:tc>
        <w:tc>
          <w:tcPr>
            <w:tcW w:w="272" w:type="dxa"/>
            <w:gridSpan w:val="2"/>
            <w:tcBorders>
              <w:top w:val="nil"/>
              <w:left w:val="nil"/>
              <w:bottom w:val="nil"/>
              <w:right w:val="nil"/>
            </w:tcBorders>
            <w:shd w:val="clear" w:color="000000" w:fill="FFFFFF"/>
            <w:vAlign w:val="bottom"/>
            <w:hideMark/>
          </w:tcPr>
          <w:p w14:paraId="46AF40EB"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 </w:t>
            </w:r>
          </w:p>
        </w:tc>
        <w:tc>
          <w:tcPr>
            <w:tcW w:w="1280" w:type="dxa"/>
            <w:gridSpan w:val="2"/>
            <w:tcBorders>
              <w:top w:val="nil"/>
              <w:left w:val="nil"/>
              <w:bottom w:val="nil"/>
              <w:right w:val="nil"/>
            </w:tcBorders>
            <w:shd w:val="clear" w:color="000000" w:fill="FFFFFF"/>
            <w:vAlign w:val="bottom"/>
            <w:hideMark/>
          </w:tcPr>
          <w:p w14:paraId="4C5A3EC7"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31-Mar-24</w:t>
            </w:r>
          </w:p>
        </w:tc>
        <w:tc>
          <w:tcPr>
            <w:tcW w:w="272" w:type="dxa"/>
            <w:gridSpan w:val="2"/>
            <w:tcBorders>
              <w:top w:val="nil"/>
              <w:left w:val="nil"/>
              <w:bottom w:val="nil"/>
              <w:right w:val="nil"/>
            </w:tcBorders>
            <w:shd w:val="clear" w:color="000000" w:fill="FFFFFF"/>
            <w:vAlign w:val="bottom"/>
            <w:hideMark/>
          </w:tcPr>
          <w:p w14:paraId="3D27361B"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vAlign w:val="bottom"/>
            <w:hideMark/>
          </w:tcPr>
          <w:p w14:paraId="24536D2C"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31-Mar-23</w:t>
            </w:r>
          </w:p>
        </w:tc>
        <w:tc>
          <w:tcPr>
            <w:tcW w:w="272" w:type="dxa"/>
            <w:gridSpan w:val="2"/>
            <w:tcBorders>
              <w:top w:val="nil"/>
              <w:left w:val="nil"/>
              <w:bottom w:val="nil"/>
              <w:right w:val="nil"/>
            </w:tcBorders>
            <w:shd w:val="clear" w:color="000000" w:fill="FFFFFF"/>
            <w:vAlign w:val="bottom"/>
            <w:hideMark/>
          </w:tcPr>
          <w:p w14:paraId="2F8FEFC7"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vAlign w:val="bottom"/>
            <w:hideMark/>
          </w:tcPr>
          <w:p w14:paraId="3FEE6103"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31-Mar-23</w:t>
            </w:r>
          </w:p>
        </w:tc>
        <w:tc>
          <w:tcPr>
            <w:tcW w:w="520" w:type="dxa"/>
            <w:gridSpan w:val="2"/>
            <w:tcBorders>
              <w:top w:val="nil"/>
              <w:left w:val="nil"/>
              <w:bottom w:val="nil"/>
              <w:right w:val="nil"/>
            </w:tcBorders>
            <w:shd w:val="clear" w:color="000000" w:fill="FFFFFF"/>
            <w:noWrap/>
            <w:vAlign w:val="bottom"/>
            <w:hideMark/>
          </w:tcPr>
          <w:p w14:paraId="370C8103"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746ADA06" w14:textId="77777777" w:rsidTr="00037DAA">
        <w:trPr>
          <w:trHeight w:val="780"/>
        </w:trPr>
        <w:tc>
          <w:tcPr>
            <w:tcW w:w="3544" w:type="dxa"/>
            <w:tcBorders>
              <w:top w:val="nil"/>
              <w:left w:val="nil"/>
              <w:bottom w:val="nil"/>
              <w:right w:val="nil"/>
            </w:tcBorders>
            <w:shd w:val="clear" w:color="000000" w:fill="FFFFFF"/>
            <w:vAlign w:val="center"/>
            <w:hideMark/>
          </w:tcPr>
          <w:p w14:paraId="1C5855C1"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386" w:type="dxa"/>
            <w:gridSpan w:val="2"/>
            <w:tcBorders>
              <w:top w:val="nil"/>
              <w:left w:val="nil"/>
              <w:bottom w:val="nil"/>
              <w:right w:val="nil"/>
            </w:tcBorders>
            <w:shd w:val="clear" w:color="000000" w:fill="FFFFFF"/>
            <w:vAlign w:val="center"/>
            <w:hideMark/>
          </w:tcPr>
          <w:p w14:paraId="03DE9546"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520" w:type="dxa"/>
            <w:gridSpan w:val="2"/>
            <w:tcBorders>
              <w:top w:val="nil"/>
              <w:left w:val="nil"/>
              <w:bottom w:val="nil"/>
              <w:right w:val="nil"/>
            </w:tcBorders>
            <w:shd w:val="clear" w:color="000000" w:fill="FFFFFF"/>
            <w:vAlign w:val="center"/>
            <w:hideMark/>
          </w:tcPr>
          <w:p w14:paraId="0D114ED6"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DHSC group bodies</w:t>
            </w:r>
          </w:p>
        </w:tc>
        <w:tc>
          <w:tcPr>
            <w:tcW w:w="272" w:type="dxa"/>
            <w:gridSpan w:val="2"/>
            <w:tcBorders>
              <w:top w:val="nil"/>
              <w:left w:val="nil"/>
              <w:bottom w:val="nil"/>
              <w:right w:val="nil"/>
            </w:tcBorders>
            <w:shd w:val="clear" w:color="000000" w:fill="FFFFFF"/>
            <w:vAlign w:val="bottom"/>
            <w:hideMark/>
          </w:tcPr>
          <w:p w14:paraId="6C0A2841"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 </w:t>
            </w:r>
          </w:p>
        </w:tc>
        <w:tc>
          <w:tcPr>
            <w:tcW w:w="1280" w:type="dxa"/>
            <w:gridSpan w:val="2"/>
            <w:tcBorders>
              <w:top w:val="nil"/>
              <w:left w:val="nil"/>
              <w:bottom w:val="nil"/>
              <w:right w:val="nil"/>
            </w:tcBorders>
            <w:shd w:val="clear" w:color="000000" w:fill="FFFFFF"/>
            <w:vAlign w:val="center"/>
            <w:hideMark/>
          </w:tcPr>
          <w:p w14:paraId="5CB72E83"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Non DHSC group bodies</w:t>
            </w:r>
          </w:p>
        </w:tc>
        <w:tc>
          <w:tcPr>
            <w:tcW w:w="272" w:type="dxa"/>
            <w:gridSpan w:val="2"/>
            <w:tcBorders>
              <w:top w:val="nil"/>
              <w:left w:val="nil"/>
              <w:bottom w:val="nil"/>
              <w:right w:val="nil"/>
            </w:tcBorders>
            <w:shd w:val="clear" w:color="000000" w:fill="FFFFFF"/>
            <w:vAlign w:val="bottom"/>
            <w:hideMark/>
          </w:tcPr>
          <w:p w14:paraId="7A803CD1"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vAlign w:val="center"/>
            <w:hideMark/>
          </w:tcPr>
          <w:p w14:paraId="24AA06FA"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DHSC group bodies</w:t>
            </w:r>
          </w:p>
        </w:tc>
        <w:tc>
          <w:tcPr>
            <w:tcW w:w="272" w:type="dxa"/>
            <w:gridSpan w:val="2"/>
            <w:tcBorders>
              <w:top w:val="nil"/>
              <w:left w:val="nil"/>
              <w:bottom w:val="nil"/>
              <w:right w:val="nil"/>
            </w:tcBorders>
            <w:shd w:val="clear" w:color="000000" w:fill="FFFFFF"/>
            <w:vAlign w:val="bottom"/>
            <w:hideMark/>
          </w:tcPr>
          <w:p w14:paraId="29DA71C6"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vAlign w:val="center"/>
            <w:hideMark/>
          </w:tcPr>
          <w:p w14:paraId="3C4B8150"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Non DHSC group bodies</w:t>
            </w:r>
          </w:p>
        </w:tc>
        <w:tc>
          <w:tcPr>
            <w:tcW w:w="520" w:type="dxa"/>
            <w:gridSpan w:val="2"/>
            <w:tcBorders>
              <w:top w:val="nil"/>
              <w:left w:val="nil"/>
              <w:bottom w:val="nil"/>
              <w:right w:val="nil"/>
            </w:tcBorders>
            <w:shd w:val="clear" w:color="000000" w:fill="FFFFFF"/>
            <w:vAlign w:val="bottom"/>
            <w:hideMark/>
          </w:tcPr>
          <w:p w14:paraId="37AC9F5F"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0DD18D9D" w14:textId="77777777" w:rsidTr="00037DAA">
        <w:trPr>
          <w:trHeight w:val="260"/>
        </w:trPr>
        <w:tc>
          <w:tcPr>
            <w:tcW w:w="3544" w:type="dxa"/>
            <w:tcBorders>
              <w:top w:val="nil"/>
              <w:left w:val="nil"/>
              <w:bottom w:val="nil"/>
              <w:right w:val="nil"/>
            </w:tcBorders>
            <w:shd w:val="clear" w:color="000000" w:fill="FFFFFF"/>
            <w:vAlign w:val="center"/>
            <w:hideMark/>
          </w:tcPr>
          <w:p w14:paraId="423B0234"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386" w:type="dxa"/>
            <w:gridSpan w:val="2"/>
            <w:tcBorders>
              <w:top w:val="nil"/>
              <w:left w:val="nil"/>
              <w:bottom w:val="nil"/>
              <w:right w:val="nil"/>
            </w:tcBorders>
            <w:shd w:val="clear" w:color="000000" w:fill="FFFFFF"/>
            <w:vAlign w:val="center"/>
            <w:hideMark/>
          </w:tcPr>
          <w:p w14:paraId="6CD05FA0"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520" w:type="dxa"/>
            <w:gridSpan w:val="2"/>
            <w:tcBorders>
              <w:top w:val="nil"/>
              <w:left w:val="nil"/>
              <w:bottom w:val="nil"/>
              <w:right w:val="nil"/>
            </w:tcBorders>
            <w:shd w:val="clear" w:color="000000" w:fill="FFFFFF"/>
            <w:noWrap/>
            <w:vAlign w:val="center"/>
            <w:hideMark/>
          </w:tcPr>
          <w:p w14:paraId="10F17C0F"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£'000</w:t>
            </w:r>
          </w:p>
        </w:tc>
        <w:tc>
          <w:tcPr>
            <w:tcW w:w="272" w:type="dxa"/>
            <w:gridSpan w:val="2"/>
            <w:tcBorders>
              <w:top w:val="nil"/>
              <w:left w:val="nil"/>
              <w:bottom w:val="nil"/>
              <w:right w:val="nil"/>
            </w:tcBorders>
            <w:shd w:val="clear" w:color="000000" w:fill="FFFFFF"/>
            <w:noWrap/>
            <w:vAlign w:val="bottom"/>
            <w:hideMark/>
          </w:tcPr>
          <w:p w14:paraId="1B30F38A"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 </w:t>
            </w:r>
          </w:p>
        </w:tc>
        <w:tc>
          <w:tcPr>
            <w:tcW w:w="1280" w:type="dxa"/>
            <w:gridSpan w:val="2"/>
            <w:tcBorders>
              <w:top w:val="nil"/>
              <w:left w:val="nil"/>
              <w:bottom w:val="nil"/>
              <w:right w:val="nil"/>
            </w:tcBorders>
            <w:shd w:val="clear" w:color="000000" w:fill="FFFFFF"/>
            <w:noWrap/>
            <w:vAlign w:val="center"/>
            <w:hideMark/>
          </w:tcPr>
          <w:p w14:paraId="3FFBAF6D"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£'000</w:t>
            </w:r>
          </w:p>
        </w:tc>
        <w:tc>
          <w:tcPr>
            <w:tcW w:w="272" w:type="dxa"/>
            <w:gridSpan w:val="2"/>
            <w:tcBorders>
              <w:top w:val="nil"/>
              <w:left w:val="nil"/>
              <w:bottom w:val="nil"/>
              <w:right w:val="nil"/>
            </w:tcBorders>
            <w:shd w:val="clear" w:color="000000" w:fill="FFFFFF"/>
            <w:noWrap/>
            <w:vAlign w:val="bottom"/>
            <w:hideMark/>
          </w:tcPr>
          <w:p w14:paraId="3585CE93"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center"/>
            <w:hideMark/>
          </w:tcPr>
          <w:p w14:paraId="6952BF68"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£'000</w:t>
            </w:r>
          </w:p>
        </w:tc>
        <w:tc>
          <w:tcPr>
            <w:tcW w:w="272" w:type="dxa"/>
            <w:gridSpan w:val="2"/>
            <w:tcBorders>
              <w:top w:val="nil"/>
              <w:left w:val="nil"/>
              <w:bottom w:val="nil"/>
              <w:right w:val="nil"/>
            </w:tcBorders>
            <w:shd w:val="clear" w:color="000000" w:fill="FFFFFF"/>
            <w:noWrap/>
            <w:vAlign w:val="bottom"/>
            <w:hideMark/>
          </w:tcPr>
          <w:p w14:paraId="2685E91A"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center"/>
            <w:hideMark/>
          </w:tcPr>
          <w:p w14:paraId="7A4C48A2"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£'000</w:t>
            </w:r>
          </w:p>
        </w:tc>
        <w:tc>
          <w:tcPr>
            <w:tcW w:w="520" w:type="dxa"/>
            <w:gridSpan w:val="2"/>
            <w:tcBorders>
              <w:top w:val="nil"/>
              <w:left w:val="nil"/>
              <w:bottom w:val="nil"/>
              <w:right w:val="nil"/>
            </w:tcBorders>
            <w:shd w:val="clear" w:color="000000" w:fill="FFFFFF"/>
            <w:vAlign w:val="bottom"/>
            <w:hideMark/>
          </w:tcPr>
          <w:p w14:paraId="5B8B65E9"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5A0A0A6F" w14:textId="77777777" w:rsidTr="00037DAA">
        <w:trPr>
          <w:trHeight w:val="120"/>
        </w:trPr>
        <w:tc>
          <w:tcPr>
            <w:tcW w:w="3544" w:type="dxa"/>
            <w:tcBorders>
              <w:top w:val="nil"/>
              <w:left w:val="nil"/>
              <w:bottom w:val="nil"/>
              <w:right w:val="nil"/>
            </w:tcBorders>
            <w:shd w:val="clear" w:color="000000" w:fill="FFFFFF"/>
            <w:vAlign w:val="center"/>
            <w:hideMark/>
          </w:tcPr>
          <w:p w14:paraId="3B327E14"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386" w:type="dxa"/>
            <w:gridSpan w:val="2"/>
            <w:tcBorders>
              <w:top w:val="nil"/>
              <w:left w:val="nil"/>
              <w:bottom w:val="nil"/>
              <w:right w:val="nil"/>
            </w:tcBorders>
            <w:shd w:val="clear" w:color="000000" w:fill="FFFFFF"/>
            <w:vAlign w:val="center"/>
            <w:hideMark/>
          </w:tcPr>
          <w:p w14:paraId="1B1B8808"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520" w:type="dxa"/>
            <w:gridSpan w:val="2"/>
            <w:tcBorders>
              <w:top w:val="nil"/>
              <w:left w:val="nil"/>
              <w:bottom w:val="nil"/>
              <w:right w:val="nil"/>
            </w:tcBorders>
            <w:shd w:val="clear" w:color="000000" w:fill="FFFFFF"/>
            <w:noWrap/>
            <w:vAlign w:val="center"/>
            <w:hideMark/>
          </w:tcPr>
          <w:p w14:paraId="0A3E4851"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126901C0"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 </w:t>
            </w:r>
          </w:p>
        </w:tc>
        <w:tc>
          <w:tcPr>
            <w:tcW w:w="1280" w:type="dxa"/>
            <w:gridSpan w:val="2"/>
            <w:tcBorders>
              <w:top w:val="nil"/>
              <w:left w:val="nil"/>
              <w:bottom w:val="nil"/>
              <w:right w:val="nil"/>
            </w:tcBorders>
            <w:shd w:val="clear" w:color="000000" w:fill="FFFFFF"/>
            <w:noWrap/>
            <w:vAlign w:val="center"/>
            <w:hideMark/>
          </w:tcPr>
          <w:p w14:paraId="6174F0AC"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5E41F317"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center"/>
            <w:hideMark/>
          </w:tcPr>
          <w:p w14:paraId="231795D2"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 </w:t>
            </w:r>
          </w:p>
        </w:tc>
        <w:tc>
          <w:tcPr>
            <w:tcW w:w="272" w:type="dxa"/>
            <w:gridSpan w:val="2"/>
            <w:tcBorders>
              <w:top w:val="nil"/>
              <w:left w:val="nil"/>
              <w:bottom w:val="nil"/>
              <w:right w:val="nil"/>
            </w:tcBorders>
            <w:shd w:val="clear" w:color="000000" w:fill="FFFFFF"/>
            <w:noWrap/>
            <w:vAlign w:val="bottom"/>
            <w:hideMark/>
          </w:tcPr>
          <w:p w14:paraId="5ADB524F"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center"/>
            <w:hideMark/>
          </w:tcPr>
          <w:p w14:paraId="2AF1834E"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 </w:t>
            </w:r>
          </w:p>
        </w:tc>
        <w:tc>
          <w:tcPr>
            <w:tcW w:w="520" w:type="dxa"/>
            <w:gridSpan w:val="2"/>
            <w:tcBorders>
              <w:top w:val="nil"/>
              <w:left w:val="nil"/>
              <w:bottom w:val="nil"/>
              <w:right w:val="nil"/>
            </w:tcBorders>
            <w:shd w:val="clear" w:color="000000" w:fill="FFFFFF"/>
            <w:vAlign w:val="bottom"/>
            <w:hideMark/>
          </w:tcPr>
          <w:p w14:paraId="0E4722AD"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07120836" w14:textId="77777777" w:rsidTr="00037DAA">
        <w:trPr>
          <w:trHeight w:val="250"/>
        </w:trPr>
        <w:tc>
          <w:tcPr>
            <w:tcW w:w="3544" w:type="dxa"/>
            <w:tcBorders>
              <w:top w:val="nil"/>
              <w:left w:val="nil"/>
              <w:bottom w:val="nil"/>
              <w:right w:val="nil"/>
            </w:tcBorders>
            <w:shd w:val="clear" w:color="000000" w:fill="FFFFFF"/>
            <w:noWrap/>
            <w:vAlign w:val="center"/>
            <w:hideMark/>
          </w:tcPr>
          <w:p w14:paraId="4E3F1805"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By up to three months</w:t>
            </w:r>
          </w:p>
        </w:tc>
        <w:tc>
          <w:tcPr>
            <w:tcW w:w="386" w:type="dxa"/>
            <w:gridSpan w:val="2"/>
            <w:tcBorders>
              <w:top w:val="nil"/>
              <w:left w:val="nil"/>
              <w:bottom w:val="nil"/>
              <w:right w:val="nil"/>
            </w:tcBorders>
            <w:shd w:val="clear" w:color="000000" w:fill="FFFFFF"/>
            <w:noWrap/>
            <w:vAlign w:val="center"/>
            <w:hideMark/>
          </w:tcPr>
          <w:p w14:paraId="65894D88"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520" w:type="dxa"/>
            <w:gridSpan w:val="2"/>
            <w:tcBorders>
              <w:top w:val="nil"/>
              <w:left w:val="nil"/>
              <w:bottom w:val="nil"/>
              <w:right w:val="nil"/>
            </w:tcBorders>
            <w:shd w:val="clear" w:color="000000" w:fill="FFFFFF"/>
            <w:noWrap/>
            <w:vAlign w:val="bottom"/>
            <w:hideMark/>
          </w:tcPr>
          <w:p w14:paraId="5F7052D0"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99</w:t>
            </w:r>
          </w:p>
        </w:tc>
        <w:tc>
          <w:tcPr>
            <w:tcW w:w="272" w:type="dxa"/>
            <w:gridSpan w:val="2"/>
            <w:tcBorders>
              <w:top w:val="nil"/>
              <w:left w:val="nil"/>
              <w:bottom w:val="nil"/>
              <w:right w:val="nil"/>
            </w:tcBorders>
            <w:shd w:val="clear" w:color="000000" w:fill="FFFFFF"/>
            <w:noWrap/>
            <w:vAlign w:val="bottom"/>
            <w:hideMark/>
          </w:tcPr>
          <w:p w14:paraId="7325F1CA"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11B9D8BB"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1,409</w:t>
            </w:r>
          </w:p>
        </w:tc>
        <w:tc>
          <w:tcPr>
            <w:tcW w:w="272" w:type="dxa"/>
            <w:gridSpan w:val="2"/>
            <w:tcBorders>
              <w:top w:val="nil"/>
              <w:left w:val="nil"/>
              <w:bottom w:val="nil"/>
              <w:right w:val="nil"/>
            </w:tcBorders>
            <w:shd w:val="clear" w:color="000000" w:fill="FFFFFF"/>
            <w:noWrap/>
            <w:vAlign w:val="bottom"/>
            <w:hideMark/>
          </w:tcPr>
          <w:p w14:paraId="21BC4BA3"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bottom"/>
            <w:hideMark/>
          </w:tcPr>
          <w:p w14:paraId="4FAE6D8D"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(12)</w:t>
            </w:r>
          </w:p>
        </w:tc>
        <w:tc>
          <w:tcPr>
            <w:tcW w:w="272" w:type="dxa"/>
            <w:gridSpan w:val="2"/>
            <w:tcBorders>
              <w:top w:val="nil"/>
              <w:left w:val="nil"/>
              <w:bottom w:val="nil"/>
              <w:right w:val="nil"/>
            </w:tcBorders>
            <w:shd w:val="clear" w:color="000000" w:fill="FFFFFF"/>
            <w:noWrap/>
            <w:vAlign w:val="bottom"/>
            <w:hideMark/>
          </w:tcPr>
          <w:p w14:paraId="71ADA30B"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bottom"/>
            <w:hideMark/>
          </w:tcPr>
          <w:p w14:paraId="2D54E19F"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31</w:t>
            </w:r>
          </w:p>
        </w:tc>
        <w:tc>
          <w:tcPr>
            <w:tcW w:w="520" w:type="dxa"/>
            <w:gridSpan w:val="2"/>
            <w:tcBorders>
              <w:top w:val="nil"/>
              <w:left w:val="nil"/>
              <w:bottom w:val="nil"/>
              <w:right w:val="nil"/>
            </w:tcBorders>
            <w:shd w:val="clear" w:color="000000" w:fill="FFFFFF"/>
            <w:noWrap/>
            <w:vAlign w:val="bottom"/>
            <w:hideMark/>
          </w:tcPr>
          <w:p w14:paraId="2C6057B8"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56E9F5DD" w14:textId="77777777" w:rsidTr="00037DAA">
        <w:trPr>
          <w:trHeight w:val="250"/>
        </w:trPr>
        <w:tc>
          <w:tcPr>
            <w:tcW w:w="3544" w:type="dxa"/>
            <w:tcBorders>
              <w:top w:val="nil"/>
              <w:left w:val="nil"/>
              <w:bottom w:val="nil"/>
              <w:right w:val="nil"/>
            </w:tcBorders>
            <w:shd w:val="clear" w:color="000000" w:fill="FFFFFF"/>
            <w:noWrap/>
            <w:vAlign w:val="center"/>
            <w:hideMark/>
          </w:tcPr>
          <w:p w14:paraId="59D1B557"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By three to six months</w:t>
            </w:r>
          </w:p>
        </w:tc>
        <w:tc>
          <w:tcPr>
            <w:tcW w:w="386" w:type="dxa"/>
            <w:gridSpan w:val="2"/>
            <w:tcBorders>
              <w:top w:val="nil"/>
              <w:left w:val="nil"/>
              <w:bottom w:val="nil"/>
              <w:right w:val="nil"/>
            </w:tcBorders>
            <w:shd w:val="clear" w:color="000000" w:fill="FFFFFF"/>
            <w:noWrap/>
            <w:vAlign w:val="center"/>
            <w:hideMark/>
          </w:tcPr>
          <w:p w14:paraId="5D26AD82"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520" w:type="dxa"/>
            <w:gridSpan w:val="2"/>
            <w:tcBorders>
              <w:top w:val="nil"/>
              <w:left w:val="nil"/>
              <w:bottom w:val="nil"/>
              <w:right w:val="nil"/>
            </w:tcBorders>
            <w:shd w:val="clear" w:color="000000" w:fill="FFFFFF"/>
            <w:noWrap/>
            <w:vAlign w:val="bottom"/>
            <w:hideMark/>
          </w:tcPr>
          <w:p w14:paraId="2FDB4B70"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372</w:t>
            </w:r>
          </w:p>
        </w:tc>
        <w:tc>
          <w:tcPr>
            <w:tcW w:w="272" w:type="dxa"/>
            <w:gridSpan w:val="2"/>
            <w:tcBorders>
              <w:top w:val="nil"/>
              <w:left w:val="nil"/>
              <w:bottom w:val="nil"/>
              <w:right w:val="nil"/>
            </w:tcBorders>
            <w:shd w:val="clear" w:color="000000" w:fill="FFFFFF"/>
            <w:noWrap/>
            <w:vAlign w:val="bottom"/>
            <w:hideMark/>
          </w:tcPr>
          <w:p w14:paraId="0AE9E128"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496F6A5C"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177</w:t>
            </w:r>
          </w:p>
        </w:tc>
        <w:tc>
          <w:tcPr>
            <w:tcW w:w="272" w:type="dxa"/>
            <w:gridSpan w:val="2"/>
            <w:tcBorders>
              <w:top w:val="nil"/>
              <w:left w:val="nil"/>
              <w:bottom w:val="nil"/>
              <w:right w:val="nil"/>
            </w:tcBorders>
            <w:shd w:val="clear" w:color="000000" w:fill="FFFFFF"/>
            <w:noWrap/>
            <w:vAlign w:val="bottom"/>
            <w:hideMark/>
          </w:tcPr>
          <w:p w14:paraId="5250396A"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bottom"/>
            <w:hideMark/>
          </w:tcPr>
          <w:p w14:paraId="6AB78A39"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w:t>
            </w:r>
          </w:p>
        </w:tc>
        <w:tc>
          <w:tcPr>
            <w:tcW w:w="272" w:type="dxa"/>
            <w:gridSpan w:val="2"/>
            <w:tcBorders>
              <w:top w:val="nil"/>
              <w:left w:val="nil"/>
              <w:bottom w:val="nil"/>
              <w:right w:val="nil"/>
            </w:tcBorders>
            <w:shd w:val="clear" w:color="000000" w:fill="FFFFFF"/>
            <w:noWrap/>
            <w:vAlign w:val="bottom"/>
            <w:hideMark/>
          </w:tcPr>
          <w:p w14:paraId="1E3E8A12"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bottom"/>
            <w:hideMark/>
          </w:tcPr>
          <w:p w14:paraId="60439474"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2</w:t>
            </w:r>
          </w:p>
        </w:tc>
        <w:tc>
          <w:tcPr>
            <w:tcW w:w="520" w:type="dxa"/>
            <w:gridSpan w:val="2"/>
            <w:tcBorders>
              <w:top w:val="nil"/>
              <w:left w:val="nil"/>
              <w:bottom w:val="nil"/>
              <w:right w:val="nil"/>
            </w:tcBorders>
            <w:shd w:val="clear" w:color="000000" w:fill="FFFFFF"/>
            <w:noWrap/>
            <w:vAlign w:val="bottom"/>
            <w:hideMark/>
          </w:tcPr>
          <w:p w14:paraId="1BA2FDA9"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707D24FC" w14:textId="77777777" w:rsidTr="00037DAA">
        <w:trPr>
          <w:trHeight w:val="250"/>
        </w:trPr>
        <w:tc>
          <w:tcPr>
            <w:tcW w:w="3544" w:type="dxa"/>
            <w:tcBorders>
              <w:top w:val="nil"/>
              <w:left w:val="nil"/>
              <w:bottom w:val="nil"/>
              <w:right w:val="nil"/>
            </w:tcBorders>
            <w:shd w:val="clear" w:color="000000" w:fill="FFFFFF"/>
            <w:noWrap/>
            <w:vAlign w:val="center"/>
            <w:hideMark/>
          </w:tcPr>
          <w:p w14:paraId="688A0556"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By more than six months</w:t>
            </w:r>
          </w:p>
        </w:tc>
        <w:tc>
          <w:tcPr>
            <w:tcW w:w="386" w:type="dxa"/>
            <w:gridSpan w:val="2"/>
            <w:tcBorders>
              <w:top w:val="nil"/>
              <w:left w:val="nil"/>
              <w:bottom w:val="nil"/>
              <w:right w:val="nil"/>
            </w:tcBorders>
            <w:shd w:val="clear" w:color="000000" w:fill="FFFFFF"/>
            <w:noWrap/>
            <w:vAlign w:val="center"/>
            <w:hideMark/>
          </w:tcPr>
          <w:p w14:paraId="11FB9D38"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520" w:type="dxa"/>
            <w:gridSpan w:val="2"/>
            <w:tcBorders>
              <w:top w:val="nil"/>
              <w:left w:val="nil"/>
              <w:bottom w:val="nil"/>
              <w:right w:val="nil"/>
            </w:tcBorders>
            <w:shd w:val="clear" w:color="000000" w:fill="FFFFFF"/>
            <w:noWrap/>
            <w:vAlign w:val="bottom"/>
            <w:hideMark/>
          </w:tcPr>
          <w:p w14:paraId="7CCB332C"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(13)</w:t>
            </w:r>
          </w:p>
        </w:tc>
        <w:tc>
          <w:tcPr>
            <w:tcW w:w="272" w:type="dxa"/>
            <w:gridSpan w:val="2"/>
            <w:tcBorders>
              <w:top w:val="nil"/>
              <w:left w:val="nil"/>
              <w:bottom w:val="nil"/>
              <w:right w:val="nil"/>
            </w:tcBorders>
            <w:shd w:val="clear" w:color="000000" w:fill="FFFFFF"/>
            <w:noWrap/>
            <w:vAlign w:val="bottom"/>
            <w:hideMark/>
          </w:tcPr>
          <w:p w14:paraId="1A772A47"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80" w:type="dxa"/>
            <w:gridSpan w:val="2"/>
            <w:tcBorders>
              <w:top w:val="nil"/>
              <w:left w:val="nil"/>
              <w:bottom w:val="nil"/>
              <w:right w:val="nil"/>
            </w:tcBorders>
            <w:shd w:val="clear" w:color="000000" w:fill="FFFFFF"/>
            <w:noWrap/>
            <w:vAlign w:val="bottom"/>
            <w:hideMark/>
          </w:tcPr>
          <w:p w14:paraId="689DB30B"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9</w:t>
            </w:r>
          </w:p>
        </w:tc>
        <w:tc>
          <w:tcPr>
            <w:tcW w:w="272" w:type="dxa"/>
            <w:gridSpan w:val="2"/>
            <w:tcBorders>
              <w:top w:val="nil"/>
              <w:left w:val="nil"/>
              <w:bottom w:val="nil"/>
              <w:right w:val="nil"/>
            </w:tcBorders>
            <w:shd w:val="clear" w:color="000000" w:fill="FFFFFF"/>
            <w:noWrap/>
            <w:vAlign w:val="bottom"/>
            <w:hideMark/>
          </w:tcPr>
          <w:p w14:paraId="04EA9141"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nil"/>
              <w:left w:val="nil"/>
              <w:bottom w:val="nil"/>
              <w:right w:val="nil"/>
            </w:tcBorders>
            <w:shd w:val="clear" w:color="000000" w:fill="FFFFFF"/>
            <w:noWrap/>
            <w:vAlign w:val="bottom"/>
            <w:hideMark/>
          </w:tcPr>
          <w:p w14:paraId="35D31F70"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63</w:t>
            </w:r>
          </w:p>
        </w:tc>
        <w:tc>
          <w:tcPr>
            <w:tcW w:w="272" w:type="dxa"/>
            <w:gridSpan w:val="2"/>
            <w:tcBorders>
              <w:top w:val="nil"/>
              <w:left w:val="nil"/>
              <w:bottom w:val="nil"/>
              <w:right w:val="nil"/>
            </w:tcBorders>
            <w:shd w:val="clear" w:color="000000" w:fill="FFFFFF"/>
            <w:noWrap/>
            <w:vAlign w:val="bottom"/>
            <w:hideMark/>
          </w:tcPr>
          <w:p w14:paraId="7F69E7B2"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nil"/>
              <w:left w:val="nil"/>
              <w:bottom w:val="nil"/>
              <w:right w:val="nil"/>
            </w:tcBorders>
            <w:shd w:val="clear" w:color="000000" w:fill="FFFFFF"/>
            <w:noWrap/>
            <w:vAlign w:val="bottom"/>
            <w:hideMark/>
          </w:tcPr>
          <w:p w14:paraId="1CEA99F8" w14:textId="77777777" w:rsidR="00037DAA" w:rsidRPr="00037DAA" w:rsidRDefault="00037DAA" w:rsidP="00037DAA">
            <w:pPr>
              <w:spacing w:before="0" w:after="0"/>
              <w:jc w:val="right"/>
              <w:rPr>
                <w:rFonts w:eastAsia="Times New Roman" w:cs="Arial"/>
                <w:sz w:val="20"/>
                <w:szCs w:val="20"/>
                <w:lang w:eastAsia="en-GB"/>
              </w:rPr>
            </w:pPr>
            <w:r w:rsidRPr="00037DAA">
              <w:rPr>
                <w:rFonts w:eastAsia="Times New Roman" w:cs="Arial"/>
                <w:sz w:val="20"/>
                <w:szCs w:val="20"/>
                <w:lang w:eastAsia="en-GB"/>
              </w:rPr>
              <w:t>10</w:t>
            </w:r>
          </w:p>
        </w:tc>
        <w:tc>
          <w:tcPr>
            <w:tcW w:w="520" w:type="dxa"/>
            <w:gridSpan w:val="2"/>
            <w:tcBorders>
              <w:top w:val="nil"/>
              <w:left w:val="nil"/>
              <w:bottom w:val="nil"/>
              <w:right w:val="nil"/>
            </w:tcBorders>
            <w:shd w:val="clear" w:color="000000" w:fill="FFFFFF"/>
            <w:noWrap/>
            <w:vAlign w:val="bottom"/>
            <w:hideMark/>
          </w:tcPr>
          <w:p w14:paraId="6F216DC6"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r w:rsidR="00037DAA" w:rsidRPr="00037DAA" w14:paraId="29FF30A5" w14:textId="77777777" w:rsidTr="00037DAA">
        <w:trPr>
          <w:trHeight w:val="260"/>
        </w:trPr>
        <w:tc>
          <w:tcPr>
            <w:tcW w:w="3544" w:type="dxa"/>
            <w:tcBorders>
              <w:top w:val="nil"/>
              <w:left w:val="nil"/>
              <w:bottom w:val="nil"/>
              <w:right w:val="nil"/>
            </w:tcBorders>
            <w:shd w:val="clear" w:color="000000" w:fill="FFFFFF"/>
            <w:noWrap/>
            <w:vAlign w:val="bottom"/>
            <w:hideMark/>
          </w:tcPr>
          <w:p w14:paraId="0C00D2A8" w14:textId="77777777" w:rsidR="00037DAA" w:rsidRPr="00037DAA" w:rsidRDefault="00037DAA" w:rsidP="00037DAA">
            <w:pPr>
              <w:spacing w:before="0" w:after="0"/>
              <w:rPr>
                <w:rFonts w:eastAsia="Times New Roman" w:cs="Arial"/>
                <w:b/>
                <w:bCs/>
                <w:sz w:val="20"/>
                <w:szCs w:val="20"/>
                <w:lang w:eastAsia="en-GB"/>
              </w:rPr>
            </w:pPr>
            <w:r w:rsidRPr="00037DAA">
              <w:rPr>
                <w:rFonts w:eastAsia="Times New Roman" w:cs="Arial"/>
                <w:b/>
                <w:bCs/>
                <w:sz w:val="20"/>
                <w:szCs w:val="20"/>
                <w:lang w:eastAsia="en-GB"/>
              </w:rPr>
              <w:t>Total</w:t>
            </w:r>
          </w:p>
        </w:tc>
        <w:tc>
          <w:tcPr>
            <w:tcW w:w="386" w:type="dxa"/>
            <w:gridSpan w:val="2"/>
            <w:tcBorders>
              <w:top w:val="nil"/>
              <w:left w:val="nil"/>
              <w:bottom w:val="nil"/>
              <w:right w:val="nil"/>
            </w:tcBorders>
            <w:shd w:val="clear" w:color="000000" w:fill="FFFFFF"/>
            <w:noWrap/>
            <w:vAlign w:val="bottom"/>
            <w:hideMark/>
          </w:tcPr>
          <w:p w14:paraId="169E3B4B" w14:textId="77777777" w:rsidR="00037DAA" w:rsidRPr="00037DAA" w:rsidRDefault="00037DAA" w:rsidP="00037DAA">
            <w:pPr>
              <w:spacing w:before="0" w:after="0"/>
              <w:rPr>
                <w:rFonts w:eastAsia="Times New Roman" w:cs="Arial"/>
                <w:b/>
                <w:bCs/>
                <w:sz w:val="20"/>
                <w:szCs w:val="20"/>
                <w:lang w:eastAsia="en-GB"/>
              </w:rPr>
            </w:pPr>
            <w:r w:rsidRPr="00037DAA">
              <w:rPr>
                <w:rFonts w:eastAsia="Times New Roman" w:cs="Arial"/>
                <w:b/>
                <w:bCs/>
                <w:sz w:val="20"/>
                <w:szCs w:val="20"/>
                <w:lang w:eastAsia="en-GB"/>
              </w:rPr>
              <w:t> </w:t>
            </w:r>
          </w:p>
        </w:tc>
        <w:tc>
          <w:tcPr>
            <w:tcW w:w="1520" w:type="dxa"/>
            <w:gridSpan w:val="2"/>
            <w:tcBorders>
              <w:top w:val="single" w:sz="4" w:space="0" w:color="auto"/>
              <w:left w:val="nil"/>
              <w:bottom w:val="single" w:sz="4" w:space="0" w:color="auto"/>
              <w:right w:val="nil"/>
            </w:tcBorders>
            <w:shd w:val="clear" w:color="000000" w:fill="FFFFFF"/>
            <w:noWrap/>
            <w:vAlign w:val="bottom"/>
            <w:hideMark/>
          </w:tcPr>
          <w:p w14:paraId="4F5571EE"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458</w:t>
            </w:r>
          </w:p>
        </w:tc>
        <w:tc>
          <w:tcPr>
            <w:tcW w:w="272" w:type="dxa"/>
            <w:gridSpan w:val="2"/>
            <w:tcBorders>
              <w:top w:val="nil"/>
              <w:left w:val="nil"/>
              <w:bottom w:val="nil"/>
              <w:right w:val="nil"/>
            </w:tcBorders>
            <w:shd w:val="clear" w:color="000000" w:fill="FFFFFF"/>
            <w:noWrap/>
            <w:vAlign w:val="bottom"/>
            <w:hideMark/>
          </w:tcPr>
          <w:p w14:paraId="1C008E75"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80" w:type="dxa"/>
            <w:gridSpan w:val="2"/>
            <w:tcBorders>
              <w:top w:val="single" w:sz="4" w:space="0" w:color="auto"/>
              <w:left w:val="nil"/>
              <w:bottom w:val="single" w:sz="4" w:space="0" w:color="auto"/>
              <w:right w:val="nil"/>
            </w:tcBorders>
            <w:shd w:val="clear" w:color="000000" w:fill="FFFFFF"/>
            <w:noWrap/>
            <w:vAlign w:val="bottom"/>
            <w:hideMark/>
          </w:tcPr>
          <w:p w14:paraId="5C65CD8F"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1,595</w:t>
            </w:r>
          </w:p>
        </w:tc>
        <w:tc>
          <w:tcPr>
            <w:tcW w:w="272" w:type="dxa"/>
            <w:gridSpan w:val="2"/>
            <w:tcBorders>
              <w:top w:val="nil"/>
              <w:left w:val="nil"/>
              <w:bottom w:val="nil"/>
              <w:right w:val="nil"/>
            </w:tcBorders>
            <w:shd w:val="clear" w:color="000000" w:fill="FFFFFF"/>
            <w:noWrap/>
            <w:vAlign w:val="bottom"/>
            <w:hideMark/>
          </w:tcPr>
          <w:p w14:paraId="488BC37C"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220" w:type="dxa"/>
            <w:gridSpan w:val="2"/>
            <w:tcBorders>
              <w:top w:val="single" w:sz="4" w:space="0" w:color="auto"/>
              <w:left w:val="nil"/>
              <w:bottom w:val="single" w:sz="4" w:space="0" w:color="auto"/>
              <w:right w:val="nil"/>
            </w:tcBorders>
            <w:shd w:val="clear" w:color="000000" w:fill="FFFFFF"/>
            <w:noWrap/>
            <w:vAlign w:val="bottom"/>
            <w:hideMark/>
          </w:tcPr>
          <w:p w14:paraId="34D75266"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51</w:t>
            </w:r>
          </w:p>
        </w:tc>
        <w:tc>
          <w:tcPr>
            <w:tcW w:w="272" w:type="dxa"/>
            <w:gridSpan w:val="2"/>
            <w:tcBorders>
              <w:top w:val="nil"/>
              <w:left w:val="nil"/>
              <w:bottom w:val="nil"/>
              <w:right w:val="nil"/>
            </w:tcBorders>
            <w:shd w:val="clear" w:color="000000" w:fill="FFFFFF"/>
            <w:noWrap/>
            <w:vAlign w:val="bottom"/>
            <w:hideMark/>
          </w:tcPr>
          <w:p w14:paraId="4380F18A"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c>
          <w:tcPr>
            <w:tcW w:w="1160" w:type="dxa"/>
            <w:gridSpan w:val="2"/>
            <w:tcBorders>
              <w:top w:val="single" w:sz="4" w:space="0" w:color="auto"/>
              <w:left w:val="nil"/>
              <w:bottom w:val="single" w:sz="4" w:space="0" w:color="auto"/>
              <w:right w:val="nil"/>
            </w:tcBorders>
            <w:shd w:val="clear" w:color="000000" w:fill="FFFFFF"/>
            <w:noWrap/>
            <w:vAlign w:val="bottom"/>
            <w:hideMark/>
          </w:tcPr>
          <w:p w14:paraId="44BF16D8" w14:textId="77777777" w:rsidR="00037DAA" w:rsidRPr="00037DAA" w:rsidRDefault="00037DAA" w:rsidP="00037DAA">
            <w:pPr>
              <w:spacing w:before="0" w:after="0"/>
              <w:jc w:val="right"/>
              <w:rPr>
                <w:rFonts w:eastAsia="Times New Roman" w:cs="Arial"/>
                <w:b/>
                <w:bCs/>
                <w:sz w:val="20"/>
                <w:szCs w:val="20"/>
                <w:lang w:eastAsia="en-GB"/>
              </w:rPr>
            </w:pPr>
            <w:r w:rsidRPr="00037DAA">
              <w:rPr>
                <w:rFonts w:eastAsia="Times New Roman" w:cs="Arial"/>
                <w:b/>
                <w:bCs/>
                <w:sz w:val="20"/>
                <w:szCs w:val="20"/>
                <w:lang w:eastAsia="en-GB"/>
              </w:rPr>
              <w:t>43</w:t>
            </w:r>
          </w:p>
        </w:tc>
        <w:tc>
          <w:tcPr>
            <w:tcW w:w="520" w:type="dxa"/>
            <w:gridSpan w:val="2"/>
            <w:tcBorders>
              <w:top w:val="nil"/>
              <w:left w:val="nil"/>
              <w:bottom w:val="nil"/>
              <w:right w:val="nil"/>
            </w:tcBorders>
            <w:shd w:val="clear" w:color="000000" w:fill="FFFFFF"/>
            <w:noWrap/>
            <w:vAlign w:val="bottom"/>
            <w:hideMark/>
          </w:tcPr>
          <w:p w14:paraId="71DC42E5" w14:textId="77777777" w:rsidR="00037DAA" w:rsidRPr="00037DAA" w:rsidRDefault="00037DAA" w:rsidP="00037DAA">
            <w:pPr>
              <w:spacing w:before="0" w:after="0"/>
              <w:rPr>
                <w:rFonts w:eastAsia="Times New Roman" w:cs="Arial"/>
                <w:sz w:val="20"/>
                <w:szCs w:val="20"/>
                <w:lang w:eastAsia="en-GB"/>
              </w:rPr>
            </w:pPr>
            <w:r w:rsidRPr="00037DAA">
              <w:rPr>
                <w:rFonts w:eastAsia="Times New Roman" w:cs="Arial"/>
                <w:sz w:val="20"/>
                <w:szCs w:val="20"/>
                <w:lang w:eastAsia="en-GB"/>
              </w:rPr>
              <w:t> </w:t>
            </w:r>
          </w:p>
        </w:tc>
      </w:tr>
    </w:tbl>
    <w:p w14:paraId="0EB89CB4" w14:textId="77777777" w:rsidR="00D57AE3" w:rsidRDefault="00D57AE3" w:rsidP="00C70A7F">
      <w:pPr>
        <w:spacing w:before="0" w:after="200" w:line="276" w:lineRule="auto"/>
      </w:pPr>
    </w:p>
    <w:p w14:paraId="04DFD77E" w14:textId="1A5AC05D" w:rsidR="00541F03" w:rsidRDefault="00541F03">
      <w:pPr>
        <w:spacing w:before="0" w:after="200" w:line="276" w:lineRule="auto"/>
      </w:pPr>
      <w:r>
        <w:br w:type="page"/>
      </w:r>
    </w:p>
    <w:tbl>
      <w:tblPr>
        <w:tblW w:w="9781" w:type="dxa"/>
        <w:tblLook w:val="04A0" w:firstRow="1" w:lastRow="0" w:firstColumn="1" w:lastColumn="0" w:noHBand="0" w:noVBand="1"/>
      </w:tblPr>
      <w:tblGrid>
        <w:gridCol w:w="4622"/>
        <w:gridCol w:w="845"/>
        <w:gridCol w:w="1337"/>
        <w:gridCol w:w="1418"/>
        <w:gridCol w:w="272"/>
        <w:gridCol w:w="1287"/>
      </w:tblGrid>
      <w:tr w:rsidR="00710F39" w:rsidRPr="00710F39" w14:paraId="4121E69C" w14:textId="77777777" w:rsidTr="00710F39">
        <w:trPr>
          <w:trHeight w:val="260"/>
        </w:trPr>
        <w:tc>
          <w:tcPr>
            <w:tcW w:w="9781" w:type="dxa"/>
            <w:gridSpan w:val="6"/>
            <w:tcBorders>
              <w:top w:val="nil"/>
              <w:left w:val="nil"/>
              <w:bottom w:val="nil"/>
            </w:tcBorders>
            <w:shd w:val="clear" w:color="auto" w:fill="auto"/>
            <w:noWrap/>
            <w:vAlign w:val="bottom"/>
            <w:hideMark/>
          </w:tcPr>
          <w:p w14:paraId="26F28696" w14:textId="64E69B32" w:rsidR="00710F39" w:rsidRPr="00710F39" w:rsidRDefault="00710F39" w:rsidP="00710F39">
            <w:pPr>
              <w:spacing w:before="0" w:after="0"/>
              <w:rPr>
                <w:rFonts w:eastAsia="Times New Roman" w:cs="Arial"/>
                <w:i/>
                <w:iCs/>
                <w:sz w:val="20"/>
                <w:szCs w:val="20"/>
                <w:lang w:eastAsia="en-GB"/>
              </w:rPr>
            </w:pPr>
            <w:r w:rsidRPr="00710F39">
              <w:rPr>
                <w:rFonts w:eastAsia="Times New Roman" w:cs="Arial"/>
                <w:i/>
                <w:iCs/>
                <w:sz w:val="20"/>
                <w:szCs w:val="20"/>
                <w:lang w:eastAsia="en-GB"/>
              </w:rPr>
              <w:lastRenderedPageBreak/>
              <w:t>NHS Mid and South Essex Integrated Care Board - Statutory Accounts 2023-24</w:t>
            </w:r>
          </w:p>
        </w:tc>
      </w:tr>
      <w:tr w:rsidR="00710F39" w:rsidRPr="00710F39" w14:paraId="7B4AABD4" w14:textId="77777777" w:rsidTr="00710F39">
        <w:trPr>
          <w:trHeight w:val="255"/>
        </w:trPr>
        <w:tc>
          <w:tcPr>
            <w:tcW w:w="4622" w:type="dxa"/>
            <w:tcBorders>
              <w:top w:val="nil"/>
              <w:left w:val="nil"/>
              <w:bottom w:val="nil"/>
              <w:right w:val="nil"/>
            </w:tcBorders>
            <w:shd w:val="clear" w:color="000000" w:fill="FFFFFF"/>
            <w:noWrap/>
            <w:vAlign w:val="bottom"/>
            <w:hideMark/>
          </w:tcPr>
          <w:p w14:paraId="4C98B867"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845" w:type="dxa"/>
            <w:tcBorders>
              <w:top w:val="nil"/>
              <w:left w:val="nil"/>
              <w:bottom w:val="nil"/>
              <w:right w:val="nil"/>
            </w:tcBorders>
            <w:shd w:val="clear" w:color="000000" w:fill="FFFFFF"/>
            <w:noWrap/>
            <w:vAlign w:val="bottom"/>
            <w:hideMark/>
          </w:tcPr>
          <w:p w14:paraId="19E71712"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516CC43C"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noWrap/>
            <w:vAlign w:val="bottom"/>
            <w:hideMark/>
          </w:tcPr>
          <w:p w14:paraId="54B12290"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A87D651"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38359966"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r>
      <w:tr w:rsidR="00710F39" w:rsidRPr="00710F39" w14:paraId="3F7C5EED" w14:textId="77777777" w:rsidTr="00710F39">
        <w:trPr>
          <w:trHeight w:val="260"/>
        </w:trPr>
        <w:tc>
          <w:tcPr>
            <w:tcW w:w="4622" w:type="dxa"/>
            <w:tcBorders>
              <w:top w:val="nil"/>
              <w:left w:val="nil"/>
              <w:bottom w:val="nil"/>
              <w:right w:val="nil"/>
            </w:tcBorders>
            <w:shd w:val="clear" w:color="000000" w:fill="FFFFFF"/>
            <w:noWrap/>
            <w:vAlign w:val="bottom"/>
            <w:hideMark/>
          </w:tcPr>
          <w:p w14:paraId="7AAED2AE" w14:textId="77777777" w:rsidR="00710F39" w:rsidRPr="00710F39" w:rsidRDefault="00710F39" w:rsidP="00710F39">
            <w:pPr>
              <w:spacing w:before="0" w:after="0"/>
              <w:rPr>
                <w:rFonts w:eastAsia="Times New Roman" w:cs="Arial"/>
                <w:b/>
                <w:bCs/>
                <w:sz w:val="20"/>
                <w:szCs w:val="20"/>
                <w:lang w:eastAsia="en-GB"/>
              </w:rPr>
            </w:pPr>
            <w:r w:rsidRPr="00710F39">
              <w:rPr>
                <w:rFonts w:eastAsia="Times New Roman" w:cs="Arial"/>
                <w:b/>
                <w:bCs/>
                <w:sz w:val="20"/>
                <w:szCs w:val="20"/>
                <w:lang w:eastAsia="en-GB"/>
              </w:rPr>
              <w:t>12 Cash and Cash Equivalents</w:t>
            </w:r>
          </w:p>
        </w:tc>
        <w:tc>
          <w:tcPr>
            <w:tcW w:w="845" w:type="dxa"/>
            <w:tcBorders>
              <w:top w:val="nil"/>
              <w:left w:val="nil"/>
              <w:bottom w:val="nil"/>
              <w:right w:val="nil"/>
            </w:tcBorders>
            <w:shd w:val="clear" w:color="000000" w:fill="FFFFFF"/>
            <w:noWrap/>
            <w:vAlign w:val="bottom"/>
            <w:hideMark/>
          </w:tcPr>
          <w:p w14:paraId="1FD5685B" w14:textId="77777777" w:rsidR="00710F39" w:rsidRPr="00710F39" w:rsidRDefault="00710F39" w:rsidP="00710F39">
            <w:pPr>
              <w:spacing w:before="0" w:after="0"/>
              <w:rPr>
                <w:rFonts w:eastAsia="Times New Roman" w:cs="Arial"/>
                <w:b/>
                <w:bCs/>
                <w:sz w:val="20"/>
                <w:szCs w:val="20"/>
                <w:lang w:eastAsia="en-GB"/>
              </w:rPr>
            </w:pPr>
            <w:r w:rsidRPr="00710F39">
              <w:rPr>
                <w:rFonts w:eastAsia="Times New Roman" w:cs="Arial"/>
                <w:b/>
                <w:bCs/>
                <w:sz w:val="20"/>
                <w:szCs w:val="20"/>
                <w:lang w:eastAsia="en-GB"/>
              </w:rPr>
              <w:t> </w:t>
            </w:r>
          </w:p>
        </w:tc>
        <w:tc>
          <w:tcPr>
            <w:tcW w:w="1337" w:type="dxa"/>
            <w:tcBorders>
              <w:top w:val="nil"/>
              <w:left w:val="nil"/>
              <w:bottom w:val="nil"/>
              <w:right w:val="nil"/>
            </w:tcBorders>
            <w:shd w:val="clear" w:color="000000" w:fill="FFFFFF"/>
            <w:noWrap/>
            <w:vAlign w:val="bottom"/>
            <w:hideMark/>
          </w:tcPr>
          <w:p w14:paraId="59112A5F"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noWrap/>
            <w:vAlign w:val="bottom"/>
            <w:hideMark/>
          </w:tcPr>
          <w:p w14:paraId="02936B03"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C7D062A"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13625C52"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r>
      <w:tr w:rsidR="00710F39" w:rsidRPr="00710F39" w14:paraId="780C9EE4" w14:textId="77777777" w:rsidTr="00710F39">
        <w:trPr>
          <w:trHeight w:val="120"/>
        </w:trPr>
        <w:tc>
          <w:tcPr>
            <w:tcW w:w="4622" w:type="dxa"/>
            <w:tcBorders>
              <w:top w:val="nil"/>
              <w:left w:val="nil"/>
              <w:bottom w:val="nil"/>
              <w:right w:val="nil"/>
            </w:tcBorders>
            <w:shd w:val="clear" w:color="000000" w:fill="FFFFFF"/>
            <w:noWrap/>
            <w:vAlign w:val="bottom"/>
            <w:hideMark/>
          </w:tcPr>
          <w:p w14:paraId="21527939"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845" w:type="dxa"/>
            <w:tcBorders>
              <w:top w:val="nil"/>
              <w:left w:val="nil"/>
              <w:bottom w:val="nil"/>
              <w:right w:val="nil"/>
            </w:tcBorders>
            <w:shd w:val="clear" w:color="000000" w:fill="FFFFFF"/>
            <w:noWrap/>
            <w:vAlign w:val="bottom"/>
            <w:hideMark/>
          </w:tcPr>
          <w:p w14:paraId="7401525A"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71C12DF2"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noWrap/>
            <w:vAlign w:val="bottom"/>
            <w:hideMark/>
          </w:tcPr>
          <w:p w14:paraId="1B0C8272"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9F507AF"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5834AE39"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r>
      <w:tr w:rsidR="00710F39" w:rsidRPr="00710F39" w14:paraId="50D59C94" w14:textId="77777777" w:rsidTr="00710F39">
        <w:trPr>
          <w:trHeight w:val="570"/>
        </w:trPr>
        <w:tc>
          <w:tcPr>
            <w:tcW w:w="4622" w:type="dxa"/>
            <w:tcBorders>
              <w:top w:val="nil"/>
              <w:left w:val="nil"/>
              <w:bottom w:val="nil"/>
              <w:right w:val="nil"/>
            </w:tcBorders>
            <w:shd w:val="clear" w:color="000000" w:fill="FFFFFF"/>
            <w:noWrap/>
            <w:vAlign w:val="bottom"/>
            <w:hideMark/>
          </w:tcPr>
          <w:p w14:paraId="17387708"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845" w:type="dxa"/>
            <w:tcBorders>
              <w:top w:val="nil"/>
              <w:left w:val="nil"/>
              <w:bottom w:val="nil"/>
              <w:right w:val="nil"/>
            </w:tcBorders>
            <w:shd w:val="clear" w:color="000000" w:fill="FFFFFF"/>
            <w:noWrap/>
            <w:vAlign w:val="bottom"/>
            <w:hideMark/>
          </w:tcPr>
          <w:p w14:paraId="6C3B3E74"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37D7CC19"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vAlign w:val="bottom"/>
            <w:hideMark/>
          </w:tcPr>
          <w:p w14:paraId="6CBD9A8B" w14:textId="77777777" w:rsidR="00710F39" w:rsidRPr="00710F39" w:rsidRDefault="00710F39" w:rsidP="00710F39">
            <w:pPr>
              <w:spacing w:before="0" w:after="0"/>
              <w:jc w:val="right"/>
              <w:rPr>
                <w:rFonts w:eastAsia="Times New Roman" w:cs="Arial"/>
                <w:b/>
                <w:bCs/>
                <w:sz w:val="20"/>
                <w:szCs w:val="20"/>
                <w:lang w:eastAsia="en-GB"/>
              </w:rPr>
            </w:pPr>
            <w:r w:rsidRPr="00710F39">
              <w:rPr>
                <w:rFonts w:eastAsia="Times New Roman" w:cs="Arial"/>
                <w:b/>
                <w:bCs/>
                <w:sz w:val="20"/>
                <w:szCs w:val="20"/>
                <w:lang w:eastAsia="en-GB"/>
              </w:rPr>
              <w:t>1-Apr-23 to 31-Mar-24</w:t>
            </w:r>
          </w:p>
        </w:tc>
        <w:tc>
          <w:tcPr>
            <w:tcW w:w="272" w:type="dxa"/>
            <w:tcBorders>
              <w:top w:val="nil"/>
              <w:left w:val="nil"/>
              <w:bottom w:val="nil"/>
              <w:right w:val="nil"/>
            </w:tcBorders>
            <w:shd w:val="clear" w:color="000000" w:fill="FFFFFF"/>
            <w:vAlign w:val="bottom"/>
            <w:hideMark/>
          </w:tcPr>
          <w:p w14:paraId="40DEC0EE" w14:textId="77777777" w:rsidR="00710F39" w:rsidRPr="00710F39" w:rsidRDefault="00710F39" w:rsidP="00710F39">
            <w:pPr>
              <w:spacing w:before="0" w:after="0"/>
              <w:jc w:val="right"/>
              <w:rPr>
                <w:rFonts w:eastAsia="Times New Roman" w:cs="Arial"/>
                <w:b/>
                <w:bCs/>
                <w:sz w:val="20"/>
                <w:szCs w:val="20"/>
                <w:lang w:eastAsia="en-GB"/>
              </w:rPr>
            </w:pPr>
            <w:r w:rsidRPr="00710F39">
              <w:rPr>
                <w:rFonts w:eastAsia="Times New Roman" w:cs="Arial"/>
                <w:b/>
                <w:bCs/>
                <w:sz w:val="20"/>
                <w:szCs w:val="20"/>
                <w:lang w:eastAsia="en-GB"/>
              </w:rPr>
              <w:t> </w:t>
            </w:r>
          </w:p>
        </w:tc>
        <w:tc>
          <w:tcPr>
            <w:tcW w:w="1287" w:type="dxa"/>
            <w:tcBorders>
              <w:top w:val="nil"/>
              <w:left w:val="nil"/>
              <w:bottom w:val="nil"/>
              <w:right w:val="nil"/>
            </w:tcBorders>
            <w:shd w:val="clear" w:color="000000" w:fill="FFFFFF"/>
            <w:vAlign w:val="bottom"/>
            <w:hideMark/>
          </w:tcPr>
          <w:p w14:paraId="3C9C3CCF" w14:textId="77777777" w:rsidR="00710F39" w:rsidRPr="00710F39" w:rsidRDefault="00710F39" w:rsidP="00710F39">
            <w:pPr>
              <w:spacing w:before="0" w:after="0"/>
              <w:jc w:val="right"/>
              <w:rPr>
                <w:rFonts w:eastAsia="Times New Roman" w:cs="Arial"/>
                <w:sz w:val="20"/>
                <w:szCs w:val="20"/>
                <w:lang w:eastAsia="en-GB"/>
              </w:rPr>
            </w:pPr>
            <w:r w:rsidRPr="00710F39">
              <w:rPr>
                <w:rFonts w:eastAsia="Times New Roman" w:cs="Arial"/>
                <w:sz w:val="20"/>
                <w:szCs w:val="20"/>
                <w:lang w:eastAsia="en-GB"/>
              </w:rPr>
              <w:t>1-Jul-22 to 31-Mar-23</w:t>
            </w:r>
          </w:p>
        </w:tc>
      </w:tr>
      <w:tr w:rsidR="00710F39" w:rsidRPr="00710F39" w14:paraId="7370CCEF" w14:textId="77777777" w:rsidTr="00710F39">
        <w:trPr>
          <w:trHeight w:val="260"/>
        </w:trPr>
        <w:tc>
          <w:tcPr>
            <w:tcW w:w="4622" w:type="dxa"/>
            <w:tcBorders>
              <w:top w:val="nil"/>
              <w:left w:val="nil"/>
              <w:bottom w:val="nil"/>
              <w:right w:val="nil"/>
            </w:tcBorders>
            <w:shd w:val="clear" w:color="000000" w:fill="FFFFFF"/>
            <w:noWrap/>
            <w:vAlign w:val="bottom"/>
            <w:hideMark/>
          </w:tcPr>
          <w:p w14:paraId="2DE4A944"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845" w:type="dxa"/>
            <w:tcBorders>
              <w:top w:val="nil"/>
              <w:left w:val="nil"/>
              <w:bottom w:val="nil"/>
              <w:right w:val="nil"/>
            </w:tcBorders>
            <w:shd w:val="clear" w:color="000000" w:fill="FFFFFF"/>
            <w:noWrap/>
            <w:vAlign w:val="bottom"/>
            <w:hideMark/>
          </w:tcPr>
          <w:p w14:paraId="383E64D4"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4CAEEBA9"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noWrap/>
            <w:vAlign w:val="bottom"/>
            <w:hideMark/>
          </w:tcPr>
          <w:p w14:paraId="6D9399A5" w14:textId="77777777" w:rsidR="00710F39" w:rsidRPr="00710F39" w:rsidRDefault="00710F39" w:rsidP="00710F39">
            <w:pPr>
              <w:spacing w:before="0" w:after="0"/>
              <w:jc w:val="right"/>
              <w:rPr>
                <w:rFonts w:eastAsia="Times New Roman" w:cs="Arial"/>
                <w:b/>
                <w:bCs/>
                <w:sz w:val="20"/>
                <w:szCs w:val="20"/>
                <w:lang w:eastAsia="en-GB"/>
              </w:rPr>
            </w:pPr>
            <w:r w:rsidRPr="00710F39">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bottom"/>
            <w:hideMark/>
          </w:tcPr>
          <w:p w14:paraId="527A3452" w14:textId="77777777" w:rsidR="00710F39" w:rsidRPr="00710F39" w:rsidRDefault="00710F39" w:rsidP="00710F39">
            <w:pPr>
              <w:spacing w:before="0" w:after="0"/>
              <w:jc w:val="right"/>
              <w:rPr>
                <w:rFonts w:eastAsia="Times New Roman" w:cs="Arial"/>
                <w:b/>
                <w:bCs/>
                <w:sz w:val="20"/>
                <w:szCs w:val="20"/>
                <w:lang w:eastAsia="en-GB"/>
              </w:rPr>
            </w:pPr>
            <w:r w:rsidRPr="00710F39">
              <w:rPr>
                <w:rFonts w:eastAsia="Times New Roman" w:cs="Arial"/>
                <w:b/>
                <w:bCs/>
                <w:sz w:val="20"/>
                <w:szCs w:val="20"/>
                <w:lang w:eastAsia="en-GB"/>
              </w:rPr>
              <w:t> </w:t>
            </w:r>
          </w:p>
        </w:tc>
        <w:tc>
          <w:tcPr>
            <w:tcW w:w="1287" w:type="dxa"/>
            <w:tcBorders>
              <w:top w:val="nil"/>
              <w:left w:val="nil"/>
              <w:bottom w:val="nil"/>
              <w:right w:val="nil"/>
            </w:tcBorders>
            <w:shd w:val="clear" w:color="000000" w:fill="FFFFFF"/>
            <w:noWrap/>
            <w:vAlign w:val="bottom"/>
            <w:hideMark/>
          </w:tcPr>
          <w:p w14:paraId="3535FE7D" w14:textId="77777777" w:rsidR="00710F39" w:rsidRPr="00710F39" w:rsidRDefault="00710F39" w:rsidP="00710F39">
            <w:pPr>
              <w:spacing w:before="0" w:after="0"/>
              <w:jc w:val="right"/>
              <w:rPr>
                <w:rFonts w:eastAsia="Times New Roman" w:cs="Arial"/>
                <w:sz w:val="20"/>
                <w:szCs w:val="20"/>
                <w:lang w:eastAsia="en-GB"/>
              </w:rPr>
            </w:pPr>
            <w:r w:rsidRPr="00710F39">
              <w:rPr>
                <w:rFonts w:eastAsia="Times New Roman" w:cs="Arial"/>
                <w:sz w:val="20"/>
                <w:szCs w:val="20"/>
                <w:lang w:eastAsia="en-GB"/>
              </w:rPr>
              <w:t>£'000</w:t>
            </w:r>
          </w:p>
        </w:tc>
      </w:tr>
      <w:tr w:rsidR="00710F39" w:rsidRPr="00710F39" w14:paraId="5101A08C" w14:textId="77777777" w:rsidTr="00710F39">
        <w:trPr>
          <w:trHeight w:val="260"/>
        </w:trPr>
        <w:tc>
          <w:tcPr>
            <w:tcW w:w="4622" w:type="dxa"/>
            <w:tcBorders>
              <w:top w:val="nil"/>
              <w:left w:val="nil"/>
              <w:bottom w:val="nil"/>
              <w:right w:val="nil"/>
            </w:tcBorders>
            <w:shd w:val="clear" w:color="000000" w:fill="FFFFFF"/>
            <w:noWrap/>
            <w:vAlign w:val="bottom"/>
            <w:hideMark/>
          </w:tcPr>
          <w:p w14:paraId="4972F09F" w14:textId="77777777" w:rsidR="00710F39" w:rsidRPr="00710F39" w:rsidRDefault="00710F39" w:rsidP="00710F39">
            <w:pPr>
              <w:spacing w:before="0" w:after="0"/>
              <w:rPr>
                <w:rFonts w:eastAsia="Times New Roman" w:cs="Arial"/>
                <w:b/>
                <w:bCs/>
                <w:sz w:val="20"/>
                <w:szCs w:val="20"/>
                <w:lang w:eastAsia="en-GB"/>
              </w:rPr>
            </w:pPr>
            <w:r w:rsidRPr="00710F39">
              <w:rPr>
                <w:rFonts w:eastAsia="Times New Roman" w:cs="Arial"/>
                <w:b/>
                <w:bCs/>
                <w:sz w:val="20"/>
                <w:szCs w:val="20"/>
                <w:lang w:eastAsia="en-GB"/>
              </w:rPr>
              <w:t>Balance at 01 April 23</w:t>
            </w:r>
          </w:p>
        </w:tc>
        <w:tc>
          <w:tcPr>
            <w:tcW w:w="845" w:type="dxa"/>
            <w:tcBorders>
              <w:top w:val="nil"/>
              <w:left w:val="nil"/>
              <w:bottom w:val="nil"/>
              <w:right w:val="nil"/>
            </w:tcBorders>
            <w:shd w:val="clear" w:color="000000" w:fill="FFFFFF"/>
            <w:noWrap/>
            <w:vAlign w:val="bottom"/>
            <w:hideMark/>
          </w:tcPr>
          <w:p w14:paraId="5985F115" w14:textId="77777777" w:rsidR="00710F39" w:rsidRPr="00710F39" w:rsidRDefault="00710F39" w:rsidP="00710F39">
            <w:pPr>
              <w:spacing w:before="0" w:after="0"/>
              <w:rPr>
                <w:rFonts w:eastAsia="Times New Roman" w:cs="Arial"/>
                <w:b/>
                <w:bCs/>
                <w:sz w:val="20"/>
                <w:szCs w:val="20"/>
                <w:lang w:eastAsia="en-GB"/>
              </w:rPr>
            </w:pPr>
            <w:r w:rsidRPr="00710F39">
              <w:rPr>
                <w:rFonts w:eastAsia="Times New Roman" w:cs="Arial"/>
                <w:b/>
                <w:bCs/>
                <w:sz w:val="20"/>
                <w:szCs w:val="20"/>
                <w:lang w:eastAsia="en-GB"/>
              </w:rPr>
              <w:t> </w:t>
            </w:r>
          </w:p>
        </w:tc>
        <w:tc>
          <w:tcPr>
            <w:tcW w:w="1337" w:type="dxa"/>
            <w:tcBorders>
              <w:top w:val="nil"/>
              <w:left w:val="nil"/>
              <w:bottom w:val="nil"/>
              <w:right w:val="nil"/>
            </w:tcBorders>
            <w:shd w:val="clear" w:color="000000" w:fill="FFFFFF"/>
            <w:noWrap/>
            <w:vAlign w:val="bottom"/>
            <w:hideMark/>
          </w:tcPr>
          <w:p w14:paraId="027E8CFF" w14:textId="77777777" w:rsidR="00710F39" w:rsidRPr="00710F39" w:rsidRDefault="00710F39" w:rsidP="00710F39">
            <w:pPr>
              <w:spacing w:before="0" w:after="0"/>
              <w:rPr>
                <w:rFonts w:eastAsia="Times New Roman" w:cs="Arial"/>
                <w:b/>
                <w:bCs/>
                <w:sz w:val="20"/>
                <w:szCs w:val="20"/>
                <w:lang w:eastAsia="en-GB"/>
              </w:rPr>
            </w:pPr>
            <w:r w:rsidRPr="00710F39">
              <w:rPr>
                <w:rFonts w:eastAsia="Times New Roman" w:cs="Arial"/>
                <w:b/>
                <w:bCs/>
                <w:sz w:val="20"/>
                <w:szCs w:val="20"/>
                <w:lang w:eastAsia="en-GB"/>
              </w:rPr>
              <w:t> </w:t>
            </w:r>
          </w:p>
        </w:tc>
        <w:tc>
          <w:tcPr>
            <w:tcW w:w="1418" w:type="dxa"/>
            <w:tcBorders>
              <w:top w:val="nil"/>
              <w:left w:val="nil"/>
              <w:bottom w:val="nil"/>
              <w:right w:val="nil"/>
            </w:tcBorders>
            <w:shd w:val="clear" w:color="000000" w:fill="FFFFFF"/>
            <w:noWrap/>
            <w:vAlign w:val="bottom"/>
            <w:hideMark/>
          </w:tcPr>
          <w:p w14:paraId="4BF3C85C" w14:textId="77777777" w:rsidR="00710F39" w:rsidRPr="00710F39" w:rsidRDefault="00710F39" w:rsidP="00710F39">
            <w:pPr>
              <w:spacing w:before="0" w:after="0"/>
              <w:jc w:val="right"/>
              <w:rPr>
                <w:rFonts w:eastAsia="Times New Roman" w:cs="Arial"/>
                <w:sz w:val="20"/>
                <w:szCs w:val="20"/>
                <w:lang w:eastAsia="en-GB"/>
              </w:rPr>
            </w:pPr>
            <w:r w:rsidRPr="00710F39">
              <w:rPr>
                <w:rFonts w:eastAsia="Times New Roman" w:cs="Arial"/>
                <w:sz w:val="20"/>
                <w:szCs w:val="20"/>
                <w:lang w:eastAsia="en-GB"/>
              </w:rPr>
              <w:t>(2,808)</w:t>
            </w:r>
          </w:p>
        </w:tc>
        <w:tc>
          <w:tcPr>
            <w:tcW w:w="272" w:type="dxa"/>
            <w:tcBorders>
              <w:top w:val="nil"/>
              <w:left w:val="nil"/>
              <w:bottom w:val="nil"/>
              <w:right w:val="nil"/>
            </w:tcBorders>
            <w:shd w:val="clear" w:color="000000" w:fill="FFFFFF"/>
            <w:noWrap/>
            <w:vAlign w:val="bottom"/>
            <w:hideMark/>
          </w:tcPr>
          <w:p w14:paraId="625A5454"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3E62025E" w14:textId="77777777" w:rsidR="00710F39" w:rsidRPr="00710F39" w:rsidRDefault="00710F39" w:rsidP="00710F39">
            <w:pPr>
              <w:spacing w:before="0" w:after="0"/>
              <w:jc w:val="right"/>
              <w:rPr>
                <w:rFonts w:eastAsia="Times New Roman" w:cs="Arial"/>
                <w:sz w:val="20"/>
                <w:szCs w:val="20"/>
                <w:lang w:eastAsia="en-GB"/>
              </w:rPr>
            </w:pPr>
            <w:r w:rsidRPr="00710F39">
              <w:rPr>
                <w:rFonts w:eastAsia="Times New Roman" w:cs="Arial"/>
                <w:sz w:val="20"/>
                <w:szCs w:val="20"/>
                <w:lang w:eastAsia="en-GB"/>
              </w:rPr>
              <w:t>-</w:t>
            </w:r>
          </w:p>
        </w:tc>
      </w:tr>
      <w:tr w:rsidR="00710F39" w:rsidRPr="00710F39" w14:paraId="145115DA" w14:textId="77777777" w:rsidTr="00710F39">
        <w:trPr>
          <w:trHeight w:val="260"/>
        </w:trPr>
        <w:tc>
          <w:tcPr>
            <w:tcW w:w="4622" w:type="dxa"/>
            <w:tcBorders>
              <w:top w:val="nil"/>
              <w:left w:val="nil"/>
              <w:bottom w:val="nil"/>
              <w:right w:val="nil"/>
            </w:tcBorders>
            <w:shd w:val="clear" w:color="000000" w:fill="FFFFFF"/>
            <w:noWrap/>
            <w:vAlign w:val="bottom"/>
            <w:hideMark/>
          </w:tcPr>
          <w:p w14:paraId="4678F0E1"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Transfer from other public bodies under absorption</w:t>
            </w:r>
          </w:p>
        </w:tc>
        <w:tc>
          <w:tcPr>
            <w:tcW w:w="845" w:type="dxa"/>
            <w:tcBorders>
              <w:top w:val="nil"/>
              <w:left w:val="nil"/>
              <w:bottom w:val="nil"/>
              <w:right w:val="nil"/>
            </w:tcBorders>
            <w:shd w:val="clear" w:color="000000" w:fill="FFFFFF"/>
            <w:noWrap/>
            <w:vAlign w:val="bottom"/>
            <w:hideMark/>
          </w:tcPr>
          <w:p w14:paraId="28BDAF4C" w14:textId="77777777" w:rsidR="00710F39" w:rsidRPr="00710F39" w:rsidRDefault="00710F39" w:rsidP="00710F39">
            <w:pPr>
              <w:spacing w:before="0" w:after="0"/>
              <w:rPr>
                <w:rFonts w:eastAsia="Times New Roman" w:cs="Arial"/>
                <w:b/>
                <w:bCs/>
                <w:sz w:val="20"/>
                <w:szCs w:val="20"/>
                <w:lang w:eastAsia="en-GB"/>
              </w:rPr>
            </w:pPr>
            <w:r w:rsidRPr="00710F39">
              <w:rPr>
                <w:rFonts w:eastAsia="Times New Roman" w:cs="Arial"/>
                <w:b/>
                <w:bCs/>
                <w:sz w:val="20"/>
                <w:szCs w:val="20"/>
                <w:lang w:eastAsia="en-GB"/>
              </w:rPr>
              <w:t> </w:t>
            </w:r>
          </w:p>
        </w:tc>
        <w:tc>
          <w:tcPr>
            <w:tcW w:w="1337" w:type="dxa"/>
            <w:tcBorders>
              <w:top w:val="nil"/>
              <w:left w:val="nil"/>
              <w:bottom w:val="nil"/>
              <w:right w:val="nil"/>
            </w:tcBorders>
            <w:shd w:val="clear" w:color="000000" w:fill="FFFFFF"/>
            <w:noWrap/>
            <w:vAlign w:val="bottom"/>
            <w:hideMark/>
          </w:tcPr>
          <w:p w14:paraId="0FFABBFF" w14:textId="77777777" w:rsidR="00710F39" w:rsidRPr="00710F39" w:rsidRDefault="00710F39" w:rsidP="00710F39">
            <w:pPr>
              <w:spacing w:before="0" w:after="0"/>
              <w:rPr>
                <w:rFonts w:eastAsia="Times New Roman" w:cs="Arial"/>
                <w:b/>
                <w:bCs/>
                <w:sz w:val="20"/>
                <w:szCs w:val="20"/>
                <w:lang w:eastAsia="en-GB"/>
              </w:rPr>
            </w:pPr>
            <w:r w:rsidRPr="00710F39">
              <w:rPr>
                <w:rFonts w:eastAsia="Times New Roman" w:cs="Arial"/>
                <w:b/>
                <w:bCs/>
                <w:sz w:val="20"/>
                <w:szCs w:val="20"/>
                <w:lang w:eastAsia="en-GB"/>
              </w:rPr>
              <w:t> </w:t>
            </w:r>
          </w:p>
        </w:tc>
        <w:tc>
          <w:tcPr>
            <w:tcW w:w="1418" w:type="dxa"/>
            <w:tcBorders>
              <w:top w:val="nil"/>
              <w:left w:val="nil"/>
              <w:bottom w:val="nil"/>
              <w:right w:val="nil"/>
            </w:tcBorders>
            <w:shd w:val="clear" w:color="000000" w:fill="FFFFFF"/>
            <w:noWrap/>
            <w:vAlign w:val="bottom"/>
            <w:hideMark/>
          </w:tcPr>
          <w:p w14:paraId="210AE0C2" w14:textId="77777777" w:rsidR="00710F39" w:rsidRPr="00710F39" w:rsidRDefault="00710F39" w:rsidP="00710F39">
            <w:pPr>
              <w:spacing w:before="0" w:after="0"/>
              <w:jc w:val="right"/>
              <w:rPr>
                <w:rFonts w:eastAsia="Times New Roman" w:cs="Arial"/>
                <w:sz w:val="20"/>
                <w:szCs w:val="20"/>
                <w:lang w:eastAsia="en-GB"/>
              </w:rPr>
            </w:pPr>
            <w:r w:rsidRPr="00710F39">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395D3204"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47549E7E" w14:textId="77777777" w:rsidR="00710F39" w:rsidRPr="00710F39" w:rsidRDefault="00710F39" w:rsidP="00710F39">
            <w:pPr>
              <w:spacing w:before="0" w:after="0"/>
              <w:jc w:val="right"/>
              <w:rPr>
                <w:rFonts w:eastAsia="Times New Roman" w:cs="Arial"/>
                <w:sz w:val="20"/>
                <w:szCs w:val="20"/>
                <w:lang w:eastAsia="en-GB"/>
              </w:rPr>
            </w:pPr>
            <w:r w:rsidRPr="00710F39">
              <w:rPr>
                <w:rFonts w:eastAsia="Times New Roman" w:cs="Arial"/>
                <w:sz w:val="20"/>
                <w:szCs w:val="20"/>
                <w:lang w:eastAsia="en-GB"/>
              </w:rPr>
              <w:t>2,793</w:t>
            </w:r>
          </w:p>
        </w:tc>
      </w:tr>
      <w:tr w:rsidR="00710F39" w:rsidRPr="00710F39" w14:paraId="78DA555B" w14:textId="77777777" w:rsidTr="00710F39">
        <w:trPr>
          <w:trHeight w:val="250"/>
        </w:trPr>
        <w:tc>
          <w:tcPr>
            <w:tcW w:w="4622" w:type="dxa"/>
            <w:tcBorders>
              <w:top w:val="nil"/>
              <w:left w:val="nil"/>
              <w:bottom w:val="nil"/>
              <w:right w:val="nil"/>
            </w:tcBorders>
            <w:shd w:val="clear" w:color="000000" w:fill="FFFFFF"/>
            <w:noWrap/>
            <w:vAlign w:val="bottom"/>
            <w:hideMark/>
          </w:tcPr>
          <w:p w14:paraId="05C00A04"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Net change in year / period</w:t>
            </w:r>
          </w:p>
        </w:tc>
        <w:tc>
          <w:tcPr>
            <w:tcW w:w="845" w:type="dxa"/>
            <w:tcBorders>
              <w:top w:val="nil"/>
              <w:left w:val="nil"/>
              <w:bottom w:val="nil"/>
              <w:right w:val="nil"/>
            </w:tcBorders>
            <w:shd w:val="clear" w:color="000000" w:fill="FFFFFF"/>
            <w:noWrap/>
            <w:vAlign w:val="bottom"/>
            <w:hideMark/>
          </w:tcPr>
          <w:p w14:paraId="334CE94F"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289F5BD5"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noWrap/>
            <w:vAlign w:val="bottom"/>
            <w:hideMark/>
          </w:tcPr>
          <w:p w14:paraId="0492D5F2" w14:textId="77777777" w:rsidR="00710F39" w:rsidRPr="00710F39" w:rsidRDefault="00710F39" w:rsidP="00710F39">
            <w:pPr>
              <w:spacing w:before="0" w:after="0"/>
              <w:jc w:val="right"/>
              <w:rPr>
                <w:rFonts w:eastAsia="Times New Roman" w:cs="Arial"/>
                <w:sz w:val="20"/>
                <w:szCs w:val="20"/>
                <w:lang w:eastAsia="en-GB"/>
              </w:rPr>
            </w:pPr>
            <w:r w:rsidRPr="00710F39">
              <w:rPr>
                <w:rFonts w:eastAsia="Times New Roman" w:cs="Arial"/>
                <w:sz w:val="20"/>
                <w:szCs w:val="20"/>
                <w:lang w:eastAsia="en-GB"/>
              </w:rPr>
              <w:t>285</w:t>
            </w:r>
          </w:p>
        </w:tc>
        <w:tc>
          <w:tcPr>
            <w:tcW w:w="272" w:type="dxa"/>
            <w:tcBorders>
              <w:top w:val="nil"/>
              <w:left w:val="nil"/>
              <w:bottom w:val="nil"/>
              <w:right w:val="nil"/>
            </w:tcBorders>
            <w:shd w:val="clear" w:color="000000" w:fill="FFFFFF"/>
            <w:noWrap/>
            <w:vAlign w:val="bottom"/>
            <w:hideMark/>
          </w:tcPr>
          <w:p w14:paraId="1026570B"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29E60854" w14:textId="77777777" w:rsidR="00710F39" w:rsidRPr="00710F39" w:rsidRDefault="00710F39" w:rsidP="00710F39">
            <w:pPr>
              <w:spacing w:before="0" w:after="0"/>
              <w:jc w:val="right"/>
              <w:rPr>
                <w:rFonts w:eastAsia="Times New Roman" w:cs="Arial"/>
                <w:sz w:val="20"/>
                <w:szCs w:val="20"/>
                <w:lang w:eastAsia="en-GB"/>
              </w:rPr>
            </w:pPr>
            <w:r w:rsidRPr="00710F39">
              <w:rPr>
                <w:rFonts w:eastAsia="Times New Roman" w:cs="Arial"/>
                <w:sz w:val="20"/>
                <w:szCs w:val="20"/>
                <w:lang w:eastAsia="en-GB"/>
              </w:rPr>
              <w:t>(5,601)</w:t>
            </w:r>
          </w:p>
        </w:tc>
      </w:tr>
      <w:tr w:rsidR="00710F39" w:rsidRPr="00710F39" w14:paraId="4297DA21" w14:textId="77777777" w:rsidTr="00710F39">
        <w:trPr>
          <w:trHeight w:val="260"/>
        </w:trPr>
        <w:tc>
          <w:tcPr>
            <w:tcW w:w="4622" w:type="dxa"/>
            <w:tcBorders>
              <w:top w:val="nil"/>
              <w:left w:val="nil"/>
              <w:bottom w:val="nil"/>
              <w:right w:val="nil"/>
            </w:tcBorders>
            <w:shd w:val="clear" w:color="000000" w:fill="FFFFFF"/>
            <w:noWrap/>
            <w:vAlign w:val="bottom"/>
            <w:hideMark/>
          </w:tcPr>
          <w:p w14:paraId="6B0971E7" w14:textId="77777777" w:rsidR="00710F39" w:rsidRPr="00710F39" w:rsidRDefault="00710F39" w:rsidP="00710F39">
            <w:pPr>
              <w:spacing w:before="0" w:after="0"/>
              <w:rPr>
                <w:rFonts w:eastAsia="Times New Roman" w:cs="Arial"/>
                <w:b/>
                <w:bCs/>
                <w:sz w:val="20"/>
                <w:szCs w:val="20"/>
                <w:lang w:eastAsia="en-GB"/>
              </w:rPr>
            </w:pPr>
            <w:r w:rsidRPr="00710F39">
              <w:rPr>
                <w:rFonts w:eastAsia="Times New Roman" w:cs="Arial"/>
                <w:b/>
                <w:bCs/>
                <w:sz w:val="20"/>
                <w:szCs w:val="20"/>
                <w:lang w:eastAsia="en-GB"/>
              </w:rPr>
              <w:t>Balance at 31 March 24</w:t>
            </w:r>
          </w:p>
        </w:tc>
        <w:tc>
          <w:tcPr>
            <w:tcW w:w="845" w:type="dxa"/>
            <w:tcBorders>
              <w:top w:val="nil"/>
              <w:left w:val="nil"/>
              <w:bottom w:val="nil"/>
              <w:right w:val="nil"/>
            </w:tcBorders>
            <w:shd w:val="clear" w:color="000000" w:fill="FFFFFF"/>
            <w:noWrap/>
            <w:vAlign w:val="bottom"/>
            <w:hideMark/>
          </w:tcPr>
          <w:p w14:paraId="64638FD8" w14:textId="77777777" w:rsidR="00710F39" w:rsidRPr="00710F39" w:rsidRDefault="00710F39" w:rsidP="00710F39">
            <w:pPr>
              <w:spacing w:before="0" w:after="0"/>
              <w:rPr>
                <w:rFonts w:eastAsia="Times New Roman" w:cs="Arial"/>
                <w:b/>
                <w:bCs/>
                <w:sz w:val="20"/>
                <w:szCs w:val="20"/>
                <w:lang w:eastAsia="en-GB"/>
              </w:rPr>
            </w:pPr>
            <w:r w:rsidRPr="00710F39">
              <w:rPr>
                <w:rFonts w:eastAsia="Times New Roman" w:cs="Arial"/>
                <w:b/>
                <w:bCs/>
                <w:sz w:val="20"/>
                <w:szCs w:val="20"/>
                <w:lang w:eastAsia="en-GB"/>
              </w:rPr>
              <w:t> </w:t>
            </w:r>
          </w:p>
        </w:tc>
        <w:tc>
          <w:tcPr>
            <w:tcW w:w="1337" w:type="dxa"/>
            <w:tcBorders>
              <w:top w:val="nil"/>
              <w:left w:val="nil"/>
              <w:bottom w:val="nil"/>
              <w:right w:val="nil"/>
            </w:tcBorders>
            <w:shd w:val="clear" w:color="000000" w:fill="FFFFFF"/>
            <w:noWrap/>
            <w:vAlign w:val="bottom"/>
            <w:hideMark/>
          </w:tcPr>
          <w:p w14:paraId="5A924515" w14:textId="77777777" w:rsidR="00710F39" w:rsidRPr="00710F39" w:rsidRDefault="00710F39" w:rsidP="00710F39">
            <w:pPr>
              <w:spacing w:before="0" w:after="0"/>
              <w:rPr>
                <w:rFonts w:eastAsia="Times New Roman" w:cs="Arial"/>
                <w:b/>
                <w:bCs/>
                <w:sz w:val="20"/>
                <w:szCs w:val="20"/>
                <w:lang w:eastAsia="en-GB"/>
              </w:rPr>
            </w:pPr>
            <w:r w:rsidRPr="00710F39">
              <w:rPr>
                <w:rFonts w:eastAsia="Times New Roman" w:cs="Arial"/>
                <w:b/>
                <w:bCs/>
                <w:sz w:val="20"/>
                <w:szCs w:val="20"/>
                <w:lang w:eastAsia="en-GB"/>
              </w:rPr>
              <w:t> </w:t>
            </w:r>
          </w:p>
        </w:tc>
        <w:tc>
          <w:tcPr>
            <w:tcW w:w="1418" w:type="dxa"/>
            <w:tcBorders>
              <w:top w:val="single" w:sz="4" w:space="0" w:color="auto"/>
              <w:left w:val="nil"/>
              <w:bottom w:val="single" w:sz="4" w:space="0" w:color="auto"/>
              <w:right w:val="nil"/>
            </w:tcBorders>
            <w:shd w:val="clear" w:color="000000" w:fill="FFFFFF"/>
            <w:noWrap/>
            <w:vAlign w:val="bottom"/>
            <w:hideMark/>
          </w:tcPr>
          <w:p w14:paraId="38711AE2" w14:textId="77777777" w:rsidR="00710F39" w:rsidRPr="00710F39" w:rsidRDefault="00710F39" w:rsidP="00710F39">
            <w:pPr>
              <w:spacing w:before="0" w:after="0"/>
              <w:jc w:val="right"/>
              <w:rPr>
                <w:rFonts w:eastAsia="Times New Roman" w:cs="Arial"/>
                <w:b/>
                <w:bCs/>
                <w:sz w:val="20"/>
                <w:szCs w:val="20"/>
                <w:lang w:eastAsia="en-GB"/>
              </w:rPr>
            </w:pPr>
            <w:r w:rsidRPr="00710F39">
              <w:rPr>
                <w:rFonts w:eastAsia="Times New Roman" w:cs="Arial"/>
                <w:b/>
                <w:bCs/>
                <w:sz w:val="20"/>
                <w:szCs w:val="20"/>
                <w:lang w:eastAsia="en-GB"/>
              </w:rPr>
              <w:t>(2,523)</w:t>
            </w:r>
          </w:p>
        </w:tc>
        <w:tc>
          <w:tcPr>
            <w:tcW w:w="272" w:type="dxa"/>
            <w:tcBorders>
              <w:top w:val="nil"/>
              <w:left w:val="nil"/>
              <w:bottom w:val="nil"/>
              <w:right w:val="nil"/>
            </w:tcBorders>
            <w:shd w:val="clear" w:color="000000" w:fill="FFFFFF"/>
            <w:noWrap/>
            <w:vAlign w:val="bottom"/>
            <w:hideMark/>
          </w:tcPr>
          <w:p w14:paraId="66212B4A" w14:textId="77777777" w:rsidR="00710F39" w:rsidRPr="00710F39" w:rsidRDefault="00710F39" w:rsidP="00710F39">
            <w:pPr>
              <w:spacing w:before="0" w:after="0"/>
              <w:rPr>
                <w:rFonts w:eastAsia="Times New Roman" w:cs="Arial"/>
                <w:b/>
                <w:bCs/>
                <w:sz w:val="20"/>
                <w:szCs w:val="20"/>
                <w:lang w:eastAsia="en-GB"/>
              </w:rPr>
            </w:pPr>
            <w:r w:rsidRPr="00710F39">
              <w:rPr>
                <w:rFonts w:eastAsia="Times New Roman" w:cs="Arial"/>
                <w:b/>
                <w:bCs/>
                <w:sz w:val="20"/>
                <w:szCs w:val="20"/>
                <w:lang w:eastAsia="en-GB"/>
              </w:rPr>
              <w:t> </w:t>
            </w:r>
          </w:p>
        </w:tc>
        <w:tc>
          <w:tcPr>
            <w:tcW w:w="1287" w:type="dxa"/>
            <w:tcBorders>
              <w:top w:val="single" w:sz="4" w:space="0" w:color="auto"/>
              <w:left w:val="nil"/>
              <w:bottom w:val="single" w:sz="4" w:space="0" w:color="auto"/>
              <w:right w:val="nil"/>
            </w:tcBorders>
            <w:shd w:val="clear" w:color="000000" w:fill="FFFFFF"/>
            <w:noWrap/>
            <w:vAlign w:val="bottom"/>
            <w:hideMark/>
          </w:tcPr>
          <w:p w14:paraId="218691E6" w14:textId="77777777" w:rsidR="00710F39" w:rsidRPr="00710F39" w:rsidRDefault="00710F39" w:rsidP="00710F39">
            <w:pPr>
              <w:spacing w:before="0" w:after="0"/>
              <w:jc w:val="right"/>
              <w:rPr>
                <w:rFonts w:eastAsia="Times New Roman" w:cs="Arial"/>
                <w:b/>
                <w:bCs/>
                <w:sz w:val="20"/>
                <w:szCs w:val="20"/>
                <w:lang w:eastAsia="en-GB"/>
              </w:rPr>
            </w:pPr>
            <w:r w:rsidRPr="00710F39">
              <w:rPr>
                <w:rFonts w:eastAsia="Times New Roman" w:cs="Arial"/>
                <w:b/>
                <w:bCs/>
                <w:sz w:val="20"/>
                <w:szCs w:val="20"/>
                <w:lang w:eastAsia="en-GB"/>
              </w:rPr>
              <w:t>(2,808)</w:t>
            </w:r>
          </w:p>
        </w:tc>
      </w:tr>
      <w:tr w:rsidR="00710F39" w:rsidRPr="00710F39" w14:paraId="2DC647E9" w14:textId="77777777" w:rsidTr="00710F39">
        <w:trPr>
          <w:trHeight w:val="250"/>
        </w:trPr>
        <w:tc>
          <w:tcPr>
            <w:tcW w:w="4622" w:type="dxa"/>
            <w:tcBorders>
              <w:top w:val="nil"/>
              <w:left w:val="nil"/>
              <w:bottom w:val="nil"/>
              <w:right w:val="nil"/>
            </w:tcBorders>
            <w:shd w:val="clear" w:color="000000" w:fill="FFFFFF"/>
            <w:noWrap/>
            <w:vAlign w:val="bottom"/>
            <w:hideMark/>
          </w:tcPr>
          <w:p w14:paraId="5697F8F5"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845" w:type="dxa"/>
            <w:tcBorders>
              <w:top w:val="nil"/>
              <w:left w:val="nil"/>
              <w:bottom w:val="nil"/>
              <w:right w:val="nil"/>
            </w:tcBorders>
            <w:shd w:val="clear" w:color="000000" w:fill="FFFFFF"/>
            <w:noWrap/>
            <w:vAlign w:val="bottom"/>
            <w:hideMark/>
          </w:tcPr>
          <w:p w14:paraId="1F36A819"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0EDB7970"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noWrap/>
            <w:vAlign w:val="bottom"/>
            <w:hideMark/>
          </w:tcPr>
          <w:p w14:paraId="14CE7390"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F3425CA"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1E9AA55B"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r>
      <w:tr w:rsidR="00710F39" w:rsidRPr="00710F39" w14:paraId="78189321" w14:textId="77777777" w:rsidTr="00710F39">
        <w:trPr>
          <w:trHeight w:val="250"/>
        </w:trPr>
        <w:tc>
          <w:tcPr>
            <w:tcW w:w="4622" w:type="dxa"/>
            <w:tcBorders>
              <w:top w:val="nil"/>
              <w:left w:val="nil"/>
              <w:bottom w:val="nil"/>
              <w:right w:val="nil"/>
            </w:tcBorders>
            <w:shd w:val="clear" w:color="000000" w:fill="FFFFFF"/>
            <w:noWrap/>
            <w:vAlign w:val="center"/>
            <w:hideMark/>
          </w:tcPr>
          <w:p w14:paraId="2AC183CC"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Bank overdraft: Government Banking Service</w:t>
            </w:r>
          </w:p>
        </w:tc>
        <w:tc>
          <w:tcPr>
            <w:tcW w:w="845" w:type="dxa"/>
            <w:tcBorders>
              <w:top w:val="nil"/>
              <w:left w:val="nil"/>
              <w:bottom w:val="nil"/>
              <w:right w:val="nil"/>
            </w:tcBorders>
            <w:shd w:val="clear" w:color="000000" w:fill="FFFFFF"/>
            <w:noWrap/>
            <w:vAlign w:val="bottom"/>
            <w:hideMark/>
          </w:tcPr>
          <w:p w14:paraId="5CE9EDE4"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15583A4B"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single" w:sz="4" w:space="0" w:color="auto"/>
              <w:right w:val="nil"/>
            </w:tcBorders>
            <w:shd w:val="clear" w:color="000000" w:fill="FFFFFF"/>
            <w:noWrap/>
            <w:vAlign w:val="bottom"/>
            <w:hideMark/>
          </w:tcPr>
          <w:p w14:paraId="74C10963" w14:textId="77777777" w:rsidR="00710F39" w:rsidRPr="00710F39" w:rsidRDefault="00710F39" w:rsidP="00710F39">
            <w:pPr>
              <w:spacing w:before="0" w:after="0"/>
              <w:jc w:val="right"/>
              <w:rPr>
                <w:rFonts w:eastAsia="Times New Roman" w:cs="Arial"/>
                <w:sz w:val="20"/>
                <w:szCs w:val="20"/>
                <w:lang w:eastAsia="en-GB"/>
              </w:rPr>
            </w:pPr>
            <w:r w:rsidRPr="00710F39">
              <w:rPr>
                <w:rFonts w:eastAsia="Times New Roman" w:cs="Arial"/>
                <w:sz w:val="20"/>
                <w:szCs w:val="20"/>
                <w:lang w:eastAsia="en-GB"/>
              </w:rPr>
              <w:t>(2,523)</w:t>
            </w:r>
          </w:p>
        </w:tc>
        <w:tc>
          <w:tcPr>
            <w:tcW w:w="272" w:type="dxa"/>
            <w:tcBorders>
              <w:top w:val="nil"/>
              <w:left w:val="nil"/>
              <w:bottom w:val="nil"/>
              <w:right w:val="nil"/>
            </w:tcBorders>
            <w:shd w:val="clear" w:color="000000" w:fill="FFFFFF"/>
            <w:noWrap/>
            <w:vAlign w:val="bottom"/>
            <w:hideMark/>
          </w:tcPr>
          <w:p w14:paraId="2C92195F"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7BE41578" w14:textId="77777777" w:rsidR="00710F39" w:rsidRPr="00710F39" w:rsidRDefault="00710F39" w:rsidP="00710F39">
            <w:pPr>
              <w:spacing w:before="0" w:after="0"/>
              <w:jc w:val="right"/>
              <w:rPr>
                <w:rFonts w:eastAsia="Times New Roman" w:cs="Arial"/>
                <w:sz w:val="20"/>
                <w:szCs w:val="20"/>
                <w:lang w:eastAsia="en-GB"/>
              </w:rPr>
            </w:pPr>
            <w:r w:rsidRPr="00710F39">
              <w:rPr>
                <w:rFonts w:eastAsia="Times New Roman" w:cs="Arial"/>
                <w:sz w:val="20"/>
                <w:szCs w:val="20"/>
                <w:lang w:eastAsia="en-GB"/>
              </w:rPr>
              <w:t>(2,808)</w:t>
            </w:r>
          </w:p>
        </w:tc>
      </w:tr>
      <w:tr w:rsidR="00710F39" w:rsidRPr="00710F39" w14:paraId="4A019E46" w14:textId="77777777" w:rsidTr="00710F39">
        <w:trPr>
          <w:trHeight w:val="260"/>
        </w:trPr>
        <w:tc>
          <w:tcPr>
            <w:tcW w:w="4622" w:type="dxa"/>
            <w:tcBorders>
              <w:top w:val="nil"/>
              <w:left w:val="nil"/>
              <w:bottom w:val="nil"/>
              <w:right w:val="nil"/>
            </w:tcBorders>
            <w:shd w:val="clear" w:color="000000" w:fill="FFFFFF"/>
            <w:noWrap/>
            <w:vAlign w:val="bottom"/>
            <w:hideMark/>
          </w:tcPr>
          <w:p w14:paraId="61D1409D" w14:textId="77777777" w:rsidR="00710F39" w:rsidRPr="00710F39" w:rsidRDefault="00710F39" w:rsidP="00710F39">
            <w:pPr>
              <w:spacing w:before="0" w:after="0"/>
              <w:rPr>
                <w:rFonts w:eastAsia="Times New Roman" w:cs="Arial"/>
                <w:b/>
                <w:bCs/>
                <w:sz w:val="20"/>
                <w:szCs w:val="20"/>
                <w:lang w:eastAsia="en-GB"/>
              </w:rPr>
            </w:pPr>
            <w:r w:rsidRPr="00710F39">
              <w:rPr>
                <w:rFonts w:eastAsia="Times New Roman" w:cs="Arial"/>
                <w:b/>
                <w:bCs/>
                <w:sz w:val="20"/>
                <w:szCs w:val="20"/>
                <w:lang w:eastAsia="en-GB"/>
              </w:rPr>
              <w:t>Total bank overdrafts</w:t>
            </w:r>
          </w:p>
        </w:tc>
        <w:tc>
          <w:tcPr>
            <w:tcW w:w="845" w:type="dxa"/>
            <w:tcBorders>
              <w:top w:val="nil"/>
              <w:left w:val="nil"/>
              <w:bottom w:val="nil"/>
              <w:right w:val="nil"/>
            </w:tcBorders>
            <w:shd w:val="clear" w:color="000000" w:fill="FFFFFF"/>
            <w:noWrap/>
            <w:vAlign w:val="bottom"/>
            <w:hideMark/>
          </w:tcPr>
          <w:p w14:paraId="33A8A8F8" w14:textId="77777777" w:rsidR="00710F39" w:rsidRPr="00710F39" w:rsidRDefault="00710F39" w:rsidP="00710F39">
            <w:pPr>
              <w:spacing w:before="0" w:after="0"/>
              <w:rPr>
                <w:rFonts w:eastAsia="Times New Roman" w:cs="Arial"/>
                <w:b/>
                <w:bCs/>
                <w:sz w:val="20"/>
                <w:szCs w:val="20"/>
                <w:lang w:eastAsia="en-GB"/>
              </w:rPr>
            </w:pPr>
            <w:r w:rsidRPr="00710F39">
              <w:rPr>
                <w:rFonts w:eastAsia="Times New Roman" w:cs="Arial"/>
                <w:b/>
                <w:bCs/>
                <w:sz w:val="20"/>
                <w:szCs w:val="20"/>
                <w:lang w:eastAsia="en-GB"/>
              </w:rPr>
              <w:t> </w:t>
            </w:r>
          </w:p>
        </w:tc>
        <w:tc>
          <w:tcPr>
            <w:tcW w:w="1337" w:type="dxa"/>
            <w:tcBorders>
              <w:top w:val="nil"/>
              <w:left w:val="nil"/>
              <w:bottom w:val="nil"/>
              <w:right w:val="nil"/>
            </w:tcBorders>
            <w:shd w:val="clear" w:color="000000" w:fill="FFFFFF"/>
            <w:noWrap/>
            <w:vAlign w:val="bottom"/>
            <w:hideMark/>
          </w:tcPr>
          <w:p w14:paraId="6866F514" w14:textId="77777777" w:rsidR="00710F39" w:rsidRPr="00710F39" w:rsidRDefault="00710F39" w:rsidP="00710F39">
            <w:pPr>
              <w:spacing w:before="0" w:after="0"/>
              <w:rPr>
                <w:rFonts w:eastAsia="Times New Roman" w:cs="Arial"/>
                <w:b/>
                <w:bCs/>
                <w:sz w:val="20"/>
                <w:szCs w:val="20"/>
                <w:lang w:eastAsia="en-GB"/>
              </w:rPr>
            </w:pPr>
            <w:r w:rsidRPr="00710F39">
              <w:rPr>
                <w:rFonts w:eastAsia="Times New Roman" w:cs="Arial"/>
                <w:b/>
                <w:bCs/>
                <w:sz w:val="20"/>
                <w:szCs w:val="20"/>
                <w:lang w:eastAsia="en-GB"/>
              </w:rPr>
              <w:t> </w:t>
            </w:r>
          </w:p>
        </w:tc>
        <w:tc>
          <w:tcPr>
            <w:tcW w:w="1418" w:type="dxa"/>
            <w:tcBorders>
              <w:top w:val="nil"/>
              <w:left w:val="nil"/>
              <w:bottom w:val="single" w:sz="4" w:space="0" w:color="auto"/>
              <w:right w:val="nil"/>
            </w:tcBorders>
            <w:shd w:val="clear" w:color="000000" w:fill="FFFFFF"/>
            <w:noWrap/>
            <w:vAlign w:val="bottom"/>
            <w:hideMark/>
          </w:tcPr>
          <w:p w14:paraId="50D4E8F1" w14:textId="77777777" w:rsidR="00710F39" w:rsidRPr="00710F39" w:rsidRDefault="00710F39" w:rsidP="00710F39">
            <w:pPr>
              <w:spacing w:before="0" w:after="0"/>
              <w:jc w:val="right"/>
              <w:rPr>
                <w:rFonts w:eastAsia="Times New Roman" w:cs="Arial"/>
                <w:b/>
                <w:bCs/>
                <w:sz w:val="20"/>
                <w:szCs w:val="20"/>
                <w:lang w:eastAsia="en-GB"/>
              </w:rPr>
            </w:pPr>
            <w:r w:rsidRPr="00710F39">
              <w:rPr>
                <w:rFonts w:eastAsia="Times New Roman" w:cs="Arial"/>
                <w:b/>
                <w:bCs/>
                <w:sz w:val="20"/>
                <w:szCs w:val="20"/>
                <w:lang w:eastAsia="en-GB"/>
              </w:rPr>
              <w:t>(2,523)</w:t>
            </w:r>
          </w:p>
        </w:tc>
        <w:tc>
          <w:tcPr>
            <w:tcW w:w="272" w:type="dxa"/>
            <w:tcBorders>
              <w:top w:val="nil"/>
              <w:left w:val="nil"/>
              <w:bottom w:val="nil"/>
              <w:right w:val="nil"/>
            </w:tcBorders>
            <w:shd w:val="clear" w:color="000000" w:fill="FFFFFF"/>
            <w:noWrap/>
            <w:vAlign w:val="bottom"/>
            <w:hideMark/>
          </w:tcPr>
          <w:p w14:paraId="12F935E1" w14:textId="77777777" w:rsidR="00710F39" w:rsidRPr="00710F39" w:rsidRDefault="00710F39" w:rsidP="00710F39">
            <w:pPr>
              <w:spacing w:before="0" w:after="0"/>
              <w:rPr>
                <w:rFonts w:eastAsia="Times New Roman" w:cs="Arial"/>
                <w:b/>
                <w:bCs/>
                <w:sz w:val="20"/>
                <w:szCs w:val="20"/>
                <w:lang w:eastAsia="en-GB"/>
              </w:rPr>
            </w:pPr>
            <w:r w:rsidRPr="00710F39">
              <w:rPr>
                <w:rFonts w:eastAsia="Times New Roman" w:cs="Arial"/>
                <w:b/>
                <w:bCs/>
                <w:sz w:val="20"/>
                <w:szCs w:val="20"/>
                <w:lang w:eastAsia="en-GB"/>
              </w:rPr>
              <w:t> </w:t>
            </w:r>
          </w:p>
        </w:tc>
        <w:tc>
          <w:tcPr>
            <w:tcW w:w="1287" w:type="dxa"/>
            <w:tcBorders>
              <w:top w:val="single" w:sz="4" w:space="0" w:color="auto"/>
              <w:left w:val="nil"/>
              <w:bottom w:val="single" w:sz="4" w:space="0" w:color="auto"/>
              <w:right w:val="nil"/>
            </w:tcBorders>
            <w:shd w:val="clear" w:color="000000" w:fill="FFFFFF"/>
            <w:noWrap/>
            <w:vAlign w:val="bottom"/>
            <w:hideMark/>
          </w:tcPr>
          <w:p w14:paraId="7D94A16C" w14:textId="77777777" w:rsidR="00710F39" w:rsidRPr="00710F39" w:rsidRDefault="00710F39" w:rsidP="00710F39">
            <w:pPr>
              <w:spacing w:before="0" w:after="0"/>
              <w:jc w:val="right"/>
              <w:rPr>
                <w:rFonts w:eastAsia="Times New Roman" w:cs="Arial"/>
                <w:b/>
                <w:bCs/>
                <w:sz w:val="20"/>
                <w:szCs w:val="20"/>
                <w:lang w:eastAsia="en-GB"/>
              </w:rPr>
            </w:pPr>
            <w:r w:rsidRPr="00710F39">
              <w:rPr>
                <w:rFonts w:eastAsia="Times New Roman" w:cs="Arial"/>
                <w:b/>
                <w:bCs/>
                <w:sz w:val="20"/>
                <w:szCs w:val="20"/>
                <w:lang w:eastAsia="en-GB"/>
              </w:rPr>
              <w:t>(2,808)</w:t>
            </w:r>
          </w:p>
        </w:tc>
      </w:tr>
      <w:tr w:rsidR="00710F39" w:rsidRPr="00710F39" w14:paraId="23E0B870" w14:textId="77777777" w:rsidTr="00710F39">
        <w:trPr>
          <w:trHeight w:val="250"/>
        </w:trPr>
        <w:tc>
          <w:tcPr>
            <w:tcW w:w="4622" w:type="dxa"/>
            <w:tcBorders>
              <w:top w:val="nil"/>
              <w:left w:val="nil"/>
              <w:bottom w:val="nil"/>
              <w:right w:val="nil"/>
            </w:tcBorders>
            <w:shd w:val="clear" w:color="000000" w:fill="FFFFFF"/>
            <w:noWrap/>
            <w:vAlign w:val="bottom"/>
            <w:hideMark/>
          </w:tcPr>
          <w:p w14:paraId="3B21CEF4"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845" w:type="dxa"/>
            <w:tcBorders>
              <w:top w:val="nil"/>
              <w:left w:val="nil"/>
              <w:bottom w:val="nil"/>
              <w:right w:val="nil"/>
            </w:tcBorders>
            <w:shd w:val="clear" w:color="000000" w:fill="FFFFFF"/>
            <w:noWrap/>
            <w:vAlign w:val="bottom"/>
            <w:hideMark/>
          </w:tcPr>
          <w:p w14:paraId="1B0D3338"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6472B73F"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noWrap/>
            <w:vAlign w:val="bottom"/>
            <w:hideMark/>
          </w:tcPr>
          <w:p w14:paraId="1FECC5CE"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96D221D"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4AC287CE"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r>
      <w:tr w:rsidR="00710F39" w:rsidRPr="00710F39" w14:paraId="3395DD1C" w14:textId="77777777" w:rsidTr="00710F39">
        <w:trPr>
          <w:trHeight w:val="1080"/>
        </w:trPr>
        <w:tc>
          <w:tcPr>
            <w:tcW w:w="9781" w:type="dxa"/>
            <w:gridSpan w:val="6"/>
            <w:tcBorders>
              <w:top w:val="nil"/>
              <w:left w:val="nil"/>
              <w:bottom w:val="nil"/>
              <w:right w:val="nil"/>
            </w:tcBorders>
            <w:shd w:val="clear" w:color="000000" w:fill="FFFFFF"/>
            <w:vAlign w:val="center"/>
            <w:hideMark/>
          </w:tcPr>
          <w:p w14:paraId="7F1068EA"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The ICBs cash position is reported in the financial statements as a negative balance of £2,523k at 31 March 24 (£2,808k at 31 March 23), due to outstanding payments due to clear after year-end.  As at 31 March 24, the ICB had a net positive balance deposited in its Government Banking Service bank account of £915k. (31 March 23 £2,023k)</w:t>
            </w:r>
          </w:p>
        </w:tc>
      </w:tr>
      <w:tr w:rsidR="00710F39" w:rsidRPr="00710F39" w14:paraId="75676377" w14:textId="77777777" w:rsidTr="00AF2608">
        <w:trPr>
          <w:trHeight w:val="260"/>
        </w:trPr>
        <w:tc>
          <w:tcPr>
            <w:tcW w:w="4622" w:type="dxa"/>
            <w:tcBorders>
              <w:top w:val="nil"/>
              <w:left w:val="nil"/>
              <w:bottom w:val="nil"/>
              <w:right w:val="nil"/>
            </w:tcBorders>
            <w:shd w:val="clear" w:color="000000" w:fill="FFFFFF"/>
            <w:noWrap/>
            <w:vAlign w:val="bottom"/>
          </w:tcPr>
          <w:p w14:paraId="7D498AA3" w14:textId="75B1723A" w:rsidR="00710F39" w:rsidRPr="00710F39" w:rsidRDefault="00710F39" w:rsidP="00710F39">
            <w:pPr>
              <w:spacing w:before="0" w:after="0"/>
              <w:rPr>
                <w:rFonts w:eastAsia="Times New Roman" w:cs="Arial"/>
                <w:b/>
                <w:bCs/>
                <w:sz w:val="20"/>
                <w:szCs w:val="20"/>
                <w:lang w:eastAsia="en-GB"/>
              </w:rPr>
            </w:pPr>
          </w:p>
        </w:tc>
        <w:tc>
          <w:tcPr>
            <w:tcW w:w="845" w:type="dxa"/>
            <w:tcBorders>
              <w:top w:val="nil"/>
              <w:left w:val="nil"/>
              <w:bottom w:val="nil"/>
              <w:right w:val="nil"/>
            </w:tcBorders>
            <w:shd w:val="clear" w:color="000000" w:fill="FFFFFF"/>
            <w:noWrap/>
            <w:vAlign w:val="bottom"/>
            <w:hideMark/>
          </w:tcPr>
          <w:p w14:paraId="09588E4C"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2557AF7C"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noWrap/>
            <w:vAlign w:val="bottom"/>
            <w:hideMark/>
          </w:tcPr>
          <w:p w14:paraId="2FF3F287"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3CABEDA6" w14:textId="77777777" w:rsidR="00710F39" w:rsidRPr="00710F39" w:rsidRDefault="00710F39" w:rsidP="00710F39">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auto" w:fill="auto"/>
            <w:noWrap/>
            <w:vAlign w:val="bottom"/>
            <w:hideMark/>
          </w:tcPr>
          <w:p w14:paraId="2AC8D385" w14:textId="77777777" w:rsidR="00710F39" w:rsidRPr="00710F39" w:rsidRDefault="00710F39" w:rsidP="00710F39">
            <w:pPr>
              <w:spacing w:before="0" w:after="0"/>
              <w:rPr>
                <w:rFonts w:eastAsia="Times New Roman" w:cs="Arial"/>
                <w:sz w:val="20"/>
                <w:szCs w:val="20"/>
                <w:lang w:eastAsia="en-GB"/>
              </w:rPr>
            </w:pPr>
          </w:p>
        </w:tc>
      </w:tr>
      <w:tr w:rsidR="00AF2608" w:rsidRPr="00710F39" w14:paraId="56F6FDF5" w14:textId="77777777" w:rsidTr="00AF2608">
        <w:trPr>
          <w:trHeight w:val="350"/>
        </w:trPr>
        <w:tc>
          <w:tcPr>
            <w:tcW w:w="4622" w:type="dxa"/>
            <w:tcBorders>
              <w:top w:val="nil"/>
              <w:left w:val="nil"/>
              <w:bottom w:val="nil"/>
              <w:right w:val="nil"/>
            </w:tcBorders>
            <w:shd w:val="clear" w:color="000000" w:fill="FFFFFF"/>
            <w:noWrap/>
            <w:hideMark/>
          </w:tcPr>
          <w:p w14:paraId="27A334A2" w14:textId="795C9AE4" w:rsidR="00AF2608" w:rsidRPr="00710F39" w:rsidRDefault="00AF2608" w:rsidP="00AF2608">
            <w:pPr>
              <w:spacing w:before="0" w:after="0"/>
              <w:rPr>
                <w:rFonts w:eastAsia="Times New Roman" w:cs="Arial"/>
                <w:b/>
                <w:bCs/>
                <w:sz w:val="20"/>
                <w:szCs w:val="20"/>
                <w:lang w:eastAsia="en-GB"/>
              </w:rPr>
            </w:pPr>
            <w:r w:rsidRPr="00710F39">
              <w:rPr>
                <w:rFonts w:eastAsia="Times New Roman" w:cs="Arial"/>
                <w:b/>
                <w:bCs/>
                <w:sz w:val="20"/>
                <w:szCs w:val="20"/>
                <w:lang w:eastAsia="en-GB"/>
              </w:rPr>
              <w:t>13 Trade and Other Payables</w:t>
            </w:r>
          </w:p>
        </w:tc>
        <w:tc>
          <w:tcPr>
            <w:tcW w:w="845" w:type="dxa"/>
            <w:tcBorders>
              <w:top w:val="nil"/>
              <w:left w:val="nil"/>
              <w:bottom w:val="nil"/>
              <w:right w:val="nil"/>
            </w:tcBorders>
            <w:shd w:val="clear" w:color="000000" w:fill="FFFFFF"/>
            <w:noWrap/>
            <w:vAlign w:val="bottom"/>
            <w:hideMark/>
          </w:tcPr>
          <w:p w14:paraId="3B26F242" w14:textId="77777777" w:rsidR="00AF2608" w:rsidRPr="00710F39" w:rsidRDefault="00AF2608" w:rsidP="00AF2608">
            <w:pPr>
              <w:spacing w:before="0" w:after="0"/>
              <w:rPr>
                <w:rFonts w:eastAsia="Times New Roman" w:cs="Arial"/>
                <w:b/>
                <w:bCs/>
                <w:sz w:val="20"/>
                <w:szCs w:val="20"/>
                <w:lang w:eastAsia="en-GB"/>
              </w:rPr>
            </w:pPr>
            <w:r w:rsidRPr="00710F39">
              <w:rPr>
                <w:rFonts w:eastAsia="Times New Roman" w:cs="Arial"/>
                <w:b/>
                <w:bCs/>
                <w:sz w:val="20"/>
                <w:szCs w:val="20"/>
                <w:lang w:eastAsia="en-GB"/>
              </w:rPr>
              <w:t> </w:t>
            </w:r>
          </w:p>
        </w:tc>
        <w:tc>
          <w:tcPr>
            <w:tcW w:w="1337" w:type="dxa"/>
            <w:tcBorders>
              <w:top w:val="nil"/>
              <w:left w:val="nil"/>
              <w:bottom w:val="nil"/>
              <w:right w:val="nil"/>
            </w:tcBorders>
            <w:shd w:val="clear" w:color="000000" w:fill="FFFFFF"/>
            <w:noWrap/>
            <w:vAlign w:val="bottom"/>
            <w:hideMark/>
          </w:tcPr>
          <w:p w14:paraId="6028ABC9" w14:textId="77777777" w:rsidR="00AF2608" w:rsidRPr="00710F39" w:rsidRDefault="00AF2608" w:rsidP="00AF2608">
            <w:pPr>
              <w:spacing w:before="0" w:after="0"/>
              <w:rPr>
                <w:rFonts w:eastAsia="Times New Roman" w:cs="Arial"/>
                <w:b/>
                <w:bCs/>
                <w:sz w:val="20"/>
                <w:szCs w:val="20"/>
                <w:lang w:eastAsia="en-GB"/>
              </w:rPr>
            </w:pPr>
            <w:r w:rsidRPr="00710F39">
              <w:rPr>
                <w:rFonts w:eastAsia="Times New Roman" w:cs="Arial"/>
                <w:b/>
                <w:bCs/>
                <w:sz w:val="20"/>
                <w:szCs w:val="20"/>
                <w:lang w:eastAsia="en-GB"/>
              </w:rPr>
              <w:t> </w:t>
            </w:r>
          </w:p>
        </w:tc>
        <w:tc>
          <w:tcPr>
            <w:tcW w:w="1418" w:type="dxa"/>
            <w:tcBorders>
              <w:top w:val="nil"/>
              <w:left w:val="nil"/>
              <w:bottom w:val="nil"/>
              <w:right w:val="nil"/>
            </w:tcBorders>
            <w:shd w:val="clear" w:color="000000" w:fill="FFFFFF"/>
            <w:vAlign w:val="bottom"/>
            <w:hideMark/>
          </w:tcPr>
          <w:p w14:paraId="135327BF" w14:textId="77777777" w:rsidR="00AF2608" w:rsidRPr="00710F39" w:rsidRDefault="00AF2608" w:rsidP="00AF2608">
            <w:pPr>
              <w:spacing w:before="0" w:after="0"/>
              <w:jc w:val="right"/>
              <w:rPr>
                <w:rFonts w:eastAsia="Times New Roman" w:cs="Arial"/>
                <w:b/>
                <w:bCs/>
                <w:sz w:val="20"/>
                <w:szCs w:val="20"/>
                <w:lang w:eastAsia="en-GB"/>
              </w:rPr>
            </w:pPr>
            <w:r w:rsidRPr="00710F39">
              <w:rPr>
                <w:rFonts w:eastAsia="Times New Roman" w:cs="Arial"/>
                <w:b/>
                <w:bCs/>
                <w:sz w:val="20"/>
                <w:szCs w:val="20"/>
                <w:lang w:eastAsia="en-GB"/>
              </w:rPr>
              <w:t>31-Mar-24</w:t>
            </w:r>
          </w:p>
        </w:tc>
        <w:tc>
          <w:tcPr>
            <w:tcW w:w="272" w:type="dxa"/>
            <w:tcBorders>
              <w:top w:val="nil"/>
              <w:left w:val="nil"/>
              <w:bottom w:val="nil"/>
              <w:right w:val="nil"/>
            </w:tcBorders>
            <w:shd w:val="clear" w:color="000000" w:fill="FFFFFF"/>
            <w:noWrap/>
            <w:vAlign w:val="bottom"/>
            <w:hideMark/>
          </w:tcPr>
          <w:p w14:paraId="7828892C"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vAlign w:val="bottom"/>
            <w:hideMark/>
          </w:tcPr>
          <w:p w14:paraId="4623656E"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31-Mar-23</w:t>
            </w:r>
          </w:p>
        </w:tc>
      </w:tr>
      <w:tr w:rsidR="00AF2608" w:rsidRPr="00710F39" w14:paraId="59934A4B" w14:textId="77777777" w:rsidTr="00710F39">
        <w:trPr>
          <w:trHeight w:val="260"/>
        </w:trPr>
        <w:tc>
          <w:tcPr>
            <w:tcW w:w="4622" w:type="dxa"/>
            <w:tcBorders>
              <w:top w:val="nil"/>
              <w:left w:val="nil"/>
              <w:bottom w:val="nil"/>
              <w:right w:val="nil"/>
            </w:tcBorders>
            <w:shd w:val="clear" w:color="000000" w:fill="FFFFFF"/>
            <w:noWrap/>
            <w:vAlign w:val="bottom"/>
            <w:hideMark/>
          </w:tcPr>
          <w:p w14:paraId="5C798767"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845" w:type="dxa"/>
            <w:tcBorders>
              <w:top w:val="nil"/>
              <w:left w:val="nil"/>
              <w:bottom w:val="nil"/>
              <w:right w:val="nil"/>
            </w:tcBorders>
            <w:shd w:val="clear" w:color="000000" w:fill="FFFFFF"/>
            <w:noWrap/>
            <w:vAlign w:val="bottom"/>
            <w:hideMark/>
          </w:tcPr>
          <w:p w14:paraId="3D4C6DBC"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381A8DAE"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noWrap/>
            <w:vAlign w:val="bottom"/>
            <w:hideMark/>
          </w:tcPr>
          <w:p w14:paraId="6DBA1184" w14:textId="77777777" w:rsidR="00AF2608" w:rsidRPr="00710F39" w:rsidRDefault="00AF2608" w:rsidP="00AF2608">
            <w:pPr>
              <w:spacing w:before="0" w:after="0"/>
              <w:jc w:val="right"/>
              <w:rPr>
                <w:rFonts w:eastAsia="Times New Roman" w:cs="Arial"/>
                <w:b/>
                <w:bCs/>
                <w:sz w:val="20"/>
                <w:szCs w:val="20"/>
                <w:lang w:eastAsia="en-GB"/>
              </w:rPr>
            </w:pPr>
            <w:r w:rsidRPr="00710F39">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bottom"/>
            <w:hideMark/>
          </w:tcPr>
          <w:p w14:paraId="163EF5D5"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0869B00B"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£'000</w:t>
            </w:r>
          </w:p>
        </w:tc>
      </w:tr>
      <w:tr w:rsidR="00AF2608" w:rsidRPr="00710F39" w14:paraId="726227BB" w14:textId="77777777" w:rsidTr="00710F39">
        <w:trPr>
          <w:trHeight w:val="100"/>
        </w:trPr>
        <w:tc>
          <w:tcPr>
            <w:tcW w:w="4622" w:type="dxa"/>
            <w:tcBorders>
              <w:top w:val="nil"/>
              <w:left w:val="nil"/>
              <w:bottom w:val="nil"/>
              <w:right w:val="nil"/>
            </w:tcBorders>
            <w:shd w:val="clear" w:color="000000" w:fill="FFFFFF"/>
            <w:noWrap/>
            <w:vAlign w:val="bottom"/>
            <w:hideMark/>
          </w:tcPr>
          <w:p w14:paraId="02961736"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845" w:type="dxa"/>
            <w:tcBorders>
              <w:top w:val="nil"/>
              <w:left w:val="nil"/>
              <w:bottom w:val="nil"/>
              <w:right w:val="nil"/>
            </w:tcBorders>
            <w:shd w:val="clear" w:color="000000" w:fill="FFFFFF"/>
            <w:noWrap/>
            <w:vAlign w:val="bottom"/>
            <w:hideMark/>
          </w:tcPr>
          <w:p w14:paraId="53051EAD"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0676A533"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noWrap/>
            <w:vAlign w:val="bottom"/>
            <w:hideMark/>
          </w:tcPr>
          <w:p w14:paraId="10AC518C"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3DC12E4B"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3719C332"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r>
      <w:tr w:rsidR="00AF2608" w:rsidRPr="00710F39" w14:paraId="097514DB" w14:textId="77777777" w:rsidTr="00710F39">
        <w:trPr>
          <w:trHeight w:val="250"/>
        </w:trPr>
        <w:tc>
          <w:tcPr>
            <w:tcW w:w="4622" w:type="dxa"/>
            <w:tcBorders>
              <w:top w:val="nil"/>
              <w:left w:val="nil"/>
              <w:bottom w:val="nil"/>
              <w:right w:val="nil"/>
            </w:tcBorders>
            <w:shd w:val="clear" w:color="000000" w:fill="FFFFFF"/>
            <w:noWrap/>
            <w:vAlign w:val="bottom"/>
            <w:hideMark/>
          </w:tcPr>
          <w:p w14:paraId="3A9B3795"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NHS payables: revenue</w:t>
            </w:r>
          </w:p>
        </w:tc>
        <w:tc>
          <w:tcPr>
            <w:tcW w:w="845" w:type="dxa"/>
            <w:tcBorders>
              <w:top w:val="nil"/>
              <w:left w:val="nil"/>
              <w:bottom w:val="nil"/>
              <w:right w:val="nil"/>
            </w:tcBorders>
            <w:shd w:val="clear" w:color="000000" w:fill="FFFFFF"/>
            <w:noWrap/>
            <w:vAlign w:val="bottom"/>
            <w:hideMark/>
          </w:tcPr>
          <w:p w14:paraId="6FB01256"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50BC6AD2"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noWrap/>
            <w:vAlign w:val="bottom"/>
            <w:hideMark/>
          </w:tcPr>
          <w:p w14:paraId="675AE49C"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16,385</w:t>
            </w:r>
          </w:p>
        </w:tc>
        <w:tc>
          <w:tcPr>
            <w:tcW w:w="272" w:type="dxa"/>
            <w:tcBorders>
              <w:top w:val="nil"/>
              <w:left w:val="nil"/>
              <w:bottom w:val="nil"/>
              <w:right w:val="nil"/>
            </w:tcBorders>
            <w:shd w:val="clear" w:color="000000" w:fill="FFFFFF"/>
            <w:noWrap/>
            <w:vAlign w:val="bottom"/>
            <w:hideMark/>
          </w:tcPr>
          <w:p w14:paraId="25012B36"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38E377BB"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5,161</w:t>
            </w:r>
          </w:p>
        </w:tc>
      </w:tr>
      <w:tr w:rsidR="00AF2608" w:rsidRPr="00710F39" w14:paraId="4039CB76" w14:textId="77777777" w:rsidTr="00710F39">
        <w:trPr>
          <w:trHeight w:val="250"/>
        </w:trPr>
        <w:tc>
          <w:tcPr>
            <w:tcW w:w="4622" w:type="dxa"/>
            <w:tcBorders>
              <w:top w:val="nil"/>
              <w:left w:val="nil"/>
              <w:bottom w:val="nil"/>
              <w:right w:val="nil"/>
            </w:tcBorders>
            <w:shd w:val="clear" w:color="000000" w:fill="FFFFFF"/>
            <w:noWrap/>
            <w:vAlign w:val="bottom"/>
            <w:hideMark/>
          </w:tcPr>
          <w:p w14:paraId="6BADD9D1"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NHS accruals</w:t>
            </w:r>
          </w:p>
        </w:tc>
        <w:tc>
          <w:tcPr>
            <w:tcW w:w="845" w:type="dxa"/>
            <w:tcBorders>
              <w:top w:val="nil"/>
              <w:left w:val="nil"/>
              <w:bottom w:val="nil"/>
              <w:right w:val="nil"/>
            </w:tcBorders>
            <w:shd w:val="clear" w:color="000000" w:fill="FFFFFF"/>
            <w:noWrap/>
            <w:vAlign w:val="bottom"/>
            <w:hideMark/>
          </w:tcPr>
          <w:p w14:paraId="078A12FA"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5706B199"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noWrap/>
            <w:vAlign w:val="bottom"/>
            <w:hideMark/>
          </w:tcPr>
          <w:p w14:paraId="36D81DF0"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2,342</w:t>
            </w:r>
          </w:p>
        </w:tc>
        <w:tc>
          <w:tcPr>
            <w:tcW w:w="272" w:type="dxa"/>
            <w:tcBorders>
              <w:top w:val="nil"/>
              <w:left w:val="nil"/>
              <w:bottom w:val="nil"/>
              <w:right w:val="nil"/>
            </w:tcBorders>
            <w:shd w:val="clear" w:color="000000" w:fill="FFFFFF"/>
            <w:noWrap/>
            <w:vAlign w:val="bottom"/>
            <w:hideMark/>
          </w:tcPr>
          <w:p w14:paraId="1C01547C"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7A12D9C8"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13,853</w:t>
            </w:r>
          </w:p>
        </w:tc>
      </w:tr>
      <w:tr w:rsidR="00AF2608" w:rsidRPr="00710F39" w14:paraId="38541712" w14:textId="77777777" w:rsidTr="00710F39">
        <w:trPr>
          <w:trHeight w:val="250"/>
        </w:trPr>
        <w:tc>
          <w:tcPr>
            <w:tcW w:w="4622" w:type="dxa"/>
            <w:tcBorders>
              <w:top w:val="nil"/>
              <w:left w:val="nil"/>
              <w:bottom w:val="nil"/>
              <w:right w:val="nil"/>
            </w:tcBorders>
            <w:shd w:val="clear" w:color="000000" w:fill="FFFFFF"/>
            <w:noWrap/>
            <w:vAlign w:val="bottom"/>
            <w:hideMark/>
          </w:tcPr>
          <w:p w14:paraId="043F46D0"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Non-NHS and Other WGA payables: revenue</w:t>
            </w:r>
          </w:p>
        </w:tc>
        <w:tc>
          <w:tcPr>
            <w:tcW w:w="845" w:type="dxa"/>
            <w:tcBorders>
              <w:top w:val="nil"/>
              <w:left w:val="nil"/>
              <w:bottom w:val="nil"/>
              <w:right w:val="nil"/>
            </w:tcBorders>
            <w:shd w:val="clear" w:color="000000" w:fill="FFFFFF"/>
            <w:noWrap/>
            <w:vAlign w:val="bottom"/>
            <w:hideMark/>
          </w:tcPr>
          <w:p w14:paraId="0A8C3DFB"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4132844D"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noWrap/>
            <w:vAlign w:val="bottom"/>
            <w:hideMark/>
          </w:tcPr>
          <w:p w14:paraId="4A0A47B4"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23,895</w:t>
            </w:r>
          </w:p>
        </w:tc>
        <w:tc>
          <w:tcPr>
            <w:tcW w:w="272" w:type="dxa"/>
            <w:tcBorders>
              <w:top w:val="nil"/>
              <w:left w:val="nil"/>
              <w:bottom w:val="nil"/>
              <w:right w:val="nil"/>
            </w:tcBorders>
            <w:shd w:val="clear" w:color="000000" w:fill="FFFFFF"/>
            <w:noWrap/>
            <w:vAlign w:val="bottom"/>
            <w:hideMark/>
          </w:tcPr>
          <w:p w14:paraId="076D940B"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11D520B2"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52,282</w:t>
            </w:r>
          </w:p>
        </w:tc>
      </w:tr>
      <w:tr w:rsidR="00AF2608" w:rsidRPr="00710F39" w14:paraId="739BFEE7" w14:textId="77777777" w:rsidTr="00710F39">
        <w:trPr>
          <w:trHeight w:val="250"/>
        </w:trPr>
        <w:tc>
          <w:tcPr>
            <w:tcW w:w="4622" w:type="dxa"/>
            <w:tcBorders>
              <w:top w:val="nil"/>
              <w:left w:val="nil"/>
              <w:bottom w:val="nil"/>
              <w:right w:val="nil"/>
            </w:tcBorders>
            <w:shd w:val="clear" w:color="000000" w:fill="FFFFFF"/>
            <w:noWrap/>
            <w:vAlign w:val="bottom"/>
            <w:hideMark/>
          </w:tcPr>
          <w:p w14:paraId="0D05CF2E"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Non-NHS and Other WGA accruals</w:t>
            </w:r>
          </w:p>
        </w:tc>
        <w:tc>
          <w:tcPr>
            <w:tcW w:w="845" w:type="dxa"/>
            <w:tcBorders>
              <w:top w:val="nil"/>
              <w:left w:val="nil"/>
              <w:bottom w:val="nil"/>
              <w:right w:val="nil"/>
            </w:tcBorders>
            <w:shd w:val="clear" w:color="000000" w:fill="FFFFFF"/>
            <w:noWrap/>
            <w:vAlign w:val="bottom"/>
            <w:hideMark/>
          </w:tcPr>
          <w:p w14:paraId="32E9CFAF"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4ED13A59"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noWrap/>
            <w:vAlign w:val="bottom"/>
            <w:hideMark/>
          </w:tcPr>
          <w:p w14:paraId="4BB85700"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92,799</w:t>
            </w:r>
          </w:p>
        </w:tc>
        <w:tc>
          <w:tcPr>
            <w:tcW w:w="272" w:type="dxa"/>
            <w:tcBorders>
              <w:top w:val="nil"/>
              <w:left w:val="nil"/>
              <w:bottom w:val="nil"/>
              <w:right w:val="nil"/>
            </w:tcBorders>
            <w:shd w:val="clear" w:color="000000" w:fill="FFFFFF"/>
            <w:noWrap/>
            <w:vAlign w:val="bottom"/>
            <w:hideMark/>
          </w:tcPr>
          <w:p w14:paraId="79EE7FB3"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4DA5FB06"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81,955</w:t>
            </w:r>
          </w:p>
        </w:tc>
      </w:tr>
      <w:tr w:rsidR="00AF2608" w:rsidRPr="00710F39" w14:paraId="04636D7A" w14:textId="77777777" w:rsidTr="00710F39">
        <w:trPr>
          <w:trHeight w:val="250"/>
        </w:trPr>
        <w:tc>
          <w:tcPr>
            <w:tcW w:w="4622" w:type="dxa"/>
            <w:tcBorders>
              <w:top w:val="nil"/>
              <w:left w:val="nil"/>
              <w:bottom w:val="nil"/>
              <w:right w:val="nil"/>
            </w:tcBorders>
            <w:shd w:val="clear" w:color="000000" w:fill="FFFFFF"/>
            <w:noWrap/>
            <w:vAlign w:val="bottom"/>
            <w:hideMark/>
          </w:tcPr>
          <w:p w14:paraId="428EC912"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Non-NHS and Other WGA deferred income</w:t>
            </w:r>
          </w:p>
        </w:tc>
        <w:tc>
          <w:tcPr>
            <w:tcW w:w="845" w:type="dxa"/>
            <w:tcBorders>
              <w:top w:val="nil"/>
              <w:left w:val="nil"/>
              <w:bottom w:val="nil"/>
              <w:right w:val="nil"/>
            </w:tcBorders>
            <w:shd w:val="clear" w:color="000000" w:fill="FFFFFF"/>
            <w:noWrap/>
            <w:vAlign w:val="bottom"/>
            <w:hideMark/>
          </w:tcPr>
          <w:p w14:paraId="7AC499C4"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634BF96C"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noWrap/>
            <w:vAlign w:val="bottom"/>
            <w:hideMark/>
          </w:tcPr>
          <w:p w14:paraId="74ACA2EF"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1,195</w:t>
            </w:r>
          </w:p>
        </w:tc>
        <w:tc>
          <w:tcPr>
            <w:tcW w:w="272" w:type="dxa"/>
            <w:tcBorders>
              <w:top w:val="nil"/>
              <w:left w:val="nil"/>
              <w:bottom w:val="nil"/>
              <w:right w:val="nil"/>
            </w:tcBorders>
            <w:shd w:val="clear" w:color="000000" w:fill="FFFFFF"/>
            <w:noWrap/>
            <w:vAlign w:val="bottom"/>
            <w:hideMark/>
          </w:tcPr>
          <w:p w14:paraId="1DF3B0F3"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28D81326"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271</w:t>
            </w:r>
          </w:p>
        </w:tc>
      </w:tr>
      <w:tr w:rsidR="00AF2608" w:rsidRPr="00710F39" w14:paraId="474CB807" w14:textId="77777777" w:rsidTr="00710F39">
        <w:trPr>
          <w:trHeight w:val="250"/>
        </w:trPr>
        <w:tc>
          <w:tcPr>
            <w:tcW w:w="4622" w:type="dxa"/>
            <w:tcBorders>
              <w:top w:val="nil"/>
              <w:left w:val="nil"/>
              <w:bottom w:val="nil"/>
              <w:right w:val="nil"/>
            </w:tcBorders>
            <w:shd w:val="clear" w:color="000000" w:fill="FFFFFF"/>
            <w:noWrap/>
            <w:vAlign w:val="bottom"/>
            <w:hideMark/>
          </w:tcPr>
          <w:p w14:paraId="756B9E89"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Social security costs</w:t>
            </w:r>
          </w:p>
        </w:tc>
        <w:tc>
          <w:tcPr>
            <w:tcW w:w="845" w:type="dxa"/>
            <w:tcBorders>
              <w:top w:val="nil"/>
              <w:left w:val="nil"/>
              <w:bottom w:val="nil"/>
              <w:right w:val="nil"/>
            </w:tcBorders>
            <w:shd w:val="clear" w:color="000000" w:fill="FFFFFF"/>
            <w:noWrap/>
            <w:vAlign w:val="bottom"/>
            <w:hideMark/>
          </w:tcPr>
          <w:p w14:paraId="3CADD6F8"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741CC2D4"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noWrap/>
            <w:vAlign w:val="bottom"/>
            <w:hideMark/>
          </w:tcPr>
          <w:p w14:paraId="0E6B3DF3"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342</w:t>
            </w:r>
          </w:p>
        </w:tc>
        <w:tc>
          <w:tcPr>
            <w:tcW w:w="272" w:type="dxa"/>
            <w:tcBorders>
              <w:top w:val="nil"/>
              <w:left w:val="nil"/>
              <w:bottom w:val="nil"/>
              <w:right w:val="nil"/>
            </w:tcBorders>
            <w:shd w:val="clear" w:color="000000" w:fill="FFFFFF"/>
            <w:noWrap/>
            <w:vAlign w:val="bottom"/>
            <w:hideMark/>
          </w:tcPr>
          <w:p w14:paraId="43343B5D"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45D63F71"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374</w:t>
            </w:r>
          </w:p>
        </w:tc>
      </w:tr>
      <w:tr w:rsidR="00AF2608" w:rsidRPr="00710F39" w14:paraId="523110A7" w14:textId="77777777" w:rsidTr="00710F39">
        <w:trPr>
          <w:trHeight w:val="250"/>
        </w:trPr>
        <w:tc>
          <w:tcPr>
            <w:tcW w:w="4622" w:type="dxa"/>
            <w:tcBorders>
              <w:top w:val="nil"/>
              <w:left w:val="nil"/>
              <w:bottom w:val="nil"/>
              <w:right w:val="nil"/>
            </w:tcBorders>
            <w:shd w:val="clear" w:color="000000" w:fill="FFFFFF"/>
            <w:noWrap/>
            <w:vAlign w:val="bottom"/>
            <w:hideMark/>
          </w:tcPr>
          <w:p w14:paraId="653CC68C"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Tax</w:t>
            </w:r>
          </w:p>
        </w:tc>
        <w:tc>
          <w:tcPr>
            <w:tcW w:w="845" w:type="dxa"/>
            <w:tcBorders>
              <w:top w:val="nil"/>
              <w:left w:val="nil"/>
              <w:bottom w:val="nil"/>
              <w:right w:val="nil"/>
            </w:tcBorders>
            <w:shd w:val="clear" w:color="000000" w:fill="FFFFFF"/>
            <w:noWrap/>
            <w:vAlign w:val="bottom"/>
            <w:hideMark/>
          </w:tcPr>
          <w:p w14:paraId="6799D92D"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142D77E8"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noWrap/>
            <w:vAlign w:val="bottom"/>
            <w:hideMark/>
          </w:tcPr>
          <w:p w14:paraId="2F5DA99E"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428</w:t>
            </w:r>
          </w:p>
        </w:tc>
        <w:tc>
          <w:tcPr>
            <w:tcW w:w="272" w:type="dxa"/>
            <w:tcBorders>
              <w:top w:val="nil"/>
              <w:left w:val="nil"/>
              <w:bottom w:val="nil"/>
              <w:right w:val="nil"/>
            </w:tcBorders>
            <w:shd w:val="clear" w:color="000000" w:fill="FFFFFF"/>
            <w:noWrap/>
            <w:vAlign w:val="bottom"/>
            <w:hideMark/>
          </w:tcPr>
          <w:p w14:paraId="3740DDED"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4E8EAA88"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353</w:t>
            </w:r>
          </w:p>
        </w:tc>
      </w:tr>
      <w:tr w:rsidR="00AF2608" w:rsidRPr="00710F39" w14:paraId="5D7757A8" w14:textId="77777777" w:rsidTr="00710F39">
        <w:trPr>
          <w:trHeight w:val="250"/>
        </w:trPr>
        <w:tc>
          <w:tcPr>
            <w:tcW w:w="4622" w:type="dxa"/>
            <w:tcBorders>
              <w:top w:val="nil"/>
              <w:left w:val="nil"/>
              <w:bottom w:val="nil"/>
              <w:right w:val="nil"/>
            </w:tcBorders>
            <w:shd w:val="clear" w:color="000000" w:fill="FFFFFF"/>
            <w:noWrap/>
            <w:vAlign w:val="bottom"/>
            <w:hideMark/>
          </w:tcPr>
          <w:p w14:paraId="3F58AA10"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Payments received on account</w:t>
            </w:r>
          </w:p>
        </w:tc>
        <w:tc>
          <w:tcPr>
            <w:tcW w:w="845" w:type="dxa"/>
            <w:tcBorders>
              <w:top w:val="nil"/>
              <w:left w:val="nil"/>
              <w:bottom w:val="nil"/>
              <w:right w:val="nil"/>
            </w:tcBorders>
            <w:shd w:val="clear" w:color="000000" w:fill="FFFFFF"/>
            <w:noWrap/>
            <w:vAlign w:val="bottom"/>
            <w:hideMark/>
          </w:tcPr>
          <w:p w14:paraId="47810805"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3C1D8A59"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noWrap/>
            <w:vAlign w:val="bottom"/>
            <w:hideMark/>
          </w:tcPr>
          <w:p w14:paraId="54514CB3"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4DF85D19"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4C185B67"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12</w:t>
            </w:r>
          </w:p>
        </w:tc>
      </w:tr>
      <w:tr w:rsidR="00AF2608" w:rsidRPr="00710F39" w14:paraId="33796170" w14:textId="77777777" w:rsidTr="00710F39">
        <w:trPr>
          <w:trHeight w:val="250"/>
        </w:trPr>
        <w:tc>
          <w:tcPr>
            <w:tcW w:w="4622" w:type="dxa"/>
            <w:tcBorders>
              <w:top w:val="nil"/>
              <w:left w:val="nil"/>
              <w:bottom w:val="nil"/>
              <w:right w:val="nil"/>
            </w:tcBorders>
            <w:shd w:val="clear" w:color="000000" w:fill="FFFFFF"/>
            <w:noWrap/>
            <w:vAlign w:val="bottom"/>
            <w:hideMark/>
          </w:tcPr>
          <w:p w14:paraId="466AAEAF"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Other payables and accruals</w:t>
            </w:r>
          </w:p>
        </w:tc>
        <w:tc>
          <w:tcPr>
            <w:tcW w:w="845" w:type="dxa"/>
            <w:tcBorders>
              <w:top w:val="nil"/>
              <w:left w:val="nil"/>
              <w:bottom w:val="nil"/>
              <w:right w:val="nil"/>
            </w:tcBorders>
            <w:shd w:val="clear" w:color="000000" w:fill="FFFFFF"/>
            <w:noWrap/>
            <w:vAlign w:val="bottom"/>
            <w:hideMark/>
          </w:tcPr>
          <w:p w14:paraId="05BC4393"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22790345"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single" w:sz="4" w:space="0" w:color="auto"/>
              <w:right w:val="nil"/>
            </w:tcBorders>
            <w:shd w:val="clear" w:color="000000" w:fill="FFFFFF"/>
            <w:noWrap/>
            <w:vAlign w:val="bottom"/>
            <w:hideMark/>
          </w:tcPr>
          <w:p w14:paraId="177F2FA2"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5,929</w:t>
            </w:r>
          </w:p>
        </w:tc>
        <w:tc>
          <w:tcPr>
            <w:tcW w:w="272" w:type="dxa"/>
            <w:tcBorders>
              <w:top w:val="nil"/>
              <w:left w:val="nil"/>
              <w:bottom w:val="nil"/>
              <w:right w:val="nil"/>
            </w:tcBorders>
            <w:shd w:val="clear" w:color="000000" w:fill="FFFFFF"/>
            <w:noWrap/>
            <w:vAlign w:val="bottom"/>
            <w:hideMark/>
          </w:tcPr>
          <w:p w14:paraId="05530ADC"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single" w:sz="4" w:space="0" w:color="auto"/>
              <w:right w:val="nil"/>
            </w:tcBorders>
            <w:shd w:val="clear" w:color="000000" w:fill="FFFFFF"/>
            <w:noWrap/>
            <w:vAlign w:val="bottom"/>
            <w:hideMark/>
          </w:tcPr>
          <w:p w14:paraId="5DD44574"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12,040</w:t>
            </w:r>
          </w:p>
        </w:tc>
      </w:tr>
      <w:tr w:rsidR="00AF2608" w:rsidRPr="00710F39" w14:paraId="3DDC5B01" w14:textId="77777777" w:rsidTr="00710F39">
        <w:trPr>
          <w:trHeight w:val="260"/>
        </w:trPr>
        <w:tc>
          <w:tcPr>
            <w:tcW w:w="4622" w:type="dxa"/>
            <w:tcBorders>
              <w:top w:val="nil"/>
              <w:left w:val="nil"/>
              <w:bottom w:val="nil"/>
              <w:right w:val="nil"/>
            </w:tcBorders>
            <w:shd w:val="clear" w:color="000000" w:fill="FFFFFF"/>
            <w:noWrap/>
            <w:vAlign w:val="bottom"/>
            <w:hideMark/>
          </w:tcPr>
          <w:p w14:paraId="529BC78C" w14:textId="77777777" w:rsidR="00AF2608" w:rsidRPr="00710F39" w:rsidRDefault="00AF2608" w:rsidP="00AF2608">
            <w:pPr>
              <w:spacing w:before="0" w:after="0"/>
              <w:rPr>
                <w:rFonts w:eastAsia="Times New Roman" w:cs="Arial"/>
                <w:b/>
                <w:bCs/>
                <w:sz w:val="20"/>
                <w:szCs w:val="20"/>
                <w:lang w:eastAsia="en-GB"/>
              </w:rPr>
            </w:pPr>
            <w:r w:rsidRPr="00710F39">
              <w:rPr>
                <w:rFonts w:eastAsia="Times New Roman" w:cs="Arial"/>
                <w:b/>
                <w:bCs/>
                <w:sz w:val="20"/>
                <w:szCs w:val="20"/>
                <w:lang w:eastAsia="en-GB"/>
              </w:rPr>
              <w:t>Total trade &amp; other payables</w:t>
            </w:r>
          </w:p>
        </w:tc>
        <w:tc>
          <w:tcPr>
            <w:tcW w:w="845" w:type="dxa"/>
            <w:tcBorders>
              <w:top w:val="nil"/>
              <w:left w:val="nil"/>
              <w:bottom w:val="nil"/>
              <w:right w:val="nil"/>
            </w:tcBorders>
            <w:shd w:val="clear" w:color="000000" w:fill="FFFFFF"/>
            <w:noWrap/>
            <w:vAlign w:val="bottom"/>
            <w:hideMark/>
          </w:tcPr>
          <w:p w14:paraId="3D433919" w14:textId="77777777" w:rsidR="00AF2608" w:rsidRPr="00710F39" w:rsidRDefault="00AF2608" w:rsidP="00AF2608">
            <w:pPr>
              <w:spacing w:before="0" w:after="0"/>
              <w:rPr>
                <w:rFonts w:eastAsia="Times New Roman" w:cs="Arial"/>
                <w:b/>
                <w:bCs/>
                <w:sz w:val="20"/>
                <w:szCs w:val="20"/>
                <w:lang w:eastAsia="en-GB"/>
              </w:rPr>
            </w:pPr>
            <w:r w:rsidRPr="00710F39">
              <w:rPr>
                <w:rFonts w:eastAsia="Times New Roman" w:cs="Arial"/>
                <w:b/>
                <w:bCs/>
                <w:sz w:val="20"/>
                <w:szCs w:val="20"/>
                <w:lang w:eastAsia="en-GB"/>
              </w:rPr>
              <w:t> </w:t>
            </w:r>
          </w:p>
        </w:tc>
        <w:tc>
          <w:tcPr>
            <w:tcW w:w="1337" w:type="dxa"/>
            <w:tcBorders>
              <w:top w:val="nil"/>
              <w:left w:val="nil"/>
              <w:bottom w:val="nil"/>
              <w:right w:val="nil"/>
            </w:tcBorders>
            <w:shd w:val="clear" w:color="000000" w:fill="FFFFFF"/>
            <w:noWrap/>
            <w:vAlign w:val="bottom"/>
            <w:hideMark/>
          </w:tcPr>
          <w:p w14:paraId="56F25BDB" w14:textId="77777777" w:rsidR="00AF2608" w:rsidRPr="00710F39" w:rsidRDefault="00AF2608" w:rsidP="00AF2608">
            <w:pPr>
              <w:spacing w:before="0" w:after="0"/>
              <w:rPr>
                <w:rFonts w:eastAsia="Times New Roman" w:cs="Arial"/>
                <w:b/>
                <w:bCs/>
                <w:sz w:val="20"/>
                <w:szCs w:val="20"/>
                <w:lang w:eastAsia="en-GB"/>
              </w:rPr>
            </w:pPr>
            <w:r w:rsidRPr="00710F39">
              <w:rPr>
                <w:rFonts w:eastAsia="Times New Roman" w:cs="Arial"/>
                <w:b/>
                <w:bCs/>
                <w:sz w:val="20"/>
                <w:szCs w:val="20"/>
                <w:lang w:eastAsia="en-GB"/>
              </w:rPr>
              <w:t> </w:t>
            </w:r>
          </w:p>
        </w:tc>
        <w:tc>
          <w:tcPr>
            <w:tcW w:w="1418" w:type="dxa"/>
            <w:tcBorders>
              <w:top w:val="nil"/>
              <w:left w:val="nil"/>
              <w:bottom w:val="single" w:sz="4" w:space="0" w:color="auto"/>
              <w:right w:val="nil"/>
            </w:tcBorders>
            <w:shd w:val="clear" w:color="000000" w:fill="FFFFFF"/>
            <w:noWrap/>
            <w:vAlign w:val="bottom"/>
            <w:hideMark/>
          </w:tcPr>
          <w:p w14:paraId="2ABAD05A" w14:textId="77777777" w:rsidR="00AF2608" w:rsidRPr="00710F39" w:rsidRDefault="00AF2608" w:rsidP="00AF2608">
            <w:pPr>
              <w:spacing w:before="0" w:after="0"/>
              <w:jc w:val="right"/>
              <w:rPr>
                <w:rFonts w:eastAsia="Times New Roman" w:cs="Arial"/>
                <w:b/>
                <w:bCs/>
                <w:sz w:val="20"/>
                <w:szCs w:val="20"/>
                <w:lang w:eastAsia="en-GB"/>
              </w:rPr>
            </w:pPr>
            <w:r w:rsidRPr="00710F39">
              <w:rPr>
                <w:rFonts w:eastAsia="Times New Roman" w:cs="Arial"/>
                <w:b/>
                <w:bCs/>
                <w:sz w:val="20"/>
                <w:szCs w:val="20"/>
                <w:lang w:eastAsia="en-GB"/>
              </w:rPr>
              <w:t>143,315</w:t>
            </w:r>
          </w:p>
        </w:tc>
        <w:tc>
          <w:tcPr>
            <w:tcW w:w="272" w:type="dxa"/>
            <w:tcBorders>
              <w:top w:val="nil"/>
              <w:left w:val="nil"/>
              <w:bottom w:val="nil"/>
              <w:right w:val="nil"/>
            </w:tcBorders>
            <w:shd w:val="clear" w:color="000000" w:fill="FFFFFF"/>
            <w:noWrap/>
            <w:vAlign w:val="bottom"/>
            <w:hideMark/>
          </w:tcPr>
          <w:p w14:paraId="5BD7E6D5"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single" w:sz="4" w:space="0" w:color="auto"/>
              <w:right w:val="nil"/>
            </w:tcBorders>
            <w:shd w:val="clear" w:color="000000" w:fill="FFFFFF"/>
            <w:noWrap/>
            <w:vAlign w:val="bottom"/>
            <w:hideMark/>
          </w:tcPr>
          <w:p w14:paraId="04BF66EE" w14:textId="77777777" w:rsidR="00AF2608" w:rsidRPr="00710F39" w:rsidRDefault="00AF2608" w:rsidP="00AF2608">
            <w:pPr>
              <w:spacing w:before="0" w:after="0"/>
              <w:jc w:val="right"/>
              <w:rPr>
                <w:rFonts w:eastAsia="Times New Roman" w:cs="Arial"/>
                <w:b/>
                <w:bCs/>
                <w:sz w:val="20"/>
                <w:szCs w:val="20"/>
                <w:lang w:eastAsia="en-GB"/>
              </w:rPr>
            </w:pPr>
            <w:r w:rsidRPr="00710F39">
              <w:rPr>
                <w:rFonts w:eastAsia="Times New Roman" w:cs="Arial"/>
                <w:b/>
                <w:bCs/>
                <w:sz w:val="20"/>
                <w:szCs w:val="20"/>
                <w:lang w:eastAsia="en-GB"/>
              </w:rPr>
              <w:t>166,301</w:t>
            </w:r>
          </w:p>
        </w:tc>
      </w:tr>
      <w:tr w:rsidR="00AF2608" w:rsidRPr="00710F39" w14:paraId="35B75DA0" w14:textId="77777777" w:rsidTr="00710F39">
        <w:trPr>
          <w:trHeight w:val="250"/>
        </w:trPr>
        <w:tc>
          <w:tcPr>
            <w:tcW w:w="4622" w:type="dxa"/>
            <w:tcBorders>
              <w:top w:val="nil"/>
              <w:left w:val="nil"/>
              <w:bottom w:val="nil"/>
              <w:right w:val="nil"/>
            </w:tcBorders>
            <w:shd w:val="clear" w:color="000000" w:fill="FFFFFF"/>
            <w:noWrap/>
            <w:vAlign w:val="bottom"/>
            <w:hideMark/>
          </w:tcPr>
          <w:p w14:paraId="499C0516"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845" w:type="dxa"/>
            <w:tcBorders>
              <w:top w:val="nil"/>
              <w:left w:val="nil"/>
              <w:bottom w:val="nil"/>
              <w:right w:val="nil"/>
            </w:tcBorders>
            <w:shd w:val="clear" w:color="000000" w:fill="FFFFFF"/>
            <w:noWrap/>
            <w:vAlign w:val="bottom"/>
            <w:hideMark/>
          </w:tcPr>
          <w:p w14:paraId="017C0107"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0D400977"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noWrap/>
            <w:vAlign w:val="bottom"/>
            <w:hideMark/>
          </w:tcPr>
          <w:p w14:paraId="6CB7DC3E"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4891CD6"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7B242BF5"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r>
      <w:tr w:rsidR="00AF2608" w:rsidRPr="00710F39" w14:paraId="55393E8C" w14:textId="77777777" w:rsidTr="006D6D7E">
        <w:trPr>
          <w:trHeight w:val="250"/>
        </w:trPr>
        <w:tc>
          <w:tcPr>
            <w:tcW w:w="9781" w:type="dxa"/>
            <w:gridSpan w:val="6"/>
            <w:tcBorders>
              <w:top w:val="nil"/>
              <w:left w:val="nil"/>
              <w:bottom w:val="nil"/>
              <w:right w:val="nil"/>
            </w:tcBorders>
            <w:shd w:val="clear" w:color="000000" w:fill="FFFFFF"/>
            <w:noWrap/>
            <w:vAlign w:val="bottom"/>
            <w:hideMark/>
          </w:tcPr>
          <w:p w14:paraId="2E9CECE8" w14:textId="7BF3C631"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Other payables include £1,449k outstanding pension contributions at 31 Mar 24 (£1,720k 31 Mar 23).</w:t>
            </w:r>
          </w:p>
        </w:tc>
      </w:tr>
      <w:tr w:rsidR="00AF2608" w:rsidRPr="00710F39" w14:paraId="6F38B585" w14:textId="77777777" w:rsidTr="00710F39">
        <w:trPr>
          <w:trHeight w:val="250"/>
        </w:trPr>
        <w:tc>
          <w:tcPr>
            <w:tcW w:w="4622" w:type="dxa"/>
            <w:tcBorders>
              <w:top w:val="nil"/>
              <w:left w:val="nil"/>
              <w:bottom w:val="nil"/>
              <w:right w:val="nil"/>
            </w:tcBorders>
            <w:shd w:val="clear" w:color="000000" w:fill="FFFFFF"/>
            <w:noWrap/>
            <w:vAlign w:val="bottom"/>
            <w:hideMark/>
          </w:tcPr>
          <w:p w14:paraId="57F2F7F8"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845" w:type="dxa"/>
            <w:tcBorders>
              <w:top w:val="nil"/>
              <w:left w:val="nil"/>
              <w:bottom w:val="nil"/>
              <w:right w:val="nil"/>
            </w:tcBorders>
            <w:shd w:val="clear" w:color="000000" w:fill="FFFFFF"/>
            <w:noWrap/>
            <w:vAlign w:val="bottom"/>
            <w:hideMark/>
          </w:tcPr>
          <w:p w14:paraId="1F1FD929"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337" w:type="dxa"/>
            <w:tcBorders>
              <w:top w:val="nil"/>
              <w:left w:val="nil"/>
              <w:bottom w:val="nil"/>
              <w:right w:val="nil"/>
            </w:tcBorders>
            <w:shd w:val="clear" w:color="000000" w:fill="FFFFFF"/>
            <w:noWrap/>
            <w:vAlign w:val="bottom"/>
            <w:hideMark/>
          </w:tcPr>
          <w:p w14:paraId="23DABB3C"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noWrap/>
            <w:vAlign w:val="bottom"/>
            <w:hideMark/>
          </w:tcPr>
          <w:p w14:paraId="194DAF43"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449553C"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1C57CBF8"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r>
      <w:tr w:rsidR="00AF2608" w:rsidRPr="00710F39" w14:paraId="3AAAAF43" w14:textId="77777777" w:rsidTr="00710F39">
        <w:trPr>
          <w:trHeight w:val="120"/>
        </w:trPr>
        <w:tc>
          <w:tcPr>
            <w:tcW w:w="4622" w:type="dxa"/>
            <w:tcBorders>
              <w:top w:val="nil"/>
              <w:left w:val="nil"/>
              <w:bottom w:val="nil"/>
              <w:right w:val="nil"/>
            </w:tcBorders>
            <w:shd w:val="clear" w:color="auto" w:fill="auto"/>
            <w:noWrap/>
            <w:vAlign w:val="bottom"/>
            <w:hideMark/>
          </w:tcPr>
          <w:p w14:paraId="3C6CFA63" w14:textId="77777777" w:rsidR="00AF2608" w:rsidRPr="00710F39" w:rsidRDefault="00AF2608" w:rsidP="00AF2608">
            <w:pPr>
              <w:spacing w:before="0" w:after="0"/>
              <w:rPr>
                <w:rFonts w:ascii="Times New Roman" w:eastAsia="Times New Roman" w:hAnsi="Times New Roman" w:cs="Times New Roman"/>
                <w:sz w:val="20"/>
                <w:szCs w:val="20"/>
                <w:lang w:eastAsia="en-GB"/>
              </w:rPr>
            </w:pPr>
          </w:p>
        </w:tc>
        <w:tc>
          <w:tcPr>
            <w:tcW w:w="845" w:type="dxa"/>
            <w:tcBorders>
              <w:top w:val="nil"/>
              <w:left w:val="nil"/>
              <w:bottom w:val="nil"/>
              <w:right w:val="nil"/>
            </w:tcBorders>
            <w:shd w:val="clear" w:color="auto" w:fill="auto"/>
            <w:noWrap/>
            <w:vAlign w:val="bottom"/>
            <w:hideMark/>
          </w:tcPr>
          <w:p w14:paraId="3BCE8E18" w14:textId="77777777" w:rsidR="00AF2608" w:rsidRPr="00710F39" w:rsidRDefault="00AF2608" w:rsidP="00AF2608">
            <w:pPr>
              <w:spacing w:before="0" w:after="0"/>
              <w:rPr>
                <w:rFonts w:ascii="Times New Roman" w:eastAsia="Times New Roman" w:hAnsi="Times New Roman" w:cs="Times New Roman"/>
                <w:sz w:val="20"/>
                <w:szCs w:val="20"/>
                <w:lang w:eastAsia="en-GB"/>
              </w:rPr>
            </w:pPr>
          </w:p>
        </w:tc>
        <w:tc>
          <w:tcPr>
            <w:tcW w:w="1337" w:type="dxa"/>
            <w:tcBorders>
              <w:top w:val="nil"/>
              <w:left w:val="nil"/>
              <w:bottom w:val="nil"/>
              <w:right w:val="nil"/>
            </w:tcBorders>
            <w:shd w:val="clear" w:color="auto" w:fill="auto"/>
            <w:noWrap/>
            <w:vAlign w:val="bottom"/>
            <w:hideMark/>
          </w:tcPr>
          <w:p w14:paraId="7E2DF84B" w14:textId="77777777" w:rsidR="00AF2608" w:rsidRPr="00710F39" w:rsidRDefault="00AF2608" w:rsidP="00AF2608">
            <w:pPr>
              <w:spacing w:before="0" w:after="0"/>
              <w:rPr>
                <w:rFonts w:ascii="Times New Roman" w:eastAsia="Times New Roman" w:hAnsi="Times New Roman" w:cs="Times New Roman"/>
                <w:sz w:val="20"/>
                <w:szCs w:val="20"/>
                <w:lang w:eastAsia="en-GB"/>
              </w:rPr>
            </w:pPr>
          </w:p>
        </w:tc>
        <w:tc>
          <w:tcPr>
            <w:tcW w:w="1418" w:type="dxa"/>
            <w:tcBorders>
              <w:top w:val="nil"/>
              <w:left w:val="nil"/>
              <w:bottom w:val="nil"/>
              <w:right w:val="nil"/>
            </w:tcBorders>
            <w:shd w:val="clear" w:color="auto" w:fill="auto"/>
            <w:noWrap/>
            <w:vAlign w:val="bottom"/>
            <w:hideMark/>
          </w:tcPr>
          <w:p w14:paraId="449B63AF" w14:textId="77777777" w:rsidR="00AF2608" w:rsidRPr="00710F39" w:rsidRDefault="00AF2608" w:rsidP="00AF2608">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184C15F4" w14:textId="77777777" w:rsidR="00AF2608" w:rsidRPr="00710F39" w:rsidRDefault="00AF2608" w:rsidP="00AF2608">
            <w:pPr>
              <w:spacing w:before="0" w:after="0"/>
              <w:rPr>
                <w:rFonts w:ascii="Times New Roman" w:eastAsia="Times New Roman" w:hAnsi="Times New Roman" w:cs="Times New Roman"/>
                <w:sz w:val="20"/>
                <w:szCs w:val="20"/>
                <w:lang w:eastAsia="en-GB"/>
              </w:rPr>
            </w:pPr>
          </w:p>
        </w:tc>
        <w:tc>
          <w:tcPr>
            <w:tcW w:w="1287" w:type="dxa"/>
            <w:tcBorders>
              <w:top w:val="nil"/>
              <w:left w:val="nil"/>
              <w:bottom w:val="nil"/>
              <w:right w:val="nil"/>
            </w:tcBorders>
            <w:shd w:val="clear" w:color="auto" w:fill="auto"/>
            <w:noWrap/>
            <w:vAlign w:val="bottom"/>
            <w:hideMark/>
          </w:tcPr>
          <w:p w14:paraId="39F30244" w14:textId="77777777" w:rsidR="00AF2608" w:rsidRPr="00710F39" w:rsidRDefault="00AF2608" w:rsidP="00AF2608">
            <w:pPr>
              <w:spacing w:before="0" w:after="0"/>
              <w:rPr>
                <w:rFonts w:ascii="Times New Roman" w:eastAsia="Times New Roman" w:hAnsi="Times New Roman" w:cs="Times New Roman"/>
                <w:sz w:val="20"/>
                <w:szCs w:val="20"/>
                <w:lang w:eastAsia="en-GB"/>
              </w:rPr>
            </w:pPr>
          </w:p>
        </w:tc>
      </w:tr>
      <w:tr w:rsidR="00AF2608" w:rsidRPr="00710F39" w14:paraId="1FB55BA6" w14:textId="77777777" w:rsidTr="00710F39">
        <w:trPr>
          <w:trHeight w:val="290"/>
        </w:trPr>
        <w:tc>
          <w:tcPr>
            <w:tcW w:w="4622" w:type="dxa"/>
            <w:tcBorders>
              <w:top w:val="nil"/>
              <w:left w:val="nil"/>
              <w:bottom w:val="nil"/>
              <w:right w:val="nil"/>
            </w:tcBorders>
            <w:shd w:val="clear" w:color="auto" w:fill="auto"/>
            <w:noWrap/>
            <w:hideMark/>
          </w:tcPr>
          <w:p w14:paraId="41127EE6" w14:textId="3FC57559" w:rsidR="00AF2608" w:rsidRPr="00710F39" w:rsidRDefault="00AF2608" w:rsidP="00AF2608">
            <w:pPr>
              <w:spacing w:before="0" w:after="0"/>
              <w:rPr>
                <w:rFonts w:ascii="Times New Roman" w:eastAsia="Times New Roman" w:hAnsi="Times New Roman" w:cs="Times New Roman"/>
                <w:sz w:val="20"/>
                <w:szCs w:val="20"/>
                <w:lang w:eastAsia="en-GB"/>
              </w:rPr>
            </w:pPr>
            <w:r w:rsidRPr="00710F39">
              <w:rPr>
                <w:rFonts w:eastAsia="Times New Roman" w:cs="Arial"/>
                <w:b/>
                <w:bCs/>
                <w:sz w:val="20"/>
                <w:szCs w:val="20"/>
                <w:lang w:eastAsia="en-GB"/>
              </w:rPr>
              <w:t>14 Borrowings</w:t>
            </w:r>
          </w:p>
        </w:tc>
        <w:tc>
          <w:tcPr>
            <w:tcW w:w="845" w:type="dxa"/>
            <w:tcBorders>
              <w:top w:val="nil"/>
              <w:left w:val="nil"/>
              <w:bottom w:val="nil"/>
              <w:right w:val="nil"/>
            </w:tcBorders>
            <w:shd w:val="clear" w:color="auto" w:fill="auto"/>
            <w:noWrap/>
            <w:vAlign w:val="bottom"/>
            <w:hideMark/>
          </w:tcPr>
          <w:p w14:paraId="7D9B040F" w14:textId="77777777" w:rsidR="00AF2608" w:rsidRPr="00710F39" w:rsidRDefault="00AF2608" w:rsidP="00AF2608">
            <w:pPr>
              <w:spacing w:before="0" w:after="0"/>
              <w:rPr>
                <w:rFonts w:ascii="Times New Roman" w:eastAsia="Times New Roman" w:hAnsi="Times New Roman" w:cs="Times New Roman"/>
                <w:sz w:val="20"/>
                <w:szCs w:val="20"/>
                <w:lang w:eastAsia="en-GB"/>
              </w:rPr>
            </w:pPr>
          </w:p>
        </w:tc>
        <w:tc>
          <w:tcPr>
            <w:tcW w:w="1337" w:type="dxa"/>
            <w:tcBorders>
              <w:top w:val="nil"/>
              <w:left w:val="nil"/>
              <w:bottom w:val="nil"/>
              <w:right w:val="nil"/>
            </w:tcBorders>
            <w:shd w:val="clear" w:color="auto" w:fill="auto"/>
            <w:noWrap/>
            <w:vAlign w:val="bottom"/>
            <w:hideMark/>
          </w:tcPr>
          <w:p w14:paraId="3EF7B0BB" w14:textId="77777777" w:rsidR="00AF2608" w:rsidRPr="00710F39" w:rsidRDefault="00AF2608" w:rsidP="00AF2608">
            <w:pPr>
              <w:spacing w:before="0" w:after="0"/>
              <w:rPr>
                <w:rFonts w:ascii="Times New Roman" w:eastAsia="Times New Roman" w:hAnsi="Times New Roman" w:cs="Times New Roman"/>
                <w:sz w:val="20"/>
                <w:szCs w:val="20"/>
                <w:lang w:eastAsia="en-GB"/>
              </w:rPr>
            </w:pPr>
          </w:p>
        </w:tc>
        <w:tc>
          <w:tcPr>
            <w:tcW w:w="1418" w:type="dxa"/>
            <w:tcBorders>
              <w:top w:val="nil"/>
              <w:left w:val="nil"/>
              <w:bottom w:val="nil"/>
              <w:right w:val="nil"/>
            </w:tcBorders>
            <w:shd w:val="clear" w:color="000000" w:fill="FFFFFF"/>
            <w:vAlign w:val="bottom"/>
            <w:hideMark/>
          </w:tcPr>
          <w:p w14:paraId="3F43C462" w14:textId="77777777" w:rsidR="00AF2608" w:rsidRPr="00710F39" w:rsidRDefault="00AF2608" w:rsidP="00AF2608">
            <w:pPr>
              <w:spacing w:before="0" w:after="0"/>
              <w:jc w:val="right"/>
              <w:rPr>
                <w:rFonts w:eastAsia="Times New Roman" w:cs="Arial"/>
                <w:b/>
                <w:bCs/>
                <w:sz w:val="20"/>
                <w:szCs w:val="20"/>
                <w:lang w:eastAsia="en-GB"/>
              </w:rPr>
            </w:pPr>
            <w:r w:rsidRPr="00710F39">
              <w:rPr>
                <w:rFonts w:eastAsia="Times New Roman" w:cs="Arial"/>
                <w:b/>
                <w:bCs/>
                <w:sz w:val="20"/>
                <w:szCs w:val="20"/>
                <w:lang w:eastAsia="en-GB"/>
              </w:rPr>
              <w:t>31-Mar-24</w:t>
            </w:r>
          </w:p>
        </w:tc>
        <w:tc>
          <w:tcPr>
            <w:tcW w:w="272" w:type="dxa"/>
            <w:tcBorders>
              <w:top w:val="nil"/>
              <w:left w:val="nil"/>
              <w:bottom w:val="nil"/>
              <w:right w:val="nil"/>
            </w:tcBorders>
            <w:shd w:val="clear" w:color="000000" w:fill="FFFFFF"/>
            <w:noWrap/>
            <w:vAlign w:val="bottom"/>
            <w:hideMark/>
          </w:tcPr>
          <w:p w14:paraId="25D1C443"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vAlign w:val="bottom"/>
            <w:hideMark/>
          </w:tcPr>
          <w:p w14:paraId="7B62FDF3"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31-Mar-23</w:t>
            </w:r>
          </w:p>
        </w:tc>
      </w:tr>
      <w:tr w:rsidR="00AF2608" w:rsidRPr="00710F39" w14:paraId="4EC27BFC" w14:textId="77777777" w:rsidTr="00710F39">
        <w:trPr>
          <w:trHeight w:val="260"/>
        </w:trPr>
        <w:tc>
          <w:tcPr>
            <w:tcW w:w="4622" w:type="dxa"/>
            <w:tcBorders>
              <w:top w:val="nil"/>
              <w:left w:val="nil"/>
              <w:bottom w:val="nil"/>
              <w:right w:val="nil"/>
            </w:tcBorders>
            <w:shd w:val="clear" w:color="auto" w:fill="auto"/>
            <w:noWrap/>
            <w:vAlign w:val="bottom"/>
            <w:hideMark/>
          </w:tcPr>
          <w:p w14:paraId="0B89B943" w14:textId="77777777" w:rsidR="00AF2608" w:rsidRPr="00710F39" w:rsidRDefault="00AF2608" w:rsidP="00AF2608">
            <w:pPr>
              <w:spacing w:before="0" w:after="0"/>
              <w:jc w:val="right"/>
              <w:rPr>
                <w:rFonts w:eastAsia="Times New Roman" w:cs="Arial"/>
                <w:sz w:val="20"/>
                <w:szCs w:val="20"/>
                <w:lang w:eastAsia="en-GB"/>
              </w:rPr>
            </w:pPr>
          </w:p>
        </w:tc>
        <w:tc>
          <w:tcPr>
            <w:tcW w:w="845" w:type="dxa"/>
            <w:tcBorders>
              <w:top w:val="nil"/>
              <w:left w:val="nil"/>
              <w:bottom w:val="nil"/>
              <w:right w:val="nil"/>
            </w:tcBorders>
            <w:shd w:val="clear" w:color="auto" w:fill="auto"/>
            <w:noWrap/>
            <w:vAlign w:val="bottom"/>
            <w:hideMark/>
          </w:tcPr>
          <w:p w14:paraId="3D94FD88" w14:textId="77777777" w:rsidR="00AF2608" w:rsidRPr="00710F39" w:rsidRDefault="00AF2608" w:rsidP="00AF2608">
            <w:pPr>
              <w:spacing w:before="0" w:after="0"/>
              <w:rPr>
                <w:rFonts w:ascii="Times New Roman" w:eastAsia="Times New Roman" w:hAnsi="Times New Roman" w:cs="Times New Roman"/>
                <w:sz w:val="20"/>
                <w:szCs w:val="20"/>
                <w:lang w:eastAsia="en-GB"/>
              </w:rPr>
            </w:pPr>
          </w:p>
        </w:tc>
        <w:tc>
          <w:tcPr>
            <w:tcW w:w="1337" w:type="dxa"/>
            <w:tcBorders>
              <w:top w:val="nil"/>
              <w:left w:val="nil"/>
              <w:bottom w:val="nil"/>
              <w:right w:val="nil"/>
            </w:tcBorders>
            <w:shd w:val="clear" w:color="auto" w:fill="auto"/>
            <w:noWrap/>
            <w:vAlign w:val="bottom"/>
            <w:hideMark/>
          </w:tcPr>
          <w:p w14:paraId="17CF1B1B" w14:textId="77777777" w:rsidR="00AF2608" w:rsidRPr="00710F39" w:rsidRDefault="00AF2608" w:rsidP="00AF2608">
            <w:pPr>
              <w:spacing w:before="0" w:after="0"/>
              <w:rPr>
                <w:rFonts w:ascii="Times New Roman" w:eastAsia="Times New Roman" w:hAnsi="Times New Roman" w:cs="Times New Roman"/>
                <w:sz w:val="20"/>
                <w:szCs w:val="20"/>
                <w:lang w:eastAsia="en-GB"/>
              </w:rPr>
            </w:pPr>
          </w:p>
        </w:tc>
        <w:tc>
          <w:tcPr>
            <w:tcW w:w="1418" w:type="dxa"/>
            <w:tcBorders>
              <w:top w:val="nil"/>
              <w:left w:val="nil"/>
              <w:bottom w:val="nil"/>
              <w:right w:val="nil"/>
            </w:tcBorders>
            <w:shd w:val="clear" w:color="000000" w:fill="FFFFFF"/>
            <w:noWrap/>
            <w:vAlign w:val="bottom"/>
            <w:hideMark/>
          </w:tcPr>
          <w:p w14:paraId="7F4FA655" w14:textId="77777777" w:rsidR="00AF2608" w:rsidRPr="00710F39" w:rsidRDefault="00AF2608" w:rsidP="00AF2608">
            <w:pPr>
              <w:spacing w:before="0" w:after="0"/>
              <w:jc w:val="right"/>
              <w:rPr>
                <w:rFonts w:eastAsia="Times New Roman" w:cs="Arial"/>
                <w:b/>
                <w:bCs/>
                <w:sz w:val="20"/>
                <w:szCs w:val="20"/>
                <w:lang w:eastAsia="en-GB"/>
              </w:rPr>
            </w:pPr>
            <w:r w:rsidRPr="00710F39">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bottom"/>
            <w:hideMark/>
          </w:tcPr>
          <w:p w14:paraId="2DAD0EAE"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6318F02B"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£'000</w:t>
            </w:r>
          </w:p>
        </w:tc>
      </w:tr>
      <w:tr w:rsidR="00AF2608" w:rsidRPr="00710F39" w14:paraId="026B728D" w14:textId="77777777" w:rsidTr="00710F39">
        <w:trPr>
          <w:trHeight w:val="260"/>
        </w:trPr>
        <w:tc>
          <w:tcPr>
            <w:tcW w:w="4622" w:type="dxa"/>
            <w:tcBorders>
              <w:top w:val="nil"/>
              <w:left w:val="nil"/>
              <w:bottom w:val="nil"/>
              <w:right w:val="nil"/>
            </w:tcBorders>
            <w:shd w:val="clear" w:color="auto" w:fill="auto"/>
            <w:noWrap/>
            <w:vAlign w:val="bottom"/>
            <w:hideMark/>
          </w:tcPr>
          <w:p w14:paraId="161B4EA3" w14:textId="77777777" w:rsidR="00AF2608" w:rsidRPr="00710F39" w:rsidRDefault="00AF2608" w:rsidP="00AF2608">
            <w:pPr>
              <w:spacing w:before="0" w:after="0"/>
              <w:rPr>
                <w:rFonts w:eastAsia="Times New Roman" w:cs="Arial"/>
                <w:b/>
                <w:bCs/>
                <w:sz w:val="20"/>
                <w:szCs w:val="20"/>
                <w:lang w:eastAsia="en-GB"/>
              </w:rPr>
            </w:pPr>
            <w:r w:rsidRPr="00710F39">
              <w:rPr>
                <w:rFonts w:eastAsia="Times New Roman" w:cs="Arial"/>
                <w:b/>
                <w:bCs/>
                <w:sz w:val="20"/>
                <w:szCs w:val="20"/>
                <w:lang w:eastAsia="en-GB"/>
              </w:rPr>
              <w:t>Bank overdrafts:</w:t>
            </w:r>
          </w:p>
        </w:tc>
        <w:tc>
          <w:tcPr>
            <w:tcW w:w="845" w:type="dxa"/>
            <w:tcBorders>
              <w:top w:val="nil"/>
              <w:left w:val="nil"/>
              <w:bottom w:val="nil"/>
              <w:right w:val="nil"/>
            </w:tcBorders>
            <w:shd w:val="clear" w:color="auto" w:fill="auto"/>
            <w:noWrap/>
            <w:vAlign w:val="bottom"/>
            <w:hideMark/>
          </w:tcPr>
          <w:p w14:paraId="30A47FC2" w14:textId="77777777" w:rsidR="00AF2608" w:rsidRPr="00710F39" w:rsidRDefault="00AF2608" w:rsidP="00AF2608">
            <w:pPr>
              <w:spacing w:before="0" w:after="0"/>
              <w:rPr>
                <w:rFonts w:eastAsia="Times New Roman" w:cs="Arial"/>
                <w:b/>
                <w:bCs/>
                <w:sz w:val="20"/>
                <w:szCs w:val="20"/>
                <w:lang w:eastAsia="en-GB"/>
              </w:rPr>
            </w:pPr>
          </w:p>
        </w:tc>
        <w:tc>
          <w:tcPr>
            <w:tcW w:w="1337" w:type="dxa"/>
            <w:tcBorders>
              <w:top w:val="nil"/>
              <w:left w:val="nil"/>
              <w:bottom w:val="nil"/>
              <w:right w:val="nil"/>
            </w:tcBorders>
            <w:shd w:val="clear" w:color="auto" w:fill="auto"/>
            <w:noWrap/>
            <w:vAlign w:val="bottom"/>
            <w:hideMark/>
          </w:tcPr>
          <w:p w14:paraId="31C60653" w14:textId="77777777" w:rsidR="00AF2608" w:rsidRPr="00710F39" w:rsidRDefault="00AF2608" w:rsidP="00AF2608">
            <w:pPr>
              <w:spacing w:before="0" w:after="0"/>
              <w:rPr>
                <w:rFonts w:ascii="Times New Roman" w:eastAsia="Times New Roman" w:hAnsi="Times New Roman" w:cs="Times New Roman"/>
                <w:sz w:val="20"/>
                <w:szCs w:val="20"/>
                <w:lang w:eastAsia="en-GB"/>
              </w:rPr>
            </w:pPr>
          </w:p>
        </w:tc>
        <w:tc>
          <w:tcPr>
            <w:tcW w:w="1418" w:type="dxa"/>
            <w:tcBorders>
              <w:top w:val="nil"/>
              <w:left w:val="nil"/>
              <w:bottom w:val="nil"/>
              <w:right w:val="nil"/>
            </w:tcBorders>
            <w:shd w:val="clear" w:color="000000" w:fill="FFFFFF"/>
            <w:noWrap/>
            <w:vAlign w:val="bottom"/>
            <w:hideMark/>
          </w:tcPr>
          <w:p w14:paraId="14ED779F"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512BD97"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6B0037D9"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r>
      <w:tr w:rsidR="00AF2608" w:rsidRPr="00710F39" w14:paraId="5C56BCCA" w14:textId="77777777" w:rsidTr="00710F39">
        <w:trPr>
          <w:trHeight w:val="250"/>
        </w:trPr>
        <w:tc>
          <w:tcPr>
            <w:tcW w:w="4622" w:type="dxa"/>
            <w:tcBorders>
              <w:top w:val="nil"/>
              <w:left w:val="nil"/>
              <w:bottom w:val="nil"/>
              <w:right w:val="nil"/>
            </w:tcBorders>
            <w:shd w:val="clear" w:color="auto" w:fill="auto"/>
            <w:noWrap/>
            <w:vAlign w:val="bottom"/>
            <w:hideMark/>
          </w:tcPr>
          <w:p w14:paraId="6F16424B"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Government Banking Service</w:t>
            </w:r>
          </w:p>
        </w:tc>
        <w:tc>
          <w:tcPr>
            <w:tcW w:w="845" w:type="dxa"/>
            <w:tcBorders>
              <w:top w:val="nil"/>
              <w:left w:val="nil"/>
              <w:bottom w:val="nil"/>
              <w:right w:val="nil"/>
            </w:tcBorders>
            <w:shd w:val="clear" w:color="auto" w:fill="auto"/>
            <w:noWrap/>
            <w:vAlign w:val="bottom"/>
            <w:hideMark/>
          </w:tcPr>
          <w:p w14:paraId="43FA247E" w14:textId="77777777" w:rsidR="00AF2608" w:rsidRPr="00710F39" w:rsidRDefault="00AF2608" w:rsidP="00AF2608">
            <w:pPr>
              <w:spacing w:before="0" w:after="0"/>
              <w:rPr>
                <w:rFonts w:eastAsia="Times New Roman" w:cs="Arial"/>
                <w:sz w:val="20"/>
                <w:szCs w:val="20"/>
                <w:lang w:eastAsia="en-GB"/>
              </w:rPr>
            </w:pPr>
          </w:p>
        </w:tc>
        <w:tc>
          <w:tcPr>
            <w:tcW w:w="1337" w:type="dxa"/>
            <w:tcBorders>
              <w:top w:val="nil"/>
              <w:left w:val="nil"/>
              <w:bottom w:val="nil"/>
              <w:right w:val="nil"/>
            </w:tcBorders>
            <w:shd w:val="clear" w:color="auto" w:fill="auto"/>
            <w:noWrap/>
            <w:vAlign w:val="bottom"/>
            <w:hideMark/>
          </w:tcPr>
          <w:p w14:paraId="6E56E03E" w14:textId="77777777" w:rsidR="00AF2608" w:rsidRPr="00710F39" w:rsidRDefault="00AF2608" w:rsidP="00AF2608">
            <w:pPr>
              <w:spacing w:before="0" w:after="0"/>
              <w:rPr>
                <w:rFonts w:ascii="Times New Roman" w:eastAsia="Times New Roman" w:hAnsi="Times New Roman" w:cs="Times New Roman"/>
                <w:sz w:val="20"/>
                <w:szCs w:val="20"/>
                <w:lang w:eastAsia="en-GB"/>
              </w:rPr>
            </w:pPr>
          </w:p>
        </w:tc>
        <w:tc>
          <w:tcPr>
            <w:tcW w:w="1418" w:type="dxa"/>
            <w:tcBorders>
              <w:top w:val="nil"/>
              <w:left w:val="nil"/>
              <w:bottom w:val="nil"/>
              <w:right w:val="nil"/>
            </w:tcBorders>
            <w:shd w:val="clear" w:color="000000" w:fill="FFFFFF"/>
            <w:noWrap/>
            <w:vAlign w:val="bottom"/>
            <w:hideMark/>
          </w:tcPr>
          <w:p w14:paraId="15E5AF00"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2,523</w:t>
            </w:r>
          </w:p>
        </w:tc>
        <w:tc>
          <w:tcPr>
            <w:tcW w:w="272" w:type="dxa"/>
            <w:tcBorders>
              <w:top w:val="nil"/>
              <w:left w:val="nil"/>
              <w:bottom w:val="nil"/>
              <w:right w:val="nil"/>
            </w:tcBorders>
            <w:shd w:val="clear" w:color="000000" w:fill="FFFFFF"/>
            <w:noWrap/>
            <w:vAlign w:val="bottom"/>
            <w:hideMark/>
          </w:tcPr>
          <w:p w14:paraId="27774BDF"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26A67EAF"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2,808</w:t>
            </w:r>
          </w:p>
        </w:tc>
      </w:tr>
      <w:tr w:rsidR="00AF2608" w:rsidRPr="00710F39" w14:paraId="67C3B079" w14:textId="77777777" w:rsidTr="00710F39">
        <w:trPr>
          <w:trHeight w:val="260"/>
        </w:trPr>
        <w:tc>
          <w:tcPr>
            <w:tcW w:w="4622" w:type="dxa"/>
            <w:tcBorders>
              <w:top w:val="nil"/>
              <w:left w:val="nil"/>
              <w:bottom w:val="nil"/>
              <w:right w:val="nil"/>
            </w:tcBorders>
            <w:shd w:val="clear" w:color="auto" w:fill="auto"/>
            <w:noWrap/>
            <w:vAlign w:val="bottom"/>
            <w:hideMark/>
          </w:tcPr>
          <w:p w14:paraId="06957A96" w14:textId="77777777" w:rsidR="00AF2608" w:rsidRPr="00710F39" w:rsidRDefault="00AF2608" w:rsidP="00AF2608">
            <w:pPr>
              <w:spacing w:before="0" w:after="0"/>
              <w:rPr>
                <w:rFonts w:eastAsia="Times New Roman" w:cs="Arial"/>
                <w:b/>
                <w:bCs/>
                <w:sz w:val="20"/>
                <w:szCs w:val="20"/>
                <w:lang w:eastAsia="en-GB"/>
              </w:rPr>
            </w:pPr>
            <w:r w:rsidRPr="00710F39">
              <w:rPr>
                <w:rFonts w:eastAsia="Times New Roman" w:cs="Arial"/>
                <w:b/>
                <w:bCs/>
                <w:sz w:val="20"/>
                <w:szCs w:val="20"/>
                <w:lang w:eastAsia="en-GB"/>
              </w:rPr>
              <w:t>Total borrowings</w:t>
            </w:r>
          </w:p>
        </w:tc>
        <w:tc>
          <w:tcPr>
            <w:tcW w:w="845" w:type="dxa"/>
            <w:tcBorders>
              <w:top w:val="nil"/>
              <w:left w:val="nil"/>
              <w:bottom w:val="nil"/>
              <w:right w:val="nil"/>
            </w:tcBorders>
            <w:shd w:val="clear" w:color="auto" w:fill="auto"/>
            <w:noWrap/>
            <w:vAlign w:val="bottom"/>
            <w:hideMark/>
          </w:tcPr>
          <w:p w14:paraId="2F8C80DE" w14:textId="77777777" w:rsidR="00AF2608" w:rsidRPr="00710F39" w:rsidRDefault="00AF2608" w:rsidP="00AF2608">
            <w:pPr>
              <w:spacing w:before="0" w:after="0"/>
              <w:rPr>
                <w:rFonts w:eastAsia="Times New Roman" w:cs="Arial"/>
                <w:b/>
                <w:bCs/>
                <w:sz w:val="20"/>
                <w:szCs w:val="20"/>
                <w:lang w:eastAsia="en-GB"/>
              </w:rPr>
            </w:pPr>
          </w:p>
        </w:tc>
        <w:tc>
          <w:tcPr>
            <w:tcW w:w="1337" w:type="dxa"/>
            <w:tcBorders>
              <w:top w:val="nil"/>
              <w:left w:val="nil"/>
              <w:bottom w:val="nil"/>
              <w:right w:val="nil"/>
            </w:tcBorders>
            <w:shd w:val="clear" w:color="auto" w:fill="auto"/>
            <w:noWrap/>
            <w:vAlign w:val="bottom"/>
            <w:hideMark/>
          </w:tcPr>
          <w:p w14:paraId="3C389D37" w14:textId="77777777" w:rsidR="00AF2608" w:rsidRPr="00710F39" w:rsidRDefault="00AF2608" w:rsidP="00AF2608">
            <w:pPr>
              <w:spacing w:before="0" w:after="0"/>
              <w:rPr>
                <w:rFonts w:ascii="Times New Roman" w:eastAsia="Times New Roman" w:hAnsi="Times New Roman" w:cs="Times New Roman"/>
                <w:sz w:val="20"/>
                <w:szCs w:val="20"/>
                <w:lang w:eastAsia="en-GB"/>
              </w:rPr>
            </w:pPr>
          </w:p>
        </w:tc>
        <w:tc>
          <w:tcPr>
            <w:tcW w:w="1418" w:type="dxa"/>
            <w:tcBorders>
              <w:top w:val="single" w:sz="4" w:space="0" w:color="auto"/>
              <w:left w:val="nil"/>
              <w:bottom w:val="single" w:sz="4" w:space="0" w:color="auto"/>
              <w:right w:val="nil"/>
            </w:tcBorders>
            <w:shd w:val="clear" w:color="000000" w:fill="FFFFFF"/>
            <w:noWrap/>
            <w:vAlign w:val="bottom"/>
            <w:hideMark/>
          </w:tcPr>
          <w:p w14:paraId="62F41547" w14:textId="77777777" w:rsidR="00AF2608" w:rsidRPr="00710F39" w:rsidRDefault="00AF2608" w:rsidP="00AF2608">
            <w:pPr>
              <w:spacing w:before="0" w:after="0"/>
              <w:jc w:val="right"/>
              <w:rPr>
                <w:rFonts w:eastAsia="Times New Roman" w:cs="Arial"/>
                <w:b/>
                <w:bCs/>
                <w:sz w:val="20"/>
                <w:szCs w:val="20"/>
                <w:lang w:eastAsia="en-GB"/>
              </w:rPr>
            </w:pPr>
            <w:r w:rsidRPr="00710F39">
              <w:rPr>
                <w:rFonts w:eastAsia="Times New Roman" w:cs="Arial"/>
                <w:b/>
                <w:bCs/>
                <w:sz w:val="20"/>
                <w:szCs w:val="20"/>
                <w:lang w:eastAsia="en-GB"/>
              </w:rPr>
              <w:t>2,523</w:t>
            </w:r>
          </w:p>
        </w:tc>
        <w:tc>
          <w:tcPr>
            <w:tcW w:w="272" w:type="dxa"/>
            <w:tcBorders>
              <w:top w:val="nil"/>
              <w:left w:val="nil"/>
              <w:bottom w:val="nil"/>
              <w:right w:val="nil"/>
            </w:tcBorders>
            <w:shd w:val="clear" w:color="000000" w:fill="FFFFFF"/>
            <w:noWrap/>
            <w:vAlign w:val="bottom"/>
            <w:hideMark/>
          </w:tcPr>
          <w:p w14:paraId="48E13DE0"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single" w:sz="4" w:space="0" w:color="auto"/>
              <w:left w:val="nil"/>
              <w:bottom w:val="single" w:sz="4" w:space="0" w:color="auto"/>
              <w:right w:val="nil"/>
            </w:tcBorders>
            <w:shd w:val="clear" w:color="000000" w:fill="FFFFFF"/>
            <w:noWrap/>
            <w:vAlign w:val="bottom"/>
            <w:hideMark/>
          </w:tcPr>
          <w:p w14:paraId="040FA899" w14:textId="77777777" w:rsidR="00AF2608" w:rsidRPr="00710F39" w:rsidRDefault="00AF2608" w:rsidP="00AF2608">
            <w:pPr>
              <w:spacing w:before="0" w:after="0"/>
              <w:jc w:val="right"/>
              <w:rPr>
                <w:rFonts w:eastAsia="Times New Roman" w:cs="Arial"/>
                <w:b/>
                <w:bCs/>
                <w:sz w:val="20"/>
                <w:szCs w:val="20"/>
                <w:lang w:eastAsia="en-GB"/>
              </w:rPr>
            </w:pPr>
            <w:r w:rsidRPr="00710F39">
              <w:rPr>
                <w:rFonts w:eastAsia="Times New Roman" w:cs="Arial"/>
                <w:b/>
                <w:bCs/>
                <w:sz w:val="20"/>
                <w:szCs w:val="20"/>
                <w:lang w:eastAsia="en-GB"/>
              </w:rPr>
              <w:t>2,808</w:t>
            </w:r>
          </w:p>
        </w:tc>
      </w:tr>
      <w:tr w:rsidR="00AF2608" w:rsidRPr="00710F39" w14:paraId="33B88C06" w14:textId="77777777" w:rsidTr="00710F39">
        <w:trPr>
          <w:trHeight w:val="250"/>
        </w:trPr>
        <w:tc>
          <w:tcPr>
            <w:tcW w:w="4622" w:type="dxa"/>
            <w:tcBorders>
              <w:top w:val="nil"/>
              <w:left w:val="nil"/>
              <w:bottom w:val="nil"/>
              <w:right w:val="nil"/>
            </w:tcBorders>
            <w:shd w:val="clear" w:color="auto" w:fill="auto"/>
            <w:noWrap/>
            <w:vAlign w:val="bottom"/>
            <w:hideMark/>
          </w:tcPr>
          <w:p w14:paraId="59560951" w14:textId="77777777" w:rsidR="00AF2608" w:rsidRPr="00710F39" w:rsidRDefault="00AF2608" w:rsidP="00AF2608">
            <w:pPr>
              <w:spacing w:before="0" w:after="0"/>
              <w:jc w:val="right"/>
              <w:rPr>
                <w:rFonts w:eastAsia="Times New Roman" w:cs="Arial"/>
                <w:b/>
                <w:bCs/>
                <w:sz w:val="20"/>
                <w:szCs w:val="20"/>
                <w:lang w:eastAsia="en-GB"/>
              </w:rPr>
            </w:pPr>
          </w:p>
        </w:tc>
        <w:tc>
          <w:tcPr>
            <w:tcW w:w="845" w:type="dxa"/>
            <w:tcBorders>
              <w:top w:val="nil"/>
              <w:left w:val="nil"/>
              <w:bottom w:val="nil"/>
              <w:right w:val="nil"/>
            </w:tcBorders>
            <w:shd w:val="clear" w:color="auto" w:fill="auto"/>
            <w:noWrap/>
            <w:vAlign w:val="bottom"/>
            <w:hideMark/>
          </w:tcPr>
          <w:p w14:paraId="54B04FD3" w14:textId="77777777" w:rsidR="00AF2608" w:rsidRPr="00710F39" w:rsidRDefault="00AF2608" w:rsidP="00AF2608">
            <w:pPr>
              <w:spacing w:before="0" w:after="0"/>
              <w:rPr>
                <w:rFonts w:ascii="Times New Roman" w:eastAsia="Times New Roman" w:hAnsi="Times New Roman" w:cs="Times New Roman"/>
                <w:sz w:val="20"/>
                <w:szCs w:val="20"/>
                <w:lang w:eastAsia="en-GB"/>
              </w:rPr>
            </w:pPr>
          </w:p>
        </w:tc>
        <w:tc>
          <w:tcPr>
            <w:tcW w:w="1337" w:type="dxa"/>
            <w:tcBorders>
              <w:top w:val="nil"/>
              <w:left w:val="nil"/>
              <w:bottom w:val="nil"/>
              <w:right w:val="nil"/>
            </w:tcBorders>
            <w:shd w:val="clear" w:color="auto" w:fill="auto"/>
            <w:noWrap/>
            <w:vAlign w:val="bottom"/>
            <w:hideMark/>
          </w:tcPr>
          <w:p w14:paraId="0AF344F8" w14:textId="77777777" w:rsidR="00AF2608" w:rsidRPr="00710F39" w:rsidRDefault="00AF2608" w:rsidP="00AF2608">
            <w:pPr>
              <w:spacing w:before="0" w:after="0"/>
              <w:rPr>
                <w:rFonts w:ascii="Times New Roman" w:eastAsia="Times New Roman" w:hAnsi="Times New Roman" w:cs="Times New Roman"/>
                <w:sz w:val="20"/>
                <w:szCs w:val="20"/>
                <w:lang w:eastAsia="en-GB"/>
              </w:rPr>
            </w:pPr>
          </w:p>
        </w:tc>
        <w:tc>
          <w:tcPr>
            <w:tcW w:w="1418" w:type="dxa"/>
            <w:tcBorders>
              <w:top w:val="nil"/>
              <w:left w:val="nil"/>
              <w:bottom w:val="nil"/>
              <w:right w:val="nil"/>
            </w:tcBorders>
            <w:shd w:val="clear" w:color="000000" w:fill="FFFFFF"/>
            <w:noWrap/>
            <w:vAlign w:val="bottom"/>
            <w:hideMark/>
          </w:tcPr>
          <w:p w14:paraId="31A9A67A"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4645BA1"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291C0A01"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r>
      <w:tr w:rsidR="00AF2608" w:rsidRPr="00710F39" w14:paraId="22358785" w14:textId="77777777" w:rsidTr="00AF2608">
        <w:trPr>
          <w:trHeight w:val="260"/>
        </w:trPr>
        <w:tc>
          <w:tcPr>
            <w:tcW w:w="4622" w:type="dxa"/>
            <w:tcBorders>
              <w:top w:val="nil"/>
              <w:left w:val="nil"/>
              <w:bottom w:val="nil"/>
              <w:right w:val="nil"/>
            </w:tcBorders>
            <w:shd w:val="clear" w:color="auto" w:fill="auto"/>
            <w:noWrap/>
            <w:vAlign w:val="bottom"/>
          </w:tcPr>
          <w:p w14:paraId="42AEF2F8" w14:textId="6B4C7A06" w:rsidR="00AF2608" w:rsidRPr="00710F39" w:rsidRDefault="00AF2608" w:rsidP="00AF2608">
            <w:pPr>
              <w:spacing w:before="0" w:after="0"/>
              <w:rPr>
                <w:rFonts w:eastAsia="Times New Roman" w:cs="Arial"/>
                <w:b/>
                <w:bCs/>
                <w:sz w:val="20"/>
                <w:szCs w:val="20"/>
                <w:lang w:eastAsia="en-GB"/>
              </w:rPr>
            </w:pPr>
          </w:p>
        </w:tc>
        <w:tc>
          <w:tcPr>
            <w:tcW w:w="845" w:type="dxa"/>
            <w:tcBorders>
              <w:top w:val="nil"/>
              <w:left w:val="nil"/>
              <w:bottom w:val="nil"/>
              <w:right w:val="nil"/>
            </w:tcBorders>
            <w:shd w:val="clear" w:color="auto" w:fill="auto"/>
            <w:noWrap/>
            <w:vAlign w:val="bottom"/>
            <w:hideMark/>
          </w:tcPr>
          <w:p w14:paraId="4CABFB58" w14:textId="77777777" w:rsidR="00AF2608" w:rsidRPr="00710F39" w:rsidRDefault="00AF2608" w:rsidP="00AF2608">
            <w:pPr>
              <w:spacing w:before="0" w:after="0"/>
              <w:rPr>
                <w:rFonts w:eastAsia="Times New Roman" w:cs="Arial"/>
                <w:b/>
                <w:bCs/>
                <w:sz w:val="20"/>
                <w:szCs w:val="20"/>
                <w:lang w:eastAsia="en-GB"/>
              </w:rPr>
            </w:pPr>
          </w:p>
        </w:tc>
        <w:tc>
          <w:tcPr>
            <w:tcW w:w="1337" w:type="dxa"/>
            <w:tcBorders>
              <w:top w:val="nil"/>
              <w:left w:val="nil"/>
              <w:bottom w:val="nil"/>
              <w:right w:val="nil"/>
            </w:tcBorders>
            <w:shd w:val="clear" w:color="000000" w:fill="FFFFFF"/>
            <w:noWrap/>
            <w:vAlign w:val="bottom"/>
            <w:hideMark/>
          </w:tcPr>
          <w:p w14:paraId="7CD64458"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418" w:type="dxa"/>
            <w:tcBorders>
              <w:top w:val="nil"/>
              <w:left w:val="nil"/>
              <w:bottom w:val="nil"/>
              <w:right w:val="nil"/>
            </w:tcBorders>
            <w:shd w:val="clear" w:color="000000" w:fill="FFFFFF"/>
            <w:noWrap/>
            <w:vAlign w:val="bottom"/>
            <w:hideMark/>
          </w:tcPr>
          <w:p w14:paraId="4308DAF4"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5C4AD90"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auto" w:fill="auto"/>
            <w:noWrap/>
            <w:vAlign w:val="bottom"/>
            <w:hideMark/>
          </w:tcPr>
          <w:p w14:paraId="25434EDF" w14:textId="77777777" w:rsidR="00AF2608" w:rsidRPr="00710F39" w:rsidRDefault="00AF2608" w:rsidP="00AF2608">
            <w:pPr>
              <w:spacing w:before="0" w:after="0"/>
              <w:rPr>
                <w:rFonts w:eastAsia="Times New Roman" w:cs="Arial"/>
                <w:sz w:val="20"/>
                <w:szCs w:val="20"/>
                <w:lang w:eastAsia="en-GB"/>
              </w:rPr>
            </w:pPr>
          </w:p>
        </w:tc>
      </w:tr>
      <w:tr w:rsidR="00AF2608" w:rsidRPr="00710F39" w14:paraId="10C8A95B" w14:textId="77777777" w:rsidTr="00AF2608">
        <w:trPr>
          <w:trHeight w:val="260"/>
        </w:trPr>
        <w:tc>
          <w:tcPr>
            <w:tcW w:w="4622" w:type="dxa"/>
            <w:tcBorders>
              <w:top w:val="nil"/>
              <w:left w:val="nil"/>
              <w:bottom w:val="nil"/>
              <w:right w:val="nil"/>
            </w:tcBorders>
            <w:shd w:val="clear" w:color="auto" w:fill="auto"/>
            <w:noWrap/>
            <w:hideMark/>
          </w:tcPr>
          <w:p w14:paraId="299D79D5" w14:textId="4151927F" w:rsidR="00AF2608" w:rsidRPr="00710F39" w:rsidRDefault="00AF2608" w:rsidP="00AF2608">
            <w:pPr>
              <w:spacing w:before="0" w:after="0"/>
              <w:rPr>
                <w:rFonts w:ascii="Times New Roman" w:eastAsia="Times New Roman" w:hAnsi="Times New Roman" w:cs="Times New Roman"/>
                <w:sz w:val="20"/>
                <w:szCs w:val="20"/>
                <w:lang w:eastAsia="en-GB"/>
              </w:rPr>
            </w:pPr>
            <w:r w:rsidRPr="00710F39">
              <w:rPr>
                <w:rFonts w:eastAsia="Times New Roman" w:cs="Arial"/>
                <w:b/>
                <w:bCs/>
                <w:sz w:val="20"/>
                <w:szCs w:val="20"/>
                <w:lang w:eastAsia="en-GB"/>
              </w:rPr>
              <w:t>15.1 Repayment of principal falling due</w:t>
            </w:r>
          </w:p>
        </w:tc>
        <w:tc>
          <w:tcPr>
            <w:tcW w:w="845" w:type="dxa"/>
            <w:tcBorders>
              <w:top w:val="nil"/>
              <w:left w:val="nil"/>
              <w:bottom w:val="nil"/>
              <w:right w:val="nil"/>
            </w:tcBorders>
            <w:shd w:val="clear" w:color="auto" w:fill="auto"/>
            <w:noWrap/>
            <w:vAlign w:val="bottom"/>
            <w:hideMark/>
          </w:tcPr>
          <w:p w14:paraId="1957BB6B" w14:textId="77777777" w:rsidR="00AF2608" w:rsidRPr="00710F39" w:rsidRDefault="00AF2608" w:rsidP="00AF2608">
            <w:pPr>
              <w:spacing w:before="0" w:after="0"/>
              <w:rPr>
                <w:rFonts w:ascii="Times New Roman" w:eastAsia="Times New Roman" w:hAnsi="Times New Roman" w:cs="Times New Roman"/>
                <w:sz w:val="20"/>
                <w:szCs w:val="20"/>
                <w:lang w:eastAsia="en-GB"/>
              </w:rPr>
            </w:pPr>
          </w:p>
        </w:tc>
        <w:tc>
          <w:tcPr>
            <w:tcW w:w="1337" w:type="dxa"/>
            <w:tcBorders>
              <w:top w:val="nil"/>
              <w:left w:val="nil"/>
              <w:bottom w:val="nil"/>
              <w:right w:val="nil"/>
            </w:tcBorders>
            <w:shd w:val="clear" w:color="auto" w:fill="auto"/>
            <w:noWrap/>
            <w:vAlign w:val="bottom"/>
            <w:hideMark/>
          </w:tcPr>
          <w:p w14:paraId="55BDC5F2" w14:textId="77777777" w:rsidR="00AF2608" w:rsidRPr="00710F39" w:rsidRDefault="00AF2608" w:rsidP="00AF2608">
            <w:pPr>
              <w:spacing w:before="0" w:after="0"/>
              <w:rPr>
                <w:rFonts w:ascii="Times New Roman" w:eastAsia="Times New Roman" w:hAnsi="Times New Roman" w:cs="Times New Roman"/>
                <w:sz w:val="20"/>
                <w:szCs w:val="20"/>
                <w:lang w:eastAsia="en-GB"/>
              </w:rPr>
            </w:pPr>
          </w:p>
        </w:tc>
        <w:tc>
          <w:tcPr>
            <w:tcW w:w="1418" w:type="dxa"/>
            <w:tcBorders>
              <w:top w:val="nil"/>
              <w:left w:val="nil"/>
              <w:bottom w:val="nil"/>
              <w:right w:val="nil"/>
            </w:tcBorders>
            <w:shd w:val="clear" w:color="000000" w:fill="FFFFFF"/>
            <w:vAlign w:val="bottom"/>
            <w:hideMark/>
          </w:tcPr>
          <w:p w14:paraId="6C5FB917" w14:textId="77777777" w:rsidR="00AF2608" w:rsidRPr="00710F39" w:rsidRDefault="00AF2608" w:rsidP="00AF2608">
            <w:pPr>
              <w:spacing w:before="0" w:after="0"/>
              <w:jc w:val="right"/>
              <w:rPr>
                <w:rFonts w:eastAsia="Times New Roman" w:cs="Arial"/>
                <w:b/>
                <w:bCs/>
                <w:sz w:val="20"/>
                <w:szCs w:val="20"/>
                <w:lang w:eastAsia="en-GB"/>
              </w:rPr>
            </w:pPr>
            <w:r w:rsidRPr="00710F39">
              <w:rPr>
                <w:rFonts w:eastAsia="Times New Roman" w:cs="Arial"/>
                <w:b/>
                <w:bCs/>
                <w:sz w:val="20"/>
                <w:szCs w:val="20"/>
                <w:lang w:eastAsia="en-GB"/>
              </w:rPr>
              <w:t>31-Mar-24</w:t>
            </w:r>
          </w:p>
        </w:tc>
        <w:tc>
          <w:tcPr>
            <w:tcW w:w="272" w:type="dxa"/>
            <w:tcBorders>
              <w:top w:val="nil"/>
              <w:left w:val="nil"/>
              <w:bottom w:val="nil"/>
              <w:right w:val="nil"/>
            </w:tcBorders>
            <w:shd w:val="clear" w:color="000000" w:fill="FFFFFF"/>
            <w:noWrap/>
            <w:vAlign w:val="bottom"/>
            <w:hideMark/>
          </w:tcPr>
          <w:p w14:paraId="2F4CA1F1"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vAlign w:val="bottom"/>
            <w:hideMark/>
          </w:tcPr>
          <w:p w14:paraId="29ED5452"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31-Mar-23</w:t>
            </w:r>
          </w:p>
        </w:tc>
      </w:tr>
      <w:tr w:rsidR="00AF2608" w:rsidRPr="00710F39" w14:paraId="5A95F9A0" w14:textId="77777777" w:rsidTr="00710F39">
        <w:trPr>
          <w:trHeight w:val="260"/>
        </w:trPr>
        <w:tc>
          <w:tcPr>
            <w:tcW w:w="4622" w:type="dxa"/>
            <w:tcBorders>
              <w:top w:val="nil"/>
              <w:left w:val="nil"/>
              <w:bottom w:val="nil"/>
              <w:right w:val="nil"/>
            </w:tcBorders>
            <w:shd w:val="clear" w:color="auto" w:fill="auto"/>
            <w:noWrap/>
            <w:vAlign w:val="bottom"/>
            <w:hideMark/>
          </w:tcPr>
          <w:p w14:paraId="7D15BA2F" w14:textId="77777777" w:rsidR="00AF2608" w:rsidRPr="00710F39" w:rsidRDefault="00AF2608" w:rsidP="00AF2608">
            <w:pPr>
              <w:spacing w:before="0" w:after="0"/>
              <w:jc w:val="right"/>
              <w:rPr>
                <w:rFonts w:eastAsia="Times New Roman" w:cs="Arial"/>
                <w:sz w:val="20"/>
                <w:szCs w:val="20"/>
                <w:lang w:eastAsia="en-GB"/>
              </w:rPr>
            </w:pPr>
          </w:p>
        </w:tc>
        <w:tc>
          <w:tcPr>
            <w:tcW w:w="845" w:type="dxa"/>
            <w:tcBorders>
              <w:top w:val="nil"/>
              <w:left w:val="nil"/>
              <w:bottom w:val="nil"/>
              <w:right w:val="nil"/>
            </w:tcBorders>
            <w:shd w:val="clear" w:color="auto" w:fill="auto"/>
            <w:noWrap/>
            <w:vAlign w:val="bottom"/>
            <w:hideMark/>
          </w:tcPr>
          <w:p w14:paraId="45948AC5" w14:textId="77777777" w:rsidR="00AF2608" w:rsidRPr="00710F39" w:rsidRDefault="00AF2608" w:rsidP="00AF2608">
            <w:pPr>
              <w:spacing w:before="0" w:after="0"/>
              <w:rPr>
                <w:rFonts w:ascii="Times New Roman" w:eastAsia="Times New Roman" w:hAnsi="Times New Roman" w:cs="Times New Roman"/>
                <w:sz w:val="20"/>
                <w:szCs w:val="20"/>
                <w:lang w:eastAsia="en-GB"/>
              </w:rPr>
            </w:pPr>
          </w:p>
        </w:tc>
        <w:tc>
          <w:tcPr>
            <w:tcW w:w="1337" w:type="dxa"/>
            <w:tcBorders>
              <w:top w:val="nil"/>
              <w:left w:val="nil"/>
              <w:bottom w:val="nil"/>
              <w:right w:val="nil"/>
            </w:tcBorders>
            <w:shd w:val="clear" w:color="auto" w:fill="auto"/>
            <w:noWrap/>
            <w:vAlign w:val="bottom"/>
            <w:hideMark/>
          </w:tcPr>
          <w:p w14:paraId="6E9C7E68" w14:textId="77777777" w:rsidR="00AF2608" w:rsidRPr="00710F39" w:rsidRDefault="00AF2608" w:rsidP="00AF2608">
            <w:pPr>
              <w:spacing w:before="0" w:after="0"/>
              <w:rPr>
                <w:rFonts w:ascii="Times New Roman" w:eastAsia="Times New Roman" w:hAnsi="Times New Roman" w:cs="Times New Roman"/>
                <w:sz w:val="20"/>
                <w:szCs w:val="20"/>
                <w:lang w:eastAsia="en-GB"/>
              </w:rPr>
            </w:pPr>
          </w:p>
        </w:tc>
        <w:tc>
          <w:tcPr>
            <w:tcW w:w="1418" w:type="dxa"/>
            <w:tcBorders>
              <w:top w:val="nil"/>
              <w:left w:val="nil"/>
              <w:bottom w:val="nil"/>
              <w:right w:val="nil"/>
            </w:tcBorders>
            <w:shd w:val="clear" w:color="000000" w:fill="FFFFFF"/>
            <w:noWrap/>
            <w:vAlign w:val="bottom"/>
            <w:hideMark/>
          </w:tcPr>
          <w:p w14:paraId="04AA49A1" w14:textId="77777777" w:rsidR="00AF2608" w:rsidRPr="00710F39" w:rsidRDefault="00AF2608" w:rsidP="00AF2608">
            <w:pPr>
              <w:spacing w:before="0" w:after="0"/>
              <w:jc w:val="right"/>
              <w:rPr>
                <w:rFonts w:eastAsia="Times New Roman" w:cs="Arial"/>
                <w:b/>
                <w:bCs/>
                <w:sz w:val="20"/>
                <w:szCs w:val="20"/>
                <w:lang w:eastAsia="en-GB"/>
              </w:rPr>
            </w:pPr>
            <w:r w:rsidRPr="00710F39">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bottom"/>
            <w:hideMark/>
          </w:tcPr>
          <w:p w14:paraId="13D7640E"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49263A43"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£'000</w:t>
            </w:r>
          </w:p>
        </w:tc>
      </w:tr>
      <w:tr w:rsidR="00AF2608" w:rsidRPr="00710F39" w14:paraId="6F4D0D88" w14:textId="77777777" w:rsidTr="00710F39">
        <w:trPr>
          <w:trHeight w:val="250"/>
        </w:trPr>
        <w:tc>
          <w:tcPr>
            <w:tcW w:w="4622" w:type="dxa"/>
            <w:tcBorders>
              <w:top w:val="nil"/>
              <w:left w:val="nil"/>
              <w:bottom w:val="nil"/>
              <w:right w:val="nil"/>
            </w:tcBorders>
            <w:shd w:val="clear" w:color="auto" w:fill="auto"/>
            <w:noWrap/>
            <w:vAlign w:val="bottom"/>
            <w:hideMark/>
          </w:tcPr>
          <w:p w14:paraId="46964E6F"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Within one year</w:t>
            </w:r>
          </w:p>
        </w:tc>
        <w:tc>
          <w:tcPr>
            <w:tcW w:w="845" w:type="dxa"/>
            <w:tcBorders>
              <w:top w:val="nil"/>
              <w:left w:val="nil"/>
              <w:bottom w:val="nil"/>
              <w:right w:val="nil"/>
            </w:tcBorders>
            <w:shd w:val="clear" w:color="auto" w:fill="auto"/>
            <w:noWrap/>
            <w:vAlign w:val="bottom"/>
            <w:hideMark/>
          </w:tcPr>
          <w:p w14:paraId="0F4BD3F7" w14:textId="77777777" w:rsidR="00AF2608" w:rsidRPr="00710F39" w:rsidRDefault="00AF2608" w:rsidP="00AF2608">
            <w:pPr>
              <w:spacing w:before="0" w:after="0"/>
              <w:rPr>
                <w:rFonts w:eastAsia="Times New Roman" w:cs="Arial"/>
                <w:sz w:val="20"/>
                <w:szCs w:val="20"/>
                <w:lang w:eastAsia="en-GB"/>
              </w:rPr>
            </w:pPr>
          </w:p>
        </w:tc>
        <w:tc>
          <w:tcPr>
            <w:tcW w:w="1337" w:type="dxa"/>
            <w:tcBorders>
              <w:top w:val="nil"/>
              <w:left w:val="nil"/>
              <w:bottom w:val="nil"/>
              <w:right w:val="nil"/>
            </w:tcBorders>
            <w:shd w:val="clear" w:color="auto" w:fill="auto"/>
            <w:noWrap/>
            <w:vAlign w:val="bottom"/>
            <w:hideMark/>
          </w:tcPr>
          <w:p w14:paraId="6B0F63D3" w14:textId="77777777" w:rsidR="00AF2608" w:rsidRPr="00710F39" w:rsidRDefault="00AF2608" w:rsidP="00AF2608">
            <w:pPr>
              <w:spacing w:before="0" w:after="0"/>
              <w:rPr>
                <w:rFonts w:ascii="Times New Roman" w:eastAsia="Times New Roman" w:hAnsi="Times New Roman" w:cs="Times New Roman"/>
                <w:sz w:val="20"/>
                <w:szCs w:val="20"/>
                <w:lang w:eastAsia="en-GB"/>
              </w:rPr>
            </w:pPr>
          </w:p>
        </w:tc>
        <w:tc>
          <w:tcPr>
            <w:tcW w:w="1418" w:type="dxa"/>
            <w:tcBorders>
              <w:top w:val="nil"/>
              <w:left w:val="nil"/>
              <w:bottom w:val="nil"/>
              <w:right w:val="nil"/>
            </w:tcBorders>
            <w:shd w:val="clear" w:color="000000" w:fill="FFFFFF"/>
            <w:noWrap/>
            <w:vAlign w:val="bottom"/>
            <w:hideMark/>
          </w:tcPr>
          <w:p w14:paraId="48757F3A"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2,523</w:t>
            </w:r>
          </w:p>
        </w:tc>
        <w:tc>
          <w:tcPr>
            <w:tcW w:w="272" w:type="dxa"/>
            <w:tcBorders>
              <w:top w:val="nil"/>
              <w:left w:val="nil"/>
              <w:bottom w:val="nil"/>
              <w:right w:val="nil"/>
            </w:tcBorders>
            <w:shd w:val="clear" w:color="000000" w:fill="FFFFFF"/>
            <w:noWrap/>
            <w:vAlign w:val="bottom"/>
            <w:hideMark/>
          </w:tcPr>
          <w:p w14:paraId="5E9EAB5C"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nil"/>
              <w:left w:val="nil"/>
              <w:bottom w:val="nil"/>
              <w:right w:val="nil"/>
            </w:tcBorders>
            <w:shd w:val="clear" w:color="000000" w:fill="FFFFFF"/>
            <w:noWrap/>
            <w:vAlign w:val="bottom"/>
            <w:hideMark/>
          </w:tcPr>
          <w:p w14:paraId="0820D9B8"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2,808</w:t>
            </w:r>
          </w:p>
        </w:tc>
      </w:tr>
      <w:tr w:rsidR="00AF2608" w:rsidRPr="00710F39" w14:paraId="35DACC77" w14:textId="77777777" w:rsidTr="00710F39">
        <w:trPr>
          <w:trHeight w:val="260"/>
        </w:trPr>
        <w:tc>
          <w:tcPr>
            <w:tcW w:w="4622" w:type="dxa"/>
            <w:tcBorders>
              <w:top w:val="nil"/>
              <w:left w:val="nil"/>
              <w:bottom w:val="nil"/>
              <w:right w:val="nil"/>
            </w:tcBorders>
            <w:shd w:val="clear" w:color="auto" w:fill="auto"/>
            <w:noWrap/>
            <w:vAlign w:val="bottom"/>
            <w:hideMark/>
          </w:tcPr>
          <w:p w14:paraId="7A0D0241" w14:textId="77777777" w:rsidR="00AF2608" w:rsidRPr="00710F39" w:rsidRDefault="00AF2608" w:rsidP="00AF2608">
            <w:pPr>
              <w:spacing w:before="0" w:after="0"/>
              <w:rPr>
                <w:rFonts w:eastAsia="Times New Roman" w:cs="Arial"/>
                <w:b/>
                <w:bCs/>
                <w:sz w:val="20"/>
                <w:szCs w:val="20"/>
                <w:lang w:eastAsia="en-GB"/>
              </w:rPr>
            </w:pPr>
            <w:r w:rsidRPr="00710F39">
              <w:rPr>
                <w:rFonts w:eastAsia="Times New Roman" w:cs="Arial"/>
                <w:b/>
                <w:bCs/>
                <w:sz w:val="20"/>
                <w:szCs w:val="20"/>
                <w:lang w:eastAsia="en-GB"/>
              </w:rPr>
              <w:t>Total</w:t>
            </w:r>
          </w:p>
        </w:tc>
        <w:tc>
          <w:tcPr>
            <w:tcW w:w="845" w:type="dxa"/>
            <w:tcBorders>
              <w:top w:val="nil"/>
              <w:left w:val="nil"/>
              <w:bottom w:val="nil"/>
              <w:right w:val="nil"/>
            </w:tcBorders>
            <w:shd w:val="clear" w:color="auto" w:fill="auto"/>
            <w:noWrap/>
            <w:vAlign w:val="bottom"/>
            <w:hideMark/>
          </w:tcPr>
          <w:p w14:paraId="601C6E86" w14:textId="77777777" w:rsidR="00AF2608" w:rsidRPr="00710F39" w:rsidRDefault="00AF2608" w:rsidP="00AF2608">
            <w:pPr>
              <w:spacing w:before="0" w:after="0"/>
              <w:rPr>
                <w:rFonts w:eastAsia="Times New Roman" w:cs="Arial"/>
                <w:b/>
                <w:bCs/>
                <w:sz w:val="20"/>
                <w:szCs w:val="20"/>
                <w:lang w:eastAsia="en-GB"/>
              </w:rPr>
            </w:pPr>
          </w:p>
        </w:tc>
        <w:tc>
          <w:tcPr>
            <w:tcW w:w="1337" w:type="dxa"/>
            <w:tcBorders>
              <w:top w:val="nil"/>
              <w:left w:val="nil"/>
              <w:bottom w:val="nil"/>
              <w:right w:val="nil"/>
            </w:tcBorders>
            <w:shd w:val="clear" w:color="auto" w:fill="auto"/>
            <w:noWrap/>
            <w:vAlign w:val="bottom"/>
            <w:hideMark/>
          </w:tcPr>
          <w:p w14:paraId="3DC8EEB6" w14:textId="77777777" w:rsidR="00AF2608" w:rsidRPr="00710F39" w:rsidRDefault="00AF2608" w:rsidP="00AF2608">
            <w:pPr>
              <w:spacing w:before="0" w:after="0"/>
              <w:rPr>
                <w:rFonts w:ascii="Times New Roman" w:eastAsia="Times New Roman" w:hAnsi="Times New Roman" w:cs="Times New Roman"/>
                <w:sz w:val="20"/>
                <w:szCs w:val="20"/>
                <w:lang w:eastAsia="en-GB"/>
              </w:rPr>
            </w:pPr>
          </w:p>
        </w:tc>
        <w:tc>
          <w:tcPr>
            <w:tcW w:w="1418" w:type="dxa"/>
            <w:tcBorders>
              <w:top w:val="single" w:sz="4" w:space="0" w:color="auto"/>
              <w:left w:val="nil"/>
              <w:bottom w:val="single" w:sz="4" w:space="0" w:color="auto"/>
              <w:right w:val="nil"/>
            </w:tcBorders>
            <w:shd w:val="clear" w:color="000000" w:fill="FFFFFF"/>
            <w:noWrap/>
            <w:vAlign w:val="bottom"/>
            <w:hideMark/>
          </w:tcPr>
          <w:p w14:paraId="607A8266" w14:textId="77777777" w:rsidR="00AF2608" w:rsidRPr="00710F39" w:rsidRDefault="00AF2608" w:rsidP="00AF2608">
            <w:pPr>
              <w:spacing w:before="0" w:after="0"/>
              <w:jc w:val="right"/>
              <w:rPr>
                <w:rFonts w:eastAsia="Times New Roman" w:cs="Arial"/>
                <w:b/>
                <w:bCs/>
                <w:sz w:val="20"/>
                <w:szCs w:val="20"/>
                <w:lang w:eastAsia="en-GB"/>
              </w:rPr>
            </w:pPr>
            <w:r w:rsidRPr="00710F39">
              <w:rPr>
                <w:rFonts w:eastAsia="Times New Roman" w:cs="Arial"/>
                <w:b/>
                <w:bCs/>
                <w:sz w:val="20"/>
                <w:szCs w:val="20"/>
                <w:lang w:eastAsia="en-GB"/>
              </w:rPr>
              <w:t>2,523</w:t>
            </w:r>
          </w:p>
        </w:tc>
        <w:tc>
          <w:tcPr>
            <w:tcW w:w="272" w:type="dxa"/>
            <w:tcBorders>
              <w:top w:val="nil"/>
              <w:left w:val="nil"/>
              <w:bottom w:val="nil"/>
              <w:right w:val="nil"/>
            </w:tcBorders>
            <w:shd w:val="clear" w:color="000000" w:fill="FFFFFF"/>
            <w:noWrap/>
            <w:vAlign w:val="bottom"/>
            <w:hideMark/>
          </w:tcPr>
          <w:p w14:paraId="56E96B6E" w14:textId="77777777" w:rsidR="00AF2608" w:rsidRPr="00710F39" w:rsidRDefault="00AF2608" w:rsidP="00AF2608">
            <w:pPr>
              <w:spacing w:before="0" w:after="0"/>
              <w:rPr>
                <w:rFonts w:eastAsia="Times New Roman" w:cs="Arial"/>
                <w:sz w:val="20"/>
                <w:szCs w:val="20"/>
                <w:lang w:eastAsia="en-GB"/>
              </w:rPr>
            </w:pPr>
            <w:r w:rsidRPr="00710F39">
              <w:rPr>
                <w:rFonts w:eastAsia="Times New Roman" w:cs="Arial"/>
                <w:sz w:val="20"/>
                <w:szCs w:val="20"/>
                <w:lang w:eastAsia="en-GB"/>
              </w:rPr>
              <w:t> </w:t>
            </w:r>
          </w:p>
        </w:tc>
        <w:tc>
          <w:tcPr>
            <w:tcW w:w="1287" w:type="dxa"/>
            <w:tcBorders>
              <w:top w:val="single" w:sz="4" w:space="0" w:color="auto"/>
              <w:left w:val="nil"/>
              <w:bottom w:val="single" w:sz="4" w:space="0" w:color="auto"/>
              <w:right w:val="nil"/>
            </w:tcBorders>
            <w:shd w:val="clear" w:color="000000" w:fill="FFFFFF"/>
            <w:noWrap/>
            <w:vAlign w:val="bottom"/>
            <w:hideMark/>
          </w:tcPr>
          <w:p w14:paraId="53CB35C6" w14:textId="77777777" w:rsidR="00AF2608" w:rsidRPr="00710F39" w:rsidRDefault="00AF2608" w:rsidP="00AF2608">
            <w:pPr>
              <w:spacing w:before="0" w:after="0"/>
              <w:jc w:val="right"/>
              <w:rPr>
                <w:rFonts w:eastAsia="Times New Roman" w:cs="Arial"/>
                <w:sz w:val="20"/>
                <w:szCs w:val="20"/>
                <w:lang w:eastAsia="en-GB"/>
              </w:rPr>
            </w:pPr>
            <w:r w:rsidRPr="00710F39">
              <w:rPr>
                <w:rFonts w:eastAsia="Times New Roman" w:cs="Arial"/>
                <w:sz w:val="20"/>
                <w:szCs w:val="20"/>
                <w:lang w:eastAsia="en-GB"/>
              </w:rPr>
              <w:t>2,808</w:t>
            </w:r>
          </w:p>
        </w:tc>
      </w:tr>
    </w:tbl>
    <w:p w14:paraId="0A9F8C4C" w14:textId="77777777" w:rsidR="00AF2608" w:rsidRDefault="00AF2608">
      <w:pPr>
        <w:spacing w:before="0" w:after="200" w:line="276" w:lineRule="auto"/>
      </w:pPr>
      <w:r>
        <w:br w:type="page"/>
      </w:r>
    </w:p>
    <w:tbl>
      <w:tblPr>
        <w:tblW w:w="11483" w:type="dxa"/>
        <w:tblInd w:w="-851" w:type="dxa"/>
        <w:tblLook w:val="04A0" w:firstRow="1" w:lastRow="0" w:firstColumn="1" w:lastColumn="0" w:noHBand="0" w:noVBand="1"/>
      </w:tblPr>
      <w:tblGrid>
        <w:gridCol w:w="851"/>
        <w:gridCol w:w="2410"/>
        <w:gridCol w:w="1528"/>
        <w:gridCol w:w="272"/>
        <w:gridCol w:w="770"/>
        <w:gridCol w:w="410"/>
        <w:gridCol w:w="272"/>
        <w:gridCol w:w="598"/>
        <w:gridCol w:w="828"/>
        <w:gridCol w:w="272"/>
        <w:gridCol w:w="180"/>
        <w:gridCol w:w="1000"/>
        <w:gridCol w:w="272"/>
        <w:gridCol w:w="8"/>
        <w:gridCol w:w="1400"/>
        <w:gridCol w:w="412"/>
      </w:tblGrid>
      <w:tr w:rsidR="00F95065" w:rsidRPr="00F95065" w14:paraId="74C776E6" w14:textId="77777777" w:rsidTr="00A0140D">
        <w:trPr>
          <w:trHeight w:val="260"/>
        </w:trPr>
        <w:tc>
          <w:tcPr>
            <w:tcW w:w="11483" w:type="dxa"/>
            <w:gridSpan w:val="16"/>
            <w:tcBorders>
              <w:top w:val="nil"/>
              <w:left w:val="nil"/>
              <w:bottom w:val="nil"/>
              <w:right w:val="nil"/>
            </w:tcBorders>
            <w:shd w:val="clear" w:color="auto" w:fill="auto"/>
            <w:noWrap/>
            <w:vAlign w:val="bottom"/>
            <w:hideMark/>
          </w:tcPr>
          <w:p w14:paraId="1B10D78D" w14:textId="77777777" w:rsidR="00F95065" w:rsidRDefault="00F95065" w:rsidP="00F95065">
            <w:pPr>
              <w:spacing w:before="0" w:after="0"/>
              <w:rPr>
                <w:rFonts w:eastAsia="Times New Roman" w:cs="Arial"/>
                <w:i/>
                <w:iCs/>
                <w:sz w:val="20"/>
                <w:szCs w:val="20"/>
                <w:lang w:eastAsia="en-GB"/>
              </w:rPr>
            </w:pPr>
            <w:r w:rsidRPr="00F95065">
              <w:rPr>
                <w:rFonts w:eastAsia="Times New Roman" w:cs="Arial"/>
                <w:i/>
                <w:iCs/>
                <w:sz w:val="20"/>
                <w:szCs w:val="20"/>
                <w:lang w:eastAsia="en-GB"/>
              </w:rPr>
              <w:lastRenderedPageBreak/>
              <w:t>NHS Mid and South Essex Integrated Care Board - Statutory Accounts 2023-24</w:t>
            </w:r>
          </w:p>
          <w:p w14:paraId="7594316B" w14:textId="77777777" w:rsidR="00497B48" w:rsidRDefault="00497B48" w:rsidP="00F95065">
            <w:pPr>
              <w:spacing w:before="0" w:after="0"/>
              <w:rPr>
                <w:rFonts w:eastAsia="Times New Roman" w:cs="Arial"/>
                <w:i/>
                <w:iCs/>
                <w:sz w:val="20"/>
                <w:szCs w:val="20"/>
                <w:lang w:eastAsia="en-GB"/>
              </w:rPr>
            </w:pPr>
          </w:p>
          <w:p w14:paraId="49AC5F0E" w14:textId="5F819D12" w:rsidR="001702D6" w:rsidRPr="00F95065" w:rsidRDefault="001702D6" w:rsidP="00F95065">
            <w:pPr>
              <w:spacing w:before="0" w:after="0"/>
              <w:rPr>
                <w:rFonts w:eastAsia="Times New Roman" w:cs="Arial"/>
                <w:i/>
                <w:iCs/>
                <w:sz w:val="20"/>
                <w:szCs w:val="20"/>
                <w:lang w:eastAsia="en-GB"/>
              </w:rPr>
            </w:pPr>
          </w:p>
        </w:tc>
      </w:tr>
      <w:tr w:rsidR="00F95065" w:rsidRPr="00F95065" w14:paraId="1FE88029" w14:textId="77777777" w:rsidTr="00A0140D">
        <w:trPr>
          <w:trHeight w:val="255"/>
        </w:trPr>
        <w:tc>
          <w:tcPr>
            <w:tcW w:w="3261" w:type="dxa"/>
            <w:gridSpan w:val="2"/>
            <w:tcBorders>
              <w:top w:val="nil"/>
              <w:left w:val="nil"/>
              <w:bottom w:val="nil"/>
              <w:right w:val="nil"/>
            </w:tcBorders>
            <w:shd w:val="clear" w:color="auto" w:fill="auto"/>
            <w:noWrap/>
            <w:vAlign w:val="bottom"/>
            <w:hideMark/>
          </w:tcPr>
          <w:p w14:paraId="39BB86AC" w14:textId="38C4ACF0" w:rsidR="00F95065" w:rsidRPr="00F95065" w:rsidRDefault="001702D6"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15 Provisions</w:t>
            </w:r>
          </w:p>
        </w:tc>
        <w:tc>
          <w:tcPr>
            <w:tcW w:w="1528" w:type="dxa"/>
            <w:tcBorders>
              <w:top w:val="nil"/>
              <w:left w:val="nil"/>
              <w:bottom w:val="nil"/>
              <w:right w:val="nil"/>
            </w:tcBorders>
            <w:shd w:val="clear" w:color="auto" w:fill="auto"/>
            <w:noWrap/>
            <w:vAlign w:val="bottom"/>
            <w:hideMark/>
          </w:tcPr>
          <w:p w14:paraId="6A2A51C5" w14:textId="77777777" w:rsidR="00F95065" w:rsidRPr="00F95065" w:rsidRDefault="00F95065" w:rsidP="00F95065">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748FD1DF" w14:textId="77777777" w:rsidR="00F95065" w:rsidRPr="00F95065" w:rsidRDefault="00F95065" w:rsidP="00F95065">
            <w:pPr>
              <w:spacing w:before="0" w:after="0"/>
              <w:rPr>
                <w:rFonts w:ascii="Times New Roman" w:eastAsia="Times New Roman" w:hAnsi="Times New Roman" w:cs="Times New Roman"/>
                <w:sz w:val="20"/>
                <w:szCs w:val="20"/>
                <w:lang w:eastAsia="en-GB"/>
              </w:rPr>
            </w:pPr>
          </w:p>
        </w:tc>
        <w:tc>
          <w:tcPr>
            <w:tcW w:w="1180" w:type="dxa"/>
            <w:gridSpan w:val="2"/>
            <w:tcBorders>
              <w:top w:val="nil"/>
              <w:left w:val="nil"/>
              <w:bottom w:val="nil"/>
              <w:right w:val="nil"/>
            </w:tcBorders>
            <w:shd w:val="clear" w:color="000000" w:fill="FFFFFF"/>
            <w:noWrap/>
            <w:vAlign w:val="bottom"/>
            <w:hideMark/>
          </w:tcPr>
          <w:p w14:paraId="4C735A03"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Current</w:t>
            </w:r>
          </w:p>
        </w:tc>
        <w:tc>
          <w:tcPr>
            <w:tcW w:w="272" w:type="dxa"/>
            <w:tcBorders>
              <w:top w:val="nil"/>
              <w:left w:val="nil"/>
              <w:bottom w:val="nil"/>
              <w:right w:val="nil"/>
            </w:tcBorders>
            <w:shd w:val="clear" w:color="000000" w:fill="FFFFFF"/>
            <w:noWrap/>
            <w:vAlign w:val="bottom"/>
            <w:hideMark/>
          </w:tcPr>
          <w:p w14:paraId="005104A1"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3F2B384E"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Non-current</w:t>
            </w:r>
          </w:p>
        </w:tc>
        <w:tc>
          <w:tcPr>
            <w:tcW w:w="272" w:type="dxa"/>
            <w:tcBorders>
              <w:top w:val="nil"/>
              <w:left w:val="nil"/>
              <w:bottom w:val="nil"/>
              <w:right w:val="nil"/>
            </w:tcBorders>
            <w:shd w:val="clear" w:color="000000" w:fill="FFFFFF"/>
            <w:noWrap/>
            <w:vAlign w:val="bottom"/>
            <w:hideMark/>
          </w:tcPr>
          <w:p w14:paraId="781BDB6E"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5FBE040B"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Current</w:t>
            </w:r>
          </w:p>
        </w:tc>
        <w:tc>
          <w:tcPr>
            <w:tcW w:w="272" w:type="dxa"/>
            <w:tcBorders>
              <w:top w:val="nil"/>
              <w:left w:val="nil"/>
              <w:bottom w:val="nil"/>
              <w:right w:val="nil"/>
            </w:tcBorders>
            <w:shd w:val="clear" w:color="000000" w:fill="FFFFFF"/>
            <w:noWrap/>
            <w:vAlign w:val="bottom"/>
            <w:hideMark/>
          </w:tcPr>
          <w:p w14:paraId="17AE0838"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0A7E073E"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Non-current</w:t>
            </w:r>
          </w:p>
        </w:tc>
      </w:tr>
      <w:tr w:rsidR="00F95065" w:rsidRPr="00F95065" w14:paraId="6650D647" w14:textId="77777777" w:rsidTr="00A0140D">
        <w:trPr>
          <w:trHeight w:val="260"/>
        </w:trPr>
        <w:tc>
          <w:tcPr>
            <w:tcW w:w="3261" w:type="dxa"/>
            <w:gridSpan w:val="2"/>
            <w:tcBorders>
              <w:top w:val="nil"/>
              <w:left w:val="nil"/>
              <w:bottom w:val="nil"/>
              <w:right w:val="nil"/>
            </w:tcBorders>
            <w:shd w:val="clear" w:color="auto" w:fill="auto"/>
            <w:noWrap/>
            <w:hideMark/>
          </w:tcPr>
          <w:p w14:paraId="358965EF" w14:textId="0C5F22BF" w:rsidR="00F95065" w:rsidRPr="00F95065" w:rsidRDefault="00F95065" w:rsidP="001702D6">
            <w:pPr>
              <w:spacing w:before="0" w:after="0"/>
              <w:rPr>
                <w:rFonts w:eastAsia="Times New Roman" w:cs="Arial"/>
                <w:sz w:val="20"/>
                <w:szCs w:val="20"/>
                <w:lang w:eastAsia="en-GB"/>
              </w:rPr>
            </w:pPr>
          </w:p>
        </w:tc>
        <w:tc>
          <w:tcPr>
            <w:tcW w:w="1528" w:type="dxa"/>
            <w:tcBorders>
              <w:top w:val="nil"/>
              <w:left w:val="nil"/>
              <w:bottom w:val="nil"/>
              <w:right w:val="nil"/>
            </w:tcBorders>
            <w:shd w:val="clear" w:color="auto" w:fill="auto"/>
            <w:noWrap/>
            <w:vAlign w:val="bottom"/>
            <w:hideMark/>
          </w:tcPr>
          <w:p w14:paraId="73184EC6" w14:textId="77777777" w:rsidR="00F95065" w:rsidRPr="00F95065" w:rsidRDefault="00F95065" w:rsidP="00F95065">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0692F0AD" w14:textId="77777777" w:rsidR="00F95065" w:rsidRPr="00F95065" w:rsidRDefault="00F95065" w:rsidP="00F95065">
            <w:pPr>
              <w:spacing w:before="0" w:after="0"/>
              <w:rPr>
                <w:rFonts w:ascii="Times New Roman" w:eastAsia="Times New Roman" w:hAnsi="Times New Roman" w:cs="Times New Roman"/>
                <w:sz w:val="20"/>
                <w:szCs w:val="20"/>
                <w:lang w:eastAsia="en-GB"/>
              </w:rPr>
            </w:pPr>
          </w:p>
        </w:tc>
        <w:tc>
          <w:tcPr>
            <w:tcW w:w="1180" w:type="dxa"/>
            <w:gridSpan w:val="2"/>
            <w:tcBorders>
              <w:top w:val="nil"/>
              <w:left w:val="nil"/>
              <w:bottom w:val="nil"/>
              <w:right w:val="nil"/>
            </w:tcBorders>
            <w:shd w:val="clear" w:color="000000" w:fill="FFFFFF"/>
            <w:vAlign w:val="bottom"/>
            <w:hideMark/>
          </w:tcPr>
          <w:p w14:paraId="4E27E24E"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31-Mar-24</w:t>
            </w:r>
          </w:p>
        </w:tc>
        <w:tc>
          <w:tcPr>
            <w:tcW w:w="272" w:type="dxa"/>
            <w:tcBorders>
              <w:top w:val="nil"/>
              <w:left w:val="nil"/>
              <w:bottom w:val="nil"/>
              <w:right w:val="nil"/>
            </w:tcBorders>
            <w:shd w:val="clear" w:color="000000" w:fill="FFFFFF"/>
            <w:vAlign w:val="bottom"/>
            <w:hideMark/>
          </w:tcPr>
          <w:p w14:paraId="6B21B2C9"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 </w:t>
            </w:r>
          </w:p>
        </w:tc>
        <w:tc>
          <w:tcPr>
            <w:tcW w:w="1426" w:type="dxa"/>
            <w:gridSpan w:val="2"/>
            <w:tcBorders>
              <w:top w:val="nil"/>
              <w:left w:val="nil"/>
              <w:bottom w:val="nil"/>
              <w:right w:val="nil"/>
            </w:tcBorders>
            <w:shd w:val="clear" w:color="000000" w:fill="FFFFFF"/>
            <w:vAlign w:val="bottom"/>
            <w:hideMark/>
          </w:tcPr>
          <w:p w14:paraId="06D4AACE"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31-Mar-24</w:t>
            </w:r>
          </w:p>
        </w:tc>
        <w:tc>
          <w:tcPr>
            <w:tcW w:w="272" w:type="dxa"/>
            <w:tcBorders>
              <w:top w:val="nil"/>
              <w:left w:val="nil"/>
              <w:bottom w:val="nil"/>
              <w:right w:val="nil"/>
            </w:tcBorders>
            <w:shd w:val="clear" w:color="000000" w:fill="FFFFFF"/>
            <w:vAlign w:val="bottom"/>
            <w:hideMark/>
          </w:tcPr>
          <w:p w14:paraId="27A955F6"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vAlign w:val="bottom"/>
            <w:hideMark/>
          </w:tcPr>
          <w:p w14:paraId="26538FE4"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31-Mar-23</w:t>
            </w:r>
          </w:p>
        </w:tc>
        <w:tc>
          <w:tcPr>
            <w:tcW w:w="272" w:type="dxa"/>
            <w:tcBorders>
              <w:top w:val="nil"/>
              <w:left w:val="nil"/>
              <w:bottom w:val="nil"/>
              <w:right w:val="nil"/>
            </w:tcBorders>
            <w:shd w:val="clear" w:color="000000" w:fill="FFFFFF"/>
            <w:vAlign w:val="bottom"/>
            <w:hideMark/>
          </w:tcPr>
          <w:p w14:paraId="6EC3E947"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 </w:t>
            </w:r>
          </w:p>
        </w:tc>
        <w:tc>
          <w:tcPr>
            <w:tcW w:w="1820" w:type="dxa"/>
            <w:gridSpan w:val="3"/>
            <w:tcBorders>
              <w:top w:val="nil"/>
              <w:left w:val="nil"/>
              <w:bottom w:val="nil"/>
              <w:right w:val="nil"/>
            </w:tcBorders>
            <w:shd w:val="clear" w:color="000000" w:fill="FFFFFF"/>
            <w:vAlign w:val="bottom"/>
            <w:hideMark/>
          </w:tcPr>
          <w:p w14:paraId="6CD9459F"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31-Mar-23</w:t>
            </w:r>
          </w:p>
        </w:tc>
      </w:tr>
      <w:tr w:rsidR="00F95065" w:rsidRPr="00F95065" w14:paraId="746A959B" w14:textId="77777777" w:rsidTr="00A0140D">
        <w:trPr>
          <w:trHeight w:val="255"/>
        </w:trPr>
        <w:tc>
          <w:tcPr>
            <w:tcW w:w="3261" w:type="dxa"/>
            <w:gridSpan w:val="2"/>
            <w:tcBorders>
              <w:top w:val="nil"/>
              <w:left w:val="nil"/>
              <w:bottom w:val="nil"/>
              <w:right w:val="nil"/>
            </w:tcBorders>
            <w:shd w:val="clear" w:color="auto" w:fill="auto"/>
            <w:noWrap/>
            <w:vAlign w:val="bottom"/>
            <w:hideMark/>
          </w:tcPr>
          <w:p w14:paraId="463942D3" w14:textId="77777777" w:rsidR="00F95065" w:rsidRPr="00F95065" w:rsidRDefault="00F95065" w:rsidP="00F95065">
            <w:pPr>
              <w:spacing w:before="0" w:after="0"/>
              <w:jc w:val="right"/>
              <w:rPr>
                <w:rFonts w:eastAsia="Times New Roman" w:cs="Arial"/>
                <w:sz w:val="20"/>
                <w:szCs w:val="20"/>
                <w:lang w:eastAsia="en-GB"/>
              </w:rPr>
            </w:pPr>
          </w:p>
        </w:tc>
        <w:tc>
          <w:tcPr>
            <w:tcW w:w="1528" w:type="dxa"/>
            <w:tcBorders>
              <w:top w:val="nil"/>
              <w:left w:val="nil"/>
              <w:bottom w:val="nil"/>
              <w:right w:val="nil"/>
            </w:tcBorders>
            <w:shd w:val="clear" w:color="auto" w:fill="auto"/>
            <w:noWrap/>
            <w:vAlign w:val="bottom"/>
            <w:hideMark/>
          </w:tcPr>
          <w:p w14:paraId="1DC57B1C" w14:textId="77777777" w:rsidR="00F95065" w:rsidRPr="00F95065" w:rsidRDefault="00F95065" w:rsidP="00F95065">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3C10AE93" w14:textId="77777777" w:rsidR="00F95065" w:rsidRPr="00F95065" w:rsidRDefault="00F95065" w:rsidP="00F95065">
            <w:pPr>
              <w:spacing w:before="0" w:after="0"/>
              <w:rPr>
                <w:rFonts w:ascii="Times New Roman" w:eastAsia="Times New Roman" w:hAnsi="Times New Roman" w:cs="Times New Roman"/>
                <w:sz w:val="20"/>
                <w:szCs w:val="20"/>
                <w:lang w:eastAsia="en-GB"/>
              </w:rPr>
            </w:pPr>
          </w:p>
        </w:tc>
        <w:tc>
          <w:tcPr>
            <w:tcW w:w="1180" w:type="dxa"/>
            <w:gridSpan w:val="2"/>
            <w:tcBorders>
              <w:top w:val="nil"/>
              <w:left w:val="nil"/>
              <w:bottom w:val="nil"/>
              <w:right w:val="nil"/>
            </w:tcBorders>
            <w:shd w:val="clear" w:color="000000" w:fill="FFFFFF"/>
            <w:noWrap/>
            <w:vAlign w:val="bottom"/>
            <w:hideMark/>
          </w:tcPr>
          <w:p w14:paraId="6706093A"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bottom"/>
            <w:hideMark/>
          </w:tcPr>
          <w:p w14:paraId="6D9CEF60"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38983900"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bottom"/>
            <w:hideMark/>
          </w:tcPr>
          <w:p w14:paraId="42CF8A0B"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2EEFA80E"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£'000</w:t>
            </w:r>
          </w:p>
        </w:tc>
        <w:tc>
          <w:tcPr>
            <w:tcW w:w="272" w:type="dxa"/>
            <w:tcBorders>
              <w:top w:val="nil"/>
              <w:left w:val="nil"/>
              <w:bottom w:val="nil"/>
              <w:right w:val="nil"/>
            </w:tcBorders>
            <w:shd w:val="clear" w:color="000000" w:fill="FFFFFF"/>
            <w:noWrap/>
            <w:vAlign w:val="bottom"/>
            <w:hideMark/>
          </w:tcPr>
          <w:p w14:paraId="3B0EF5AE"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47F3F0D2"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£'000</w:t>
            </w:r>
          </w:p>
        </w:tc>
      </w:tr>
      <w:tr w:rsidR="00F95065" w:rsidRPr="00F95065" w14:paraId="472ED496" w14:textId="77777777" w:rsidTr="00A0140D">
        <w:trPr>
          <w:trHeight w:val="255"/>
        </w:trPr>
        <w:tc>
          <w:tcPr>
            <w:tcW w:w="3261" w:type="dxa"/>
            <w:gridSpan w:val="2"/>
            <w:tcBorders>
              <w:top w:val="nil"/>
              <w:left w:val="nil"/>
              <w:bottom w:val="nil"/>
              <w:right w:val="nil"/>
            </w:tcBorders>
            <w:shd w:val="clear" w:color="auto" w:fill="auto"/>
            <w:noWrap/>
            <w:vAlign w:val="bottom"/>
            <w:hideMark/>
          </w:tcPr>
          <w:p w14:paraId="37FA5C09"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Restructuring</w:t>
            </w:r>
          </w:p>
        </w:tc>
        <w:tc>
          <w:tcPr>
            <w:tcW w:w="1528" w:type="dxa"/>
            <w:tcBorders>
              <w:top w:val="nil"/>
              <w:left w:val="nil"/>
              <w:bottom w:val="nil"/>
              <w:right w:val="nil"/>
            </w:tcBorders>
            <w:shd w:val="clear" w:color="auto" w:fill="auto"/>
            <w:noWrap/>
            <w:vAlign w:val="bottom"/>
            <w:hideMark/>
          </w:tcPr>
          <w:p w14:paraId="1AA9A182" w14:textId="77777777" w:rsidR="00F95065" w:rsidRPr="00F95065" w:rsidRDefault="00F95065" w:rsidP="00F95065">
            <w:pPr>
              <w:spacing w:before="0" w:after="0"/>
              <w:rPr>
                <w:rFonts w:eastAsia="Times New Roman" w:cs="Arial"/>
                <w:sz w:val="20"/>
                <w:szCs w:val="20"/>
                <w:lang w:eastAsia="en-GB"/>
              </w:rPr>
            </w:pPr>
          </w:p>
        </w:tc>
        <w:tc>
          <w:tcPr>
            <w:tcW w:w="272" w:type="dxa"/>
            <w:tcBorders>
              <w:top w:val="nil"/>
              <w:left w:val="nil"/>
              <w:bottom w:val="nil"/>
              <w:right w:val="nil"/>
            </w:tcBorders>
            <w:shd w:val="clear" w:color="auto" w:fill="auto"/>
            <w:noWrap/>
            <w:vAlign w:val="bottom"/>
            <w:hideMark/>
          </w:tcPr>
          <w:p w14:paraId="78A5C2B4" w14:textId="77777777" w:rsidR="00F95065" w:rsidRPr="00F95065" w:rsidRDefault="00F95065" w:rsidP="00F95065">
            <w:pPr>
              <w:spacing w:before="0" w:after="0"/>
              <w:rPr>
                <w:rFonts w:ascii="Times New Roman" w:eastAsia="Times New Roman" w:hAnsi="Times New Roman" w:cs="Times New Roman"/>
                <w:sz w:val="20"/>
                <w:szCs w:val="20"/>
                <w:lang w:eastAsia="en-GB"/>
              </w:rPr>
            </w:pPr>
          </w:p>
        </w:tc>
        <w:tc>
          <w:tcPr>
            <w:tcW w:w="1180" w:type="dxa"/>
            <w:gridSpan w:val="2"/>
            <w:tcBorders>
              <w:top w:val="nil"/>
              <w:left w:val="nil"/>
              <w:bottom w:val="nil"/>
              <w:right w:val="nil"/>
            </w:tcBorders>
            <w:shd w:val="clear" w:color="000000" w:fill="FFFFFF"/>
            <w:noWrap/>
            <w:vAlign w:val="bottom"/>
            <w:hideMark/>
          </w:tcPr>
          <w:p w14:paraId="0A2B625D"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(0)</w:t>
            </w:r>
          </w:p>
        </w:tc>
        <w:tc>
          <w:tcPr>
            <w:tcW w:w="272" w:type="dxa"/>
            <w:tcBorders>
              <w:top w:val="nil"/>
              <w:left w:val="nil"/>
              <w:bottom w:val="nil"/>
              <w:right w:val="nil"/>
            </w:tcBorders>
            <w:shd w:val="clear" w:color="000000" w:fill="FFFFFF"/>
            <w:noWrap/>
            <w:vAlign w:val="bottom"/>
            <w:hideMark/>
          </w:tcPr>
          <w:p w14:paraId="3D693DB6"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0971443D"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469</w:t>
            </w:r>
          </w:p>
        </w:tc>
        <w:tc>
          <w:tcPr>
            <w:tcW w:w="272" w:type="dxa"/>
            <w:tcBorders>
              <w:top w:val="nil"/>
              <w:left w:val="nil"/>
              <w:bottom w:val="nil"/>
              <w:right w:val="nil"/>
            </w:tcBorders>
            <w:shd w:val="clear" w:color="000000" w:fill="FFFFFF"/>
            <w:noWrap/>
            <w:vAlign w:val="bottom"/>
            <w:hideMark/>
          </w:tcPr>
          <w:p w14:paraId="595398D2"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771AA71F"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4,084</w:t>
            </w:r>
          </w:p>
        </w:tc>
        <w:tc>
          <w:tcPr>
            <w:tcW w:w="272" w:type="dxa"/>
            <w:tcBorders>
              <w:top w:val="nil"/>
              <w:left w:val="nil"/>
              <w:bottom w:val="nil"/>
              <w:right w:val="nil"/>
            </w:tcBorders>
            <w:shd w:val="clear" w:color="000000" w:fill="FFFFFF"/>
            <w:noWrap/>
            <w:vAlign w:val="bottom"/>
            <w:hideMark/>
          </w:tcPr>
          <w:p w14:paraId="548A539C"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59B6718B"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w:t>
            </w:r>
          </w:p>
        </w:tc>
      </w:tr>
      <w:tr w:rsidR="00F95065" w:rsidRPr="00F95065" w14:paraId="1E3284E8" w14:textId="77777777" w:rsidTr="00A0140D">
        <w:trPr>
          <w:trHeight w:val="255"/>
        </w:trPr>
        <w:tc>
          <w:tcPr>
            <w:tcW w:w="3261" w:type="dxa"/>
            <w:gridSpan w:val="2"/>
            <w:tcBorders>
              <w:top w:val="nil"/>
              <w:left w:val="nil"/>
              <w:bottom w:val="nil"/>
              <w:right w:val="nil"/>
            </w:tcBorders>
            <w:shd w:val="clear" w:color="auto" w:fill="auto"/>
            <w:noWrap/>
            <w:vAlign w:val="bottom"/>
            <w:hideMark/>
          </w:tcPr>
          <w:p w14:paraId="6A9E5854"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Legal claims</w:t>
            </w:r>
          </w:p>
        </w:tc>
        <w:tc>
          <w:tcPr>
            <w:tcW w:w="1528" w:type="dxa"/>
            <w:tcBorders>
              <w:top w:val="nil"/>
              <w:left w:val="nil"/>
              <w:bottom w:val="nil"/>
              <w:right w:val="nil"/>
            </w:tcBorders>
            <w:shd w:val="clear" w:color="auto" w:fill="auto"/>
            <w:noWrap/>
            <w:vAlign w:val="bottom"/>
            <w:hideMark/>
          </w:tcPr>
          <w:p w14:paraId="57AF868D" w14:textId="77777777" w:rsidR="00F95065" w:rsidRPr="00F95065" w:rsidRDefault="00F95065" w:rsidP="00F95065">
            <w:pPr>
              <w:spacing w:before="0" w:after="0"/>
              <w:rPr>
                <w:rFonts w:eastAsia="Times New Roman" w:cs="Arial"/>
                <w:sz w:val="20"/>
                <w:szCs w:val="20"/>
                <w:lang w:eastAsia="en-GB"/>
              </w:rPr>
            </w:pPr>
          </w:p>
        </w:tc>
        <w:tc>
          <w:tcPr>
            <w:tcW w:w="272" w:type="dxa"/>
            <w:tcBorders>
              <w:top w:val="nil"/>
              <w:left w:val="nil"/>
              <w:bottom w:val="nil"/>
              <w:right w:val="nil"/>
            </w:tcBorders>
            <w:shd w:val="clear" w:color="auto" w:fill="auto"/>
            <w:noWrap/>
            <w:vAlign w:val="bottom"/>
            <w:hideMark/>
          </w:tcPr>
          <w:p w14:paraId="03C9A89E" w14:textId="77777777" w:rsidR="00F95065" w:rsidRPr="00F95065" w:rsidRDefault="00F95065" w:rsidP="00F95065">
            <w:pPr>
              <w:spacing w:before="0" w:after="0"/>
              <w:rPr>
                <w:rFonts w:ascii="Times New Roman" w:eastAsia="Times New Roman" w:hAnsi="Times New Roman" w:cs="Times New Roman"/>
                <w:sz w:val="20"/>
                <w:szCs w:val="20"/>
                <w:lang w:eastAsia="en-GB"/>
              </w:rPr>
            </w:pPr>
          </w:p>
        </w:tc>
        <w:tc>
          <w:tcPr>
            <w:tcW w:w="1180" w:type="dxa"/>
            <w:gridSpan w:val="2"/>
            <w:tcBorders>
              <w:top w:val="nil"/>
              <w:left w:val="nil"/>
              <w:bottom w:val="nil"/>
              <w:right w:val="nil"/>
            </w:tcBorders>
            <w:shd w:val="clear" w:color="000000" w:fill="FFFFFF"/>
            <w:noWrap/>
            <w:vAlign w:val="bottom"/>
            <w:hideMark/>
          </w:tcPr>
          <w:p w14:paraId="6A565D42"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0E449F19"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799827B1"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5D37B88B"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3DAFA774"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2</w:t>
            </w:r>
          </w:p>
        </w:tc>
        <w:tc>
          <w:tcPr>
            <w:tcW w:w="272" w:type="dxa"/>
            <w:tcBorders>
              <w:top w:val="nil"/>
              <w:left w:val="nil"/>
              <w:bottom w:val="nil"/>
              <w:right w:val="nil"/>
            </w:tcBorders>
            <w:shd w:val="clear" w:color="000000" w:fill="FFFFFF"/>
            <w:noWrap/>
            <w:vAlign w:val="bottom"/>
            <w:hideMark/>
          </w:tcPr>
          <w:p w14:paraId="16B7E9C1"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288F5812"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w:t>
            </w:r>
          </w:p>
        </w:tc>
      </w:tr>
      <w:tr w:rsidR="00F95065" w:rsidRPr="00F95065" w14:paraId="6A1C7898" w14:textId="77777777" w:rsidTr="00A0140D">
        <w:trPr>
          <w:trHeight w:val="255"/>
        </w:trPr>
        <w:tc>
          <w:tcPr>
            <w:tcW w:w="3261" w:type="dxa"/>
            <w:gridSpan w:val="2"/>
            <w:tcBorders>
              <w:top w:val="nil"/>
              <w:left w:val="nil"/>
              <w:bottom w:val="nil"/>
              <w:right w:val="nil"/>
            </w:tcBorders>
            <w:shd w:val="clear" w:color="auto" w:fill="auto"/>
            <w:noWrap/>
            <w:vAlign w:val="bottom"/>
            <w:hideMark/>
          </w:tcPr>
          <w:p w14:paraId="13216E02"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Continuing care</w:t>
            </w:r>
          </w:p>
        </w:tc>
        <w:tc>
          <w:tcPr>
            <w:tcW w:w="1528" w:type="dxa"/>
            <w:tcBorders>
              <w:top w:val="nil"/>
              <w:left w:val="nil"/>
              <w:bottom w:val="nil"/>
              <w:right w:val="nil"/>
            </w:tcBorders>
            <w:shd w:val="clear" w:color="auto" w:fill="auto"/>
            <w:noWrap/>
            <w:vAlign w:val="bottom"/>
            <w:hideMark/>
          </w:tcPr>
          <w:p w14:paraId="0485FF46" w14:textId="77777777" w:rsidR="00F95065" w:rsidRPr="00F95065" w:rsidRDefault="00F95065" w:rsidP="00F95065">
            <w:pPr>
              <w:spacing w:before="0" w:after="0"/>
              <w:rPr>
                <w:rFonts w:eastAsia="Times New Roman" w:cs="Arial"/>
                <w:sz w:val="20"/>
                <w:szCs w:val="20"/>
                <w:lang w:eastAsia="en-GB"/>
              </w:rPr>
            </w:pPr>
          </w:p>
        </w:tc>
        <w:tc>
          <w:tcPr>
            <w:tcW w:w="272" w:type="dxa"/>
            <w:tcBorders>
              <w:top w:val="nil"/>
              <w:left w:val="nil"/>
              <w:bottom w:val="nil"/>
              <w:right w:val="nil"/>
            </w:tcBorders>
            <w:shd w:val="clear" w:color="auto" w:fill="auto"/>
            <w:noWrap/>
            <w:vAlign w:val="bottom"/>
            <w:hideMark/>
          </w:tcPr>
          <w:p w14:paraId="239ECAEB" w14:textId="77777777" w:rsidR="00F95065" w:rsidRPr="00F95065" w:rsidRDefault="00F95065" w:rsidP="00F95065">
            <w:pPr>
              <w:spacing w:before="0" w:after="0"/>
              <w:rPr>
                <w:rFonts w:ascii="Times New Roman" w:eastAsia="Times New Roman" w:hAnsi="Times New Roman" w:cs="Times New Roman"/>
                <w:sz w:val="20"/>
                <w:szCs w:val="20"/>
                <w:lang w:eastAsia="en-GB"/>
              </w:rPr>
            </w:pPr>
          </w:p>
        </w:tc>
        <w:tc>
          <w:tcPr>
            <w:tcW w:w="1180" w:type="dxa"/>
            <w:gridSpan w:val="2"/>
            <w:tcBorders>
              <w:top w:val="nil"/>
              <w:left w:val="nil"/>
              <w:bottom w:val="nil"/>
              <w:right w:val="nil"/>
            </w:tcBorders>
            <w:shd w:val="clear" w:color="000000" w:fill="FFFFFF"/>
            <w:noWrap/>
            <w:vAlign w:val="bottom"/>
            <w:hideMark/>
          </w:tcPr>
          <w:p w14:paraId="1DDB4C79"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1,057</w:t>
            </w:r>
          </w:p>
        </w:tc>
        <w:tc>
          <w:tcPr>
            <w:tcW w:w="272" w:type="dxa"/>
            <w:tcBorders>
              <w:top w:val="nil"/>
              <w:left w:val="nil"/>
              <w:bottom w:val="nil"/>
              <w:right w:val="nil"/>
            </w:tcBorders>
            <w:shd w:val="clear" w:color="000000" w:fill="FFFFFF"/>
            <w:noWrap/>
            <w:vAlign w:val="bottom"/>
            <w:hideMark/>
          </w:tcPr>
          <w:p w14:paraId="01119328"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1A4706CD"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4,824</w:t>
            </w:r>
          </w:p>
        </w:tc>
        <w:tc>
          <w:tcPr>
            <w:tcW w:w="272" w:type="dxa"/>
            <w:tcBorders>
              <w:top w:val="nil"/>
              <w:left w:val="nil"/>
              <w:bottom w:val="nil"/>
              <w:right w:val="nil"/>
            </w:tcBorders>
            <w:shd w:val="clear" w:color="000000" w:fill="FFFFFF"/>
            <w:noWrap/>
            <w:vAlign w:val="bottom"/>
            <w:hideMark/>
          </w:tcPr>
          <w:p w14:paraId="31DCB2D4"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7AC53183"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1,057</w:t>
            </w:r>
          </w:p>
        </w:tc>
        <w:tc>
          <w:tcPr>
            <w:tcW w:w="272" w:type="dxa"/>
            <w:tcBorders>
              <w:top w:val="nil"/>
              <w:left w:val="nil"/>
              <w:bottom w:val="nil"/>
              <w:right w:val="nil"/>
            </w:tcBorders>
            <w:shd w:val="clear" w:color="000000" w:fill="FFFFFF"/>
            <w:noWrap/>
            <w:vAlign w:val="bottom"/>
            <w:hideMark/>
          </w:tcPr>
          <w:p w14:paraId="7A096383"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553B96FE"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13,021</w:t>
            </w:r>
          </w:p>
        </w:tc>
      </w:tr>
      <w:tr w:rsidR="00F95065" w:rsidRPr="00F95065" w14:paraId="6B611857" w14:textId="77777777" w:rsidTr="00A0140D">
        <w:trPr>
          <w:trHeight w:val="255"/>
        </w:trPr>
        <w:tc>
          <w:tcPr>
            <w:tcW w:w="3261" w:type="dxa"/>
            <w:gridSpan w:val="2"/>
            <w:tcBorders>
              <w:top w:val="nil"/>
              <w:left w:val="nil"/>
              <w:bottom w:val="nil"/>
              <w:right w:val="nil"/>
            </w:tcBorders>
            <w:shd w:val="clear" w:color="auto" w:fill="auto"/>
            <w:noWrap/>
            <w:vAlign w:val="bottom"/>
            <w:hideMark/>
          </w:tcPr>
          <w:p w14:paraId="614B55C1"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Other</w:t>
            </w:r>
          </w:p>
        </w:tc>
        <w:tc>
          <w:tcPr>
            <w:tcW w:w="1528" w:type="dxa"/>
            <w:tcBorders>
              <w:top w:val="nil"/>
              <w:left w:val="nil"/>
              <w:bottom w:val="nil"/>
              <w:right w:val="nil"/>
            </w:tcBorders>
            <w:shd w:val="clear" w:color="auto" w:fill="auto"/>
            <w:noWrap/>
            <w:vAlign w:val="bottom"/>
            <w:hideMark/>
          </w:tcPr>
          <w:p w14:paraId="2225B497" w14:textId="77777777" w:rsidR="00F95065" w:rsidRPr="00F95065" w:rsidRDefault="00F95065" w:rsidP="00F95065">
            <w:pPr>
              <w:spacing w:before="0" w:after="0"/>
              <w:rPr>
                <w:rFonts w:eastAsia="Times New Roman" w:cs="Arial"/>
                <w:sz w:val="20"/>
                <w:szCs w:val="20"/>
                <w:lang w:eastAsia="en-GB"/>
              </w:rPr>
            </w:pPr>
          </w:p>
        </w:tc>
        <w:tc>
          <w:tcPr>
            <w:tcW w:w="272" w:type="dxa"/>
            <w:tcBorders>
              <w:top w:val="nil"/>
              <w:left w:val="nil"/>
              <w:bottom w:val="nil"/>
              <w:right w:val="nil"/>
            </w:tcBorders>
            <w:shd w:val="clear" w:color="auto" w:fill="auto"/>
            <w:noWrap/>
            <w:vAlign w:val="bottom"/>
            <w:hideMark/>
          </w:tcPr>
          <w:p w14:paraId="1B8DD8C7" w14:textId="77777777" w:rsidR="00F95065" w:rsidRPr="00F95065" w:rsidRDefault="00F95065" w:rsidP="00F95065">
            <w:pPr>
              <w:spacing w:before="0" w:after="0"/>
              <w:rPr>
                <w:rFonts w:ascii="Times New Roman" w:eastAsia="Times New Roman" w:hAnsi="Times New Roman" w:cs="Times New Roman"/>
                <w:sz w:val="20"/>
                <w:szCs w:val="20"/>
                <w:lang w:eastAsia="en-GB"/>
              </w:rPr>
            </w:pPr>
          </w:p>
        </w:tc>
        <w:tc>
          <w:tcPr>
            <w:tcW w:w="1180" w:type="dxa"/>
            <w:gridSpan w:val="2"/>
            <w:tcBorders>
              <w:top w:val="nil"/>
              <w:left w:val="nil"/>
              <w:bottom w:val="single" w:sz="4" w:space="0" w:color="auto"/>
              <w:right w:val="nil"/>
            </w:tcBorders>
            <w:shd w:val="clear" w:color="000000" w:fill="FFFFFF"/>
            <w:noWrap/>
            <w:vAlign w:val="bottom"/>
            <w:hideMark/>
          </w:tcPr>
          <w:p w14:paraId="2BC20E8E"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339</w:t>
            </w:r>
          </w:p>
        </w:tc>
        <w:tc>
          <w:tcPr>
            <w:tcW w:w="272" w:type="dxa"/>
            <w:tcBorders>
              <w:top w:val="nil"/>
              <w:left w:val="nil"/>
              <w:bottom w:val="nil"/>
              <w:right w:val="nil"/>
            </w:tcBorders>
            <w:shd w:val="clear" w:color="000000" w:fill="FFFFFF"/>
            <w:noWrap/>
            <w:vAlign w:val="bottom"/>
            <w:hideMark/>
          </w:tcPr>
          <w:p w14:paraId="4EB52345"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426" w:type="dxa"/>
            <w:gridSpan w:val="2"/>
            <w:tcBorders>
              <w:top w:val="nil"/>
              <w:left w:val="nil"/>
              <w:bottom w:val="single" w:sz="4" w:space="0" w:color="auto"/>
              <w:right w:val="nil"/>
            </w:tcBorders>
            <w:shd w:val="clear" w:color="000000" w:fill="FFFFFF"/>
            <w:noWrap/>
            <w:vAlign w:val="bottom"/>
            <w:hideMark/>
          </w:tcPr>
          <w:p w14:paraId="1616E510"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2,092</w:t>
            </w:r>
          </w:p>
        </w:tc>
        <w:tc>
          <w:tcPr>
            <w:tcW w:w="272" w:type="dxa"/>
            <w:tcBorders>
              <w:top w:val="nil"/>
              <w:left w:val="nil"/>
              <w:bottom w:val="nil"/>
              <w:right w:val="nil"/>
            </w:tcBorders>
            <w:shd w:val="clear" w:color="000000" w:fill="FFFFFF"/>
            <w:noWrap/>
            <w:vAlign w:val="bottom"/>
            <w:hideMark/>
          </w:tcPr>
          <w:p w14:paraId="075E45DF"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single" w:sz="4" w:space="0" w:color="auto"/>
              <w:right w:val="nil"/>
            </w:tcBorders>
            <w:shd w:val="clear" w:color="000000" w:fill="FFFFFF"/>
            <w:noWrap/>
            <w:vAlign w:val="bottom"/>
            <w:hideMark/>
          </w:tcPr>
          <w:p w14:paraId="46AB322F"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395</w:t>
            </w:r>
          </w:p>
        </w:tc>
        <w:tc>
          <w:tcPr>
            <w:tcW w:w="272" w:type="dxa"/>
            <w:tcBorders>
              <w:top w:val="nil"/>
              <w:left w:val="nil"/>
              <w:bottom w:val="nil"/>
              <w:right w:val="nil"/>
            </w:tcBorders>
            <w:shd w:val="clear" w:color="000000" w:fill="FFFFFF"/>
            <w:noWrap/>
            <w:vAlign w:val="bottom"/>
            <w:hideMark/>
          </w:tcPr>
          <w:p w14:paraId="30B11B6D"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820" w:type="dxa"/>
            <w:gridSpan w:val="3"/>
            <w:tcBorders>
              <w:top w:val="nil"/>
              <w:left w:val="nil"/>
              <w:bottom w:val="single" w:sz="4" w:space="0" w:color="auto"/>
              <w:right w:val="nil"/>
            </w:tcBorders>
            <w:shd w:val="clear" w:color="000000" w:fill="FFFFFF"/>
            <w:noWrap/>
            <w:vAlign w:val="bottom"/>
            <w:hideMark/>
          </w:tcPr>
          <w:p w14:paraId="15760316"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946</w:t>
            </w:r>
          </w:p>
        </w:tc>
      </w:tr>
      <w:tr w:rsidR="00F95065" w:rsidRPr="00F95065" w14:paraId="4CB5781A" w14:textId="77777777" w:rsidTr="00A0140D">
        <w:trPr>
          <w:trHeight w:val="255"/>
        </w:trPr>
        <w:tc>
          <w:tcPr>
            <w:tcW w:w="3261" w:type="dxa"/>
            <w:gridSpan w:val="2"/>
            <w:tcBorders>
              <w:top w:val="nil"/>
              <w:left w:val="nil"/>
              <w:bottom w:val="nil"/>
              <w:right w:val="nil"/>
            </w:tcBorders>
            <w:shd w:val="clear" w:color="auto" w:fill="auto"/>
            <w:noWrap/>
            <w:vAlign w:val="bottom"/>
            <w:hideMark/>
          </w:tcPr>
          <w:p w14:paraId="06EFA809"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Total</w:t>
            </w:r>
          </w:p>
        </w:tc>
        <w:tc>
          <w:tcPr>
            <w:tcW w:w="1528" w:type="dxa"/>
            <w:tcBorders>
              <w:top w:val="nil"/>
              <w:left w:val="nil"/>
              <w:bottom w:val="nil"/>
              <w:right w:val="nil"/>
            </w:tcBorders>
            <w:shd w:val="clear" w:color="auto" w:fill="auto"/>
            <w:noWrap/>
            <w:vAlign w:val="bottom"/>
            <w:hideMark/>
          </w:tcPr>
          <w:p w14:paraId="330E206F" w14:textId="77777777" w:rsidR="00F95065" w:rsidRPr="00F95065" w:rsidRDefault="00F95065" w:rsidP="00F95065">
            <w:pPr>
              <w:spacing w:before="0" w:after="0"/>
              <w:rPr>
                <w:rFonts w:eastAsia="Times New Roman" w:cs="Arial"/>
                <w:b/>
                <w:bCs/>
                <w:sz w:val="20"/>
                <w:szCs w:val="20"/>
                <w:lang w:eastAsia="en-GB"/>
              </w:rPr>
            </w:pPr>
          </w:p>
        </w:tc>
        <w:tc>
          <w:tcPr>
            <w:tcW w:w="272" w:type="dxa"/>
            <w:tcBorders>
              <w:top w:val="nil"/>
              <w:left w:val="nil"/>
              <w:bottom w:val="nil"/>
              <w:right w:val="nil"/>
            </w:tcBorders>
            <w:shd w:val="clear" w:color="auto" w:fill="auto"/>
            <w:noWrap/>
            <w:vAlign w:val="bottom"/>
            <w:hideMark/>
          </w:tcPr>
          <w:p w14:paraId="3FFF20E2" w14:textId="77777777" w:rsidR="00F95065" w:rsidRPr="00F95065" w:rsidRDefault="00F95065" w:rsidP="00F95065">
            <w:pPr>
              <w:spacing w:before="0" w:after="0"/>
              <w:rPr>
                <w:rFonts w:ascii="Times New Roman" w:eastAsia="Times New Roman" w:hAnsi="Times New Roman" w:cs="Times New Roman"/>
                <w:sz w:val="20"/>
                <w:szCs w:val="20"/>
                <w:lang w:eastAsia="en-GB"/>
              </w:rPr>
            </w:pPr>
          </w:p>
        </w:tc>
        <w:tc>
          <w:tcPr>
            <w:tcW w:w="1180" w:type="dxa"/>
            <w:gridSpan w:val="2"/>
            <w:tcBorders>
              <w:top w:val="nil"/>
              <w:left w:val="nil"/>
              <w:bottom w:val="nil"/>
              <w:right w:val="nil"/>
            </w:tcBorders>
            <w:shd w:val="clear" w:color="000000" w:fill="FFFFFF"/>
            <w:noWrap/>
            <w:vAlign w:val="bottom"/>
            <w:hideMark/>
          </w:tcPr>
          <w:p w14:paraId="399D60C8"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1,396</w:t>
            </w:r>
          </w:p>
        </w:tc>
        <w:tc>
          <w:tcPr>
            <w:tcW w:w="272" w:type="dxa"/>
            <w:tcBorders>
              <w:top w:val="nil"/>
              <w:left w:val="nil"/>
              <w:bottom w:val="nil"/>
              <w:right w:val="nil"/>
            </w:tcBorders>
            <w:shd w:val="clear" w:color="000000" w:fill="FFFFFF"/>
            <w:noWrap/>
            <w:vAlign w:val="bottom"/>
            <w:hideMark/>
          </w:tcPr>
          <w:p w14:paraId="6596BAF6"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628F5531"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7,385</w:t>
            </w:r>
          </w:p>
        </w:tc>
        <w:tc>
          <w:tcPr>
            <w:tcW w:w="272" w:type="dxa"/>
            <w:tcBorders>
              <w:top w:val="nil"/>
              <w:left w:val="nil"/>
              <w:bottom w:val="nil"/>
              <w:right w:val="nil"/>
            </w:tcBorders>
            <w:shd w:val="clear" w:color="000000" w:fill="FFFFFF"/>
            <w:noWrap/>
            <w:vAlign w:val="bottom"/>
            <w:hideMark/>
          </w:tcPr>
          <w:p w14:paraId="2FC4333C"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14EE56FF"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5,538</w:t>
            </w:r>
          </w:p>
        </w:tc>
        <w:tc>
          <w:tcPr>
            <w:tcW w:w="272" w:type="dxa"/>
            <w:tcBorders>
              <w:top w:val="nil"/>
              <w:left w:val="nil"/>
              <w:bottom w:val="nil"/>
              <w:right w:val="nil"/>
            </w:tcBorders>
            <w:shd w:val="clear" w:color="000000" w:fill="FFFFFF"/>
            <w:noWrap/>
            <w:vAlign w:val="bottom"/>
            <w:hideMark/>
          </w:tcPr>
          <w:p w14:paraId="168C3215"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1B6A0102"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13,967</w:t>
            </w:r>
          </w:p>
        </w:tc>
      </w:tr>
      <w:tr w:rsidR="00F95065" w:rsidRPr="00F95065" w14:paraId="79F400F7" w14:textId="77777777" w:rsidTr="00A0140D">
        <w:trPr>
          <w:trHeight w:val="255"/>
        </w:trPr>
        <w:tc>
          <w:tcPr>
            <w:tcW w:w="3261" w:type="dxa"/>
            <w:gridSpan w:val="2"/>
            <w:tcBorders>
              <w:top w:val="nil"/>
              <w:left w:val="nil"/>
              <w:bottom w:val="nil"/>
              <w:right w:val="nil"/>
            </w:tcBorders>
            <w:shd w:val="clear" w:color="auto" w:fill="auto"/>
            <w:noWrap/>
            <w:vAlign w:val="bottom"/>
            <w:hideMark/>
          </w:tcPr>
          <w:p w14:paraId="68CD5722" w14:textId="77777777" w:rsidR="00F95065" w:rsidRPr="00F95065" w:rsidRDefault="00F95065" w:rsidP="00F95065">
            <w:pPr>
              <w:spacing w:before="0" w:after="0"/>
              <w:jc w:val="right"/>
              <w:rPr>
                <w:rFonts w:eastAsia="Times New Roman" w:cs="Arial"/>
                <w:b/>
                <w:bCs/>
                <w:sz w:val="20"/>
                <w:szCs w:val="20"/>
                <w:lang w:eastAsia="en-GB"/>
              </w:rPr>
            </w:pPr>
          </w:p>
        </w:tc>
        <w:tc>
          <w:tcPr>
            <w:tcW w:w="1528" w:type="dxa"/>
            <w:tcBorders>
              <w:top w:val="nil"/>
              <w:left w:val="nil"/>
              <w:bottom w:val="nil"/>
              <w:right w:val="nil"/>
            </w:tcBorders>
            <w:shd w:val="clear" w:color="auto" w:fill="auto"/>
            <w:noWrap/>
            <w:vAlign w:val="bottom"/>
            <w:hideMark/>
          </w:tcPr>
          <w:p w14:paraId="28949D74" w14:textId="77777777" w:rsidR="00F95065" w:rsidRPr="00F95065" w:rsidRDefault="00F95065" w:rsidP="00F95065">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68692668" w14:textId="77777777" w:rsidR="00F95065" w:rsidRPr="00F95065" w:rsidRDefault="00F95065" w:rsidP="00F95065">
            <w:pPr>
              <w:spacing w:before="0" w:after="0"/>
              <w:rPr>
                <w:rFonts w:ascii="Times New Roman" w:eastAsia="Times New Roman" w:hAnsi="Times New Roman" w:cs="Times New Roman"/>
                <w:sz w:val="20"/>
                <w:szCs w:val="20"/>
                <w:lang w:eastAsia="en-GB"/>
              </w:rPr>
            </w:pPr>
          </w:p>
        </w:tc>
        <w:tc>
          <w:tcPr>
            <w:tcW w:w="1180" w:type="dxa"/>
            <w:gridSpan w:val="2"/>
            <w:tcBorders>
              <w:top w:val="nil"/>
              <w:left w:val="nil"/>
              <w:bottom w:val="nil"/>
              <w:right w:val="nil"/>
            </w:tcBorders>
            <w:shd w:val="clear" w:color="000000" w:fill="FFFFFF"/>
            <w:noWrap/>
            <w:vAlign w:val="bottom"/>
            <w:hideMark/>
          </w:tcPr>
          <w:p w14:paraId="24F3579F"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675418F"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7B60D9C5"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D8F5E11"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101883A0"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177E559D"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64A71C42"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r>
      <w:tr w:rsidR="00F95065" w:rsidRPr="00F95065" w14:paraId="10174513" w14:textId="77777777" w:rsidTr="00A0140D">
        <w:trPr>
          <w:trHeight w:val="255"/>
        </w:trPr>
        <w:tc>
          <w:tcPr>
            <w:tcW w:w="3261" w:type="dxa"/>
            <w:gridSpan w:val="2"/>
            <w:tcBorders>
              <w:top w:val="nil"/>
              <w:left w:val="nil"/>
              <w:bottom w:val="nil"/>
              <w:right w:val="nil"/>
            </w:tcBorders>
            <w:shd w:val="clear" w:color="auto" w:fill="auto"/>
            <w:noWrap/>
            <w:vAlign w:val="bottom"/>
            <w:hideMark/>
          </w:tcPr>
          <w:p w14:paraId="20D600A3"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Total current and non-current</w:t>
            </w:r>
          </w:p>
        </w:tc>
        <w:tc>
          <w:tcPr>
            <w:tcW w:w="1528" w:type="dxa"/>
            <w:tcBorders>
              <w:top w:val="nil"/>
              <w:left w:val="nil"/>
              <w:bottom w:val="nil"/>
              <w:right w:val="nil"/>
            </w:tcBorders>
            <w:shd w:val="clear" w:color="auto" w:fill="auto"/>
            <w:noWrap/>
            <w:vAlign w:val="bottom"/>
            <w:hideMark/>
          </w:tcPr>
          <w:p w14:paraId="4CE33F43" w14:textId="77777777" w:rsidR="00F95065" w:rsidRPr="00F95065" w:rsidRDefault="00F95065" w:rsidP="00F95065">
            <w:pPr>
              <w:spacing w:before="0" w:after="0"/>
              <w:rPr>
                <w:rFonts w:eastAsia="Times New Roman" w:cs="Arial"/>
                <w:b/>
                <w:bCs/>
                <w:sz w:val="20"/>
                <w:szCs w:val="20"/>
                <w:lang w:eastAsia="en-GB"/>
              </w:rPr>
            </w:pPr>
          </w:p>
        </w:tc>
        <w:tc>
          <w:tcPr>
            <w:tcW w:w="272" w:type="dxa"/>
            <w:tcBorders>
              <w:top w:val="nil"/>
              <w:left w:val="nil"/>
              <w:bottom w:val="nil"/>
              <w:right w:val="nil"/>
            </w:tcBorders>
            <w:shd w:val="clear" w:color="auto" w:fill="auto"/>
            <w:noWrap/>
            <w:vAlign w:val="bottom"/>
            <w:hideMark/>
          </w:tcPr>
          <w:p w14:paraId="44FEC335" w14:textId="77777777" w:rsidR="00F95065" w:rsidRPr="00F95065" w:rsidRDefault="00F95065" w:rsidP="00F95065">
            <w:pPr>
              <w:spacing w:before="0" w:after="0"/>
              <w:rPr>
                <w:rFonts w:ascii="Times New Roman" w:eastAsia="Times New Roman" w:hAnsi="Times New Roman" w:cs="Times New Roman"/>
                <w:sz w:val="20"/>
                <w:szCs w:val="20"/>
                <w:lang w:eastAsia="en-GB"/>
              </w:rPr>
            </w:pPr>
          </w:p>
        </w:tc>
        <w:tc>
          <w:tcPr>
            <w:tcW w:w="1180" w:type="dxa"/>
            <w:gridSpan w:val="2"/>
            <w:tcBorders>
              <w:top w:val="nil"/>
              <w:left w:val="nil"/>
              <w:bottom w:val="nil"/>
              <w:right w:val="nil"/>
            </w:tcBorders>
            <w:shd w:val="clear" w:color="000000" w:fill="FFFFFF"/>
            <w:noWrap/>
            <w:vAlign w:val="bottom"/>
            <w:hideMark/>
          </w:tcPr>
          <w:p w14:paraId="7C93A83C"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7A9F9C9"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426" w:type="dxa"/>
            <w:gridSpan w:val="2"/>
            <w:tcBorders>
              <w:top w:val="single" w:sz="4" w:space="0" w:color="auto"/>
              <w:left w:val="nil"/>
              <w:bottom w:val="single" w:sz="4" w:space="0" w:color="auto"/>
              <w:right w:val="nil"/>
            </w:tcBorders>
            <w:shd w:val="clear" w:color="000000" w:fill="FFFFFF"/>
            <w:noWrap/>
            <w:vAlign w:val="bottom"/>
            <w:hideMark/>
          </w:tcPr>
          <w:p w14:paraId="5EE074C0"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8,781</w:t>
            </w:r>
          </w:p>
        </w:tc>
        <w:tc>
          <w:tcPr>
            <w:tcW w:w="272" w:type="dxa"/>
            <w:tcBorders>
              <w:top w:val="nil"/>
              <w:left w:val="nil"/>
              <w:bottom w:val="nil"/>
              <w:right w:val="nil"/>
            </w:tcBorders>
            <w:shd w:val="clear" w:color="000000" w:fill="FFFFFF"/>
            <w:noWrap/>
            <w:vAlign w:val="bottom"/>
            <w:hideMark/>
          </w:tcPr>
          <w:p w14:paraId="63EBD6B2"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998488C"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1224138E"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820" w:type="dxa"/>
            <w:gridSpan w:val="3"/>
            <w:tcBorders>
              <w:top w:val="single" w:sz="4" w:space="0" w:color="auto"/>
              <w:left w:val="nil"/>
              <w:bottom w:val="single" w:sz="4" w:space="0" w:color="auto"/>
              <w:right w:val="nil"/>
            </w:tcBorders>
            <w:shd w:val="clear" w:color="000000" w:fill="FFFFFF"/>
            <w:noWrap/>
            <w:vAlign w:val="bottom"/>
            <w:hideMark/>
          </w:tcPr>
          <w:p w14:paraId="0D0EE942"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19,505</w:t>
            </w:r>
          </w:p>
        </w:tc>
      </w:tr>
      <w:tr w:rsidR="00F95065" w:rsidRPr="00F95065" w14:paraId="10BC339B" w14:textId="77777777" w:rsidTr="00A0140D">
        <w:trPr>
          <w:trHeight w:val="255"/>
        </w:trPr>
        <w:tc>
          <w:tcPr>
            <w:tcW w:w="3261" w:type="dxa"/>
            <w:gridSpan w:val="2"/>
            <w:tcBorders>
              <w:top w:val="nil"/>
              <w:left w:val="nil"/>
              <w:bottom w:val="nil"/>
              <w:right w:val="nil"/>
            </w:tcBorders>
            <w:shd w:val="clear" w:color="auto" w:fill="auto"/>
            <w:noWrap/>
            <w:vAlign w:val="bottom"/>
            <w:hideMark/>
          </w:tcPr>
          <w:p w14:paraId="67C190F0" w14:textId="77777777" w:rsidR="00F95065" w:rsidRPr="00F95065" w:rsidRDefault="00F95065" w:rsidP="00F95065">
            <w:pPr>
              <w:spacing w:before="0" w:after="0"/>
              <w:jc w:val="right"/>
              <w:rPr>
                <w:rFonts w:eastAsia="Times New Roman" w:cs="Arial"/>
                <w:b/>
                <w:bCs/>
                <w:sz w:val="20"/>
                <w:szCs w:val="20"/>
                <w:lang w:eastAsia="en-GB"/>
              </w:rPr>
            </w:pPr>
          </w:p>
        </w:tc>
        <w:tc>
          <w:tcPr>
            <w:tcW w:w="1528" w:type="dxa"/>
            <w:tcBorders>
              <w:top w:val="nil"/>
              <w:left w:val="nil"/>
              <w:bottom w:val="nil"/>
              <w:right w:val="nil"/>
            </w:tcBorders>
            <w:shd w:val="clear" w:color="auto" w:fill="auto"/>
            <w:noWrap/>
            <w:vAlign w:val="bottom"/>
            <w:hideMark/>
          </w:tcPr>
          <w:p w14:paraId="07E23962" w14:textId="77777777" w:rsidR="00F95065" w:rsidRPr="00F95065" w:rsidRDefault="00F95065" w:rsidP="00F95065">
            <w:pPr>
              <w:spacing w:before="0" w:after="0"/>
              <w:rPr>
                <w:rFonts w:ascii="Times New Roman" w:eastAsia="Times New Roman" w:hAnsi="Times New Roman" w:cs="Times New Roman"/>
                <w:sz w:val="20"/>
                <w:szCs w:val="20"/>
                <w:lang w:eastAsia="en-GB"/>
              </w:rPr>
            </w:pPr>
          </w:p>
        </w:tc>
        <w:tc>
          <w:tcPr>
            <w:tcW w:w="272" w:type="dxa"/>
            <w:tcBorders>
              <w:top w:val="nil"/>
              <w:left w:val="nil"/>
              <w:bottom w:val="nil"/>
              <w:right w:val="nil"/>
            </w:tcBorders>
            <w:shd w:val="clear" w:color="auto" w:fill="auto"/>
            <w:noWrap/>
            <w:vAlign w:val="bottom"/>
            <w:hideMark/>
          </w:tcPr>
          <w:p w14:paraId="0CC01130" w14:textId="77777777" w:rsidR="00F95065" w:rsidRPr="00F95065" w:rsidRDefault="00F95065" w:rsidP="00F95065">
            <w:pPr>
              <w:spacing w:before="0" w:after="0"/>
              <w:rPr>
                <w:rFonts w:ascii="Times New Roman" w:eastAsia="Times New Roman" w:hAnsi="Times New Roman" w:cs="Times New Roman"/>
                <w:sz w:val="20"/>
                <w:szCs w:val="20"/>
                <w:lang w:eastAsia="en-GB"/>
              </w:rPr>
            </w:pPr>
          </w:p>
        </w:tc>
        <w:tc>
          <w:tcPr>
            <w:tcW w:w="1180" w:type="dxa"/>
            <w:gridSpan w:val="2"/>
            <w:tcBorders>
              <w:top w:val="nil"/>
              <w:left w:val="nil"/>
              <w:bottom w:val="nil"/>
              <w:right w:val="nil"/>
            </w:tcBorders>
            <w:shd w:val="clear" w:color="000000" w:fill="FFFFFF"/>
            <w:noWrap/>
            <w:vAlign w:val="bottom"/>
            <w:hideMark/>
          </w:tcPr>
          <w:p w14:paraId="3F6014D6"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640C2AA2"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41CC8156"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5D8A9D14"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29B8E421"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351493FD"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717E2E1E"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r>
      <w:tr w:rsidR="00F95065" w:rsidRPr="00F95065" w14:paraId="237A1140" w14:textId="77777777" w:rsidTr="00A0140D">
        <w:trPr>
          <w:trHeight w:val="520"/>
        </w:trPr>
        <w:tc>
          <w:tcPr>
            <w:tcW w:w="3261" w:type="dxa"/>
            <w:gridSpan w:val="2"/>
            <w:tcBorders>
              <w:top w:val="nil"/>
              <w:left w:val="nil"/>
              <w:bottom w:val="nil"/>
              <w:right w:val="nil"/>
            </w:tcBorders>
            <w:shd w:val="clear" w:color="auto" w:fill="auto"/>
            <w:vAlign w:val="bottom"/>
            <w:hideMark/>
          </w:tcPr>
          <w:p w14:paraId="222A5E95" w14:textId="77777777" w:rsidR="00F95065" w:rsidRPr="00F95065" w:rsidRDefault="00F95065" w:rsidP="00F95065">
            <w:pPr>
              <w:spacing w:before="0" w:after="0"/>
              <w:rPr>
                <w:rFonts w:eastAsia="Times New Roman" w:cs="Arial"/>
                <w:sz w:val="20"/>
                <w:szCs w:val="20"/>
                <w:lang w:eastAsia="en-GB"/>
              </w:rPr>
            </w:pPr>
          </w:p>
        </w:tc>
        <w:tc>
          <w:tcPr>
            <w:tcW w:w="1528" w:type="dxa"/>
            <w:tcBorders>
              <w:top w:val="nil"/>
              <w:left w:val="nil"/>
              <w:bottom w:val="nil"/>
              <w:right w:val="nil"/>
            </w:tcBorders>
            <w:shd w:val="clear" w:color="000000" w:fill="FFFFFF"/>
            <w:vAlign w:val="bottom"/>
            <w:hideMark/>
          </w:tcPr>
          <w:p w14:paraId="4E7B4774"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Restructuring</w:t>
            </w:r>
          </w:p>
        </w:tc>
        <w:tc>
          <w:tcPr>
            <w:tcW w:w="272" w:type="dxa"/>
            <w:tcBorders>
              <w:top w:val="nil"/>
              <w:left w:val="nil"/>
              <w:bottom w:val="nil"/>
              <w:right w:val="nil"/>
            </w:tcBorders>
            <w:shd w:val="clear" w:color="000000" w:fill="FFFFFF"/>
            <w:vAlign w:val="bottom"/>
            <w:hideMark/>
          </w:tcPr>
          <w:p w14:paraId="6A71185C"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vAlign w:val="bottom"/>
            <w:hideMark/>
          </w:tcPr>
          <w:p w14:paraId="0FC07EDB"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Legal  Claims</w:t>
            </w:r>
          </w:p>
        </w:tc>
        <w:tc>
          <w:tcPr>
            <w:tcW w:w="272" w:type="dxa"/>
            <w:tcBorders>
              <w:top w:val="nil"/>
              <w:left w:val="nil"/>
              <w:bottom w:val="nil"/>
              <w:right w:val="nil"/>
            </w:tcBorders>
            <w:shd w:val="clear" w:color="000000" w:fill="FFFFFF"/>
            <w:vAlign w:val="bottom"/>
            <w:hideMark/>
          </w:tcPr>
          <w:p w14:paraId="66CF4D94"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 </w:t>
            </w:r>
          </w:p>
        </w:tc>
        <w:tc>
          <w:tcPr>
            <w:tcW w:w="1426" w:type="dxa"/>
            <w:gridSpan w:val="2"/>
            <w:tcBorders>
              <w:top w:val="nil"/>
              <w:left w:val="nil"/>
              <w:bottom w:val="nil"/>
              <w:right w:val="nil"/>
            </w:tcBorders>
            <w:shd w:val="clear" w:color="000000" w:fill="FFFFFF"/>
            <w:vAlign w:val="bottom"/>
            <w:hideMark/>
          </w:tcPr>
          <w:p w14:paraId="39E0258C"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Continuing Care</w:t>
            </w:r>
          </w:p>
        </w:tc>
        <w:tc>
          <w:tcPr>
            <w:tcW w:w="272" w:type="dxa"/>
            <w:tcBorders>
              <w:top w:val="nil"/>
              <w:left w:val="nil"/>
              <w:bottom w:val="nil"/>
              <w:right w:val="nil"/>
            </w:tcBorders>
            <w:shd w:val="clear" w:color="000000" w:fill="FFFFFF"/>
            <w:vAlign w:val="bottom"/>
            <w:hideMark/>
          </w:tcPr>
          <w:p w14:paraId="670D2C39"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vAlign w:val="bottom"/>
            <w:hideMark/>
          </w:tcPr>
          <w:p w14:paraId="7F6661AB"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Other</w:t>
            </w:r>
          </w:p>
        </w:tc>
        <w:tc>
          <w:tcPr>
            <w:tcW w:w="272" w:type="dxa"/>
            <w:tcBorders>
              <w:top w:val="nil"/>
              <w:left w:val="nil"/>
              <w:bottom w:val="nil"/>
              <w:right w:val="nil"/>
            </w:tcBorders>
            <w:shd w:val="clear" w:color="000000" w:fill="FFFFFF"/>
            <w:vAlign w:val="bottom"/>
            <w:hideMark/>
          </w:tcPr>
          <w:p w14:paraId="15BDCA98"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 </w:t>
            </w:r>
          </w:p>
        </w:tc>
        <w:tc>
          <w:tcPr>
            <w:tcW w:w="1820" w:type="dxa"/>
            <w:gridSpan w:val="3"/>
            <w:tcBorders>
              <w:top w:val="nil"/>
              <w:left w:val="nil"/>
              <w:bottom w:val="nil"/>
              <w:right w:val="nil"/>
            </w:tcBorders>
            <w:shd w:val="clear" w:color="000000" w:fill="FFFFFF"/>
            <w:vAlign w:val="bottom"/>
            <w:hideMark/>
          </w:tcPr>
          <w:p w14:paraId="2D11EB3B"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Total</w:t>
            </w:r>
          </w:p>
        </w:tc>
      </w:tr>
      <w:tr w:rsidR="00F95065" w:rsidRPr="00F95065" w14:paraId="7A3C6097" w14:textId="77777777" w:rsidTr="00A0140D">
        <w:trPr>
          <w:trHeight w:val="260"/>
        </w:trPr>
        <w:tc>
          <w:tcPr>
            <w:tcW w:w="3261" w:type="dxa"/>
            <w:gridSpan w:val="2"/>
            <w:tcBorders>
              <w:top w:val="nil"/>
              <w:left w:val="nil"/>
              <w:bottom w:val="nil"/>
              <w:right w:val="nil"/>
            </w:tcBorders>
            <w:shd w:val="clear" w:color="auto" w:fill="auto"/>
            <w:noWrap/>
            <w:vAlign w:val="bottom"/>
            <w:hideMark/>
          </w:tcPr>
          <w:p w14:paraId="1CF47D6C" w14:textId="77777777" w:rsidR="00F95065" w:rsidRPr="00F95065" w:rsidRDefault="00F95065" w:rsidP="00F95065">
            <w:pPr>
              <w:spacing w:before="0" w:after="0"/>
              <w:jc w:val="right"/>
              <w:rPr>
                <w:rFonts w:eastAsia="Times New Roman" w:cs="Arial"/>
                <w:b/>
                <w:bCs/>
                <w:sz w:val="20"/>
                <w:szCs w:val="20"/>
                <w:lang w:eastAsia="en-GB"/>
              </w:rPr>
            </w:pPr>
          </w:p>
        </w:tc>
        <w:tc>
          <w:tcPr>
            <w:tcW w:w="1528" w:type="dxa"/>
            <w:tcBorders>
              <w:top w:val="nil"/>
              <w:left w:val="nil"/>
              <w:bottom w:val="nil"/>
              <w:right w:val="nil"/>
            </w:tcBorders>
            <w:shd w:val="clear" w:color="000000" w:fill="FFFFFF"/>
            <w:noWrap/>
            <w:vAlign w:val="bottom"/>
            <w:hideMark/>
          </w:tcPr>
          <w:p w14:paraId="6A7C6269"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bottom"/>
            <w:hideMark/>
          </w:tcPr>
          <w:p w14:paraId="40D84F9B"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4572B1A5"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bottom"/>
            <w:hideMark/>
          </w:tcPr>
          <w:p w14:paraId="5C15D397"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4C634117"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bottom"/>
            <w:hideMark/>
          </w:tcPr>
          <w:p w14:paraId="16C4E527"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1A97BBD2"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bottom"/>
            <w:hideMark/>
          </w:tcPr>
          <w:p w14:paraId="4A0D3909"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7851EEA0"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£'000</w:t>
            </w:r>
          </w:p>
        </w:tc>
      </w:tr>
      <w:tr w:rsidR="00F95065" w:rsidRPr="00F95065" w14:paraId="72AA8F11" w14:textId="77777777" w:rsidTr="00A0140D">
        <w:trPr>
          <w:trHeight w:val="100"/>
        </w:trPr>
        <w:tc>
          <w:tcPr>
            <w:tcW w:w="3261" w:type="dxa"/>
            <w:gridSpan w:val="2"/>
            <w:tcBorders>
              <w:top w:val="nil"/>
              <w:left w:val="nil"/>
              <w:bottom w:val="nil"/>
              <w:right w:val="nil"/>
            </w:tcBorders>
            <w:shd w:val="clear" w:color="auto" w:fill="auto"/>
            <w:noWrap/>
            <w:vAlign w:val="bottom"/>
            <w:hideMark/>
          </w:tcPr>
          <w:p w14:paraId="7952736B" w14:textId="77777777" w:rsidR="00F95065" w:rsidRPr="00F95065" w:rsidRDefault="00F95065" w:rsidP="00F95065">
            <w:pPr>
              <w:spacing w:before="0" w:after="0"/>
              <w:jc w:val="right"/>
              <w:rPr>
                <w:rFonts w:eastAsia="Times New Roman" w:cs="Arial"/>
                <w:b/>
                <w:bCs/>
                <w:sz w:val="20"/>
                <w:szCs w:val="20"/>
                <w:lang w:eastAsia="en-GB"/>
              </w:rPr>
            </w:pPr>
          </w:p>
        </w:tc>
        <w:tc>
          <w:tcPr>
            <w:tcW w:w="1528" w:type="dxa"/>
            <w:tcBorders>
              <w:top w:val="nil"/>
              <w:left w:val="nil"/>
              <w:bottom w:val="nil"/>
              <w:right w:val="nil"/>
            </w:tcBorders>
            <w:shd w:val="clear" w:color="000000" w:fill="FFFFFF"/>
            <w:noWrap/>
            <w:vAlign w:val="bottom"/>
            <w:hideMark/>
          </w:tcPr>
          <w:p w14:paraId="6B22C5BB"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30088C7F"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5302BDD3"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B3931C1"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4C367462"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01BA113"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1EFF4F10"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388E7A3"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762B3559"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r>
      <w:tr w:rsidR="00F95065" w:rsidRPr="00F95065" w14:paraId="79A0AEC9" w14:textId="77777777" w:rsidTr="00A0140D">
        <w:trPr>
          <w:trHeight w:val="260"/>
        </w:trPr>
        <w:tc>
          <w:tcPr>
            <w:tcW w:w="3261" w:type="dxa"/>
            <w:gridSpan w:val="2"/>
            <w:tcBorders>
              <w:top w:val="nil"/>
              <w:left w:val="nil"/>
              <w:bottom w:val="nil"/>
              <w:right w:val="nil"/>
            </w:tcBorders>
            <w:shd w:val="clear" w:color="auto" w:fill="auto"/>
            <w:noWrap/>
            <w:vAlign w:val="bottom"/>
            <w:hideMark/>
          </w:tcPr>
          <w:p w14:paraId="143F6335"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Balance at 01 April 2023</w:t>
            </w:r>
          </w:p>
        </w:tc>
        <w:tc>
          <w:tcPr>
            <w:tcW w:w="1528" w:type="dxa"/>
            <w:tcBorders>
              <w:top w:val="nil"/>
              <w:left w:val="nil"/>
              <w:bottom w:val="nil"/>
              <w:right w:val="nil"/>
            </w:tcBorders>
            <w:shd w:val="clear" w:color="000000" w:fill="FFFFFF"/>
            <w:noWrap/>
            <w:vAlign w:val="bottom"/>
            <w:hideMark/>
          </w:tcPr>
          <w:p w14:paraId="5ECDAE9C"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4,084</w:t>
            </w:r>
          </w:p>
        </w:tc>
        <w:tc>
          <w:tcPr>
            <w:tcW w:w="272" w:type="dxa"/>
            <w:tcBorders>
              <w:top w:val="nil"/>
              <w:left w:val="nil"/>
              <w:bottom w:val="nil"/>
              <w:right w:val="nil"/>
            </w:tcBorders>
            <w:shd w:val="clear" w:color="000000" w:fill="FFFFFF"/>
            <w:noWrap/>
            <w:vAlign w:val="bottom"/>
            <w:hideMark/>
          </w:tcPr>
          <w:p w14:paraId="13B08605"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76121E24"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2</w:t>
            </w:r>
          </w:p>
        </w:tc>
        <w:tc>
          <w:tcPr>
            <w:tcW w:w="272" w:type="dxa"/>
            <w:tcBorders>
              <w:top w:val="nil"/>
              <w:left w:val="nil"/>
              <w:bottom w:val="nil"/>
              <w:right w:val="nil"/>
            </w:tcBorders>
            <w:shd w:val="clear" w:color="000000" w:fill="FFFFFF"/>
            <w:noWrap/>
            <w:vAlign w:val="bottom"/>
            <w:hideMark/>
          </w:tcPr>
          <w:p w14:paraId="301B515A"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230CB05B"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14,078</w:t>
            </w:r>
          </w:p>
        </w:tc>
        <w:tc>
          <w:tcPr>
            <w:tcW w:w="272" w:type="dxa"/>
            <w:tcBorders>
              <w:top w:val="nil"/>
              <w:left w:val="nil"/>
              <w:bottom w:val="nil"/>
              <w:right w:val="nil"/>
            </w:tcBorders>
            <w:shd w:val="clear" w:color="000000" w:fill="FFFFFF"/>
            <w:noWrap/>
            <w:vAlign w:val="bottom"/>
            <w:hideMark/>
          </w:tcPr>
          <w:p w14:paraId="38D6518D"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1103546F"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1,341</w:t>
            </w:r>
          </w:p>
        </w:tc>
        <w:tc>
          <w:tcPr>
            <w:tcW w:w="272" w:type="dxa"/>
            <w:tcBorders>
              <w:top w:val="nil"/>
              <w:left w:val="nil"/>
              <w:bottom w:val="nil"/>
              <w:right w:val="nil"/>
            </w:tcBorders>
            <w:shd w:val="clear" w:color="000000" w:fill="FFFFFF"/>
            <w:noWrap/>
            <w:vAlign w:val="bottom"/>
            <w:hideMark/>
          </w:tcPr>
          <w:p w14:paraId="47CAE15E"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4D34B215"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19,505</w:t>
            </w:r>
          </w:p>
        </w:tc>
      </w:tr>
      <w:tr w:rsidR="00F95065" w:rsidRPr="00F95065" w14:paraId="39E72F5F" w14:textId="77777777" w:rsidTr="00A0140D">
        <w:trPr>
          <w:trHeight w:val="250"/>
        </w:trPr>
        <w:tc>
          <w:tcPr>
            <w:tcW w:w="3261" w:type="dxa"/>
            <w:gridSpan w:val="2"/>
            <w:tcBorders>
              <w:top w:val="nil"/>
              <w:left w:val="nil"/>
              <w:bottom w:val="nil"/>
              <w:right w:val="nil"/>
            </w:tcBorders>
            <w:shd w:val="clear" w:color="auto" w:fill="auto"/>
            <w:noWrap/>
            <w:vAlign w:val="bottom"/>
            <w:hideMark/>
          </w:tcPr>
          <w:p w14:paraId="245E4916" w14:textId="77777777" w:rsidR="00F95065" w:rsidRPr="00F95065" w:rsidRDefault="00F95065" w:rsidP="00F95065">
            <w:pPr>
              <w:spacing w:before="0" w:after="0"/>
              <w:jc w:val="right"/>
              <w:rPr>
                <w:rFonts w:eastAsia="Times New Roman" w:cs="Arial"/>
                <w:b/>
                <w:bCs/>
                <w:sz w:val="20"/>
                <w:szCs w:val="20"/>
                <w:lang w:eastAsia="en-GB"/>
              </w:rPr>
            </w:pPr>
          </w:p>
        </w:tc>
        <w:tc>
          <w:tcPr>
            <w:tcW w:w="1528" w:type="dxa"/>
            <w:tcBorders>
              <w:top w:val="nil"/>
              <w:left w:val="nil"/>
              <w:bottom w:val="nil"/>
              <w:right w:val="nil"/>
            </w:tcBorders>
            <w:shd w:val="clear" w:color="000000" w:fill="FFFFFF"/>
            <w:noWrap/>
            <w:vAlign w:val="bottom"/>
            <w:hideMark/>
          </w:tcPr>
          <w:p w14:paraId="50269267"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2CB6935"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009016C3"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32C5D7BC"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6AF2172B"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46FCA16"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2FA8A129"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33B5C56"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47524328"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r>
      <w:tr w:rsidR="00F95065" w:rsidRPr="00F95065" w14:paraId="4831195B" w14:textId="77777777" w:rsidTr="00A0140D">
        <w:trPr>
          <w:trHeight w:val="260"/>
        </w:trPr>
        <w:tc>
          <w:tcPr>
            <w:tcW w:w="3261" w:type="dxa"/>
            <w:gridSpan w:val="2"/>
            <w:tcBorders>
              <w:top w:val="nil"/>
              <w:left w:val="nil"/>
              <w:bottom w:val="nil"/>
              <w:right w:val="nil"/>
            </w:tcBorders>
            <w:shd w:val="clear" w:color="auto" w:fill="auto"/>
            <w:noWrap/>
            <w:vAlign w:val="bottom"/>
            <w:hideMark/>
          </w:tcPr>
          <w:p w14:paraId="7511212E"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Arising during the year</w:t>
            </w:r>
          </w:p>
        </w:tc>
        <w:tc>
          <w:tcPr>
            <w:tcW w:w="1528" w:type="dxa"/>
            <w:tcBorders>
              <w:top w:val="nil"/>
              <w:left w:val="nil"/>
              <w:bottom w:val="nil"/>
              <w:right w:val="nil"/>
            </w:tcBorders>
            <w:shd w:val="clear" w:color="000000" w:fill="FFFFFF"/>
            <w:noWrap/>
            <w:vAlign w:val="bottom"/>
            <w:hideMark/>
          </w:tcPr>
          <w:p w14:paraId="2D32E177"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469</w:t>
            </w:r>
          </w:p>
        </w:tc>
        <w:tc>
          <w:tcPr>
            <w:tcW w:w="272" w:type="dxa"/>
            <w:tcBorders>
              <w:top w:val="nil"/>
              <w:left w:val="nil"/>
              <w:bottom w:val="nil"/>
              <w:right w:val="nil"/>
            </w:tcBorders>
            <w:shd w:val="clear" w:color="000000" w:fill="FFFFFF"/>
            <w:noWrap/>
            <w:vAlign w:val="bottom"/>
            <w:hideMark/>
          </w:tcPr>
          <w:p w14:paraId="14006089"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D841420"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7F04FDD7"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7D8B28CC"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745</w:t>
            </w:r>
          </w:p>
        </w:tc>
        <w:tc>
          <w:tcPr>
            <w:tcW w:w="272" w:type="dxa"/>
            <w:tcBorders>
              <w:top w:val="nil"/>
              <w:left w:val="nil"/>
              <w:bottom w:val="nil"/>
              <w:right w:val="nil"/>
            </w:tcBorders>
            <w:shd w:val="clear" w:color="000000" w:fill="FFFFFF"/>
            <w:noWrap/>
            <w:vAlign w:val="bottom"/>
            <w:hideMark/>
          </w:tcPr>
          <w:p w14:paraId="5EA91883"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181E43EA"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1,344</w:t>
            </w:r>
          </w:p>
        </w:tc>
        <w:tc>
          <w:tcPr>
            <w:tcW w:w="272" w:type="dxa"/>
            <w:tcBorders>
              <w:top w:val="nil"/>
              <w:left w:val="nil"/>
              <w:bottom w:val="nil"/>
              <w:right w:val="nil"/>
            </w:tcBorders>
            <w:shd w:val="clear" w:color="000000" w:fill="FFFFFF"/>
            <w:noWrap/>
            <w:vAlign w:val="bottom"/>
            <w:hideMark/>
          </w:tcPr>
          <w:p w14:paraId="5C20382E"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5B182430"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2,558</w:t>
            </w:r>
          </w:p>
        </w:tc>
      </w:tr>
      <w:tr w:rsidR="00F95065" w:rsidRPr="00F95065" w14:paraId="2E00028C" w14:textId="77777777" w:rsidTr="00A0140D">
        <w:trPr>
          <w:trHeight w:val="260"/>
        </w:trPr>
        <w:tc>
          <w:tcPr>
            <w:tcW w:w="3261" w:type="dxa"/>
            <w:gridSpan w:val="2"/>
            <w:tcBorders>
              <w:top w:val="nil"/>
              <w:left w:val="nil"/>
              <w:bottom w:val="nil"/>
              <w:right w:val="nil"/>
            </w:tcBorders>
            <w:shd w:val="clear" w:color="auto" w:fill="auto"/>
            <w:noWrap/>
            <w:vAlign w:val="bottom"/>
            <w:hideMark/>
          </w:tcPr>
          <w:p w14:paraId="1EA6A2AF"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Utilised during the year</w:t>
            </w:r>
          </w:p>
        </w:tc>
        <w:tc>
          <w:tcPr>
            <w:tcW w:w="1528" w:type="dxa"/>
            <w:tcBorders>
              <w:top w:val="nil"/>
              <w:left w:val="nil"/>
              <w:bottom w:val="nil"/>
              <w:right w:val="nil"/>
            </w:tcBorders>
            <w:shd w:val="clear" w:color="000000" w:fill="FFFFFF"/>
            <w:noWrap/>
            <w:vAlign w:val="bottom"/>
            <w:hideMark/>
          </w:tcPr>
          <w:p w14:paraId="79BBD941"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(4)</w:t>
            </w:r>
          </w:p>
        </w:tc>
        <w:tc>
          <w:tcPr>
            <w:tcW w:w="272" w:type="dxa"/>
            <w:tcBorders>
              <w:top w:val="nil"/>
              <w:left w:val="nil"/>
              <w:bottom w:val="nil"/>
              <w:right w:val="nil"/>
            </w:tcBorders>
            <w:shd w:val="clear" w:color="000000" w:fill="FFFFFF"/>
            <w:noWrap/>
            <w:vAlign w:val="bottom"/>
            <w:hideMark/>
          </w:tcPr>
          <w:p w14:paraId="368A8FF8"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7CC1F295"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(2)</w:t>
            </w:r>
          </w:p>
        </w:tc>
        <w:tc>
          <w:tcPr>
            <w:tcW w:w="272" w:type="dxa"/>
            <w:tcBorders>
              <w:top w:val="nil"/>
              <w:left w:val="nil"/>
              <w:bottom w:val="nil"/>
              <w:right w:val="nil"/>
            </w:tcBorders>
            <w:shd w:val="clear" w:color="000000" w:fill="FFFFFF"/>
            <w:noWrap/>
            <w:vAlign w:val="bottom"/>
            <w:hideMark/>
          </w:tcPr>
          <w:p w14:paraId="378447FF"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68CAE3DE"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(1,787)</w:t>
            </w:r>
          </w:p>
        </w:tc>
        <w:tc>
          <w:tcPr>
            <w:tcW w:w="272" w:type="dxa"/>
            <w:tcBorders>
              <w:top w:val="nil"/>
              <w:left w:val="nil"/>
              <w:bottom w:val="nil"/>
              <w:right w:val="nil"/>
            </w:tcBorders>
            <w:shd w:val="clear" w:color="000000" w:fill="FFFFFF"/>
            <w:noWrap/>
            <w:vAlign w:val="bottom"/>
            <w:hideMark/>
          </w:tcPr>
          <w:p w14:paraId="4A949A82"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41F8456B"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6C8BEBB1"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4EDDCCA0"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(1,793)</w:t>
            </w:r>
          </w:p>
        </w:tc>
      </w:tr>
      <w:tr w:rsidR="00F95065" w:rsidRPr="00F95065" w14:paraId="5FAB2DBB" w14:textId="77777777" w:rsidTr="00A0140D">
        <w:trPr>
          <w:trHeight w:val="260"/>
        </w:trPr>
        <w:tc>
          <w:tcPr>
            <w:tcW w:w="3261" w:type="dxa"/>
            <w:gridSpan w:val="2"/>
            <w:tcBorders>
              <w:top w:val="nil"/>
              <w:left w:val="nil"/>
              <w:bottom w:val="nil"/>
              <w:right w:val="nil"/>
            </w:tcBorders>
            <w:shd w:val="clear" w:color="auto" w:fill="auto"/>
            <w:noWrap/>
            <w:vAlign w:val="bottom"/>
            <w:hideMark/>
          </w:tcPr>
          <w:p w14:paraId="516E8854"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Reversed unused</w:t>
            </w:r>
          </w:p>
        </w:tc>
        <w:tc>
          <w:tcPr>
            <w:tcW w:w="1528" w:type="dxa"/>
            <w:tcBorders>
              <w:top w:val="nil"/>
              <w:left w:val="nil"/>
              <w:bottom w:val="single" w:sz="4" w:space="0" w:color="auto"/>
              <w:right w:val="nil"/>
            </w:tcBorders>
            <w:shd w:val="clear" w:color="000000" w:fill="FFFFFF"/>
            <w:noWrap/>
            <w:vAlign w:val="bottom"/>
            <w:hideMark/>
          </w:tcPr>
          <w:p w14:paraId="1870E5B2"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(4,080)</w:t>
            </w:r>
          </w:p>
        </w:tc>
        <w:tc>
          <w:tcPr>
            <w:tcW w:w="272" w:type="dxa"/>
            <w:tcBorders>
              <w:top w:val="nil"/>
              <w:left w:val="nil"/>
              <w:bottom w:val="nil"/>
              <w:right w:val="nil"/>
            </w:tcBorders>
            <w:shd w:val="clear" w:color="000000" w:fill="FFFFFF"/>
            <w:noWrap/>
            <w:vAlign w:val="bottom"/>
            <w:hideMark/>
          </w:tcPr>
          <w:p w14:paraId="3E2895B6"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single" w:sz="4" w:space="0" w:color="auto"/>
              <w:right w:val="nil"/>
            </w:tcBorders>
            <w:shd w:val="clear" w:color="000000" w:fill="FFFFFF"/>
            <w:noWrap/>
            <w:vAlign w:val="bottom"/>
            <w:hideMark/>
          </w:tcPr>
          <w:p w14:paraId="36043BDD"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5B795178"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426" w:type="dxa"/>
            <w:gridSpan w:val="2"/>
            <w:tcBorders>
              <w:top w:val="nil"/>
              <w:left w:val="nil"/>
              <w:bottom w:val="single" w:sz="4" w:space="0" w:color="auto"/>
              <w:right w:val="nil"/>
            </w:tcBorders>
            <w:shd w:val="clear" w:color="000000" w:fill="FFFFFF"/>
            <w:noWrap/>
            <w:vAlign w:val="bottom"/>
            <w:hideMark/>
          </w:tcPr>
          <w:p w14:paraId="58374DAC"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(7,154)</w:t>
            </w:r>
          </w:p>
        </w:tc>
        <w:tc>
          <w:tcPr>
            <w:tcW w:w="272" w:type="dxa"/>
            <w:tcBorders>
              <w:top w:val="nil"/>
              <w:left w:val="nil"/>
              <w:bottom w:val="nil"/>
              <w:right w:val="nil"/>
            </w:tcBorders>
            <w:shd w:val="clear" w:color="000000" w:fill="FFFFFF"/>
            <w:noWrap/>
            <w:vAlign w:val="bottom"/>
            <w:hideMark/>
          </w:tcPr>
          <w:p w14:paraId="5CAB9A99"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single" w:sz="4" w:space="0" w:color="auto"/>
              <w:right w:val="nil"/>
            </w:tcBorders>
            <w:shd w:val="clear" w:color="000000" w:fill="FFFFFF"/>
            <w:noWrap/>
            <w:vAlign w:val="bottom"/>
            <w:hideMark/>
          </w:tcPr>
          <w:p w14:paraId="3E56B4A0"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(256)</w:t>
            </w:r>
          </w:p>
        </w:tc>
        <w:tc>
          <w:tcPr>
            <w:tcW w:w="272" w:type="dxa"/>
            <w:tcBorders>
              <w:top w:val="nil"/>
              <w:left w:val="nil"/>
              <w:bottom w:val="nil"/>
              <w:right w:val="nil"/>
            </w:tcBorders>
            <w:shd w:val="clear" w:color="000000" w:fill="FFFFFF"/>
            <w:noWrap/>
            <w:vAlign w:val="bottom"/>
            <w:hideMark/>
          </w:tcPr>
          <w:p w14:paraId="1F5C3E2F"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820" w:type="dxa"/>
            <w:gridSpan w:val="3"/>
            <w:tcBorders>
              <w:top w:val="nil"/>
              <w:left w:val="nil"/>
              <w:bottom w:val="single" w:sz="4" w:space="0" w:color="auto"/>
              <w:right w:val="nil"/>
            </w:tcBorders>
            <w:shd w:val="clear" w:color="000000" w:fill="FFFFFF"/>
            <w:noWrap/>
            <w:vAlign w:val="bottom"/>
            <w:hideMark/>
          </w:tcPr>
          <w:p w14:paraId="30CA65AB"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(11,490)</w:t>
            </w:r>
          </w:p>
        </w:tc>
      </w:tr>
      <w:tr w:rsidR="00F95065" w:rsidRPr="00F95065" w14:paraId="6C312E8C" w14:textId="77777777" w:rsidTr="00A0140D">
        <w:trPr>
          <w:trHeight w:val="260"/>
        </w:trPr>
        <w:tc>
          <w:tcPr>
            <w:tcW w:w="3261" w:type="dxa"/>
            <w:gridSpan w:val="2"/>
            <w:tcBorders>
              <w:top w:val="nil"/>
              <w:left w:val="nil"/>
              <w:bottom w:val="nil"/>
              <w:right w:val="nil"/>
            </w:tcBorders>
            <w:shd w:val="clear" w:color="auto" w:fill="auto"/>
            <w:noWrap/>
            <w:vAlign w:val="bottom"/>
            <w:hideMark/>
          </w:tcPr>
          <w:p w14:paraId="45064C41"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Balance at 31 March 2024</w:t>
            </w:r>
          </w:p>
        </w:tc>
        <w:tc>
          <w:tcPr>
            <w:tcW w:w="1528" w:type="dxa"/>
            <w:tcBorders>
              <w:top w:val="nil"/>
              <w:left w:val="nil"/>
              <w:bottom w:val="single" w:sz="4" w:space="0" w:color="auto"/>
              <w:right w:val="nil"/>
            </w:tcBorders>
            <w:shd w:val="clear" w:color="000000" w:fill="FFFFFF"/>
            <w:noWrap/>
            <w:vAlign w:val="bottom"/>
            <w:hideMark/>
          </w:tcPr>
          <w:p w14:paraId="1DA833FB"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469</w:t>
            </w:r>
          </w:p>
        </w:tc>
        <w:tc>
          <w:tcPr>
            <w:tcW w:w="272" w:type="dxa"/>
            <w:tcBorders>
              <w:top w:val="nil"/>
              <w:left w:val="nil"/>
              <w:bottom w:val="nil"/>
              <w:right w:val="nil"/>
            </w:tcBorders>
            <w:shd w:val="clear" w:color="000000" w:fill="FFFFFF"/>
            <w:noWrap/>
            <w:vAlign w:val="bottom"/>
            <w:hideMark/>
          </w:tcPr>
          <w:p w14:paraId="58DED9E8"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180" w:type="dxa"/>
            <w:gridSpan w:val="2"/>
            <w:tcBorders>
              <w:top w:val="nil"/>
              <w:left w:val="nil"/>
              <w:bottom w:val="single" w:sz="4" w:space="0" w:color="auto"/>
              <w:right w:val="nil"/>
            </w:tcBorders>
            <w:shd w:val="clear" w:color="000000" w:fill="FFFFFF"/>
            <w:noWrap/>
            <w:vAlign w:val="bottom"/>
            <w:hideMark/>
          </w:tcPr>
          <w:p w14:paraId="785A7C2F"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w:t>
            </w:r>
          </w:p>
        </w:tc>
        <w:tc>
          <w:tcPr>
            <w:tcW w:w="272" w:type="dxa"/>
            <w:tcBorders>
              <w:top w:val="nil"/>
              <w:left w:val="nil"/>
              <w:bottom w:val="nil"/>
              <w:right w:val="nil"/>
            </w:tcBorders>
            <w:shd w:val="clear" w:color="000000" w:fill="FFFFFF"/>
            <w:noWrap/>
            <w:vAlign w:val="bottom"/>
            <w:hideMark/>
          </w:tcPr>
          <w:p w14:paraId="425B0E49"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426" w:type="dxa"/>
            <w:gridSpan w:val="2"/>
            <w:tcBorders>
              <w:top w:val="nil"/>
              <w:left w:val="nil"/>
              <w:bottom w:val="single" w:sz="4" w:space="0" w:color="auto"/>
              <w:right w:val="nil"/>
            </w:tcBorders>
            <w:shd w:val="clear" w:color="000000" w:fill="FFFFFF"/>
            <w:noWrap/>
            <w:vAlign w:val="bottom"/>
            <w:hideMark/>
          </w:tcPr>
          <w:p w14:paraId="3A3FE00F"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5,882</w:t>
            </w:r>
          </w:p>
        </w:tc>
        <w:tc>
          <w:tcPr>
            <w:tcW w:w="272" w:type="dxa"/>
            <w:tcBorders>
              <w:top w:val="single" w:sz="4" w:space="0" w:color="auto"/>
              <w:left w:val="nil"/>
              <w:bottom w:val="single" w:sz="4" w:space="0" w:color="auto"/>
              <w:right w:val="nil"/>
            </w:tcBorders>
            <w:shd w:val="clear" w:color="000000" w:fill="FFFFFF"/>
            <w:noWrap/>
            <w:vAlign w:val="bottom"/>
            <w:hideMark/>
          </w:tcPr>
          <w:p w14:paraId="3F837B9D"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180" w:type="dxa"/>
            <w:gridSpan w:val="2"/>
            <w:tcBorders>
              <w:top w:val="nil"/>
              <w:left w:val="nil"/>
              <w:bottom w:val="single" w:sz="4" w:space="0" w:color="auto"/>
              <w:right w:val="nil"/>
            </w:tcBorders>
            <w:shd w:val="clear" w:color="000000" w:fill="FFFFFF"/>
            <w:noWrap/>
            <w:vAlign w:val="bottom"/>
            <w:hideMark/>
          </w:tcPr>
          <w:p w14:paraId="3229F98C"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2,429</w:t>
            </w:r>
          </w:p>
        </w:tc>
        <w:tc>
          <w:tcPr>
            <w:tcW w:w="272" w:type="dxa"/>
            <w:tcBorders>
              <w:top w:val="nil"/>
              <w:left w:val="nil"/>
              <w:bottom w:val="nil"/>
              <w:right w:val="nil"/>
            </w:tcBorders>
            <w:shd w:val="clear" w:color="000000" w:fill="FFFFFF"/>
            <w:noWrap/>
            <w:vAlign w:val="bottom"/>
            <w:hideMark/>
          </w:tcPr>
          <w:p w14:paraId="0F573C97"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820" w:type="dxa"/>
            <w:gridSpan w:val="3"/>
            <w:tcBorders>
              <w:top w:val="nil"/>
              <w:left w:val="nil"/>
              <w:bottom w:val="single" w:sz="4" w:space="0" w:color="auto"/>
              <w:right w:val="nil"/>
            </w:tcBorders>
            <w:shd w:val="clear" w:color="000000" w:fill="FFFFFF"/>
            <w:noWrap/>
            <w:vAlign w:val="bottom"/>
            <w:hideMark/>
          </w:tcPr>
          <w:p w14:paraId="20BC2055"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8,780</w:t>
            </w:r>
          </w:p>
        </w:tc>
      </w:tr>
      <w:tr w:rsidR="00F95065" w:rsidRPr="00F95065" w14:paraId="2BB0D0D7" w14:textId="77777777" w:rsidTr="00A0140D">
        <w:trPr>
          <w:trHeight w:val="250"/>
        </w:trPr>
        <w:tc>
          <w:tcPr>
            <w:tcW w:w="3261" w:type="dxa"/>
            <w:gridSpan w:val="2"/>
            <w:tcBorders>
              <w:top w:val="nil"/>
              <w:left w:val="nil"/>
              <w:bottom w:val="nil"/>
              <w:right w:val="nil"/>
            </w:tcBorders>
            <w:shd w:val="clear" w:color="auto" w:fill="auto"/>
            <w:noWrap/>
            <w:vAlign w:val="bottom"/>
            <w:hideMark/>
          </w:tcPr>
          <w:p w14:paraId="35D3B09D" w14:textId="77777777" w:rsidR="00F95065" w:rsidRPr="00F95065" w:rsidRDefault="00F95065" w:rsidP="00F95065">
            <w:pPr>
              <w:spacing w:before="0" w:after="0"/>
              <w:jc w:val="right"/>
              <w:rPr>
                <w:rFonts w:eastAsia="Times New Roman" w:cs="Arial"/>
                <w:b/>
                <w:bCs/>
                <w:sz w:val="20"/>
                <w:szCs w:val="20"/>
                <w:lang w:eastAsia="en-GB"/>
              </w:rPr>
            </w:pPr>
          </w:p>
        </w:tc>
        <w:tc>
          <w:tcPr>
            <w:tcW w:w="1528" w:type="dxa"/>
            <w:tcBorders>
              <w:top w:val="nil"/>
              <w:left w:val="nil"/>
              <w:bottom w:val="nil"/>
              <w:right w:val="nil"/>
            </w:tcBorders>
            <w:shd w:val="clear" w:color="000000" w:fill="FFFFFF"/>
            <w:noWrap/>
            <w:vAlign w:val="bottom"/>
            <w:hideMark/>
          </w:tcPr>
          <w:p w14:paraId="152B4557"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380FC6F7"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5050B996"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3EC90C0"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6579E6BF"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109614CA"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8A85655"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1D04E9A0"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6083646F"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r>
      <w:tr w:rsidR="00F95065" w:rsidRPr="00F95065" w14:paraId="1F778347" w14:textId="77777777" w:rsidTr="00A0140D">
        <w:trPr>
          <w:trHeight w:val="260"/>
        </w:trPr>
        <w:tc>
          <w:tcPr>
            <w:tcW w:w="3261" w:type="dxa"/>
            <w:gridSpan w:val="2"/>
            <w:tcBorders>
              <w:top w:val="nil"/>
              <w:left w:val="nil"/>
              <w:bottom w:val="nil"/>
              <w:right w:val="nil"/>
            </w:tcBorders>
            <w:shd w:val="clear" w:color="auto" w:fill="auto"/>
            <w:noWrap/>
            <w:vAlign w:val="bottom"/>
            <w:hideMark/>
          </w:tcPr>
          <w:p w14:paraId="39488BC4"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Expected timing of cash flows:</w:t>
            </w:r>
          </w:p>
        </w:tc>
        <w:tc>
          <w:tcPr>
            <w:tcW w:w="1528" w:type="dxa"/>
            <w:tcBorders>
              <w:top w:val="nil"/>
              <w:left w:val="nil"/>
              <w:bottom w:val="nil"/>
              <w:right w:val="nil"/>
            </w:tcBorders>
            <w:shd w:val="clear" w:color="000000" w:fill="FFFFFF"/>
            <w:noWrap/>
            <w:vAlign w:val="bottom"/>
            <w:hideMark/>
          </w:tcPr>
          <w:p w14:paraId="2F26B8DE"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B8EEE3E"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3556B94F"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B0FDE0B"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0AC63DBE"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23B4B28"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7BF3304"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D151977"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1D7EAB1F"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r>
      <w:tr w:rsidR="00F95065" w:rsidRPr="00F95065" w14:paraId="5ED9C386" w14:textId="77777777" w:rsidTr="00A0140D">
        <w:trPr>
          <w:trHeight w:val="260"/>
        </w:trPr>
        <w:tc>
          <w:tcPr>
            <w:tcW w:w="3261" w:type="dxa"/>
            <w:gridSpan w:val="2"/>
            <w:tcBorders>
              <w:top w:val="nil"/>
              <w:left w:val="nil"/>
              <w:bottom w:val="nil"/>
              <w:right w:val="nil"/>
            </w:tcBorders>
            <w:shd w:val="clear" w:color="auto" w:fill="auto"/>
            <w:noWrap/>
            <w:vAlign w:val="bottom"/>
            <w:hideMark/>
          </w:tcPr>
          <w:p w14:paraId="46F40B6A"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Within one year</w:t>
            </w:r>
          </w:p>
        </w:tc>
        <w:tc>
          <w:tcPr>
            <w:tcW w:w="1528" w:type="dxa"/>
            <w:tcBorders>
              <w:top w:val="nil"/>
              <w:left w:val="nil"/>
              <w:bottom w:val="nil"/>
              <w:right w:val="nil"/>
            </w:tcBorders>
            <w:shd w:val="clear" w:color="000000" w:fill="FFFFFF"/>
            <w:noWrap/>
            <w:vAlign w:val="bottom"/>
            <w:hideMark/>
          </w:tcPr>
          <w:p w14:paraId="1B66CC6F"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(0)</w:t>
            </w:r>
          </w:p>
        </w:tc>
        <w:tc>
          <w:tcPr>
            <w:tcW w:w="272" w:type="dxa"/>
            <w:tcBorders>
              <w:top w:val="nil"/>
              <w:left w:val="nil"/>
              <w:bottom w:val="nil"/>
              <w:right w:val="nil"/>
            </w:tcBorders>
            <w:shd w:val="clear" w:color="000000" w:fill="FFFFFF"/>
            <w:noWrap/>
            <w:vAlign w:val="bottom"/>
            <w:hideMark/>
          </w:tcPr>
          <w:p w14:paraId="51BD7984"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CEBA9D2"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27DEDA92"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2B73E17E"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1,057</w:t>
            </w:r>
          </w:p>
        </w:tc>
        <w:tc>
          <w:tcPr>
            <w:tcW w:w="272" w:type="dxa"/>
            <w:tcBorders>
              <w:top w:val="nil"/>
              <w:left w:val="nil"/>
              <w:bottom w:val="nil"/>
              <w:right w:val="nil"/>
            </w:tcBorders>
            <w:shd w:val="clear" w:color="000000" w:fill="FFFFFF"/>
            <w:noWrap/>
            <w:vAlign w:val="bottom"/>
            <w:hideMark/>
          </w:tcPr>
          <w:p w14:paraId="179E5912"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30CBC728"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339</w:t>
            </w:r>
          </w:p>
        </w:tc>
        <w:tc>
          <w:tcPr>
            <w:tcW w:w="272" w:type="dxa"/>
            <w:tcBorders>
              <w:top w:val="nil"/>
              <w:left w:val="nil"/>
              <w:bottom w:val="nil"/>
              <w:right w:val="nil"/>
            </w:tcBorders>
            <w:shd w:val="clear" w:color="000000" w:fill="FFFFFF"/>
            <w:noWrap/>
            <w:vAlign w:val="bottom"/>
            <w:hideMark/>
          </w:tcPr>
          <w:p w14:paraId="14A4052D"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7367594D"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1,396</w:t>
            </w:r>
          </w:p>
        </w:tc>
      </w:tr>
      <w:tr w:rsidR="00F95065" w:rsidRPr="00F95065" w14:paraId="3AB93A2F" w14:textId="77777777" w:rsidTr="00A0140D">
        <w:trPr>
          <w:trHeight w:val="260"/>
        </w:trPr>
        <w:tc>
          <w:tcPr>
            <w:tcW w:w="3261" w:type="dxa"/>
            <w:gridSpan w:val="2"/>
            <w:tcBorders>
              <w:top w:val="nil"/>
              <w:left w:val="nil"/>
              <w:bottom w:val="nil"/>
              <w:right w:val="nil"/>
            </w:tcBorders>
            <w:shd w:val="clear" w:color="auto" w:fill="auto"/>
            <w:noWrap/>
            <w:vAlign w:val="bottom"/>
            <w:hideMark/>
          </w:tcPr>
          <w:p w14:paraId="632EE2E4"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Between one and five years</w:t>
            </w:r>
          </w:p>
        </w:tc>
        <w:tc>
          <w:tcPr>
            <w:tcW w:w="1528" w:type="dxa"/>
            <w:tcBorders>
              <w:top w:val="nil"/>
              <w:left w:val="nil"/>
              <w:bottom w:val="nil"/>
              <w:right w:val="nil"/>
            </w:tcBorders>
            <w:shd w:val="clear" w:color="000000" w:fill="FFFFFF"/>
            <w:noWrap/>
            <w:vAlign w:val="bottom"/>
            <w:hideMark/>
          </w:tcPr>
          <w:p w14:paraId="18C31E4C"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469</w:t>
            </w:r>
          </w:p>
        </w:tc>
        <w:tc>
          <w:tcPr>
            <w:tcW w:w="272" w:type="dxa"/>
            <w:tcBorders>
              <w:top w:val="nil"/>
              <w:left w:val="nil"/>
              <w:bottom w:val="nil"/>
              <w:right w:val="nil"/>
            </w:tcBorders>
            <w:shd w:val="clear" w:color="000000" w:fill="FFFFFF"/>
            <w:noWrap/>
            <w:vAlign w:val="bottom"/>
            <w:hideMark/>
          </w:tcPr>
          <w:p w14:paraId="106DF871"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5E0CEAE"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w:t>
            </w:r>
          </w:p>
        </w:tc>
        <w:tc>
          <w:tcPr>
            <w:tcW w:w="272" w:type="dxa"/>
            <w:tcBorders>
              <w:top w:val="nil"/>
              <w:left w:val="nil"/>
              <w:bottom w:val="nil"/>
              <w:right w:val="nil"/>
            </w:tcBorders>
            <w:shd w:val="clear" w:color="000000" w:fill="FFFFFF"/>
            <w:noWrap/>
            <w:vAlign w:val="bottom"/>
            <w:hideMark/>
          </w:tcPr>
          <w:p w14:paraId="7C65DBEC"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6AB2F075"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4,824</w:t>
            </w:r>
          </w:p>
        </w:tc>
        <w:tc>
          <w:tcPr>
            <w:tcW w:w="272" w:type="dxa"/>
            <w:tcBorders>
              <w:top w:val="nil"/>
              <w:left w:val="nil"/>
              <w:bottom w:val="nil"/>
              <w:right w:val="nil"/>
            </w:tcBorders>
            <w:shd w:val="clear" w:color="000000" w:fill="FFFFFF"/>
            <w:noWrap/>
            <w:vAlign w:val="bottom"/>
            <w:hideMark/>
          </w:tcPr>
          <w:p w14:paraId="6DBF9EEE"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6B40F5E9" w14:textId="77777777" w:rsidR="00F95065" w:rsidRPr="00F95065" w:rsidRDefault="00F95065" w:rsidP="00F95065">
            <w:pPr>
              <w:spacing w:before="0" w:after="0"/>
              <w:jc w:val="right"/>
              <w:rPr>
                <w:rFonts w:eastAsia="Times New Roman" w:cs="Arial"/>
                <w:sz w:val="20"/>
                <w:szCs w:val="20"/>
                <w:lang w:eastAsia="en-GB"/>
              </w:rPr>
            </w:pPr>
            <w:r w:rsidRPr="00F95065">
              <w:rPr>
                <w:rFonts w:eastAsia="Times New Roman" w:cs="Arial"/>
                <w:sz w:val="20"/>
                <w:szCs w:val="20"/>
                <w:lang w:eastAsia="en-GB"/>
              </w:rPr>
              <w:t>2,092</w:t>
            </w:r>
          </w:p>
        </w:tc>
        <w:tc>
          <w:tcPr>
            <w:tcW w:w="272" w:type="dxa"/>
            <w:tcBorders>
              <w:top w:val="nil"/>
              <w:left w:val="nil"/>
              <w:bottom w:val="nil"/>
              <w:right w:val="nil"/>
            </w:tcBorders>
            <w:shd w:val="clear" w:color="000000" w:fill="FFFFFF"/>
            <w:noWrap/>
            <w:vAlign w:val="bottom"/>
            <w:hideMark/>
          </w:tcPr>
          <w:p w14:paraId="3626E9C0"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0DE23934"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7,385</w:t>
            </w:r>
          </w:p>
        </w:tc>
      </w:tr>
      <w:tr w:rsidR="00F95065" w:rsidRPr="00F95065" w14:paraId="55F801CF" w14:textId="77777777" w:rsidTr="00A0140D">
        <w:trPr>
          <w:trHeight w:val="260"/>
        </w:trPr>
        <w:tc>
          <w:tcPr>
            <w:tcW w:w="3261" w:type="dxa"/>
            <w:gridSpan w:val="2"/>
            <w:tcBorders>
              <w:top w:val="nil"/>
              <w:left w:val="nil"/>
              <w:bottom w:val="nil"/>
              <w:right w:val="nil"/>
            </w:tcBorders>
            <w:shd w:val="clear" w:color="auto" w:fill="auto"/>
            <w:noWrap/>
            <w:vAlign w:val="bottom"/>
            <w:hideMark/>
          </w:tcPr>
          <w:p w14:paraId="6EFA030D"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Balance at 31 March 2024</w:t>
            </w:r>
          </w:p>
        </w:tc>
        <w:tc>
          <w:tcPr>
            <w:tcW w:w="1528" w:type="dxa"/>
            <w:tcBorders>
              <w:top w:val="single" w:sz="4" w:space="0" w:color="auto"/>
              <w:left w:val="nil"/>
              <w:bottom w:val="single" w:sz="4" w:space="0" w:color="auto"/>
              <w:right w:val="nil"/>
            </w:tcBorders>
            <w:shd w:val="clear" w:color="000000" w:fill="FFFFFF"/>
            <w:noWrap/>
            <w:vAlign w:val="bottom"/>
            <w:hideMark/>
          </w:tcPr>
          <w:p w14:paraId="0853EBBC"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469</w:t>
            </w:r>
          </w:p>
        </w:tc>
        <w:tc>
          <w:tcPr>
            <w:tcW w:w="272" w:type="dxa"/>
            <w:tcBorders>
              <w:top w:val="nil"/>
              <w:left w:val="nil"/>
              <w:bottom w:val="nil"/>
              <w:right w:val="nil"/>
            </w:tcBorders>
            <w:shd w:val="clear" w:color="000000" w:fill="FFFFFF"/>
            <w:noWrap/>
            <w:vAlign w:val="bottom"/>
            <w:hideMark/>
          </w:tcPr>
          <w:p w14:paraId="16872EE4"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180" w:type="dxa"/>
            <w:gridSpan w:val="2"/>
            <w:tcBorders>
              <w:top w:val="single" w:sz="4" w:space="0" w:color="auto"/>
              <w:left w:val="nil"/>
              <w:bottom w:val="single" w:sz="4" w:space="0" w:color="auto"/>
              <w:right w:val="nil"/>
            </w:tcBorders>
            <w:shd w:val="clear" w:color="000000" w:fill="FFFFFF"/>
            <w:noWrap/>
            <w:vAlign w:val="bottom"/>
            <w:hideMark/>
          </w:tcPr>
          <w:p w14:paraId="5B1E9F04"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w:t>
            </w:r>
          </w:p>
        </w:tc>
        <w:tc>
          <w:tcPr>
            <w:tcW w:w="272" w:type="dxa"/>
            <w:tcBorders>
              <w:top w:val="nil"/>
              <w:left w:val="nil"/>
              <w:bottom w:val="nil"/>
              <w:right w:val="nil"/>
            </w:tcBorders>
            <w:shd w:val="clear" w:color="000000" w:fill="FFFFFF"/>
            <w:noWrap/>
            <w:vAlign w:val="bottom"/>
            <w:hideMark/>
          </w:tcPr>
          <w:p w14:paraId="40C75384"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426" w:type="dxa"/>
            <w:gridSpan w:val="2"/>
            <w:tcBorders>
              <w:top w:val="single" w:sz="4" w:space="0" w:color="auto"/>
              <w:left w:val="nil"/>
              <w:bottom w:val="single" w:sz="4" w:space="0" w:color="auto"/>
              <w:right w:val="nil"/>
            </w:tcBorders>
            <w:shd w:val="clear" w:color="000000" w:fill="FFFFFF"/>
            <w:noWrap/>
            <w:vAlign w:val="bottom"/>
            <w:hideMark/>
          </w:tcPr>
          <w:p w14:paraId="39DBBA7B"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5,881</w:t>
            </w:r>
          </w:p>
        </w:tc>
        <w:tc>
          <w:tcPr>
            <w:tcW w:w="272" w:type="dxa"/>
            <w:tcBorders>
              <w:top w:val="nil"/>
              <w:left w:val="nil"/>
              <w:bottom w:val="nil"/>
              <w:right w:val="nil"/>
            </w:tcBorders>
            <w:shd w:val="clear" w:color="000000" w:fill="FFFFFF"/>
            <w:noWrap/>
            <w:vAlign w:val="bottom"/>
            <w:hideMark/>
          </w:tcPr>
          <w:p w14:paraId="3D8DDE1F"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180" w:type="dxa"/>
            <w:gridSpan w:val="2"/>
            <w:tcBorders>
              <w:top w:val="single" w:sz="4" w:space="0" w:color="auto"/>
              <w:left w:val="nil"/>
              <w:bottom w:val="single" w:sz="4" w:space="0" w:color="auto"/>
              <w:right w:val="nil"/>
            </w:tcBorders>
            <w:shd w:val="clear" w:color="000000" w:fill="FFFFFF"/>
            <w:noWrap/>
            <w:vAlign w:val="bottom"/>
            <w:hideMark/>
          </w:tcPr>
          <w:p w14:paraId="068F1226"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2,431</w:t>
            </w:r>
          </w:p>
        </w:tc>
        <w:tc>
          <w:tcPr>
            <w:tcW w:w="272" w:type="dxa"/>
            <w:tcBorders>
              <w:top w:val="nil"/>
              <w:left w:val="nil"/>
              <w:bottom w:val="nil"/>
              <w:right w:val="nil"/>
            </w:tcBorders>
            <w:shd w:val="clear" w:color="000000" w:fill="FFFFFF"/>
            <w:noWrap/>
            <w:vAlign w:val="bottom"/>
            <w:hideMark/>
          </w:tcPr>
          <w:p w14:paraId="39B7E8D6"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820" w:type="dxa"/>
            <w:gridSpan w:val="3"/>
            <w:tcBorders>
              <w:top w:val="single" w:sz="4" w:space="0" w:color="auto"/>
              <w:left w:val="nil"/>
              <w:bottom w:val="single" w:sz="4" w:space="0" w:color="auto"/>
              <w:right w:val="nil"/>
            </w:tcBorders>
            <w:shd w:val="clear" w:color="000000" w:fill="FFFFFF"/>
            <w:noWrap/>
            <w:vAlign w:val="bottom"/>
            <w:hideMark/>
          </w:tcPr>
          <w:p w14:paraId="5F6C39F3" w14:textId="77777777" w:rsidR="00F95065" w:rsidRPr="00F95065" w:rsidRDefault="00F95065" w:rsidP="00F95065">
            <w:pPr>
              <w:spacing w:before="0" w:after="0"/>
              <w:jc w:val="right"/>
              <w:rPr>
                <w:rFonts w:eastAsia="Times New Roman" w:cs="Arial"/>
                <w:b/>
                <w:bCs/>
                <w:sz w:val="20"/>
                <w:szCs w:val="20"/>
                <w:lang w:eastAsia="en-GB"/>
              </w:rPr>
            </w:pPr>
            <w:r w:rsidRPr="00F95065">
              <w:rPr>
                <w:rFonts w:eastAsia="Times New Roman" w:cs="Arial"/>
                <w:b/>
                <w:bCs/>
                <w:sz w:val="20"/>
                <w:szCs w:val="20"/>
                <w:lang w:eastAsia="en-GB"/>
              </w:rPr>
              <w:t>8,781</w:t>
            </w:r>
          </w:p>
        </w:tc>
      </w:tr>
      <w:tr w:rsidR="00F95065" w:rsidRPr="00F95065" w14:paraId="0E93C7A6" w14:textId="77777777" w:rsidTr="00A0140D">
        <w:trPr>
          <w:trHeight w:val="260"/>
        </w:trPr>
        <w:tc>
          <w:tcPr>
            <w:tcW w:w="3261" w:type="dxa"/>
            <w:gridSpan w:val="2"/>
            <w:tcBorders>
              <w:top w:val="nil"/>
              <w:left w:val="nil"/>
              <w:bottom w:val="nil"/>
              <w:right w:val="nil"/>
            </w:tcBorders>
            <w:shd w:val="clear" w:color="auto" w:fill="auto"/>
            <w:noWrap/>
            <w:vAlign w:val="bottom"/>
            <w:hideMark/>
          </w:tcPr>
          <w:p w14:paraId="266A3692" w14:textId="77777777" w:rsidR="00F95065" w:rsidRPr="00F95065" w:rsidRDefault="00F95065" w:rsidP="00F95065">
            <w:pPr>
              <w:spacing w:before="0" w:after="0"/>
              <w:jc w:val="right"/>
              <w:rPr>
                <w:rFonts w:eastAsia="Times New Roman" w:cs="Arial"/>
                <w:b/>
                <w:bCs/>
                <w:sz w:val="20"/>
                <w:szCs w:val="20"/>
                <w:lang w:eastAsia="en-GB"/>
              </w:rPr>
            </w:pPr>
          </w:p>
        </w:tc>
        <w:tc>
          <w:tcPr>
            <w:tcW w:w="1528" w:type="dxa"/>
            <w:tcBorders>
              <w:top w:val="nil"/>
              <w:left w:val="nil"/>
              <w:bottom w:val="nil"/>
              <w:right w:val="nil"/>
            </w:tcBorders>
            <w:shd w:val="clear" w:color="000000" w:fill="FFFFFF"/>
            <w:noWrap/>
            <w:vAlign w:val="bottom"/>
            <w:hideMark/>
          </w:tcPr>
          <w:p w14:paraId="53BC46BF"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78F2E0B4"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18A358FF"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4D99EF00"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2572ADF7"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3B88A3D7"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0402310C"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632046D7"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684A89C2" w14:textId="77777777" w:rsidR="00F95065" w:rsidRPr="00F95065" w:rsidRDefault="00F95065" w:rsidP="00F95065">
            <w:pPr>
              <w:spacing w:before="0" w:after="0"/>
              <w:rPr>
                <w:rFonts w:eastAsia="Times New Roman" w:cs="Arial"/>
                <w:b/>
                <w:bCs/>
                <w:sz w:val="20"/>
                <w:szCs w:val="20"/>
                <w:lang w:eastAsia="en-GB"/>
              </w:rPr>
            </w:pPr>
            <w:r w:rsidRPr="00F95065">
              <w:rPr>
                <w:rFonts w:eastAsia="Times New Roman" w:cs="Arial"/>
                <w:b/>
                <w:bCs/>
                <w:sz w:val="20"/>
                <w:szCs w:val="20"/>
                <w:lang w:eastAsia="en-GB"/>
              </w:rPr>
              <w:t> </w:t>
            </w:r>
          </w:p>
        </w:tc>
      </w:tr>
      <w:tr w:rsidR="00F95065" w:rsidRPr="00F95065" w14:paraId="5C7EFB06" w14:textId="77777777" w:rsidTr="00A0140D">
        <w:trPr>
          <w:trHeight w:val="260"/>
        </w:trPr>
        <w:tc>
          <w:tcPr>
            <w:tcW w:w="3261" w:type="dxa"/>
            <w:gridSpan w:val="2"/>
            <w:tcBorders>
              <w:top w:val="nil"/>
              <w:left w:val="nil"/>
              <w:bottom w:val="nil"/>
              <w:right w:val="nil"/>
            </w:tcBorders>
            <w:shd w:val="clear" w:color="000000" w:fill="FFFFFF"/>
            <w:noWrap/>
            <w:vAlign w:val="bottom"/>
            <w:hideMark/>
          </w:tcPr>
          <w:p w14:paraId="15A5F59E" w14:textId="77777777" w:rsidR="00F95065" w:rsidRPr="00F95065" w:rsidRDefault="00F95065" w:rsidP="00544B0D">
            <w:pPr>
              <w:spacing w:before="0" w:after="0"/>
              <w:contextualSpacing/>
              <w:rPr>
                <w:rFonts w:eastAsia="Times New Roman" w:cs="Arial"/>
                <w:b/>
                <w:bCs/>
                <w:sz w:val="18"/>
                <w:szCs w:val="18"/>
                <w:lang w:eastAsia="en-GB"/>
              </w:rPr>
            </w:pPr>
            <w:r w:rsidRPr="00F95065">
              <w:rPr>
                <w:rFonts w:eastAsia="Times New Roman" w:cs="Arial"/>
                <w:b/>
                <w:bCs/>
                <w:sz w:val="18"/>
                <w:szCs w:val="18"/>
                <w:lang w:eastAsia="en-GB"/>
              </w:rPr>
              <w:t>Restructuring provisions</w:t>
            </w:r>
          </w:p>
        </w:tc>
        <w:tc>
          <w:tcPr>
            <w:tcW w:w="1528" w:type="dxa"/>
            <w:tcBorders>
              <w:top w:val="nil"/>
              <w:left w:val="nil"/>
              <w:bottom w:val="nil"/>
              <w:right w:val="nil"/>
            </w:tcBorders>
            <w:shd w:val="clear" w:color="000000" w:fill="FFFFFF"/>
            <w:noWrap/>
            <w:vAlign w:val="bottom"/>
            <w:hideMark/>
          </w:tcPr>
          <w:p w14:paraId="1ACC6CBE" w14:textId="77777777" w:rsidR="00F95065" w:rsidRPr="00F95065" w:rsidRDefault="00F95065" w:rsidP="00544B0D">
            <w:pPr>
              <w:spacing w:before="0" w:after="0"/>
              <w:contextualSpacing/>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F747BAA" w14:textId="77777777" w:rsidR="00F95065" w:rsidRPr="00F95065" w:rsidRDefault="00F95065" w:rsidP="00544B0D">
            <w:pPr>
              <w:spacing w:before="0" w:after="0"/>
              <w:contextualSpacing/>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22B8EF1E" w14:textId="77777777" w:rsidR="00F95065" w:rsidRPr="00F95065" w:rsidRDefault="00F95065" w:rsidP="00544B0D">
            <w:pPr>
              <w:spacing w:before="0" w:after="0"/>
              <w:contextualSpacing/>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2BBA1AE1" w14:textId="77777777" w:rsidR="00F95065" w:rsidRPr="00F95065" w:rsidRDefault="00F95065" w:rsidP="00544B0D">
            <w:pPr>
              <w:spacing w:before="0" w:after="0"/>
              <w:contextualSpacing/>
              <w:rPr>
                <w:rFonts w:eastAsia="Times New Roman" w:cs="Arial"/>
                <w:sz w:val="20"/>
                <w:szCs w:val="20"/>
                <w:lang w:eastAsia="en-GB"/>
              </w:rPr>
            </w:pPr>
            <w:r w:rsidRPr="00F95065">
              <w:rPr>
                <w:rFonts w:eastAsia="Times New Roman" w:cs="Arial"/>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1DA6006F" w14:textId="77777777" w:rsidR="00F95065" w:rsidRPr="00F95065" w:rsidRDefault="00F95065" w:rsidP="00544B0D">
            <w:pPr>
              <w:spacing w:before="0" w:after="0"/>
              <w:contextualSpacing/>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46B5BE0" w14:textId="77777777" w:rsidR="00F95065" w:rsidRPr="00F95065" w:rsidRDefault="00F95065" w:rsidP="00544B0D">
            <w:pPr>
              <w:spacing w:before="0" w:after="0"/>
              <w:contextualSpacing/>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25B040AC" w14:textId="77777777" w:rsidR="00F95065" w:rsidRPr="00F95065" w:rsidRDefault="00F95065" w:rsidP="00544B0D">
            <w:pPr>
              <w:spacing w:before="0" w:after="0"/>
              <w:contextualSpacing/>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75ADC4F9" w14:textId="77777777" w:rsidR="00F95065" w:rsidRPr="00F95065" w:rsidRDefault="00F95065" w:rsidP="00544B0D">
            <w:pPr>
              <w:spacing w:before="0" w:after="0"/>
              <w:contextualSpacing/>
              <w:rPr>
                <w:rFonts w:eastAsia="Times New Roman" w:cs="Arial"/>
                <w:sz w:val="20"/>
                <w:szCs w:val="20"/>
                <w:lang w:eastAsia="en-GB"/>
              </w:rPr>
            </w:pPr>
            <w:r w:rsidRPr="00F95065">
              <w:rPr>
                <w:rFonts w:eastAsia="Times New Roman" w:cs="Arial"/>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266A7108" w14:textId="77777777" w:rsidR="00F95065" w:rsidRPr="00F95065" w:rsidRDefault="00F95065" w:rsidP="00544B0D">
            <w:pPr>
              <w:spacing w:before="0" w:after="0"/>
              <w:contextualSpacing/>
              <w:rPr>
                <w:rFonts w:eastAsia="Times New Roman" w:cs="Arial"/>
                <w:sz w:val="20"/>
                <w:szCs w:val="20"/>
                <w:lang w:eastAsia="en-GB"/>
              </w:rPr>
            </w:pPr>
            <w:r w:rsidRPr="00F95065">
              <w:rPr>
                <w:rFonts w:eastAsia="Times New Roman" w:cs="Arial"/>
                <w:sz w:val="20"/>
                <w:szCs w:val="20"/>
                <w:lang w:eastAsia="en-GB"/>
              </w:rPr>
              <w:t> </w:t>
            </w:r>
          </w:p>
        </w:tc>
      </w:tr>
      <w:tr w:rsidR="00F95065" w:rsidRPr="00F95065" w14:paraId="1D938D96" w14:textId="77777777" w:rsidTr="00A0140D">
        <w:trPr>
          <w:trHeight w:val="1042"/>
        </w:trPr>
        <w:tc>
          <w:tcPr>
            <w:tcW w:w="11483" w:type="dxa"/>
            <w:gridSpan w:val="16"/>
            <w:tcBorders>
              <w:top w:val="nil"/>
              <w:left w:val="nil"/>
              <w:bottom w:val="nil"/>
              <w:right w:val="nil"/>
            </w:tcBorders>
            <w:shd w:val="clear" w:color="000000" w:fill="FFFFFF"/>
            <w:vAlign w:val="center"/>
            <w:hideMark/>
          </w:tcPr>
          <w:p w14:paraId="0CAE80E5" w14:textId="3DA0018B" w:rsidR="00544B0D" w:rsidRPr="00F95065" w:rsidRDefault="00F95065" w:rsidP="00544B0D">
            <w:pPr>
              <w:spacing w:before="0" w:after="0"/>
              <w:contextualSpacing/>
              <w:rPr>
                <w:rFonts w:eastAsia="Times New Roman" w:cs="Arial"/>
                <w:sz w:val="18"/>
                <w:szCs w:val="18"/>
                <w:lang w:eastAsia="en-GB"/>
              </w:rPr>
            </w:pPr>
            <w:r w:rsidRPr="00F95065">
              <w:rPr>
                <w:rFonts w:eastAsia="Times New Roman" w:cs="Arial"/>
                <w:sz w:val="18"/>
                <w:szCs w:val="18"/>
                <w:lang w:eastAsia="en-GB"/>
              </w:rPr>
              <w:t xml:space="preserve">A restructuring provision has been made as the ICB have a requirement to reduce costs by 30%.  Engagement on the restructure began during March 23. With the information available the ICB estimated the remaining potential one-off costs which could come to bear throughout 2024-25, as a result of decisions made during 2023-24.  These costs are associated with displacement of staff, retraining or redeployment on the basis of the new organisational form. </w:t>
            </w:r>
          </w:p>
        </w:tc>
      </w:tr>
      <w:tr w:rsidR="00F95065" w:rsidRPr="00F95065" w14:paraId="7D612F48" w14:textId="77777777" w:rsidTr="00A0140D">
        <w:trPr>
          <w:trHeight w:val="260"/>
        </w:trPr>
        <w:tc>
          <w:tcPr>
            <w:tcW w:w="3261" w:type="dxa"/>
            <w:gridSpan w:val="2"/>
            <w:tcBorders>
              <w:top w:val="nil"/>
              <w:left w:val="nil"/>
              <w:bottom w:val="nil"/>
              <w:right w:val="nil"/>
            </w:tcBorders>
            <w:shd w:val="clear" w:color="000000" w:fill="FFFFFF"/>
            <w:noWrap/>
            <w:vAlign w:val="bottom"/>
            <w:hideMark/>
          </w:tcPr>
          <w:p w14:paraId="7D308C8C" w14:textId="77777777" w:rsidR="00F95065" w:rsidRPr="00F95065" w:rsidRDefault="00F95065" w:rsidP="00F95065">
            <w:pPr>
              <w:spacing w:before="0" w:after="0"/>
              <w:rPr>
                <w:rFonts w:eastAsia="Times New Roman" w:cs="Arial"/>
                <w:b/>
                <w:bCs/>
                <w:sz w:val="18"/>
                <w:szCs w:val="18"/>
                <w:lang w:eastAsia="en-GB"/>
              </w:rPr>
            </w:pPr>
            <w:r w:rsidRPr="00F95065">
              <w:rPr>
                <w:rFonts w:eastAsia="Times New Roman" w:cs="Arial"/>
                <w:b/>
                <w:bCs/>
                <w:sz w:val="18"/>
                <w:szCs w:val="18"/>
                <w:lang w:eastAsia="en-GB"/>
              </w:rPr>
              <w:t>Legal claims provision</w:t>
            </w:r>
          </w:p>
        </w:tc>
        <w:tc>
          <w:tcPr>
            <w:tcW w:w="1528" w:type="dxa"/>
            <w:tcBorders>
              <w:top w:val="nil"/>
              <w:left w:val="nil"/>
              <w:bottom w:val="nil"/>
              <w:right w:val="nil"/>
            </w:tcBorders>
            <w:shd w:val="clear" w:color="000000" w:fill="FFFFFF"/>
            <w:noWrap/>
            <w:vAlign w:val="bottom"/>
            <w:hideMark/>
          </w:tcPr>
          <w:p w14:paraId="4A8CE034"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198202C9"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2BB18EF8"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5C6918A"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3DCA45FB"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13EB88C6"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4DEADE8F"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668EA7E"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41F8B5BF"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r>
      <w:tr w:rsidR="00F95065" w:rsidRPr="00F95065" w14:paraId="1122F4C1" w14:textId="77777777" w:rsidTr="00A0140D">
        <w:trPr>
          <w:trHeight w:val="622"/>
        </w:trPr>
        <w:tc>
          <w:tcPr>
            <w:tcW w:w="11483" w:type="dxa"/>
            <w:gridSpan w:val="16"/>
            <w:tcBorders>
              <w:top w:val="nil"/>
              <w:left w:val="nil"/>
              <w:bottom w:val="nil"/>
              <w:right w:val="nil"/>
            </w:tcBorders>
            <w:shd w:val="clear" w:color="000000" w:fill="FFFFFF"/>
            <w:vAlign w:val="center"/>
            <w:hideMark/>
          </w:tcPr>
          <w:p w14:paraId="5F328144" w14:textId="77777777" w:rsidR="00F95065" w:rsidRPr="00935B15" w:rsidRDefault="00F95065" w:rsidP="00F95065">
            <w:pPr>
              <w:spacing w:before="0" w:after="0"/>
              <w:rPr>
                <w:rFonts w:eastAsia="Times New Roman" w:cs="Arial"/>
                <w:sz w:val="18"/>
                <w:szCs w:val="18"/>
                <w:lang w:eastAsia="en-GB"/>
              </w:rPr>
            </w:pPr>
            <w:r w:rsidRPr="00F95065">
              <w:rPr>
                <w:rFonts w:eastAsia="Times New Roman" w:cs="Arial"/>
                <w:sz w:val="18"/>
                <w:szCs w:val="18"/>
                <w:lang w:eastAsia="en-GB"/>
              </w:rPr>
              <w:t>A provision had been made for legal proceedings against an individual for the non-payment of debt, this has now been fully utilised.</w:t>
            </w:r>
          </w:p>
          <w:p w14:paraId="5578AA1D" w14:textId="77777777" w:rsidR="00544B0D" w:rsidRPr="00F95065" w:rsidRDefault="00544B0D" w:rsidP="00F95065">
            <w:pPr>
              <w:spacing w:before="0" w:after="0"/>
              <w:rPr>
                <w:rFonts w:eastAsia="Times New Roman" w:cs="Arial"/>
                <w:sz w:val="18"/>
                <w:szCs w:val="18"/>
                <w:lang w:eastAsia="en-GB"/>
              </w:rPr>
            </w:pPr>
          </w:p>
        </w:tc>
      </w:tr>
      <w:tr w:rsidR="00544B0D" w:rsidRPr="00F95065" w14:paraId="532171EE" w14:textId="77777777" w:rsidTr="00A0140D">
        <w:trPr>
          <w:trHeight w:val="260"/>
        </w:trPr>
        <w:tc>
          <w:tcPr>
            <w:tcW w:w="11483" w:type="dxa"/>
            <w:gridSpan w:val="16"/>
            <w:tcBorders>
              <w:top w:val="nil"/>
              <w:left w:val="nil"/>
              <w:bottom w:val="nil"/>
              <w:right w:val="nil"/>
            </w:tcBorders>
            <w:shd w:val="clear" w:color="000000" w:fill="FFFFFF"/>
            <w:noWrap/>
            <w:vAlign w:val="bottom"/>
            <w:hideMark/>
          </w:tcPr>
          <w:p w14:paraId="23962BF7" w14:textId="15CD5729" w:rsidR="00544B0D" w:rsidRPr="00F95065" w:rsidRDefault="00544B0D" w:rsidP="00F95065">
            <w:pPr>
              <w:spacing w:before="0" w:after="0"/>
              <w:rPr>
                <w:rFonts w:eastAsia="Times New Roman" w:cs="Arial"/>
                <w:b/>
                <w:bCs/>
                <w:sz w:val="18"/>
                <w:szCs w:val="18"/>
                <w:lang w:eastAsia="en-GB"/>
              </w:rPr>
            </w:pPr>
            <w:r w:rsidRPr="00F95065">
              <w:rPr>
                <w:rFonts w:eastAsia="Times New Roman" w:cs="Arial"/>
                <w:b/>
                <w:bCs/>
                <w:sz w:val="18"/>
                <w:szCs w:val="18"/>
                <w:lang w:eastAsia="en-GB"/>
              </w:rPr>
              <w:t>Continuing health care provision</w:t>
            </w:r>
            <w:r w:rsidRPr="00935B15">
              <w:rPr>
                <w:rFonts w:eastAsia="Times New Roman" w:cs="Arial"/>
                <w:b/>
                <w:bCs/>
                <w:sz w:val="18"/>
                <w:szCs w:val="18"/>
                <w:lang w:eastAsia="en-GB"/>
              </w:rPr>
              <w:t>s</w:t>
            </w:r>
            <w:r w:rsidRPr="00F95065">
              <w:rPr>
                <w:rFonts w:eastAsia="Times New Roman" w:cs="Arial"/>
                <w:sz w:val="18"/>
                <w:szCs w:val="18"/>
                <w:lang w:eastAsia="en-GB"/>
              </w:rPr>
              <w:t> </w:t>
            </w:r>
          </w:p>
        </w:tc>
      </w:tr>
      <w:tr w:rsidR="00F95065" w:rsidRPr="00F95065" w14:paraId="2CBCF076" w14:textId="77777777" w:rsidTr="00A0140D">
        <w:trPr>
          <w:trHeight w:val="840"/>
        </w:trPr>
        <w:tc>
          <w:tcPr>
            <w:tcW w:w="11483" w:type="dxa"/>
            <w:gridSpan w:val="16"/>
            <w:tcBorders>
              <w:top w:val="nil"/>
              <w:left w:val="nil"/>
              <w:bottom w:val="nil"/>
              <w:right w:val="nil"/>
            </w:tcBorders>
            <w:shd w:val="clear" w:color="000000" w:fill="FFFFFF"/>
            <w:vAlign w:val="center"/>
            <w:hideMark/>
          </w:tcPr>
          <w:p w14:paraId="58A77EEB" w14:textId="77777777" w:rsidR="00F95065" w:rsidRPr="00F95065" w:rsidRDefault="00F95065" w:rsidP="00F95065">
            <w:pPr>
              <w:spacing w:before="0" w:after="0"/>
              <w:rPr>
                <w:rFonts w:eastAsia="Times New Roman" w:cs="Arial"/>
                <w:sz w:val="18"/>
                <w:szCs w:val="18"/>
                <w:lang w:eastAsia="en-GB"/>
              </w:rPr>
            </w:pPr>
            <w:r w:rsidRPr="00F95065">
              <w:rPr>
                <w:rFonts w:eastAsia="Times New Roman" w:cs="Arial"/>
                <w:sz w:val="18"/>
                <w:szCs w:val="18"/>
                <w:lang w:eastAsia="en-GB"/>
              </w:rPr>
              <w:t>Under the Accounts Direction issued by NHS England on 12 Feb 2014, NHS England is responsible for accounting for liabilities relating to NHS continuing health care (CHC) claims relating to periods of care before establishment of the CCGs/ICBs.  However, the legal liability remains with the ICB and has been provided for.</w:t>
            </w:r>
          </w:p>
        </w:tc>
      </w:tr>
      <w:tr w:rsidR="00F95065" w:rsidRPr="00F95065" w14:paraId="2AF7C96D" w14:textId="77777777" w:rsidTr="00A0140D">
        <w:trPr>
          <w:trHeight w:val="1030"/>
        </w:trPr>
        <w:tc>
          <w:tcPr>
            <w:tcW w:w="11483" w:type="dxa"/>
            <w:gridSpan w:val="16"/>
            <w:tcBorders>
              <w:top w:val="nil"/>
              <w:left w:val="nil"/>
              <w:bottom w:val="nil"/>
              <w:right w:val="nil"/>
            </w:tcBorders>
            <w:shd w:val="clear" w:color="000000" w:fill="FFFFFF"/>
            <w:vAlign w:val="center"/>
            <w:hideMark/>
          </w:tcPr>
          <w:p w14:paraId="6761B8B4" w14:textId="3FC9B74B" w:rsidR="00544B0D" w:rsidRPr="00F95065" w:rsidRDefault="00F95065" w:rsidP="00F95065">
            <w:pPr>
              <w:spacing w:before="0" w:after="0"/>
              <w:rPr>
                <w:rFonts w:eastAsia="Times New Roman" w:cs="Arial"/>
                <w:sz w:val="18"/>
                <w:szCs w:val="18"/>
                <w:lang w:eastAsia="en-GB"/>
              </w:rPr>
            </w:pPr>
            <w:r w:rsidRPr="00F95065">
              <w:rPr>
                <w:rFonts w:eastAsia="Times New Roman" w:cs="Arial"/>
                <w:sz w:val="18"/>
                <w:szCs w:val="18"/>
                <w:lang w:eastAsia="en-GB"/>
              </w:rPr>
              <w:t>An additional provision is included to cover the cost of reimbursing residents for CHC amenity top ups back to 2012 as per the national CHC guidance. The provision was calculated based on a year’s packages extrapolated back to 2012 and reduced during Q1 2022-23 following further investigation and then released in full during 2023-24 as it is no longer required.</w:t>
            </w:r>
          </w:p>
        </w:tc>
      </w:tr>
      <w:tr w:rsidR="00F95065" w:rsidRPr="00F95065" w14:paraId="1550ED55" w14:textId="77777777" w:rsidTr="00A0140D">
        <w:trPr>
          <w:trHeight w:val="260"/>
        </w:trPr>
        <w:tc>
          <w:tcPr>
            <w:tcW w:w="3261" w:type="dxa"/>
            <w:gridSpan w:val="2"/>
            <w:tcBorders>
              <w:top w:val="nil"/>
              <w:left w:val="nil"/>
              <w:bottom w:val="nil"/>
              <w:right w:val="nil"/>
            </w:tcBorders>
            <w:shd w:val="clear" w:color="000000" w:fill="FFFFFF"/>
            <w:noWrap/>
            <w:vAlign w:val="bottom"/>
            <w:hideMark/>
          </w:tcPr>
          <w:p w14:paraId="1C6B0937" w14:textId="77777777" w:rsidR="00F95065" w:rsidRPr="00F95065" w:rsidRDefault="00F95065" w:rsidP="00F95065">
            <w:pPr>
              <w:spacing w:before="0" w:after="0"/>
              <w:rPr>
                <w:rFonts w:eastAsia="Times New Roman" w:cs="Arial"/>
                <w:b/>
                <w:bCs/>
                <w:sz w:val="18"/>
                <w:szCs w:val="18"/>
                <w:lang w:eastAsia="en-GB"/>
              </w:rPr>
            </w:pPr>
            <w:r w:rsidRPr="00F95065">
              <w:rPr>
                <w:rFonts w:eastAsia="Times New Roman" w:cs="Arial"/>
                <w:b/>
                <w:bCs/>
                <w:sz w:val="18"/>
                <w:szCs w:val="18"/>
                <w:lang w:eastAsia="en-GB"/>
              </w:rPr>
              <w:t>Other provisions</w:t>
            </w:r>
          </w:p>
        </w:tc>
        <w:tc>
          <w:tcPr>
            <w:tcW w:w="1528" w:type="dxa"/>
            <w:tcBorders>
              <w:top w:val="nil"/>
              <w:left w:val="nil"/>
              <w:bottom w:val="nil"/>
              <w:right w:val="nil"/>
            </w:tcBorders>
            <w:shd w:val="clear" w:color="000000" w:fill="FFFFFF"/>
            <w:noWrap/>
            <w:vAlign w:val="bottom"/>
            <w:hideMark/>
          </w:tcPr>
          <w:p w14:paraId="514D51CE"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1E4828F9"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5158A9D4"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1780DE5"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426" w:type="dxa"/>
            <w:gridSpan w:val="2"/>
            <w:tcBorders>
              <w:top w:val="nil"/>
              <w:left w:val="nil"/>
              <w:bottom w:val="nil"/>
              <w:right w:val="nil"/>
            </w:tcBorders>
            <w:shd w:val="clear" w:color="000000" w:fill="FFFFFF"/>
            <w:noWrap/>
            <w:vAlign w:val="bottom"/>
            <w:hideMark/>
          </w:tcPr>
          <w:p w14:paraId="05B9E8E8"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828B02C"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180" w:type="dxa"/>
            <w:gridSpan w:val="2"/>
            <w:tcBorders>
              <w:top w:val="nil"/>
              <w:left w:val="nil"/>
              <w:bottom w:val="nil"/>
              <w:right w:val="nil"/>
            </w:tcBorders>
            <w:shd w:val="clear" w:color="000000" w:fill="FFFFFF"/>
            <w:noWrap/>
            <w:vAlign w:val="bottom"/>
            <w:hideMark/>
          </w:tcPr>
          <w:p w14:paraId="5BFB620C"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5ED4CEF"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c>
          <w:tcPr>
            <w:tcW w:w="1820" w:type="dxa"/>
            <w:gridSpan w:val="3"/>
            <w:tcBorders>
              <w:top w:val="nil"/>
              <w:left w:val="nil"/>
              <w:bottom w:val="nil"/>
              <w:right w:val="nil"/>
            </w:tcBorders>
            <w:shd w:val="clear" w:color="000000" w:fill="FFFFFF"/>
            <w:noWrap/>
            <w:vAlign w:val="bottom"/>
            <w:hideMark/>
          </w:tcPr>
          <w:p w14:paraId="0BAD6038" w14:textId="77777777" w:rsidR="00F95065" w:rsidRPr="00F95065" w:rsidRDefault="00F95065" w:rsidP="00F95065">
            <w:pPr>
              <w:spacing w:before="0" w:after="0"/>
              <w:rPr>
                <w:rFonts w:eastAsia="Times New Roman" w:cs="Arial"/>
                <w:sz w:val="20"/>
                <w:szCs w:val="20"/>
                <w:lang w:eastAsia="en-GB"/>
              </w:rPr>
            </w:pPr>
            <w:r w:rsidRPr="00F95065">
              <w:rPr>
                <w:rFonts w:eastAsia="Times New Roman" w:cs="Arial"/>
                <w:sz w:val="20"/>
                <w:szCs w:val="20"/>
                <w:lang w:eastAsia="en-GB"/>
              </w:rPr>
              <w:t> </w:t>
            </w:r>
          </w:p>
        </w:tc>
      </w:tr>
      <w:tr w:rsidR="00F95065" w:rsidRPr="00F95065" w14:paraId="01FA3760" w14:textId="77777777" w:rsidTr="00A0140D">
        <w:trPr>
          <w:trHeight w:val="840"/>
        </w:trPr>
        <w:tc>
          <w:tcPr>
            <w:tcW w:w="11483" w:type="dxa"/>
            <w:gridSpan w:val="16"/>
            <w:tcBorders>
              <w:top w:val="nil"/>
              <w:left w:val="nil"/>
              <w:bottom w:val="nil"/>
              <w:right w:val="nil"/>
            </w:tcBorders>
            <w:shd w:val="clear" w:color="000000" w:fill="FFFFFF"/>
            <w:vAlign w:val="center"/>
            <w:hideMark/>
          </w:tcPr>
          <w:p w14:paraId="1229B9BB" w14:textId="77777777" w:rsidR="00F95065" w:rsidRPr="00935B15" w:rsidRDefault="00F95065" w:rsidP="00F95065">
            <w:pPr>
              <w:spacing w:before="0" w:after="0"/>
              <w:rPr>
                <w:rFonts w:eastAsia="Times New Roman" w:cs="Arial"/>
                <w:sz w:val="18"/>
                <w:szCs w:val="18"/>
                <w:lang w:eastAsia="en-GB"/>
              </w:rPr>
            </w:pPr>
            <w:r w:rsidRPr="00F95065">
              <w:rPr>
                <w:rFonts w:eastAsia="Times New Roman" w:cs="Arial"/>
                <w:sz w:val="18"/>
                <w:szCs w:val="18"/>
                <w:lang w:eastAsia="en-GB"/>
              </w:rPr>
              <w:t>A provision has been created for dilapidation of rented buildings, estimated at 7.5% per year of occupation and for returning Brentwood Community Health to its original condition following the end of temporary arrangement to use the space for clinical purposes during covid.</w:t>
            </w:r>
          </w:p>
          <w:p w14:paraId="12D49F91" w14:textId="65C6F2FA" w:rsidR="00497B48" w:rsidRPr="00F95065" w:rsidRDefault="00497B48" w:rsidP="00F95065">
            <w:pPr>
              <w:spacing w:before="0" w:after="0"/>
              <w:rPr>
                <w:rFonts w:eastAsia="Times New Roman" w:cs="Arial"/>
                <w:sz w:val="18"/>
                <w:szCs w:val="18"/>
                <w:lang w:eastAsia="en-GB"/>
              </w:rPr>
            </w:pPr>
            <w:r w:rsidRPr="00F95065">
              <w:rPr>
                <w:rFonts w:eastAsia="Times New Roman" w:cs="Arial"/>
                <w:sz w:val="18"/>
                <w:szCs w:val="18"/>
                <w:lang w:eastAsia="en-GB"/>
              </w:rPr>
              <w:t>A provision has been created following the Manchester ruling to cover the impact on providers that will require additional funding following this ruling. The Manchester ruling has found that healthcare assistants (HCAs) in hospitals across Manchester have been performing clinical duties that are above their pay grade.</w:t>
            </w:r>
          </w:p>
        </w:tc>
      </w:tr>
      <w:tr w:rsidR="00A0140D" w:rsidRPr="00A0140D" w14:paraId="656973F0" w14:textId="77777777" w:rsidTr="000E0BC9">
        <w:trPr>
          <w:gridBefore w:val="1"/>
          <w:gridAfter w:val="1"/>
          <w:wBefore w:w="851" w:type="dxa"/>
          <w:wAfter w:w="412" w:type="dxa"/>
          <w:trHeight w:val="260"/>
        </w:trPr>
        <w:tc>
          <w:tcPr>
            <w:tcW w:w="10220" w:type="dxa"/>
            <w:gridSpan w:val="14"/>
            <w:tcBorders>
              <w:top w:val="nil"/>
              <w:left w:val="nil"/>
              <w:bottom w:val="nil"/>
            </w:tcBorders>
            <w:shd w:val="clear" w:color="auto" w:fill="auto"/>
            <w:noWrap/>
            <w:vAlign w:val="bottom"/>
            <w:hideMark/>
          </w:tcPr>
          <w:p w14:paraId="4F074832" w14:textId="486EA599" w:rsidR="00A0140D" w:rsidRPr="00A0140D" w:rsidRDefault="00A0140D" w:rsidP="00A0140D">
            <w:pPr>
              <w:spacing w:before="0" w:after="0"/>
              <w:rPr>
                <w:rFonts w:ascii="Times New Roman" w:eastAsia="Times New Roman" w:hAnsi="Times New Roman" w:cs="Times New Roman"/>
                <w:sz w:val="20"/>
                <w:szCs w:val="20"/>
                <w:lang w:eastAsia="en-GB"/>
              </w:rPr>
            </w:pPr>
            <w:r w:rsidRPr="00A0140D">
              <w:rPr>
                <w:rFonts w:eastAsia="Times New Roman" w:cs="Arial"/>
                <w:i/>
                <w:iCs/>
                <w:sz w:val="20"/>
                <w:szCs w:val="20"/>
                <w:lang w:eastAsia="en-GB"/>
              </w:rPr>
              <w:lastRenderedPageBreak/>
              <w:t>NHS Mid and South Essex Integrated Care Board - Statutory Accounts 2023-24</w:t>
            </w:r>
          </w:p>
        </w:tc>
      </w:tr>
      <w:tr w:rsidR="00A0140D" w:rsidRPr="00A0140D" w14:paraId="2F997F7A" w14:textId="77777777" w:rsidTr="00A0140D">
        <w:trPr>
          <w:gridBefore w:val="1"/>
          <w:gridAfter w:val="1"/>
          <w:wBefore w:w="851" w:type="dxa"/>
          <w:wAfter w:w="412" w:type="dxa"/>
          <w:trHeight w:val="250"/>
        </w:trPr>
        <w:tc>
          <w:tcPr>
            <w:tcW w:w="4980" w:type="dxa"/>
            <w:gridSpan w:val="4"/>
            <w:tcBorders>
              <w:top w:val="nil"/>
              <w:left w:val="nil"/>
              <w:bottom w:val="nil"/>
              <w:right w:val="nil"/>
            </w:tcBorders>
            <w:shd w:val="clear" w:color="auto" w:fill="auto"/>
            <w:noWrap/>
            <w:vAlign w:val="bottom"/>
            <w:hideMark/>
          </w:tcPr>
          <w:p w14:paraId="1991ACDC" w14:textId="77777777" w:rsidR="00A0140D" w:rsidRPr="00A0140D" w:rsidRDefault="00A0140D" w:rsidP="00A0140D">
            <w:pPr>
              <w:spacing w:before="0" w:after="0"/>
              <w:rPr>
                <w:rFonts w:ascii="Times New Roman" w:eastAsia="Times New Roman" w:hAnsi="Times New Roman" w:cs="Times New Roman"/>
                <w:sz w:val="20"/>
                <w:szCs w:val="20"/>
                <w:lang w:eastAsia="en-GB"/>
              </w:rPr>
            </w:pPr>
          </w:p>
        </w:tc>
        <w:tc>
          <w:tcPr>
            <w:tcW w:w="1280" w:type="dxa"/>
            <w:gridSpan w:val="3"/>
            <w:tcBorders>
              <w:top w:val="nil"/>
              <w:left w:val="nil"/>
              <w:bottom w:val="nil"/>
              <w:right w:val="nil"/>
            </w:tcBorders>
            <w:shd w:val="clear" w:color="auto" w:fill="auto"/>
            <w:noWrap/>
            <w:vAlign w:val="bottom"/>
            <w:hideMark/>
          </w:tcPr>
          <w:p w14:paraId="04A13244" w14:textId="77777777" w:rsidR="00A0140D" w:rsidRPr="00A0140D" w:rsidRDefault="00A0140D" w:rsidP="00A0140D">
            <w:pPr>
              <w:spacing w:before="0" w:after="0"/>
              <w:rPr>
                <w:rFonts w:ascii="Times New Roman" w:eastAsia="Times New Roman" w:hAnsi="Times New Roman" w:cs="Times New Roman"/>
                <w:sz w:val="20"/>
                <w:szCs w:val="20"/>
                <w:lang w:eastAsia="en-GB"/>
              </w:rPr>
            </w:pPr>
          </w:p>
        </w:tc>
        <w:tc>
          <w:tcPr>
            <w:tcW w:w="1280" w:type="dxa"/>
            <w:gridSpan w:val="3"/>
            <w:tcBorders>
              <w:top w:val="nil"/>
              <w:left w:val="nil"/>
              <w:bottom w:val="nil"/>
              <w:right w:val="nil"/>
            </w:tcBorders>
            <w:shd w:val="clear" w:color="auto" w:fill="auto"/>
            <w:noWrap/>
            <w:vAlign w:val="bottom"/>
            <w:hideMark/>
          </w:tcPr>
          <w:p w14:paraId="371212FA" w14:textId="77777777" w:rsidR="00A0140D" w:rsidRPr="00A0140D" w:rsidRDefault="00A0140D" w:rsidP="00A0140D">
            <w:pPr>
              <w:spacing w:before="0" w:after="0"/>
              <w:rPr>
                <w:rFonts w:ascii="Times New Roman" w:eastAsia="Times New Roman" w:hAnsi="Times New Roman" w:cs="Times New Roman"/>
                <w:sz w:val="20"/>
                <w:szCs w:val="20"/>
                <w:lang w:eastAsia="en-GB"/>
              </w:rPr>
            </w:pPr>
          </w:p>
        </w:tc>
        <w:tc>
          <w:tcPr>
            <w:tcW w:w="1280" w:type="dxa"/>
            <w:gridSpan w:val="3"/>
            <w:tcBorders>
              <w:top w:val="nil"/>
              <w:left w:val="nil"/>
              <w:bottom w:val="nil"/>
              <w:right w:val="nil"/>
            </w:tcBorders>
            <w:shd w:val="clear" w:color="auto" w:fill="auto"/>
            <w:noWrap/>
            <w:vAlign w:val="bottom"/>
            <w:hideMark/>
          </w:tcPr>
          <w:p w14:paraId="4B6EC41B" w14:textId="77777777" w:rsidR="00A0140D" w:rsidRPr="00A0140D" w:rsidRDefault="00A0140D" w:rsidP="00A0140D">
            <w:pPr>
              <w:spacing w:before="0" w:after="0"/>
              <w:rPr>
                <w:rFonts w:ascii="Times New Roman" w:eastAsia="Times New Roman" w:hAnsi="Times New Roman" w:cs="Times New Roman"/>
                <w:sz w:val="20"/>
                <w:szCs w:val="20"/>
                <w:lang w:eastAsia="en-GB"/>
              </w:rPr>
            </w:pPr>
          </w:p>
        </w:tc>
        <w:tc>
          <w:tcPr>
            <w:tcW w:w="1400" w:type="dxa"/>
            <w:tcBorders>
              <w:top w:val="nil"/>
              <w:left w:val="nil"/>
              <w:bottom w:val="nil"/>
              <w:right w:val="nil"/>
            </w:tcBorders>
            <w:shd w:val="clear" w:color="auto" w:fill="auto"/>
            <w:noWrap/>
            <w:vAlign w:val="bottom"/>
            <w:hideMark/>
          </w:tcPr>
          <w:p w14:paraId="73661DFE" w14:textId="77777777" w:rsidR="00A0140D" w:rsidRPr="00A0140D" w:rsidRDefault="00A0140D" w:rsidP="00A0140D">
            <w:pPr>
              <w:spacing w:before="0" w:after="0"/>
              <w:rPr>
                <w:rFonts w:ascii="Times New Roman" w:eastAsia="Times New Roman" w:hAnsi="Times New Roman" w:cs="Times New Roman"/>
                <w:sz w:val="20"/>
                <w:szCs w:val="20"/>
                <w:lang w:eastAsia="en-GB"/>
              </w:rPr>
            </w:pPr>
          </w:p>
        </w:tc>
      </w:tr>
      <w:tr w:rsidR="00A0140D" w:rsidRPr="00A0140D" w14:paraId="3DC7C691" w14:textId="77777777" w:rsidTr="00A0140D">
        <w:trPr>
          <w:gridBefore w:val="1"/>
          <w:gridAfter w:val="1"/>
          <w:wBefore w:w="851" w:type="dxa"/>
          <w:wAfter w:w="412" w:type="dxa"/>
          <w:trHeight w:val="260"/>
        </w:trPr>
        <w:tc>
          <w:tcPr>
            <w:tcW w:w="4980" w:type="dxa"/>
            <w:gridSpan w:val="4"/>
            <w:tcBorders>
              <w:top w:val="nil"/>
              <w:left w:val="nil"/>
              <w:bottom w:val="nil"/>
              <w:right w:val="nil"/>
            </w:tcBorders>
            <w:shd w:val="clear" w:color="000000" w:fill="FFFFFF"/>
            <w:noWrap/>
            <w:vAlign w:val="bottom"/>
            <w:hideMark/>
          </w:tcPr>
          <w:p w14:paraId="2EBC3BDF" w14:textId="77777777" w:rsidR="00A0140D" w:rsidRPr="00A0140D" w:rsidRDefault="00A0140D" w:rsidP="00A0140D">
            <w:pPr>
              <w:spacing w:before="0" w:after="0"/>
              <w:rPr>
                <w:rFonts w:eastAsia="Times New Roman" w:cs="Arial"/>
                <w:b/>
                <w:bCs/>
                <w:sz w:val="20"/>
                <w:szCs w:val="20"/>
                <w:lang w:eastAsia="en-GB"/>
              </w:rPr>
            </w:pPr>
            <w:r w:rsidRPr="00A0140D">
              <w:rPr>
                <w:rFonts w:eastAsia="Times New Roman" w:cs="Arial"/>
                <w:b/>
                <w:bCs/>
                <w:sz w:val="20"/>
                <w:szCs w:val="20"/>
                <w:lang w:eastAsia="en-GB"/>
              </w:rPr>
              <w:t>16 Financial Instruments</w:t>
            </w:r>
          </w:p>
        </w:tc>
        <w:tc>
          <w:tcPr>
            <w:tcW w:w="1280" w:type="dxa"/>
            <w:gridSpan w:val="3"/>
            <w:tcBorders>
              <w:top w:val="nil"/>
              <w:left w:val="nil"/>
              <w:bottom w:val="nil"/>
              <w:right w:val="nil"/>
            </w:tcBorders>
            <w:shd w:val="clear" w:color="000000" w:fill="FFFFFF"/>
            <w:noWrap/>
            <w:vAlign w:val="bottom"/>
            <w:hideMark/>
          </w:tcPr>
          <w:p w14:paraId="0651979B"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0331D4A1"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29B6C442"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400" w:type="dxa"/>
            <w:tcBorders>
              <w:top w:val="nil"/>
              <w:left w:val="nil"/>
              <w:bottom w:val="nil"/>
              <w:right w:val="nil"/>
            </w:tcBorders>
            <w:shd w:val="clear" w:color="000000" w:fill="FFFFFF"/>
            <w:noWrap/>
            <w:vAlign w:val="bottom"/>
            <w:hideMark/>
          </w:tcPr>
          <w:p w14:paraId="6393F26A"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r>
      <w:tr w:rsidR="00A0140D" w:rsidRPr="00A0140D" w14:paraId="0092595C" w14:textId="77777777" w:rsidTr="00A0140D">
        <w:trPr>
          <w:gridBefore w:val="1"/>
          <w:gridAfter w:val="1"/>
          <w:wBefore w:w="851" w:type="dxa"/>
          <w:wAfter w:w="412" w:type="dxa"/>
          <w:trHeight w:val="120"/>
        </w:trPr>
        <w:tc>
          <w:tcPr>
            <w:tcW w:w="4980" w:type="dxa"/>
            <w:gridSpan w:val="4"/>
            <w:tcBorders>
              <w:top w:val="nil"/>
              <w:left w:val="nil"/>
              <w:bottom w:val="nil"/>
              <w:right w:val="nil"/>
            </w:tcBorders>
            <w:shd w:val="clear" w:color="000000" w:fill="FFFFFF"/>
            <w:noWrap/>
            <w:vAlign w:val="bottom"/>
            <w:hideMark/>
          </w:tcPr>
          <w:p w14:paraId="34197E65"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5112BABD"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5692BA87"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560AAD06"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400" w:type="dxa"/>
            <w:tcBorders>
              <w:top w:val="nil"/>
              <w:left w:val="nil"/>
              <w:bottom w:val="nil"/>
              <w:right w:val="nil"/>
            </w:tcBorders>
            <w:shd w:val="clear" w:color="000000" w:fill="FFFFFF"/>
            <w:noWrap/>
            <w:vAlign w:val="bottom"/>
            <w:hideMark/>
          </w:tcPr>
          <w:p w14:paraId="729CB32A"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r>
      <w:tr w:rsidR="00A0140D" w:rsidRPr="00A0140D" w14:paraId="71AB9307" w14:textId="77777777" w:rsidTr="00A0140D">
        <w:trPr>
          <w:gridBefore w:val="1"/>
          <w:gridAfter w:val="1"/>
          <w:wBefore w:w="851" w:type="dxa"/>
          <w:wAfter w:w="412" w:type="dxa"/>
          <w:trHeight w:val="260"/>
        </w:trPr>
        <w:tc>
          <w:tcPr>
            <w:tcW w:w="4980" w:type="dxa"/>
            <w:gridSpan w:val="4"/>
            <w:tcBorders>
              <w:top w:val="nil"/>
              <w:left w:val="nil"/>
              <w:bottom w:val="nil"/>
              <w:right w:val="nil"/>
            </w:tcBorders>
            <w:shd w:val="clear" w:color="000000" w:fill="FFFFFF"/>
            <w:noWrap/>
            <w:vAlign w:val="bottom"/>
            <w:hideMark/>
          </w:tcPr>
          <w:p w14:paraId="097ABEB8" w14:textId="77777777" w:rsidR="00A0140D" w:rsidRPr="00A0140D" w:rsidRDefault="00A0140D" w:rsidP="00A0140D">
            <w:pPr>
              <w:spacing w:before="0" w:after="0"/>
              <w:rPr>
                <w:rFonts w:eastAsia="Times New Roman" w:cs="Arial"/>
                <w:b/>
                <w:bCs/>
                <w:sz w:val="20"/>
                <w:szCs w:val="20"/>
                <w:lang w:eastAsia="en-GB"/>
              </w:rPr>
            </w:pPr>
            <w:r w:rsidRPr="00A0140D">
              <w:rPr>
                <w:rFonts w:eastAsia="Times New Roman" w:cs="Arial"/>
                <w:b/>
                <w:bCs/>
                <w:sz w:val="20"/>
                <w:szCs w:val="20"/>
                <w:lang w:eastAsia="en-GB"/>
              </w:rPr>
              <w:t>16.1 Financial Risk Management</w:t>
            </w:r>
          </w:p>
        </w:tc>
        <w:tc>
          <w:tcPr>
            <w:tcW w:w="1280" w:type="dxa"/>
            <w:gridSpan w:val="3"/>
            <w:tcBorders>
              <w:top w:val="nil"/>
              <w:left w:val="nil"/>
              <w:bottom w:val="nil"/>
              <w:right w:val="nil"/>
            </w:tcBorders>
            <w:shd w:val="clear" w:color="000000" w:fill="FFFFFF"/>
            <w:noWrap/>
            <w:vAlign w:val="bottom"/>
            <w:hideMark/>
          </w:tcPr>
          <w:p w14:paraId="44F35756"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466A4FF4"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778A0D5E"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400" w:type="dxa"/>
            <w:tcBorders>
              <w:top w:val="nil"/>
              <w:left w:val="nil"/>
              <w:bottom w:val="nil"/>
              <w:right w:val="nil"/>
            </w:tcBorders>
            <w:shd w:val="clear" w:color="000000" w:fill="FFFFFF"/>
            <w:noWrap/>
            <w:vAlign w:val="bottom"/>
            <w:hideMark/>
          </w:tcPr>
          <w:p w14:paraId="062FC52A"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r>
      <w:tr w:rsidR="00A0140D" w:rsidRPr="00A0140D" w14:paraId="5BDE6702" w14:textId="77777777" w:rsidTr="00A0140D">
        <w:trPr>
          <w:gridBefore w:val="1"/>
          <w:gridAfter w:val="1"/>
          <w:wBefore w:w="851" w:type="dxa"/>
          <w:wAfter w:w="412" w:type="dxa"/>
          <w:trHeight w:val="120"/>
        </w:trPr>
        <w:tc>
          <w:tcPr>
            <w:tcW w:w="4980" w:type="dxa"/>
            <w:gridSpan w:val="4"/>
            <w:tcBorders>
              <w:top w:val="nil"/>
              <w:left w:val="nil"/>
              <w:bottom w:val="nil"/>
              <w:right w:val="nil"/>
            </w:tcBorders>
            <w:shd w:val="clear" w:color="000000" w:fill="FFFFFF"/>
            <w:noWrap/>
            <w:vAlign w:val="bottom"/>
            <w:hideMark/>
          </w:tcPr>
          <w:p w14:paraId="5E346B47"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1C0466D3"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6FE972EF"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69EB2332"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400" w:type="dxa"/>
            <w:tcBorders>
              <w:top w:val="nil"/>
              <w:left w:val="nil"/>
              <w:bottom w:val="nil"/>
              <w:right w:val="nil"/>
            </w:tcBorders>
            <w:shd w:val="clear" w:color="000000" w:fill="FFFFFF"/>
            <w:noWrap/>
            <w:vAlign w:val="bottom"/>
            <w:hideMark/>
          </w:tcPr>
          <w:p w14:paraId="7CB23669"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r>
      <w:tr w:rsidR="00A0140D" w:rsidRPr="00A0140D" w14:paraId="12001947" w14:textId="77777777" w:rsidTr="00A0140D">
        <w:trPr>
          <w:gridBefore w:val="1"/>
          <w:gridAfter w:val="1"/>
          <w:wBefore w:w="851" w:type="dxa"/>
          <w:wAfter w:w="412" w:type="dxa"/>
          <w:trHeight w:val="590"/>
        </w:trPr>
        <w:tc>
          <w:tcPr>
            <w:tcW w:w="10220" w:type="dxa"/>
            <w:gridSpan w:val="14"/>
            <w:tcBorders>
              <w:top w:val="nil"/>
              <w:left w:val="nil"/>
              <w:bottom w:val="nil"/>
              <w:right w:val="nil"/>
            </w:tcBorders>
            <w:shd w:val="clear" w:color="000000" w:fill="FFFFFF"/>
            <w:vAlign w:val="bottom"/>
            <w:hideMark/>
          </w:tcPr>
          <w:p w14:paraId="7E22A425"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Financial reporting standard IFRS 7 requires disclosure of the role that financial instruments have had during the period in creating or changing the risks a body faces in undertaking its activities.</w:t>
            </w:r>
          </w:p>
        </w:tc>
      </w:tr>
      <w:tr w:rsidR="00A0140D" w:rsidRPr="00A0140D" w14:paraId="43BC5A1E" w14:textId="77777777" w:rsidTr="00A0140D">
        <w:trPr>
          <w:gridBefore w:val="1"/>
          <w:gridAfter w:val="1"/>
          <w:wBefore w:w="851" w:type="dxa"/>
          <w:wAfter w:w="412" w:type="dxa"/>
          <w:trHeight w:val="1330"/>
        </w:trPr>
        <w:tc>
          <w:tcPr>
            <w:tcW w:w="10220" w:type="dxa"/>
            <w:gridSpan w:val="14"/>
            <w:tcBorders>
              <w:top w:val="nil"/>
              <w:left w:val="nil"/>
              <w:bottom w:val="nil"/>
              <w:right w:val="nil"/>
            </w:tcBorders>
            <w:shd w:val="clear" w:color="000000" w:fill="FFFFFF"/>
            <w:vAlign w:val="center"/>
            <w:hideMark/>
          </w:tcPr>
          <w:p w14:paraId="272EA6A9"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xml:space="preserve">Because the  ICB is financed through parliamentary funding, it is not exposed to the degree of financial risk faced by business entities. Also, financial instruments play a much more limited role in creating or changing risk than would be typical of listed companies, to which the financial reporting standards mainly apply. The ICB has limited powers to borrow or invest surplus funds and financial assets and liabilities are generated by day-to-day operational activities rather than being held to change the risks facing the ICB in undertaking its activities.  </w:t>
            </w:r>
          </w:p>
        </w:tc>
      </w:tr>
      <w:tr w:rsidR="00A0140D" w:rsidRPr="00A0140D" w14:paraId="1B090264" w14:textId="77777777" w:rsidTr="00A0140D">
        <w:trPr>
          <w:gridBefore w:val="1"/>
          <w:gridAfter w:val="1"/>
          <w:wBefore w:w="851" w:type="dxa"/>
          <w:wAfter w:w="412" w:type="dxa"/>
          <w:trHeight w:val="800"/>
        </w:trPr>
        <w:tc>
          <w:tcPr>
            <w:tcW w:w="10220" w:type="dxa"/>
            <w:gridSpan w:val="14"/>
            <w:tcBorders>
              <w:top w:val="nil"/>
              <w:left w:val="nil"/>
              <w:bottom w:val="nil"/>
              <w:right w:val="nil"/>
            </w:tcBorders>
            <w:shd w:val="clear" w:color="000000" w:fill="FFFFFF"/>
            <w:vAlign w:val="bottom"/>
            <w:hideMark/>
          </w:tcPr>
          <w:p w14:paraId="335D3D64"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Treasury management operations are carried out by the finance department, within parameters defined formally within the ICB standing financial instructions and policies agreed by the Governing Body. Treasury activity is subject to review by the ICB and internal auditors.</w:t>
            </w:r>
          </w:p>
        </w:tc>
      </w:tr>
      <w:tr w:rsidR="00A0140D" w:rsidRPr="00A0140D" w14:paraId="0F209421" w14:textId="77777777" w:rsidTr="00A0140D">
        <w:trPr>
          <w:gridBefore w:val="1"/>
          <w:gridAfter w:val="1"/>
          <w:wBefore w:w="851" w:type="dxa"/>
          <w:wAfter w:w="412" w:type="dxa"/>
          <w:trHeight w:val="260"/>
        </w:trPr>
        <w:tc>
          <w:tcPr>
            <w:tcW w:w="4980" w:type="dxa"/>
            <w:gridSpan w:val="4"/>
            <w:tcBorders>
              <w:top w:val="nil"/>
              <w:left w:val="nil"/>
              <w:bottom w:val="nil"/>
              <w:right w:val="nil"/>
            </w:tcBorders>
            <w:shd w:val="clear" w:color="000000" w:fill="FFFFFF"/>
            <w:noWrap/>
            <w:vAlign w:val="bottom"/>
            <w:hideMark/>
          </w:tcPr>
          <w:p w14:paraId="43AD80BB"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72306DEE"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46F64829"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713B1ABE"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400" w:type="dxa"/>
            <w:tcBorders>
              <w:top w:val="nil"/>
              <w:left w:val="nil"/>
              <w:bottom w:val="nil"/>
              <w:right w:val="nil"/>
            </w:tcBorders>
            <w:shd w:val="clear" w:color="000000" w:fill="FFFFFF"/>
            <w:noWrap/>
            <w:vAlign w:val="bottom"/>
            <w:hideMark/>
          </w:tcPr>
          <w:p w14:paraId="037DE0AA"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r>
      <w:tr w:rsidR="00A0140D" w:rsidRPr="00A0140D" w14:paraId="75F83B47" w14:textId="77777777" w:rsidTr="00A0140D">
        <w:trPr>
          <w:gridBefore w:val="1"/>
          <w:gridAfter w:val="1"/>
          <w:wBefore w:w="851" w:type="dxa"/>
          <w:wAfter w:w="412" w:type="dxa"/>
          <w:trHeight w:val="260"/>
        </w:trPr>
        <w:tc>
          <w:tcPr>
            <w:tcW w:w="4980" w:type="dxa"/>
            <w:gridSpan w:val="4"/>
            <w:tcBorders>
              <w:top w:val="nil"/>
              <w:left w:val="nil"/>
              <w:bottom w:val="nil"/>
              <w:right w:val="nil"/>
            </w:tcBorders>
            <w:shd w:val="clear" w:color="000000" w:fill="FFFFFF"/>
            <w:noWrap/>
            <w:vAlign w:val="bottom"/>
            <w:hideMark/>
          </w:tcPr>
          <w:p w14:paraId="6FDF7C91" w14:textId="77777777" w:rsidR="00A0140D" w:rsidRPr="00A0140D" w:rsidRDefault="00A0140D" w:rsidP="00A0140D">
            <w:pPr>
              <w:spacing w:before="0" w:after="0"/>
              <w:rPr>
                <w:rFonts w:eastAsia="Times New Roman" w:cs="Arial"/>
                <w:b/>
                <w:bCs/>
                <w:sz w:val="20"/>
                <w:szCs w:val="20"/>
                <w:lang w:eastAsia="en-GB"/>
              </w:rPr>
            </w:pPr>
            <w:r w:rsidRPr="00A0140D">
              <w:rPr>
                <w:rFonts w:eastAsia="Times New Roman" w:cs="Arial"/>
                <w:b/>
                <w:bCs/>
                <w:sz w:val="20"/>
                <w:szCs w:val="20"/>
                <w:lang w:eastAsia="en-GB"/>
              </w:rPr>
              <w:t>16.1.1 Currency Risk</w:t>
            </w:r>
          </w:p>
        </w:tc>
        <w:tc>
          <w:tcPr>
            <w:tcW w:w="1280" w:type="dxa"/>
            <w:gridSpan w:val="3"/>
            <w:tcBorders>
              <w:top w:val="nil"/>
              <w:left w:val="nil"/>
              <w:bottom w:val="nil"/>
              <w:right w:val="nil"/>
            </w:tcBorders>
            <w:shd w:val="clear" w:color="000000" w:fill="FFFFFF"/>
            <w:noWrap/>
            <w:vAlign w:val="bottom"/>
            <w:hideMark/>
          </w:tcPr>
          <w:p w14:paraId="6BBACAEC"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7807B080"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5A0B0693"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400" w:type="dxa"/>
            <w:tcBorders>
              <w:top w:val="nil"/>
              <w:left w:val="nil"/>
              <w:bottom w:val="nil"/>
              <w:right w:val="nil"/>
            </w:tcBorders>
            <w:shd w:val="clear" w:color="000000" w:fill="FFFFFF"/>
            <w:noWrap/>
            <w:vAlign w:val="bottom"/>
            <w:hideMark/>
          </w:tcPr>
          <w:p w14:paraId="74081AC7"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r>
      <w:tr w:rsidR="00A0140D" w:rsidRPr="00A0140D" w14:paraId="13DEA786" w14:textId="77777777" w:rsidTr="00A0140D">
        <w:trPr>
          <w:gridBefore w:val="1"/>
          <w:gridAfter w:val="1"/>
          <w:wBefore w:w="851" w:type="dxa"/>
          <w:wAfter w:w="412" w:type="dxa"/>
          <w:trHeight w:val="810"/>
        </w:trPr>
        <w:tc>
          <w:tcPr>
            <w:tcW w:w="10220" w:type="dxa"/>
            <w:gridSpan w:val="14"/>
            <w:tcBorders>
              <w:top w:val="nil"/>
              <w:left w:val="nil"/>
              <w:bottom w:val="nil"/>
              <w:right w:val="nil"/>
            </w:tcBorders>
            <w:shd w:val="clear" w:color="000000" w:fill="FFFFFF"/>
            <w:vAlign w:val="center"/>
            <w:hideMark/>
          </w:tcPr>
          <w:p w14:paraId="61159414"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The ICB is principally a domestic organisation with the great majority of transactions, assets and liabilities being in the UK and sterling based. The ICB has no overseas operations and therefore has low exposure to currency rate fluctuations.</w:t>
            </w:r>
          </w:p>
        </w:tc>
      </w:tr>
      <w:tr w:rsidR="00A0140D" w:rsidRPr="00A0140D" w14:paraId="7381A559" w14:textId="77777777" w:rsidTr="00A0140D">
        <w:trPr>
          <w:gridBefore w:val="1"/>
          <w:gridAfter w:val="1"/>
          <w:wBefore w:w="851" w:type="dxa"/>
          <w:wAfter w:w="412" w:type="dxa"/>
          <w:trHeight w:val="260"/>
        </w:trPr>
        <w:tc>
          <w:tcPr>
            <w:tcW w:w="4980" w:type="dxa"/>
            <w:gridSpan w:val="4"/>
            <w:tcBorders>
              <w:top w:val="nil"/>
              <w:left w:val="nil"/>
              <w:bottom w:val="nil"/>
              <w:right w:val="nil"/>
            </w:tcBorders>
            <w:shd w:val="clear" w:color="000000" w:fill="FFFFFF"/>
            <w:noWrap/>
            <w:vAlign w:val="bottom"/>
            <w:hideMark/>
          </w:tcPr>
          <w:p w14:paraId="5FCD7481"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67FB54E0"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2FF3F150"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3C7D5F08"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400" w:type="dxa"/>
            <w:tcBorders>
              <w:top w:val="nil"/>
              <w:left w:val="nil"/>
              <w:bottom w:val="nil"/>
              <w:right w:val="nil"/>
            </w:tcBorders>
            <w:shd w:val="clear" w:color="000000" w:fill="FFFFFF"/>
            <w:noWrap/>
            <w:vAlign w:val="bottom"/>
            <w:hideMark/>
          </w:tcPr>
          <w:p w14:paraId="30B38EFF"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r>
      <w:tr w:rsidR="00A0140D" w:rsidRPr="00A0140D" w14:paraId="508AFF36" w14:textId="77777777" w:rsidTr="00A0140D">
        <w:trPr>
          <w:gridBefore w:val="1"/>
          <w:gridAfter w:val="1"/>
          <w:wBefore w:w="851" w:type="dxa"/>
          <w:wAfter w:w="412" w:type="dxa"/>
          <w:trHeight w:val="260"/>
        </w:trPr>
        <w:tc>
          <w:tcPr>
            <w:tcW w:w="4980" w:type="dxa"/>
            <w:gridSpan w:val="4"/>
            <w:tcBorders>
              <w:top w:val="nil"/>
              <w:left w:val="nil"/>
              <w:bottom w:val="nil"/>
              <w:right w:val="nil"/>
            </w:tcBorders>
            <w:shd w:val="clear" w:color="000000" w:fill="FFFFFF"/>
            <w:noWrap/>
            <w:vAlign w:val="bottom"/>
            <w:hideMark/>
          </w:tcPr>
          <w:p w14:paraId="4FB149EE" w14:textId="77777777" w:rsidR="00A0140D" w:rsidRPr="00A0140D" w:rsidRDefault="00A0140D" w:rsidP="00A0140D">
            <w:pPr>
              <w:spacing w:before="0" w:after="0"/>
              <w:rPr>
                <w:rFonts w:eastAsia="Times New Roman" w:cs="Arial"/>
                <w:b/>
                <w:bCs/>
                <w:sz w:val="20"/>
                <w:szCs w:val="20"/>
                <w:lang w:eastAsia="en-GB"/>
              </w:rPr>
            </w:pPr>
            <w:r w:rsidRPr="00A0140D">
              <w:rPr>
                <w:rFonts w:eastAsia="Times New Roman" w:cs="Arial"/>
                <w:b/>
                <w:bCs/>
                <w:sz w:val="20"/>
                <w:szCs w:val="20"/>
                <w:lang w:eastAsia="en-GB"/>
              </w:rPr>
              <w:t>16.1.2 Interest Rate Risk</w:t>
            </w:r>
          </w:p>
        </w:tc>
        <w:tc>
          <w:tcPr>
            <w:tcW w:w="1280" w:type="dxa"/>
            <w:gridSpan w:val="3"/>
            <w:tcBorders>
              <w:top w:val="nil"/>
              <w:left w:val="nil"/>
              <w:bottom w:val="nil"/>
              <w:right w:val="nil"/>
            </w:tcBorders>
            <w:shd w:val="clear" w:color="000000" w:fill="FFFFFF"/>
            <w:noWrap/>
            <w:vAlign w:val="bottom"/>
            <w:hideMark/>
          </w:tcPr>
          <w:p w14:paraId="5F6E2060"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1EDCF8D1"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1E4219A8"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400" w:type="dxa"/>
            <w:tcBorders>
              <w:top w:val="nil"/>
              <w:left w:val="nil"/>
              <w:bottom w:val="nil"/>
              <w:right w:val="nil"/>
            </w:tcBorders>
            <w:shd w:val="clear" w:color="000000" w:fill="FFFFFF"/>
            <w:noWrap/>
            <w:vAlign w:val="bottom"/>
            <w:hideMark/>
          </w:tcPr>
          <w:p w14:paraId="68DF108E"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r>
      <w:tr w:rsidR="00A0140D" w:rsidRPr="00A0140D" w14:paraId="3E30FFAF" w14:textId="77777777" w:rsidTr="00A0140D">
        <w:trPr>
          <w:gridBefore w:val="1"/>
          <w:gridAfter w:val="1"/>
          <w:wBefore w:w="851" w:type="dxa"/>
          <w:wAfter w:w="412" w:type="dxa"/>
          <w:trHeight w:val="930"/>
        </w:trPr>
        <w:tc>
          <w:tcPr>
            <w:tcW w:w="10220" w:type="dxa"/>
            <w:gridSpan w:val="14"/>
            <w:tcBorders>
              <w:top w:val="nil"/>
              <w:left w:val="nil"/>
              <w:bottom w:val="nil"/>
              <w:right w:val="nil"/>
            </w:tcBorders>
            <w:shd w:val="clear" w:color="000000" w:fill="FFFFFF"/>
            <w:vAlign w:val="center"/>
            <w:hideMark/>
          </w:tcPr>
          <w:p w14:paraId="7B3BBF90"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The ICB borrows from government for capital expenditure, subject to affordability as confirmed by NHS England. The borrowings are for 1 to 25 years, in line with the life of the associated assets, and interest is charged at the National Loans Fund rate, fixed for the life of the loan. The ICB therefore has low exposure to interest rate fluctuations.</w:t>
            </w:r>
          </w:p>
        </w:tc>
      </w:tr>
      <w:tr w:rsidR="00A0140D" w:rsidRPr="00A0140D" w14:paraId="3DB8E574" w14:textId="77777777" w:rsidTr="00A0140D">
        <w:trPr>
          <w:gridBefore w:val="1"/>
          <w:gridAfter w:val="1"/>
          <w:wBefore w:w="851" w:type="dxa"/>
          <w:wAfter w:w="412" w:type="dxa"/>
          <w:trHeight w:val="260"/>
        </w:trPr>
        <w:tc>
          <w:tcPr>
            <w:tcW w:w="4980" w:type="dxa"/>
            <w:gridSpan w:val="4"/>
            <w:tcBorders>
              <w:top w:val="nil"/>
              <w:left w:val="nil"/>
              <w:bottom w:val="nil"/>
              <w:right w:val="nil"/>
            </w:tcBorders>
            <w:shd w:val="clear" w:color="000000" w:fill="FFFFFF"/>
            <w:noWrap/>
            <w:vAlign w:val="bottom"/>
            <w:hideMark/>
          </w:tcPr>
          <w:p w14:paraId="78CDA686"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047A6D9A"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67CB576D"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7EE5F06C"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400" w:type="dxa"/>
            <w:tcBorders>
              <w:top w:val="nil"/>
              <w:left w:val="nil"/>
              <w:bottom w:val="nil"/>
              <w:right w:val="nil"/>
            </w:tcBorders>
            <w:shd w:val="clear" w:color="000000" w:fill="FFFFFF"/>
            <w:noWrap/>
            <w:vAlign w:val="bottom"/>
            <w:hideMark/>
          </w:tcPr>
          <w:p w14:paraId="56455ACA"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r>
      <w:tr w:rsidR="00A0140D" w:rsidRPr="00A0140D" w14:paraId="4EA9C0CB" w14:textId="77777777" w:rsidTr="00A0140D">
        <w:trPr>
          <w:gridBefore w:val="1"/>
          <w:gridAfter w:val="1"/>
          <w:wBefore w:w="851" w:type="dxa"/>
          <w:wAfter w:w="412" w:type="dxa"/>
          <w:trHeight w:val="260"/>
        </w:trPr>
        <w:tc>
          <w:tcPr>
            <w:tcW w:w="4980" w:type="dxa"/>
            <w:gridSpan w:val="4"/>
            <w:tcBorders>
              <w:top w:val="nil"/>
              <w:left w:val="nil"/>
              <w:bottom w:val="nil"/>
              <w:right w:val="nil"/>
            </w:tcBorders>
            <w:shd w:val="clear" w:color="000000" w:fill="FFFFFF"/>
            <w:noWrap/>
            <w:vAlign w:val="bottom"/>
            <w:hideMark/>
          </w:tcPr>
          <w:p w14:paraId="79476675" w14:textId="77777777" w:rsidR="00A0140D" w:rsidRPr="00A0140D" w:rsidRDefault="00A0140D" w:rsidP="00A0140D">
            <w:pPr>
              <w:spacing w:before="0" w:after="0"/>
              <w:rPr>
                <w:rFonts w:eastAsia="Times New Roman" w:cs="Arial"/>
                <w:b/>
                <w:bCs/>
                <w:sz w:val="20"/>
                <w:szCs w:val="20"/>
                <w:lang w:eastAsia="en-GB"/>
              </w:rPr>
            </w:pPr>
            <w:r w:rsidRPr="00A0140D">
              <w:rPr>
                <w:rFonts w:eastAsia="Times New Roman" w:cs="Arial"/>
                <w:b/>
                <w:bCs/>
                <w:sz w:val="20"/>
                <w:szCs w:val="20"/>
                <w:lang w:eastAsia="en-GB"/>
              </w:rPr>
              <w:t>16.1.3 Credit Risk</w:t>
            </w:r>
          </w:p>
        </w:tc>
        <w:tc>
          <w:tcPr>
            <w:tcW w:w="1280" w:type="dxa"/>
            <w:gridSpan w:val="3"/>
            <w:tcBorders>
              <w:top w:val="nil"/>
              <w:left w:val="nil"/>
              <w:bottom w:val="nil"/>
              <w:right w:val="nil"/>
            </w:tcBorders>
            <w:shd w:val="clear" w:color="000000" w:fill="FFFFFF"/>
            <w:noWrap/>
            <w:vAlign w:val="bottom"/>
            <w:hideMark/>
          </w:tcPr>
          <w:p w14:paraId="4332961B"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06B5708A"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79AB12BB"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400" w:type="dxa"/>
            <w:tcBorders>
              <w:top w:val="nil"/>
              <w:left w:val="nil"/>
              <w:bottom w:val="nil"/>
              <w:right w:val="nil"/>
            </w:tcBorders>
            <w:shd w:val="clear" w:color="000000" w:fill="FFFFFF"/>
            <w:noWrap/>
            <w:vAlign w:val="bottom"/>
            <w:hideMark/>
          </w:tcPr>
          <w:p w14:paraId="32FA7D68"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r>
      <w:tr w:rsidR="00A0140D" w:rsidRPr="00A0140D" w14:paraId="05D004EB" w14:textId="77777777" w:rsidTr="00A0140D">
        <w:trPr>
          <w:gridBefore w:val="1"/>
          <w:gridAfter w:val="1"/>
          <w:wBefore w:w="851" w:type="dxa"/>
          <w:wAfter w:w="412" w:type="dxa"/>
          <w:trHeight w:val="830"/>
        </w:trPr>
        <w:tc>
          <w:tcPr>
            <w:tcW w:w="10220" w:type="dxa"/>
            <w:gridSpan w:val="14"/>
            <w:tcBorders>
              <w:top w:val="nil"/>
              <w:left w:val="nil"/>
              <w:bottom w:val="nil"/>
              <w:right w:val="nil"/>
            </w:tcBorders>
            <w:shd w:val="clear" w:color="000000" w:fill="FFFFFF"/>
            <w:vAlign w:val="center"/>
            <w:hideMark/>
          </w:tcPr>
          <w:p w14:paraId="2F059FCB"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Because the majority of the ICB revenue comes from parliamentary funding, the ICB has low exposure to credit risk. The maximum exposures as at the end of the financial year are in receivables from customers, as disclosed in the trade and other receivables note.</w:t>
            </w:r>
          </w:p>
        </w:tc>
      </w:tr>
      <w:tr w:rsidR="00A0140D" w:rsidRPr="00A0140D" w14:paraId="3318B711" w14:textId="77777777" w:rsidTr="00A0140D">
        <w:trPr>
          <w:gridBefore w:val="1"/>
          <w:gridAfter w:val="1"/>
          <w:wBefore w:w="851" w:type="dxa"/>
          <w:wAfter w:w="412" w:type="dxa"/>
          <w:trHeight w:val="260"/>
        </w:trPr>
        <w:tc>
          <w:tcPr>
            <w:tcW w:w="4980" w:type="dxa"/>
            <w:gridSpan w:val="4"/>
            <w:tcBorders>
              <w:top w:val="nil"/>
              <w:left w:val="nil"/>
              <w:bottom w:val="nil"/>
              <w:right w:val="nil"/>
            </w:tcBorders>
            <w:shd w:val="clear" w:color="000000" w:fill="FFFFFF"/>
            <w:noWrap/>
            <w:vAlign w:val="bottom"/>
            <w:hideMark/>
          </w:tcPr>
          <w:p w14:paraId="18595A81"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36F1C401"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73F93C97"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3B967214"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400" w:type="dxa"/>
            <w:tcBorders>
              <w:top w:val="nil"/>
              <w:left w:val="nil"/>
              <w:bottom w:val="nil"/>
              <w:right w:val="nil"/>
            </w:tcBorders>
            <w:shd w:val="clear" w:color="000000" w:fill="FFFFFF"/>
            <w:noWrap/>
            <w:vAlign w:val="bottom"/>
            <w:hideMark/>
          </w:tcPr>
          <w:p w14:paraId="15A3419C"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r>
      <w:tr w:rsidR="00A0140D" w:rsidRPr="00A0140D" w14:paraId="055640E7" w14:textId="77777777" w:rsidTr="00A0140D">
        <w:trPr>
          <w:gridBefore w:val="1"/>
          <w:gridAfter w:val="1"/>
          <w:wBefore w:w="851" w:type="dxa"/>
          <w:wAfter w:w="412" w:type="dxa"/>
          <w:trHeight w:val="260"/>
        </w:trPr>
        <w:tc>
          <w:tcPr>
            <w:tcW w:w="4980" w:type="dxa"/>
            <w:gridSpan w:val="4"/>
            <w:tcBorders>
              <w:top w:val="nil"/>
              <w:left w:val="nil"/>
              <w:bottom w:val="nil"/>
              <w:right w:val="nil"/>
            </w:tcBorders>
            <w:shd w:val="clear" w:color="000000" w:fill="FFFFFF"/>
            <w:noWrap/>
            <w:vAlign w:val="bottom"/>
            <w:hideMark/>
          </w:tcPr>
          <w:p w14:paraId="5633E642" w14:textId="77777777" w:rsidR="00A0140D" w:rsidRPr="00A0140D" w:rsidRDefault="00A0140D" w:rsidP="00A0140D">
            <w:pPr>
              <w:spacing w:before="0" w:after="0"/>
              <w:rPr>
                <w:rFonts w:eastAsia="Times New Roman" w:cs="Arial"/>
                <w:b/>
                <w:bCs/>
                <w:sz w:val="20"/>
                <w:szCs w:val="20"/>
                <w:lang w:eastAsia="en-GB"/>
              </w:rPr>
            </w:pPr>
            <w:r w:rsidRPr="00A0140D">
              <w:rPr>
                <w:rFonts w:eastAsia="Times New Roman" w:cs="Arial"/>
                <w:b/>
                <w:bCs/>
                <w:sz w:val="20"/>
                <w:szCs w:val="20"/>
                <w:lang w:eastAsia="en-GB"/>
              </w:rPr>
              <w:t>16.1.4 Liquidity Risk</w:t>
            </w:r>
          </w:p>
        </w:tc>
        <w:tc>
          <w:tcPr>
            <w:tcW w:w="1280" w:type="dxa"/>
            <w:gridSpan w:val="3"/>
            <w:tcBorders>
              <w:top w:val="nil"/>
              <w:left w:val="nil"/>
              <w:bottom w:val="nil"/>
              <w:right w:val="nil"/>
            </w:tcBorders>
            <w:shd w:val="clear" w:color="000000" w:fill="FFFFFF"/>
            <w:noWrap/>
            <w:vAlign w:val="bottom"/>
            <w:hideMark/>
          </w:tcPr>
          <w:p w14:paraId="20155F13" w14:textId="77777777" w:rsidR="00A0140D" w:rsidRPr="00A0140D" w:rsidRDefault="00A0140D" w:rsidP="00A0140D">
            <w:pPr>
              <w:spacing w:before="0" w:after="0"/>
              <w:rPr>
                <w:rFonts w:eastAsia="Times New Roman" w:cs="Arial"/>
                <w:b/>
                <w:bCs/>
                <w:sz w:val="20"/>
                <w:szCs w:val="20"/>
                <w:lang w:eastAsia="en-GB"/>
              </w:rPr>
            </w:pPr>
            <w:r w:rsidRPr="00A0140D">
              <w:rPr>
                <w:rFonts w:eastAsia="Times New Roman" w:cs="Arial"/>
                <w:b/>
                <w:bCs/>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6EED215C" w14:textId="77777777" w:rsidR="00A0140D" w:rsidRPr="00A0140D" w:rsidRDefault="00A0140D" w:rsidP="00A0140D">
            <w:pPr>
              <w:spacing w:before="0" w:after="0"/>
              <w:rPr>
                <w:rFonts w:eastAsia="Times New Roman" w:cs="Arial"/>
                <w:b/>
                <w:bCs/>
                <w:sz w:val="20"/>
                <w:szCs w:val="20"/>
                <w:lang w:eastAsia="en-GB"/>
              </w:rPr>
            </w:pPr>
            <w:r w:rsidRPr="00A0140D">
              <w:rPr>
                <w:rFonts w:eastAsia="Times New Roman" w:cs="Arial"/>
                <w:b/>
                <w:bCs/>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1A25AEE0" w14:textId="77777777" w:rsidR="00A0140D" w:rsidRPr="00A0140D" w:rsidRDefault="00A0140D" w:rsidP="00A0140D">
            <w:pPr>
              <w:spacing w:before="0" w:after="0"/>
              <w:rPr>
                <w:rFonts w:eastAsia="Times New Roman" w:cs="Arial"/>
                <w:b/>
                <w:bCs/>
                <w:sz w:val="20"/>
                <w:szCs w:val="20"/>
                <w:lang w:eastAsia="en-GB"/>
              </w:rPr>
            </w:pPr>
            <w:r w:rsidRPr="00A0140D">
              <w:rPr>
                <w:rFonts w:eastAsia="Times New Roman" w:cs="Arial"/>
                <w:b/>
                <w:bCs/>
                <w:sz w:val="20"/>
                <w:szCs w:val="20"/>
                <w:lang w:eastAsia="en-GB"/>
              </w:rPr>
              <w:t> </w:t>
            </w:r>
          </w:p>
        </w:tc>
        <w:tc>
          <w:tcPr>
            <w:tcW w:w="1400" w:type="dxa"/>
            <w:tcBorders>
              <w:top w:val="nil"/>
              <w:left w:val="nil"/>
              <w:bottom w:val="nil"/>
              <w:right w:val="nil"/>
            </w:tcBorders>
            <w:shd w:val="clear" w:color="000000" w:fill="FFFFFF"/>
            <w:noWrap/>
            <w:vAlign w:val="bottom"/>
            <w:hideMark/>
          </w:tcPr>
          <w:p w14:paraId="32B282F2" w14:textId="77777777" w:rsidR="00A0140D" w:rsidRPr="00A0140D" w:rsidRDefault="00A0140D" w:rsidP="00A0140D">
            <w:pPr>
              <w:spacing w:before="0" w:after="0"/>
              <w:rPr>
                <w:rFonts w:eastAsia="Times New Roman" w:cs="Arial"/>
                <w:b/>
                <w:bCs/>
                <w:sz w:val="20"/>
                <w:szCs w:val="20"/>
                <w:lang w:eastAsia="en-GB"/>
              </w:rPr>
            </w:pPr>
            <w:r w:rsidRPr="00A0140D">
              <w:rPr>
                <w:rFonts w:eastAsia="Times New Roman" w:cs="Arial"/>
                <w:b/>
                <w:bCs/>
                <w:sz w:val="20"/>
                <w:szCs w:val="20"/>
                <w:lang w:eastAsia="en-GB"/>
              </w:rPr>
              <w:t> </w:t>
            </w:r>
          </w:p>
        </w:tc>
      </w:tr>
      <w:tr w:rsidR="00A0140D" w:rsidRPr="00A0140D" w14:paraId="7DCE0476" w14:textId="77777777" w:rsidTr="00A0140D">
        <w:trPr>
          <w:gridBefore w:val="1"/>
          <w:gridAfter w:val="1"/>
          <w:wBefore w:w="851" w:type="dxa"/>
          <w:wAfter w:w="412" w:type="dxa"/>
          <w:trHeight w:val="890"/>
        </w:trPr>
        <w:tc>
          <w:tcPr>
            <w:tcW w:w="10220" w:type="dxa"/>
            <w:gridSpan w:val="14"/>
            <w:tcBorders>
              <w:top w:val="nil"/>
              <w:left w:val="nil"/>
              <w:bottom w:val="nil"/>
              <w:right w:val="nil"/>
            </w:tcBorders>
            <w:shd w:val="clear" w:color="000000" w:fill="FFFFFF"/>
            <w:vAlign w:val="center"/>
            <w:hideMark/>
          </w:tcPr>
          <w:p w14:paraId="4AECE9B1"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ICB is required to operate within revenue and capital resource limits, which are financed from resources voted annually by Parliament. The ICB draws down cash to cover expenditure, as the need arises. The ICB is not, therefore, exposed to significant liquidity risks.</w:t>
            </w:r>
          </w:p>
        </w:tc>
      </w:tr>
      <w:tr w:rsidR="00A0140D" w:rsidRPr="00A0140D" w14:paraId="67B8DEBE" w14:textId="77777777" w:rsidTr="00A0140D">
        <w:trPr>
          <w:gridBefore w:val="1"/>
          <w:gridAfter w:val="1"/>
          <w:wBefore w:w="851" w:type="dxa"/>
          <w:wAfter w:w="412" w:type="dxa"/>
          <w:trHeight w:val="260"/>
        </w:trPr>
        <w:tc>
          <w:tcPr>
            <w:tcW w:w="4980" w:type="dxa"/>
            <w:gridSpan w:val="4"/>
            <w:tcBorders>
              <w:top w:val="nil"/>
              <w:left w:val="nil"/>
              <w:bottom w:val="nil"/>
              <w:right w:val="nil"/>
            </w:tcBorders>
            <w:shd w:val="clear" w:color="000000" w:fill="FFFFFF"/>
            <w:noWrap/>
            <w:vAlign w:val="bottom"/>
            <w:hideMark/>
          </w:tcPr>
          <w:p w14:paraId="638E28E9"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5FC47132"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0E37835A"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02B6D4AA"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400" w:type="dxa"/>
            <w:tcBorders>
              <w:top w:val="nil"/>
              <w:left w:val="nil"/>
              <w:bottom w:val="nil"/>
              <w:right w:val="nil"/>
            </w:tcBorders>
            <w:shd w:val="clear" w:color="000000" w:fill="FFFFFF"/>
            <w:noWrap/>
            <w:vAlign w:val="bottom"/>
            <w:hideMark/>
          </w:tcPr>
          <w:p w14:paraId="3B091D61"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r>
      <w:tr w:rsidR="00A0140D" w:rsidRPr="00A0140D" w14:paraId="614AF70E" w14:textId="77777777" w:rsidTr="00A0140D">
        <w:trPr>
          <w:gridBefore w:val="1"/>
          <w:gridAfter w:val="1"/>
          <w:wBefore w:w="851" w:type="dxa"/>
          <w:wAfter w:w="412" w:type="dxa"/>
          <w:trHeight w:val="260"/>
        </w:trPr>
        <w:tc>
          <w:tcPr>
            <w:tcW w:w="4980" w:type="dxa"/>
            <w:gridSpan w:val="4"/>
            <w:tcBorders>
              <w:top w:val="nil"/>
              <w:left w:val="nil"/>
              <w:bottom w:val="nil"/>
              <w:right w:val="nil"/>
            </w:tcBorders>
            <w:shd w:val="clear" w:color="000000" w:fill="FFFFFF"/>
            <w:noWrap/>
            <w:vAlign w:val="bottom"/>
            <w:hideMark/>
          </w:tcPr>
          <w:p w14:paraId="3A45FAF6" w14:textId="77777777" w:rsidR="00A0140D" w:rsidRPr="00A0140D" w:rsidRDefault="00A0140D" w:rsidP="00A0140D">
            <w:pPr>
              <w:spacing w:before="0" w:after="0"/>
              <w:rPr>
                <w:rFonts w:eastAsia="Times New Roman" w:cs="Arial"/>
                <w:b/>
                <w:bCs/>
                <w:sz w:val="20"/>
                <w:szCs w:val="20"/>
                <w:lang w:eastAsia="en-GB"/>
              </w:rPr>
            </w:pPr>
            <w:r w:rsidRPr="00A0140D">
              <w:rPr>
                <w:rFonts w:eastAsia="Times New Roman" w:cs="Arial"/>
                <w:b/>
                <w:bCs/>
                <w:sz w:val="20"/>
                <w:szCs w:val="20"/>
                <w:lang w:eastAsia="en-GB"/>
              </w:rPr>
              <w:t>16.1.5 Financial Instruments</w:t>
            </w:r>
          </w:p>
        </w:tc>
        <w:tc>
          <w:tcPr>
            <w:tcW w:w="1280" w:type="dxa"/>
            <w:gridSpan w:val="3"/>
            <w:tcBorders>
              <w:top w:val="nil"/>
              <w:left w:val="nil"/>
              <w:bottom w:val="nil"/>
              <w:right w:val="nil"/>
            </w:tcBorders>
            <w:shd w:val="clear" w:color="000000" w:fill="FFFFFF"/>
            <w:noWrap/>
            <w:vAlign w:val="bottom"/>
            <w:hideMark/>
          </w:tcPr>
          <w:p w14:paraId="29B98456"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4D16B055"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280" w:type="dxa"/>
            <w:gridSpan w:val="3"/>
            <w:tcBorders>
              <w:top w:val="nil"/>
              <w:left w:val="nil"/>
              <w:bottom w:val="nil"/>
              <w:right w:val="nil"/>
            </w:tcBorders>
            <w:shd w:val="clear" w:color="000000" w:fill="FFFFFF"/>
            <w:noWrap/>
            <w:vAlign w:val="bottom"/>
            <w:hideMark/>
          </w:tcPr>
          <w:p w14:paraId="7A778597"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c>
          <w:tcPr>
            <w:tcW w:w="1400" w:type="dxa"/>
            <w:tcBorders>
              <w:top w:val="nil"/>
              <w:left w:val="nil"/>
              <w:bottom w:val="nil"/>
              <w:right w:val="nil"/>
            </w:tcBorders>
            <w:shd w:val="clear" w:color="000000" w:fill="FFFFFF"/>
            <w:noWrap/>
            <w:vAlign w:val="bottom"/>
            <w:hideMark/>
          </w:tcPr>
          <w:p w14:paraId="564CF474"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 </w:t>
            </w:r>
          </w:p>
        </w:tc>
      </w:tr>
      <w:tr w:rsidR="00A0140D" w:rsidRPr="00A0140D" w14:paraId="5E27C2F5" w14:textId="77777777" w:rsidTr="00A0140D">
        <w:trPr>
          <w:gridBefore w:val="1"/>
          <w:gridAfter w:val="1"/>
          <w:wBefore w:w="851" w:type="dxa"/>
          <w:wAfter w:w="412" w:type="dxa"/>
          <w:trHeight w:val="1040"/>
        </w:trPr>
        <w:tc>
          <w:tcPr>
            <w:tcW w:w="10220" w:type="dxa"/>
            <w:gridSpan w:val="14"/>
            <w:tcBorders>
              <w:top w:val="nil"/>
              <w:left w:val="nil"/>
              <w:bottom w:val="nil"/>
              <w:right w:val="nil"/>
            </w:tcBorders>
            <w:shd w:val="clear" w:color="000000" w:fill="FFFFFF"/>
            <w:vAlign w:val="center"/>
            <w:hideMark/>
          </w:tcPr>
          <w:p w14:paraId="6F8F0E62" w14:textId="77777777" w:rsidR="00A0140D" w:rsidRPr="00A0140D" w:rsidRDefault="00A0140D" w:rsidP="00A0140D">
            <w:pPr>
              <w:spacing w:before="0" w:after="0"/>
              <w:rPr>
                <w:rFonts w:eastAsia="Times New Roman" w:cs="Arial"/>
                <w:sz w:val="20"/>
                <w:szCs w:val="20"/>
                <w:lang w:eastAsia="en-GB"/>
              </w:rPr>
            </w:pPr>
            <w:r w:rsidRPr="00A0140D">
              <w:rPr>
                <w:rFonts w:eastAsia="Times New Roman" w:cs="Arial"/>
                <w:sz w:val="20"/>
                <w:szCs w:val="20"/>
                <w:lang w:eastAsia="en-GB"/>
              </w:rPr>
              <w:t>As the cash requirements of ICBs are met through the Estimate process, financial instruments play a more limited role in creating and managing risk than would apply to a non-public sector body.  The majority of financial instruments relate to contracts to buy non-financial items in line with ICBs expected purchase and usage requirements and ICB is therefore exposed to little credit, liquidity or market risk.</w:t>
            </w:r>
          </w:p>
        </w:tc>
      </w:tr>
    </w:tbl>
    <w:p w14:paraId="1E6AF314" w14:textId="77777777" w:rsidR="00530217" w:rsidRDefault="00530217">
      <w:pPr>
        <w:spacing w:before="0" w:after="200" w:line="276" w:lineRule="auto"/>
      </w:pPr>
      <w:r>
        <w:br w:type="page"/>
      </w:r>
    </w:p>
    <w:tbl>
      <w:tblPr>
        <w:tblW w:w="9632" w:type="dxa"/>
        <w:tblLook w:val="04A0" w:firstRow="1" w:lastRow="0" w:firstColumn="1" w:lastColumn="0" w:noHBand="0" w:noVBand="1"/>
      </w:tblPr>
      <w:tblGrid>
        <w:gridCol w:w="6008"/>
        <w:gridCol w:w="714"/>
        <w:gridCol w:w="1483"/>
        <w:gridCol w:w="272"/>
        <w:gridCol w:w="1155"/>
      </w:tblGrid>
      <w:tr w:rsidR="003F7508" w:rsidRPr="003F7508" w14:paraId="716097DD" w14:textId="77777777" w:rsidTr="003F7508">
        <w:trPr>
          <w:trHeight w:val="260"/>
        </w:trPr>
        <w:tc>
          <w:tcPr>
            <w:tcW w:w="9632" w:type="dxa"/>
            <w:gridSpan w:val="5"/>
            <w:tcBorders>
              <w:top w:val="nil"/>
              <w:left w:val="nil"/>
              <w:bottom w:val="nil"/>
            </w:tcBorders>
            <w:shd w:val="clear" w:color="auto" w:fill="auto"/>
            <w:noWrap/>
            <w:vAlign w:val="bottom"/>
            <w:hideMark/>
          </w:tcPr>
          <w:p w14:paraId="14E0065B" w14:textId="538A1B6D" w:rsidR="003F7508" w:rsidRPr="003F7508" w:rsidRDefault="003F7508" w:rsidP="003F7508">
            <w:pPr>
              <w:spacing w:before="0" w:after="0"/>
              <w:rPr>
                <w:rFonts w:eastAsia="Times New Roman" w:cs="Arial"/>
                <w:i/>
                <w:iCs/>
                <w:sz w:val="20"/>
                <w:szCs w:val="20"/>
                <w:lang w:eastAsia="en-GB"/>
              </w:rPr>
            </w:pPr>
            <w:r w:rsidRPr="003F7508">
              <w:rPr>
                <w:rFonts w:eastAsia="Times New Roman" w:cs="Arial"/>
                <w:i/>
                <w:iCs/>
                <w:sz w:val="20"/>
                <w:szCs w:val="20"/>
                <w:lang w:eastAsia="en-GB"/>
              </w:rPr>
              <w:lastRenderedPageBreak/>
              <w:t>NHS Mid and South Essex Integrated Care Board - Statutory Accounts 2023-24</w:t>
            </w:r>
          </w:p>
        </w:tc>
      </w:tr>
      <w:tr w:rsidR="003F7508" w:rsidRPr="003F7508" w14:paraId="3C08D158" w14:textId="77777777" w:rsidTr="003F7508">
        <w:trPr>
          <w:trHeight w:val="250"/>
        </w:trPr>
        <w:tc>
          <w:tcPr>
            <w:tcW w:w="6008" w:type="dxa"/>
            <w:tcBorders>
              <w:top w:val="nil"/>
              <w:left w:val="nil"/>
              <w:bottom w:val="nil"/>
              <w:right w:val="nil"/>
            </w:tcBorders>
            <w:shd w:val="clear" w:color="auto" w:fill="auto"/>
            <w:noWrap/>
            <w:vAlign w:val="bottom"/>
            <w:hideMark/>
          </w:tcPr>
          <w:p w14:paraId="21AEEC14" w14:textId="77777777" w:rsidR="003F7508" w:rsidRPr="003F7508" w:rsidRDefault="003F7508" w:rsidP="003F7508">
            <w:pPr>
              <w:spacing w:before="0" w:after="0"/>
              <w:rPr>
                <w:rFonts w:eastAsia="Times New Roman" w:cs="Arial"/>
                <w:sz w:val="20"/>
                <w:szCs w:val="20"/>
                <w:lang w:eastAsia="en-GB"/>
              </w:rPr>
            </w:pPr>
          </w:p>
        </w:tc>
        <w:tc>
          <w:tcPr>
            <w:tcW w:w="714" w:type="dxa"/>
            <w:tcBorders>
              <w:top w:val="nil"/>
              <w:left w:val="nil"/>
              <w:bottom w:val="nil"/>
              <w:right w:val="nil"/>
            </w:tcBorders>
            <w:shd w:val="clear" w:color="auto" w:fill="auto"/>
            <w:noWrap/>
            <w:vAlign w:val="bottom"/>
            <w:hideMark/>
          </w:tcPr>
          <w:p w14:paraId="4EA3793B" w14:textId="77777777" w:rsidR="003F7508" w:rsidRPr="003F7508" w:rsidRDefault="003F7508" w:rsidP="003F7508">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000000" w:fill="FFFFFF"/>
            <w:noWrap/>
            <w:vAlign w:val="bottom"/>
            <w:hideMark/>
          </w:tcPr>
          <w:p w14:paraId="706EAE96"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12CAEBF"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1155" w:type="dxa"/>
            <w:tcBorders>
              <w:top w:val="nil"/>
              <w:left w:val="nil"/>
              <w:bottom w:val="nil"/>
              <w:right w:val="nil"/>
            </w:tcBorders>
            <w:shd w:val="clear" w:color="000000" w:fill="FFFFFF"/>
            <w:noWrap/>
            <w:vAlign w:val="bottom"/>
            <w:hideMark/>
          </w:tcPr>
          <w:p w14:paraId="0A38B1C7"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r>
      <w:tr w:rsidR="003F7508" w:rsidRPr="003F7508" w14:paraId="0DBE6A8D" w14:textId="77777777" w:rsidTr="003F7508">
        <w:trPr>
          <w:trHeight w:val="260"/>
        </w:trPr>
        <w:tc>
          <w:tcPr>
            <w:tcW w:w="6008" w:type="dxa"/>
            <w:tcBorders>
              <w:top w:val="nil"/>
              <w:left w:val="nil"/>
              <w:bottom w:val="nil"/>
              <w:right w:val="nil"/>
            </w:tcBorders>
            <w:shd w:val="clear" w:color="auto" w:fill="auto"/>
            <w:noWrap/>
            <w:vAlign w:val="bottom"/>
            <w:hideMark/>
          </w:tcPr>
          <w:p w14:paraId="395403B2"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16 Financial Instruments Continued.</w:t>
            </w:r>
          </w:p>
        </w:tc>
        <w:tc>
          <w:tcPr>
            <w:tcW w:w="714" w:type="dxa"/>
            <w:tcBorders>
              <w:top w:val="nil"/>
              <w:left w:val="nil"/>
              <w:bottom w:val="nil"/>
              <w:right w:val="nil"/>
            </w:tcBorders>
            <w:shd w:val="clear" w:color="auto" w:fill="auto"/>
            <w:noWrap/>
            <w:vAlign w:val="bottom"/>
            <w:hideMark/>
          </w:tcPr>
          <w:p w14:paraId="671E9EA0" w14:textId="77777777" w:rsidR="003F7508" w:rsidRPr="003F7508" w:rsidRDefault="003F7508" w:rsidP="003F7508">
            <w:pPr>
              <w:spacing w:before="0" w:after="0"/>
              <w:rPr>
                <w:rFonts w:eastAsia="Times New Roman" w:cs="Arial"/>
                <w:b/>
                <w:bCs/>
                <w:sz w:val="20"/>
                <w:szCs w:val="20"/>
                <w:lang w:eastAsia="en-GB"/>
              </w:rPr>
            </w:pPr>
          </w:p>
        </w:tc>
        <w:tc>
          <w:tcPr>
            <w:tcW w:w="1483" w:type="dxa"/>
            <w:tcBorders>
              <w:top w:val="nil"/>
              <w:left w:val="nil"/>
              <w:bottom w:val="nil"/>
              <w:right w:val="nil"/>
            </w:tcBorders>
            <w:shd w:val="clear" w:color="000000" w:fill="FFFFFF"/>
            <w:noWrap/>
            <w:vAlign w:val="bottom"/>
            <w:hideMark/>
          </w:tcPr>
          <w:p w14:paraId="1CB84D99"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6585A884"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 </w:t>
            </w:r>
          </w:p>
        </w:tc>
        <w:tc>
          <w:tcPr>
            <w:tcW w:w="1155" w:type="dxa"/>
            <w:tcBorders>
              <w:top w:val="nil"/>
              <w:left w:val="nil"/>
              <w:bottom w:val="nil"/>
              <w:right w:val="nil"/>
            </w:tcBorders>
            <w:shd w:val="clear" w:color="000000" w:fill="FFFFFF"/>
            <w:noWrap/>
            <w:vAlign w:val="bottom"/>
            <w:hideMark/>
          </w:tcPr>
          <w:p w14:paraId="539ECA29"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 </w:t>
            </w:r>
          </w:p>
        </w:tc>
      </w:tr>
      <w:tr w:rsidR="003F7508" w:rsidRPr="003F7508" w14:paraId="2D93F8E1" w14:textId="77777777" w:rsidTr="003F7508">
        <w:trPr>
          <w:trHeight w:val="120"/>
        </w:trPr>
        <w:tc>
          <w:tcPr>
            <w:tcW w:w="6008" w:type="dxa"/>
            <w:tcBorders>
              <w:top w:val="nil"/>
              <w:left w:val="nil"/>
              <w:bottom w:val="nil"/>
              <w:right w:val="nil"/>
            </w:tcBorders>
            <w:shd w:val="clear" w:color="auto" w:fill="auto"/>
            <w:noWrap/>
            <w:vAlign w:val="bottom"/>
            <w:hideMark/>
          </w:tcPr>
          <w:p w14:paraId="5D0A6D07" w14:textId="77777777" w:rsidR="003F7508" w:rsidRPr="003F7508" w:rsidRDefault="003F7508" w:rsidP="003F7508">
            <w:pPr>
              <w:spacing w:before="0" w:after="0"/>
              <w:rPr>
                <w:rFonts w:eastAsia="Times New Roman" w:cs="Arial"/>
                <w:b/>
                <w:bCs/>
                <w:sz w:val="20"/>
                <w:szCs w:val="20"/>
                <w:lang w:eastAsia="en-GB"/>
              </w:rPr>
            </w:pPr>
          </w:p>
        </w:tc>
        <w:tc>
          <w:tcPr>
            <w:tcW w:w="714" w:type="dxa"/>
            <w:tcBorders>
              <w:top w:val="nil"/>
              <w:left w:val="nil"/>
              <w:bottom w:val="nil"/>
              <w:right w:val="nil"/>
            </w:tcBorders>
            <w:shd w:val="clear" w:color="auto" w:fill="auto"/>
            <w:noWrap/>
            <w:vAlign w:val="bottom"/>
            <w:hideMark/>
          </w:tcPr>
          <w:p w14:paraId="74057C28" w14:textId="77777777" w:rsidR="003F7508" w:rsidRPr="003F7508" w:rsidRDefault="003F7508" w:rsidP="003F7508">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000000" w:fill="FFFFFF"/>
            <w:noWrap/>
            <w:vAlign w:val="bottom"/>
            <w:hideMark/>
          </w:tcPr>
          <w:p w14:paraId="117909D6"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B7B2198"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1155" w:type="dxa"/>
            <w:tcBorders>
              <w:top w:val="nil"/>
              <w:left w:val="nil"/>
              <w:bottom w:val="nil"/>
              <w:right w:val="nil"/>
            </w:tcBorders>
            <w:shd w:val="clear" w:color="000000" w:fill="FFFFFF"/>
            <w:noWrap/>
            <w:vAlign w:val="bottom"/>
            <w:hideMark/>
          </w:tcPr>
          <w:p w14:paraId="6DC4AFAA"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r>
      <w:tr w:rsidR="003F7508" w:rsidRPr="003F7508" w14:paraId="0A91AFAD" w14:textId="77777777" w:rsidTr="003F7508">
        <w:trPr>
          <w:trHeight w:val="260"/>
        </w:trPr>
        <w:tc>
          <w:tcPr>
            <w:tcW w:w="6008" w:type="dxa"/>
            <w:tcBorders>
              <w:top w:val="nil"/>
              <w:left w:val="nil"/>
              <w:bottom w:val="nil"/>
              <w:right w:val="nil"/>
            </w:tcBorders>
            <w:shd w:val="clear" w:color="auto" w:fill="auto"/>
            <w:noWrap/>
            <w:vAlign w:val="bottom"/>
            <w:hideMark/>
          </w:tcPr>
          <w:p w14:paraId="20BFADC7"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16.2 Financial Assets</w:t>
            </w:r>
          </w:p>
        </w:tc>
        <w:tc>
          <w:tcPr>
            <w:tcW w:w="714" w:type="dxa"/>
            <w:tcBorders>
              <w:top w:val="nil"/>
              <w:left w:val="nil"/>
              <w:bottom w:val="nil"/>
              <w:right w:val="nil"/>
            </w:tcBorders>
            <w:shd w:val="clear" w:color="auto" w:fill="auto"/>
            <w:noWrap/>
            <w:vAlign w:val="bottom"/>
            <w:hideMark/>
          </w:tcPr>
          <w:p w14:paraId="747A5D31" w14:textId="77777777" w:rsidR="003F7508" w:rsidRPr="003F7508" w:rsidRDefault="003F7508" w:rsidP="003F7508">
            <w:pPr>
              <w:spacing w:before="0" w:after="0"/>
              <w:rPr>
                <w:rFonts w:eastAsia="Times New Roman" w:cs="Arial"/>
                <w:b/>
                <w:bCs/>
                <w:sz w:val="20"/>
                <w:szCs w:val="20"/>
                <w:lang w:eastAsia="en-GB"/>
              </w:rPr>
            </w:pPr>
          </w:p>
        </w:tc>
        <w:tc>
          <w:tcPr>
            <w:tcW w:w="1483" w:type="dxa"/>
            <w:tcBorders>
              <w:top w:val="nil"/>
              <w:left w:val="nil"/>
              <w:bottom w:val="nil"/>
              <w:right w:val="nil"/>
            </w:tcBorders>
            <w:shd w:val="clear" w:color="000000" w:fill="FFFFFF"/>
            <w:noWrap/>
            <w:vAlign w:val="bottom"/>
            <w:hideMark/>
          </w:tcPr>
          <w:p w14:paraId="15561FF5"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2414B6EC"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 </w:t>
            </w:r>
          </w:p>
        </w:tc>
        <w:tc>
          <w:tcPr>
            <w:tcW w:w="1155" w:type="dxa"/>
            <w:tcBorders>
              <w:top w:val="nil"/>
              <w:left w:val="nil"/>
              <w:bottom w:val="nil"/>
              <w:right w:val="nil"/>
            </w:tcBorders>
            <w:shd w:val="clear" w:color="000000" w:fill="FFFFFF"/>
            <w:noWrap/>
            <w:vAlign w:val="bottom"/>
            <w:hideMark/>
          </w:tcPr>
          <w:p w14:paraId="49BA490F"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 </w:t>
            </w:r>
          </w:p>
        </w:tc>
      </w:tr>
      <w:tr w:rsidR="003F7508" w:rsidRPr="003F7508" w14:paraId="43E7C14E" w14:textId="77777777" w:rsidTr="003F7508">
        <w:trPr>
          <w:trHeight w:val="120"/>
        </w:trPr>
        <w:tc>
          <w:tcPr>
            <w:tcW w:w="6008" w:type="dxa"/>
            <w:tcBorders>
              <w:top w:val="nil"/>
              <w:left w:val="nil"/>
              <w:bottom w:val="nil"/>
              <w:right w:val="nil"/>
            </w:tcBorders>
            <w:shd w:val="clear" w:color="auto" w:fill="auto"/>
            <w:noWrap/>
            <w:vAlign w:val="bottom"/>
            <w:hideMark/>
          </w:tcPr>
          <w:p w14:paraId="120D308E" w14:textId="77777777" w:rsidR="003F7508" w:rsidRPr="003F7508" w:rsidRDefault="003F7508" w:rsidP="003F7508">
            <w:pPr>
              <w:spacing w:before="0" w:after="0"/>
              <w:rPr>
                <w:rFonts w:eastAsia="Times New Roman" w:cs="Arial"/>
                <w:b/>
                <w:bCs/>
                <w:sz w:val="20"/>
                <w:szCs w:val="20"/>
                <w:lang w:eastAsia="en-GB"/>
              </w:rPr>
            </w:pPr>
          </w:p>
        </w:tc>
        <w:tc>
          <w:tcPr>
            <w:tcW w:w="714" w:type="dxa"/>
            <w:tcBorders>
              <w:top w:val="nil"/>
              <w:left w:val="nil"/>
              <w:bottom w:val="nil"/>
              <w:right w:val="nil"/>
            </w:tcBorders>
            <w:shd w:val="clear" w:color="auto" w:fill="auto"/>
            <w:noWrap/>
            <w:vAlign w:val="bottom"/>
            <w:hideMark/>
          </w:tcPr>
          <w:p w14:paraId="1F0C6D9D" w14:textId="77777777" w:rsidR="003F7508" w:rsidRPr="003F7508" w:rsidRDefault="003F7508" w:rsidP="003F7508">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000000" w:fill="FFFFFF"/>
            <w:noWrap/>
            <w:vAlign w:val="bottom"/>
            <w:hideMark/>
          </w:tcPr>
          <w:p w14:paraId="3AD5D217"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37E97CB8"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1155" w:type="dxa"/>
            <w:tcBorders>
              <w:top w:val="nil"/>
              <w:left w:val="nil"/>
              <w:bottom w:val="nil"/>
              <w:right w:val="nil"/>
            </w:tcBorders>
            <w:shd w:val="clear" w:color="000000" w:fill="FFFFFF"/>
            <w:noWrap/>
            <w:vAlign w:val="bottom"/>
            <w:hideMark/>
          </w:tcPr>
          <w:p w14:paraId="136279CF"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r>
      <w:tr w:rsidR="003F7508" w:rsidRPr="003F7508" w14:paraId="6FA15AA7" w14:textId="77777777" w:rsidTr="003F7508">
        <w:trPr>
          <w:trHeight w:val="790"/>
        </w:trPr>
        <w:tc>
          <w:tcPr>
            <w:tcW w:w="6008" w:type="dxa"/>
            <w:tcBorders>
              <w:top w:val="nil"/>
              <w:left w:val="nil"/>
              <w:bottom w:val="nil"/>
              <w:right w:val="nil"/>
            </w:tcBorders>
            <w:shd w:val="clear" w:color="auto" w:fill="auto"/>
            <w:noWrap/>
            <w:vAlign w:val="bottom"/>
            <w:hideMark/>
          </w:tcPr>
          <w:p w14:paraId="2CEFB5A3" w14:textId="77777777" w:rsidR="003F7508" w:rsidRPr="003F7508" w:rsidRDefault="003F7508" w:rsidP="003F7508">
            <w:pPr>
              <w:spacing w:before="0" w:after="0"/>
              <w:rPr>
                <w:rFonts w:eastAsia="Times New Roman" w:cs="Arial"/>
                <w:sz w:val="20"/>
                <w:szCs w:val="20"/>
                <w:lang w:eastAsia="en-GB"/>
              </w:rPr>
            </w:pPr>
          </w:p>
        </w:tc>
        <w:tc>
          <w:tcPr>
            <w:tcW w:w="2197" w:type="dxa"/>
            <w:gridSpan w:val="2"/>
            <w:tcBorders>
              <w:top w:val="nil"/>
              <w:left w:val="nil"/>
              <w:bottom w:val="nil"/>
              <w:right w:val="nil"/>
            </w:tcBorders>
            <w:shd w:val="clear" w:color="000000" w:fill="FFFFFF"/>
            <w:vAlign w:val="bottom"/>
            <w:hideMark/>
          </w:tcPr>
          <w:p w14:paraId="03180210"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Financial Assets measured at amortised cost</w:t>
            </w:r>
          </w:p>
        </w:tc>
        <w:tc>
          <w:tcPr>
            <w:tcW w:w="272" w:type="dxa"/>
            <w:tcBorders>
              <w:top w:val="nil"/>
              <w:left w:val="nil"/>
              <w:bottom w:val="nil"/>
              <w:right w:val="nil"/>
            </w:tcBorders>
            <w:shd w:val="clear" w:color="000000" w:fill="FFFFFF"/>
            <w:noWrap/>
            <w:vAlign w:val="bottom"/>
            <w:hideMark/>
          </w:tcPr>
          <w:p w14:paraId="4B13DD1A" w14:textId="77777777" w:rsidR="003F7508" w:rsidRPr="003F7508" w:rsidRDefault="003F7508" w:rsidP="003F7508">
            <w:pPr>
              <w:spacing w:before="0" w:after="0"/>
              <w:jc w:val="right"/>
              <w:rPr>
                <w:rFonts w:eastAsia="Times New Roman" w:cs="Arial"/>
                <w:sz w:val="20"/>
                <w:szCs w:val="20"/>
                <w:lang w:eastAsia="en-GB"/>
              </w:rPr>
            </w:pPr>
            <w:r w:rsidRPr="003F7508">
              <w:rPr>
                <w:rFonts w:eastAsia="Times New Roman" w:cs="Arial"/>
                <w:sz w:val="20"/>
                <w:szCs w:val="20"/>
                <w:lang w:eastAsia="en-GB"/>
              </w:rPr>
              <w:t> </w:t>
            </w:r>
          </w:p>
        </w:tc>
        <w:tc>
          <w:tcPr>
            <w:tcW w:w="1155" w:type="dxa"/>
            <w:tcBorders>
              <w:top w:val="nil"/>
              <w:left w:val="nil"/>
              <w:bottom w:val="nil"/>
              <w:right w:val="nil"/>
            </w:tcBorders>
            <w:shd w:val="clear" w:color="000000" w:fill="FFFFFF"/>
            <w:vAlign w:val="bottom"/>
            <w:hideMark/>
          </w:tcPr>
          <w:p w14:paraId="54161E9D"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Total</w:t>
            </w:r>
          </w:p>
        </w:tc>
      </w:tr>
      <w:tr w:rsidR="003F7508" w:rsidRPr="003F7508" w14:paraId="6930CBA2" w14:textId="77777777" w:rsidTr="003F7508">
        <w:trPr>
          <w:trHeight w:val="260"/>
        </w:trPr>
        <w:tc>
          <w:tcPr>
            <w:tcW w:w="6008" w:type="dxa"/>
            <w:tcBorders>
              <w:top w:val="nil"/>
              <w:left w:val="nil"/>
              <w:bottom w:val="nil"/>
              <w:right w:val="nil"/>
            </w:tcBorders>
            <w:shd w:val="clear" w:color="auto" w:fill="auto"/>
            <w:noWrap/>
            <w:vAlign w:val="bottom"/>
            <w:hideMark/>
          </w:tcPr>
          <w:p w14:paraId="1C1FAEE8" w14:textId="77777777" w:rsidR="003F7508" w:rsidRPr="003F7508" w:rsidRDefault="003F7508" w:rsidP="003F7508">
            <w:pPr>
              <w:spacing w:before="0" w:after="0"/>
              <w:jc w:val="right"/>
              <w:rPr>
                <w:rFonts w:eastAsia="Times New Roman" w:cs="Arial"/>
                <w:b/>
                <w:bCs/>
                <w:sz w:val="20"/>
                <w:szCs w:val="20"/>
                <w:lang w:eastAsia="en-GB"/>
              </w:rPr>
            </w:pPr>
          </w:p>
        </w:tc>
        <w:tc>
          <w:tcPr>
            <w:tcW w:w="714" w:type="dxa"/>
            <w:tcBorders>
              <w:top w:val="nil"/>
              <w:left w:val="nil"/>
              <w:bottom w:val="nil"/>
              <w:right w:val="nil"/>
            </w:tcBorders>
            <w:shd w:val="clear" w:color="auto" w:fill="auto"/>
            <w:noWrap/>
            <w:vAlign w:val="bottom"/>
            <w:hideMark/>
          </w:tcPr>
          <w:p w14:paraId="0685C60A" w14:textId="77777777" w:rsidR="003F7508" w:rsidRPr="003F7508" w:rsidRDefault="003F7508" w:rsidP="003F7508">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000000" w:fill="FFFFFF"/>
            <w:vAlign w:val="bottom"/>
            <w:hideMark/>
          </w:tcPr>
          <w:p w14:paraId="550B133F"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31-Mar-24</w:t>
            </w:r>
          </w:p>
        </w:tc>
        <w:tc>
          <w:tcPr>
            <w:tcW w:w="272" w:type="dxa"/>
            <w:tcBorders>
              <w:top w:val="nil"/>
              <w:left w:val="nil"/>
              <w:bottom w:val="nil"/>
              <w:right w:val="nil"/>
            </w:tcBorders>
            <w:shd w:val="clear" w:color="000000" w:fill="FFFFFF"/>
            <w:vAlign w:val="bottom"/>
            <w:hideMark/>
          </w:tcPr>
          <w:p w14:paraId="24EE38C5"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 </w:t>
            </w:r>
          </w:p>
        </w:tc>
        <w:tc>
          <w:tcPr>
            <w:tcW w:w="1155" w:type="dxa"/>
            <w:tcBorders>
              <w:top w:val="nil"/>
              <w:left w:val="nil"/>
              <w:bottom w:val="nil"/>
              <w:right w:val="nil"/>
            </w:tcBorders>
            <w:shd w:val="clear" w:color="000000" w:fill="FFFFFF"/>
            <w:vAlign w:val="bottom"/>
            <w:hideMark/>
          </w:tcPr>
          <w:p w14:paraId="6204B215"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31-Mar-24</w:t>
            </w:r>
          </w:p>
        </w:tc>
      </w:tr>
      <w:tr w:rsidR="003F7508" w:rsidRPr="003F7508" w14:paraId="63935B65" w14:textId="77777777" w:rsidTr="003F7508">
        <w:trPr>
          <w:trHeight w:val="260"/>
        </w:trPr>
        <w:tc>
          <w:tcPr>
            <w:tcW w:w="6008" w:type="dxa"/>
            <w:tcBorders>
              <w:top w:val="nil"/>
              <w:left w:val="nil"/>
              <w:bottom w:val="nil"/>
              <w:right w:val="nil"/>
            </w:tcBorders>
            <w:shd w:val="clear" w:color="auto" w:fill="auto"/>
            <w:noWrap/>
            <w:vAlign w:val="bottom"/>
            <w:hideMark/>
          </w:tcPr>
          <w:p w14:paraId="1000F74C" w14:textId="77777777" w:rsidR="003F7508" w:rsidRPr="003F7508" w:rsidRDefault="003F7508" w:rsidP="003F7508">
            <w:pPr>
              <w:spacing w:before="0" w:after="0"/>
              <w:jc w:val="right"/>
              <w:rPr>
                <w:rFonts w:eastAsia="Times New Roman" w:cs="Arial"/>
                <w:b/>
                <w:bCs/>
                <w:sz w:val="20"/>
                <w:szCs w:val="20"/>
                <w:lang w:eastAsia="en-GB"/>
              </w:rPr>
            </w:pPr>
          </w:p>
        </w:tc>
        <w:tc>
          <w:tcPr>
            <w:tcW w:w="714" w:type="dxa"/>
            <w:tcBorders>
              <w:top w:val="nil"/>
              <w:left w:val="nil"/>
              <w:bottom w:val="nil"/>
              <w:right w:val="nil"/>
            </w:tcBorders>
            <w:shd w:val="clear" w:color="auto" w:fill="auto"/>
            <w:noWrap/>
            <w:vAlign w:val="bottom"/>
            <w:hideMark/>
          </w:tcPr>
          <w:p w14:paraId="101BD23D" w14:textId="77777777" w:rsidR="003F7508" w:rsidRPr="003F7508" w:rsidRDefault="003F7508" w:rsidP="003F7508">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000000" w:fill="FFFFFF"/>
            <w:noWrap/>
            <w:vAlign w:val="bottom"/>
            <w:hideMark/>
          </w:tcPr>
          <w:p w14:paraId="165D2769"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bottom"/>
            <w:hideMark/>
          </w:tcPr>
          <w:p w14:paraId="0EBD91EF"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 </w:t>
            </w:r>
          </w:p>
        </w:tc>
        <w:tc>
          <w:tcPr>
            <w:tcW w:w="1155" w:type="dxa"/>
            <w:tcBorders>
              <w:top w:val="nil"/>
              <w:left w:val="nil"/>
              <w:bottom w:val="nil"/>
              <w:right w:val="nil"/>
            </w:tcBorders>
            <w:shd w:val="clear" w:color="000000" w:fill="FFFFFF"/>
            <w:noWrap/>
            <w:vAlign w:val="bottom"/>
            <w:hideMark/>
          </w:tcPr>
          <w:p w14:paraId="19942670"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£'000</w:t>
            </w:r>
          </w:p>
        </w:tc>
      </w:tr>
      <w:tr w:rsidR="003F7508" w:rsidRPr="003F7508" w14:paraId="027ADDCF" w14:textId="77777777" w:rsidTr="003F7508">
        <w:trPr>
          <w:trHeight w:val="250"/>
        </w:trPr>
        <w:tc>
          <w:tcPr>
            <w:tcW w:w="6008" w:type="dxa"/>
            <w:tcBorders>
              <w:top w:val="nil"/>
              <w:left w:val="nil"/>
              <w:bottom w:val="nil"/>
              <w:right w:val="nil"/>
            </w:tcBorders>
            <w:shd w:val="clear" w:color="auto" w:fill="auto"/>
            <w:noWrap/>
            <w:vAlign w:val="bottom"/>
            <w:hideMark/>
          </w:tcPr>
          <w:p w14:paraId="27262130" w14:textId="77777777" w:rsidR="003F7508" w:rsidRPr="003F7508" w:rsidRDefault="003F7508" w:rsidP="003F7508">
            <w:pPr>
              <w:spacing w:before="0" w:after="0"/>
              <w:jc w:val="right"/>
              <w:rPr>
                <w:rFonts w:eastAsia="Times New Roman" w:cs="Arial"/>
                <w:b/>
                <w:bCs/>
                <w:sz w:val="20"/>
                <w:szCs w:val="20"/>
                <w:lang w:eastAsia="en-GB"/>
              </w:rPr>
            </w:pPr>
          </w:p>
        </w:tc>
        <w:tc>
          <w:tcPr>
            <w:tcW w:w="714" w:type="dxa"/>
            <w:tcBorders>
              <w:top w:val="nil"/>
              <w:left w:val="nil"/>
              <w:bottom w:val="nil"/>
              <w:right w:val="nil"/>
            </w:tcBorders>
            <w:shd w:val="clear" w:color="auto" w:fill="auto"/>
            <w:noWrap/>
            <w:vAlign w:val="bottom"/>
            <w:hideMark/>
          </w:tcPr>
          <w:p w14:paraId="7CD3ECB3" w14:textId="77777777" w:rsidR="003F7508" w:rsidRPr="003F7508" w:rsidRDefault="003F7508" w:rsidP="003F7508">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000000" w:fill="FFFFFF"/>
            <w:noWrap/>
            <w:vAlign w:val="bottom"/>
            <w:hideMark/>
          </w:tcPr>
          <w:p w14:paraId="692C8D0E"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D2C4001"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1155" w:type="dxa"/>
            <w:tcBorders>
              <w:top w:val="nil"/>
              <w:left w:val="nil"/>
              <w:bottom w:val="nil"/>
              <w:right w:val="nil"/>
            </w:tcBorders>
            <w:shd w:val="clear" w:color="000000" w:fill="FFFFFF"/>
            <w:noWrap/>
            <w:vAlign w:val="bottom"/>
            <w:hideMark/>
          </w:tcPr>
          <w:p w14:paraId="55A0521C"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r>
      <w:tr w:rsidR="003F7508" w:rsidRPr="003F7508" w14:paraId="425D8405" w14:textId="77777777" w:rsidTr="003F7508">
        <w:trPr>
          <w:trHeight w:val="260"/>
        </w:trPr>
        <w:tc>
          <w:tcPr>
            <w:tcW w:w="6008" w:type="dxa"/>
            <w:tcBorders>
              <w:top w:val="nil"/>
              <w:left w:val="nil"/>
              <w:bottom w:val="nil"/>
              <w:right w:val="nil"/>
            </w:tcBorders>
            <w:shd w:val="clear" w:color="auto" w:fill="auto"/>
            <w:noWrap/>
            <w:vAlign w:val="bottom"/>
            <w:hideMark/>
          </w:tcPr>
          <w:p w14:paraId="3E9BF550"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Trade and other receivables with NHSE bodies</w:t>
            </w:r>
          </w:p>
        </w:tc>
        <w:tc>
          <w:tcPr>
            <w:tcW w:w="714" w:type="dxa"/>
            <w:tcBorders>
              <w:top w:val="nil"/>
              <w:left w:val="nil"/>
              <w:bottom w:val="nil"/>
              <w:right w:val="nil"/>
            </w:tcBorders>
            <w:shd w:val="clear" w:color="auto" w:fill="auto"/>
            <w:noWrap/>
            <w:vAlign w:val="bottom"/>
            <w:hideMark/>
          </w:tcPr>
          <w:p w14:paraId="001ED0DD" w14:textId="77777777" w:rsidR="003F7508" w:rsidRPr="003F7508" w:rsidRDefault="003F7508" w:rsidP="003F7508">
            <w:pPr>
              <w:spacing w:before="0" w:after="0"/>
              <w:rPr>
                <w:rFonts w:eastAsia="Times New Roman" w:cs="Arial"/>
                <w:sz w:val="20"/>
                <w:szCs w:val="20"/>
                <w:lang w:eastAsia="en-GB"/>
              </w:rPr>
            </w:pPr>
          </w:p>
        </w:tc>
        <w:tc>
          <w:tcPr>
            <w:tcW w:w="1483" w:type="dxa"/>
            <w:tcBorders>
              <w:top w:val="nil"/>
              <w:left w:val="nil"/>
              <w:bottom w:val="nil"/>
              <w:right w:val="nil"/>
            </w:tcBorders>
            <w:shd w:val="clear" w:color="000000" w:fill="FFFFFF"/>
            <w:noWrap/>
            <w:vAlign w:val="bottom"/>
            <w:hideMark/>
          </w:tcPr>
          <w:p w14:paraId="393F6DC0" w14:textId="77777777" w:rsidR="003F7508" w:rsidRPr="003F7508" w:rsidRDefault="003F7508" w:rsidP="003F7508">
            <w:pPr>
              <w:spacing w:before="0" w:after="0"/>
              <w:jc w:val="right"/>
              <w:rPr>
                <w:rFonts w:eastAsia="Times New Roman" w:cs="Arial"/>
                <w:sz w:val="20"/>
                <w:szCs w:val="20"/>
                <w:lang w:eastAsia="en-GB"/>
              </w:rPr>
            </w:pPr>
            <w:r w:rsidRPr="003F7508">
              <w:rPr>
                <w:rFonts w:eastAsia="Times New Roman" w:cs="Arial"/>
                <w:sz w:val="20"/>
                <w:szCs w:val="20"/>
                <w:lang w:eastAsia="en-GB"/>
              </w:rPr>
              <w:t>2,128</w:t>
            </w:r>
          </w:p>
        </w:tc>
        <w:tc>
          <w:tcPr>
            <w:tcW w:w="272" w:type="dxa"/>
            <w:tcBorders>
              <w:top w:val="nil"/>
              <w:left w:val="nil"/>
              <w:bottom w:val="nil"/>
              <w:right w:val="nil"/>
            </w:tcBorders>
            <w:shd w:val="clear" w:color="000000" w:fill="FFFFFF"/>
            <w:noWrap/>
            <w:vAlign w:val="bottom"/>
            <w:hideMark/>
          </w:tcPr>
          <w:p w14:paraId="516232D2"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1155" w:type="dxa"/>
            <w:tcBorders>
              <w:top w:val="nil"/>
              <w:left w:val="nil"/>
              <w:bottom w:val="nil"/>
              <w:right w:val="nil"/>
            </w:tcBorders>
            <w:shd w:val="clear" w:color="000000" w:fill="FFFFFF"/>
            <w:noWrap/>
            <w:vAlign w:val="bottom"/>
            <w:hideMark/>
          </w:tcPr>
          <w:p w14:paraId="3F4482DF"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2,128</w:t>
            </w:r>
          </w:p>
        </w:tc>
      </w:tr>
      <w:tr w:rsidR="003F7508" w:rsidRPr="003F7508" w14:paraId="69DF5644" w14:textId="77777777" w:rsidTr="003F7508">
        <w:trPr>
          <w:trHeight w:val="260"/>
        </w:trPr>
        <w:tc>
          <w:tcPr>
            <w:tcW w:w="6008" w:type="dxa"/>
            <w:tcBorders>
              <w:top w:val="nil"/>
              <w:left w:val="nil"/>
              <w:bottom w:val="nil"/>
              <w:right w:val="nil"/>
            </w:tcBorders>
            <w:shd w:val="clear" w:color="auto" w:fill="auto"/>
            <w:noWrap/>
            <w:vAlign w:val="bottom"/>
            <w:hideMark/>
          </w:tcPr>
          <w:p w14:paraId="189E99F2"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Trade and other receivables with other DHSC group bodies</w:t>
            </w:r>
          </w:p>
        </w:tc>
        <w:tc>
          <w:tcPr>
            <w:tcW w:w="714" w:type="dxa"/>
            <w:tcBorders>
              <w:top w:val="nil"/>
              <w:left w:val="nil"/>
              <w:bottom w:val="nil"/>
              <w:right w:val="nil"/>
            </w:tcBorders>
            <w:shd w:val="clear" w:color="auto" w:fill="auto"/>
            <w:noWrap/>
            <w:vAlign w:val="bottom"/>
            <w:hideMark/>
          </w:tcPr>
          <w:p w14:paraId="1784A27F" w14:textId="77777777" w:rsidR="003F7508" w:rsidRPr="003F7508" w:rsidRDefault="003F7508" w:rsidP="003F7508">
            <w:pPr>
              <w:spacing w:before="0" w:after="0"/>
              <w:rPr>
                <w:rFonts w:eastAsia="Times New Roman" w:cs="Arial"/>
                <w:sz w:val="20"/>
                <w:szCs w:val="20"/>
                <w:lang w:eastAsia="en-GB"/>
              </w:rPr>
            </w:pPr>
          </w:p>
        </w:tc>
        <w:tc>
          <w:tcPr>
            <w:tcW w:w="1483" w:type="dxa"/>
            <w:tcBorders>
              <w:top w:val="nil"/>
              <w:left w:val="nil"/>
              <w:bottom w:val="nil"/>
              <w:right w:val="nil"/>
            </w:tcBorders>
            <w:shd w:val="clear" w:color="000000" w:fill="FFFFFF"/>
            <w:noWrap/>
            <w:vAlign w:val="bottom"/>
            <w:hideMark/>
          </w:tcPr>
          <w:p w14:paraId="565AA3D9" w14:textId="77777777" w:rsidR="003F7508" w:rsidRPr="003F7508" w:rsidRDefault="003F7508" w:rsidP="003F7508">
            <w:pPr>
              <w:spacing w:before="0" w:after="0"/>
              <w:jc w:val="right"/>
              <w:rPr>
                <w:rFonts w:eastAsia="Times New Roman" w:cs="Arial"/>
                <w:sz w:val="20"/>
                <w:szCs w:val="20"/>
                <w:lang w:eastAsia="en-GB"/>
              </w:rPr>
            </w:pPr>
            <w:r w:rsidRPr="003F7508">
              <w:rPr>
                <w:rFonts w:eastAsia="Times New Roman" w:cs="Arial"/>
                <w:sz w:val="20"/>
                <w:szCs w:val="20"/>
                <w:lang w:eastAsia="en-GB"/>
              </w:rPr>
              <w:t>3,019</w:t>
            </w:r>
          </w:p>
        </w:tc>
        <w:tc>
          <w:tcPr>
            <w:tcW w:w="272" w:type="dxa"/>
            <w:tcBorders>
              <w:top w:val="nil"/>
              <w:left w:val="nil"/>
              <w:bottom w:val="nil"/>
              <w:right w:val="nil"/>
            </w:tcBorders>
            <w:shd w:val="clear" w:color="000000" w:fill="FFFFFF"/>
            <w:noWrap/>
            <w:vAlign w:val="bottom"/>
            <w:hideMark/>
          </w:tcPr>
          <w:p w14:paraId="6E4CA122"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1155" w:type="dxa"/>
            <w:tcBorders>
              <w:top w:val="nil"/>
              <w:left w:val="nil"/>
              <w:bottom w:val="nil"/>
              <w:right w:val="nil"/>
            </w:tcBorders>
            <w:shd w:val="clear" w:color="000000" w:fill="FFFFFF"/>
            <w:noWrap/>
            <w:vAlign w:val="bottom"/>
            <w:hideMark/>
          </w:tcPr>
          <w:p w14:paraId="0CCE855F"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3,019</w:t>
            </w:r>
          </w:p>
        </w:tc>
      </w:tr>
      <w:tr w:rsidR="003F7508" w:rsidRPr="003F7508" w14:paraId="51E41CD1" w14:textId="77777777" w:rsidTr="003F7508">
        <w:trPr>
          <w:trHeight w:val="260"/>
        </w:trPr>
        <w:tc>
          <w:tcPr>
            <w:tcW w:w="6008" w:type="dxa"/>
            <w:tcBorders>
              <w:top w:val="nil"/>
              <w:left w:val="nil"/>
              <w:bottom w:val="nil"/>
              <w:right w:val="nil"/>
            </w:tcBorders>
            <w:shd w:val="clear" w:color="auto" w:fill="auto"/>
            <w:noWrap/>
            <w:vAlign w:val="bottom"/>
            <w:hideMark/>
          </w:tcPr>
          <w:p w14:paraId="37FD56DB"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Trade and other receivables with external bodies</w:t>
            </w:r>
          </w:p>
        </w:tc>
        <w:tc>
          <w:tcPr>
            <w:tcW w:w="714" w:type="dxa"/>
            <w:tcBorders>
              <w:top w:val="nil"/>
              <w:left w:val="nil"/>
              <w:bottom w:val="nil"/>
              <w:right w:val="nil"/>
            </w:tcBorders>
            <w:shd w:val="clear" w:color="auto" w:fill="auto"/>
            <w:noWrap/>
            <w:vAlign w:val="bottom"/>
            <w:hideMark/>
          </w:tcPr>
          <w:p w14:paraId="0CF9D578" w14:textId="77777777" w:rsidR="003F7508" w:rsidRPr="003F7508" w:rsidRDefault="003F7508" w:rsidP="003F7508">
            <w:pPr>
              <w:spacing w:before="0" w:after="0"/>
              <w:rPr>
                <w:rFonts w:eastAsia="Times New Roman" w:cs="Arial"/>
                <w:sz w:val="20"/>
                <w:szCs w:val="20"/>
                <w:lang w:eastAsia="en-GB"/>
              </w:rPr>
            </w:pPr>
          </w:p>
        </w:tc>
        <w:tc>
          <w:tcPr>
            <w:tcW w:w="1483" w:type="dxa"/>
            <w:tcBorders>
              <w:top w:val="nil"/>
              <w:left w:val="nil"/>
              <w:bottom w:val="nil"/>
              <w:right w:val="nil"/>
            </w:tcBorders>
            <w:shd w:val="clear" w:color="000000" w:fill="FFFFFF"/>
            <w:noWrap/>
            <w:vAlign w:val="bottom"/>
            <w:hideMark/>
          </w:tcPr>
          <w:p w14:paraId="677F2220" w14:textId="77777777" w:rsidR="003F7508" w:rsidRPr="003F7508" w:rsidRDefault="003F7508" w:rsidP="003F7508">
            <w:pPr>
              <w:spacing w:before="0" w:after="0"/>
              <w:jc w:val="right"/>
              <w:rPr>
                <w:rFonts w:eastAsia="Times New Roman" w:cs="Arial"/>
                <w:sz w:val="20"/>
                <w:szCs w:val="20"/>
                <w:lang w:eastAsia="en-GB"/>
              </w:rPr>
            </w:pPr>
            <w:r w:rsidRPr="003F7508">
              <w:rPr>
                <w:rFonts w:eastAsia="Times New Roman" w:cs="Arial"/>
                <w:sz w:val="20"/>
                <w:szCs w:val="20"/>
                <w:lang w:eastAsia="en-GB"/>
              </w:rPr>
              <w:t>9,411</w:t>
            </w:r>
          </w:p>
        </w:tc>
        <w:tc>
          <w:tcPr>
            <w:tcW w:w="272" w:type="dxa"/>
            <w:tcBorders>
              <w:top w:val="nil"/>
              <w:left w:val="nil"/>
              <w:bottom w:val="nil"/>
              <w:right w:val="nil"/>
            </w:tcBorders>
            <w:shd w:val="clear" w:color="000000" w:fill="FFFFFF"/>
            <w:noWrap/>
            <w:vAlign w:val="bottom"/>
            <w:hideMark/>
          </w:tcPr>
          <w:p w14:paraId="134D150C"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1155" w:type="dxa"/>
            <w:tcBorders>
              <w:top w:val="nil"/>
              <w:left w:val="nil"/>
              <w:bottom w:val="nil"/>
              <w:right w:val="nil"/>
            </w:tcBorders>
            <w:shd w:val="clear" w:color="000000" w:fill="FFFFFF"/>
            <w:noWrap/>
            <w:vAlign w:val="bottom"/>
            <w:hideMark/>
          </w:tcPr>
          <w:p w14:paraId="0F2D24A9"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9,411</w:t>
            </w:r>
          </w:p>
        </w:tc>
      </w:tr>
      <w:tr w:rsidR="003F7508" w:rsidRPr="003F7508" w14:paraId="2AE55C0A" w14:textId="77777777" w:rsidTr="003F7508">
        <w:trPr>
          <w:trHeight w:val="260"/>
        </w:trPr>
        <w:tc>
          <w:tcPr>
            <w:tcW w:w="6008" w:type="dxa"/>
            <w:tcBorders>
              <w:top w:val="nil"/>
              <w:left w:val="nil"/>
              <w:bottom w:val="nil"/>
              <w:right w:val="nil"/>
            </w:tcBorders>
            <w:shd w:val="clear" w:color="auto" w:fill="auto"/>
            <w:noWrap/>
            <w:vAlign w:val="bottom"/>
            <w:hideMark/>
          </w:tcPr>
          <w:p w14:paraId="37326B52"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Total at 31 March 24</w:t>
            </w:r>
          </w:p>
        </w:tc>
        <w:tc>
          <w:tcPr>
            <w:tcW w:w="714" w:type="dxa"/>
            <w:tcBorders>
              <w:top w:val="nil"/>
              <w:left w:val="nil"/>
              <w:bottom w:val="nil"/>
              <w:right w:val="nil"/>
            </w:tcBorders>
            <w:shd w:val="clear" w:color="auto" w:fill="auto"/>
            <w:noWrap/>
            <w:vAlign w:val="bottom"/>
            <w:hideMark/>
          </w:tcPr>
          <w:p w14:paraId="244C0A1F" w14:textId="77777777" w:rsidR="003F7508" w:rsidRPr="003F7508" w:rsidRDefault="003F7508" w:rsidP="003F7508">
            <w:pPr>
              <w:spacing w:before="0" w:after="0"/>
              <w:rPr>
                <w:rFonts w:eastAsia="Times New Roman" w:cs="Arial"/>
                <w:b/>
                <w:bCs/>
                <w:sz w:val="20"/>
                <w:szCs w:val="20"/>
                <w:lang w:eastAsia="en-GB"/>
              </w:rPr>
            </w:pPr>
          </w:p>
        </w:tc>
        <w:tc>
          <w:tcPr>
            <w:tcW w:w="1483" w:type="dxa"/>
            <w:tcBorders>
              <w:top w:val="single" w:sz="4" w:space="0" w:color="auto"/>
              <w:left w:val="nil"/>
              <w:bottom w:val="single" w:sz="4" w:space="0" w:color="auto"/>
              <w:right w:val="nil"/>
            </w:tcBorders>
            <w:shd w:val="clear" w:color="000000" w:fill="FFFFFF"/>
            <w:noWrap/>
            <w:vAlign w:val="bottom"/>
            <w:hideMark/>
          </w:tcPr>
          <w:p w14:paraId="142D1F3B"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14,558</w:t>
            </w:r>
          </w:p>
        </w:tc>
        <w:tc>
          <w:tcPr>
            <w:tcW w:w="272" w:type="dxa"/>
            <w:tcBorders>
              <w:top w:val="nil"/>
              <w:left w:val="nil"/>
              <w:bottom w:val="nil"/>
              <w:right w:val="nil"/>
            </w:tcBorders>
            <w:shd w:val="clear" w:color="000000" w:fill="FFFFFF"/>
            <w:noWrap/>
            <w:vAlign w:val="bottom"/>
            <w:hideMark/>
          </w:tcPr>
          <w:p w14:paraId="2213D75A" w14:textId="77777777" w:rsidR="003F7508" w:rsidRPr="003F7508" w:rsidRDefault="003F7508" w:rsidP="003F7508">
            <w:pPr>
              <w:spacing w:before="0" w:after="0"/>
              <w:jc w:val="right"/>
              <w:rPr>
                <w:rFonts w:eastAsia="Times New Roman" w:cs="Arial"/>
                <w:sz w:val="20"/>
                <w:szCs w:val="20"/>
                <w:lang w:eastAsia="en-GB"/>
              </w:rPr>
            </w:pPr>
            <w:r w:rsidRPr="003F7508">
              <w:rPr>
                <w:rFonts w:eastAsia="Times New Roman" w:cs="Arial"/>
                <w:sz w:val="20"/>
                <w:szCs w:val="20"/>
                <w:lang w:eastAsia="en-GB"/>
              </w:rPr>
              <w:t> </w:t>
            </w:r>
          </w:p>
        </w:tc>
        <w:tc>
          <w:tcPr>
            <w:tcW w:w="1155" w:type="dxa"/>
            <w:tcBorders>
              <w:top w:val="single" w:sz="4" w:space="0" w:color="auto"/>
              <w:left w:val="nil"/>
              <w:bottom w:val="single" w:sz="4" w:space="0" w:color="auto"/>
              <w:right w:val="nil"/>
            </w:tcBorders>
            <w:shd w:val="clear" w:color="000000" w:fill="FFFFFF"/>
            <w:noWrap/>
            <w:vAlign w:val="bottom"/>
            <w:hideMark/>
          </w:tcPr>
          <w:p w14:paraId="6E396505"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14,558</w:t>
            </w:r>
          </w:p>
        </w:tc>
      </w:tr>
      <w:tr w:rsidR="003F7508" w:rsidRPr="003F7508" w14:paraId="255C3965" w14:textId="77777777" w:rsidTr="003F7508">
        <w:trPr>
          <w:trHeight w:val="260"/>
        </w:trPr>
        <w:tc>
          <w:tcPr>
            <w:tcW w:w="6008" w:type="dxa"/>
            <w:tcBorders>
              <w:top w:val="nil"/>
              <w:left w:val="nil"/>
              <w:bottom w:val="nil"/>
              <w:right w:val="nil"/>
            </w:tcBorders>
            <w:shd w:val="clear" w:color="auto" w:fill="auto"/>
            <w:noWrap/>
            <w:vAlign w:val="bottom"/>
            <w:hideMark/>
          </w:tcPr>
          <w:p w14:paraId="3C08C2C6" w14:textId="77777777" w:rsidR="003F7508" w:rsidRPr="003F7508" w:rsidRDefault="003F7508" w:rsidP="003F7508">
            <w:pPr>
              <w:spacing w:before="0" w:after="0"/>
              <w:jc w:val="right"/>
              <w:rPr>
                <w:rFonts w:eastAsia="Times New Roman" w:cs="Arial"/>
                <w:b/>
                <w:bCs/>
                <w:sz w:val="20"/>
                <w:szCs w:val="20"/>
                <w:lang w:eastAsia="en-GB"/>
              </w:rPr>
            </w:pPr>
          </w:p>
        </w:tc>
        <w:tc>
          <w:tcPr>
            <w:tcW w:w="714" w:type="dxa"/>
            <w:tcBorders>
              <w:top w:val="nil"/>
              <w:left w:val="nil"/>
              <w:bottom w:val="nil"/>
              <w:right w:val="nil"/>
            </w:tcBorders>
            <w:shd w:val="clear" w:color="auto" w:fill="auto"/>
            <w:noWrap/>
            <w:vAlign w:val="bottom"/>
            <w:hideMark/>
          </w:tcPr>
          <w:p w14:paraId="37250949" w14:textId="77777777" w:rsidR="003F7508" w:rsidRPr="003F7508" w:rsidRDefault="003F7508" w:rsidP="003F7508">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000000" w:fill="FFFFFF"/>
            <w:noWrap/>
            <w:vAlign w:val="bottom"/>
            <w:hideMark/>
          </w:tcPr>
          <w:p w14:paraId="22E209D1"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549F57AA"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1155" w:type="dxa"/>
            <w:tcBorders>
              <w:top w:val="nil"/>
              <w:left w:val="nil"/>
              <w:bottom w:val="nil"/>
              <w:right w:val="nil"/>
            </w:tcBorders>
            <w:shd w:val="clear" w:color="000000" w:fill="FFFFFF"/>
            <w:noWrap/>
            <w:vAlign w:val="bottom"/>
            <w:hideMark/>
          </w:tcPr>
          <w:p w14:paraId="7FF2EC32"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r>
      <w:tr w:rsidR="003F7508" w:rsidRPr="003F7508" w14:paraId="4CD5DF3B" w14:textId="77777777" w:rsidTr="003F7508">
        <w:trPr>
          <w:trHeight w:val="260"/>
        </w:trPr>
        <w:tc>
          <w:tcPr>
            <w:tcW w:w="6008" w:type="dxa"/>
            <w:tcBorders>
              <w:top w:val="nil"/>
              <w:left w:val="nil"/>
              <w:bottom w:val="nil"/>
              <w:right w:val="nil"/>
            </w:tcBorders>
            <w:shd w:val="clear" w:color="auto" w:fill="auto"/>
            <w:noWrap/>
            <w:vAlign w:val="bottom"/>
            <w:hideMark/>
          </w:tcPr>
          <w:p w14:paraId="5E129BA6" w14:textId="77777777" w:rsidR="003F7508" w:rsidRPr="003F7508" w:rsidRDefault="003F7508" w:rsidP="003F7508">
            <w:pPr>
              <w:spacing w:before="0" w:after="0"/>
              <w:rPr>
                <w:rFonts w:eastAsia="Times New Roman" w:cs="Arial"/>
                <w:sz w:val="20"/>
                <w:szCs w:val="20"/>
                <w:lang w:eastAsia="en-GB"/>
              </w:rPr>
            </w:pPr>
          </w:p>
        </w:tc>
        <w:tc>
          <w:tcPr>
            <w:tcW w:w="714" w:type="dxa"/>
            <w:tcBorders>
              <w:top w:val="nil"/>
              <w:left w:val="nil"/>
              <w:bottom w:val="nil"/>
              <w:right w:val="nil"/>
            </w:tcBorders>
            <w:shd w:val="clear" w:color="auto" w:fill="auto"/>
            <w:noWrap/>
            <w:vAlign w:val="bottom"/>
            <w:hideMark/>
          </w:tcPr>
          <w:p w14:paraId="0AEA25D8" w14:textId="77777777" w:rsidR="003F7508" w:rsidRPr="003F7508" w:rsidRDefault="003F7508" w:rsidP="003F7508">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000000" w:fill="FFFFFF"/>
            <w:noWrap/>
            <w:vAlign w:val="bottom"/>
            <w:hideMark/>
          </w:tcPr>
          <w:p w14:paraId="53BA9095"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3749780D"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 </w:t>
            </w:r>
          </w:p>
        </w:tc>
        <w:tc>
          <w:tcPr>
            <w:tcW w:w="1155" w:type="dxa"/>
            <w:tcBorders>
              <w:top w:val="nil"/>
              <w:left w:val="nil"/>
              <w:bottom w:val="nil"/>
              <w:right w:val="nil"/>
            </w:tcBorders>
            <w:shd w:val="clear" w:color="000000" w:fill="FFFFFF"/>
            <w:noWrap/>
            <w:vAlign w:val="bottom"/>
            <w:hideMark/>
          </w:tcPr>
          <w:p w14:paraId="188F4EFC"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 </w:t>
            </w:r>
          </w:p>
        </w:tc>
      </w:tr>
      <w:tr w:rsidR="003F7508" w:rsidRPr="003F7508" w14:paraId="0419535E" w14:textId="77777777" w:rsidTr="003F7508">
        <w:trPr>
          <w:trHeight w:val="260"/>
        </w:trPr>
        <w:tc>
          <w:tcPr>
            <w:tcW w:w="6008" w:type="dxa"/>
            <w:tcBorders>
              <w:top w:val="nil"/>
              <w:left w:val="nil"/>
              <w:bottom w:val="nil"/>
              <w:right w:val="nil"/>
            </w:tcBorders>
            <w:shd w:val="clear" w:color="auto" w:fill="auto"/>
            <w:noWrap/>
            <w:vAlign w:val="bottom"/>
            <w:hideMark/>
          </w:tcPr>
          <w:p w14:paraId="43E1B16D"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16.3 Financial Liabilities</w:t>
            </w:r>
          </w:p>
        </w:tc>
        <w:tc>
          <w:tcPr>
            <w:tcW w:w="714" w:type="dxa"/>
            <w:tcBorders>
              <w:top w:val="nil"/>
              <w:left w:val="nil"/>
              <w:bottom w:val="nil"/>
              <w:right w:val="nil"/>
            </w:tcBorders>
            <w:shd w:val="clear" w:color="auto" w:fill="auto"/>
            <w:noWrap/>
            <w:vAlign w:val="bottom"/>
            <w:hideMark/>
          </w:tcPr>
          <w:p w14:paraId="44607804" w14:textId="77777777" w:rsidR="003F7508" w:rsidRPr="003F7508" w:rsidRDefault="003F7508" w:rsidP="003F7508">
            <w:pPr>
              <w:spacing w:before="0" w:after="0"/>
              <w:rPr>
                <w:rFonts w:eastAsia="Times New Roman" w:cs="Arial"/>
                <w:b/>
                <w:bCs/>
                <w:sz w:val="20"/>
                <w:szCs w:val="20"/>
                <w:lang w:eastAsia="en-GB"/>
              </w:rPr>
            </w:pPr>
          </w:p>
        </w:tc>
        <w:tc>
          <w:tcPr>
            <w:tcW w:w="1483" w:type="dxa"/>
            <w:tcBorders>
              <w:top w:val="nil"/>
              <w:left w:val="nil"/>
              <w:bottom w:val="nil"/>
              <w:right w:val="nil"/>
            </w:tcBorders>
            <w:shd w:val="clear" w:color="000000" w:fill="FFFFFF"/>
            <w:noWrap/>
            <w:vAlign w:val="bottom"/>
            <w:hideMark/>
          </w:tcPr>
          <w:p w14:paraId="43E90DFD"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5ECA8943"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 </w:t>
            </w:r>
          </w:p>
        </w:tc>
        <w:tc>
          <w:tcPr>
            <w:tcW w:w="1155" w:type="dxa"/>
            <w:tcBorders>
              <w:top w:val="nil"/>
              <w:left w:val="nil"/>
              <w:bottom w:val="nil"/>
              <w:right w:val="nil"/>
            </w:tcBorders>
            <w:shd w:val="clear" w:color="000000" w:fill="FFFFFF"/>
            <w:noWrap/>
            <w:vAlign w:val="bottom"/>
            <w:hideMark/>
          </w:tcPr>
          <w:p w14:paraId="1B00ADD4"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 </w:t>
            </w:r>
          </w:p>
        </w:tc>
      </w:tr>
      <w:tr w:rsidR="003F7508" w:rsidRPr="003F7508" w14:paraId="67FF2169" w14:textId="77777777" w:rsidTr="003F7508">
        <w:trPr>
          <w:trHeight w:val="120"/>
        </w:trPr>
        <w:tc>
          <w:tcPr>
            <w:tcW w:w="6008" w:type="dxa"/>
            <w:tcBorders>
              <w:top w:val="nil"/>
              <w:left w:val="nil"/>
              <w:bottom w:val="nil"/>
              <w:right w:val="nil"/>
            </w:tcBorders>
            <w:shd w:val="clear" w:color="auto" w:fill="auto"/>
            <w:noWrap/>
            <w:vAlign w:val="bottom"/>
            <w:hideMark/>
          </w:tcPr>
          <w:p w14:paraId="5A9FFD36" w14:textId="77777777" w:rsidR="003F7508" w:rsidRPr="003F7508" w:rsidRDefault="003F7508" w:rsidP="003F7508">
            <w:pPr>
              <w:spacing w:before="0" w:after="0"/>
              <w:rPr>
                <w:rFonts w:eastAsia="Times New Roman" w:cs="Arial"/>
                <w:b/>
                <w:bCs/>
                <w:sz w:val="20"/>
                <w:szCs w:val="20"/>
                <w:lang w:eastAsia="en-GB"/>
              </w:rPr>
            </w:pPr>
          </w:p>
        </w:tc>
        <w:tc>
          <w:tcPr>
            <w:tcW w:w="714" w:type="dxa"/>
            <w:tcBorders>
              <w:top w:val="nil"/>
              <w:left w:val="nil"/>
              <w:bottom w:val="nil"/>
              <w:right w:val="nil"/>
            </w:tcBorders>
            <w:shd w:val="clear" w:color="auto" w:fill="auto"/>
            <w:noWrap/>
            <w:vAlign w:val="bottom"/>
            <w:hideMark/>
          </w:tcPr>
          <w:p w14:paraId="46C1E612" w14:textId="77777777" w:rsidR="003F7508" w:rsidRPr="003F7508" w:rsidRDefault="003F7508" w:rsidP="003F7508">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000000" w:fill="FFFFFF"/>
            <w:noWrap/>
            <w:vAlign w:val="bottom"/>
            <w:hideMark/>
          </w:tcPr>
          <w:p w14:paraId="17A41822"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0D3E90CB"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1155" w:type="dxa"/>
            <w:tcBorders>
              <w:top w:val="nil"/>
              <w:left w:val="nil"/>
              <w:bottom w:val="nil"/>
              <w:right w:val="nil"/>
            </w:tcBorders>
            <w:shd w:val="clear" w:color="000000" w:fill="FFFFFF"/>
            <w:noWrap/>
            <w:vAlign w:val="bottom"/>
            <w:hideMark/>
          </w:tcPr>
          <w:p w14:paraId="34457751"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r>
      <w:tr w:rsidR="003F7508" w:rsidRPr="003F7508" w14:paraId="5257457E" w14:textId="77777777" w:rsidTr="003F7508">
        <w:trPr>
          <w:trHeight w:val="800"/>
        </w:trPr>
        <w:tc>
          <w:tcPr>
            <w:tcW w:w="6008" w:type="dxa"/>
            <w:tcBorders>
              <w:top w:val="nil"/>
              <w:left w:val="nil"/>
              <w:bottom w:val="nil"/>
              <w:right w:val="nil"/>
            </w:tcBorders>
            <w:shd w:val="clear" w:color="auto" w:fill="auto"/>
            <w:noWrap/>
            <w:vAlign w:val="bottom"/>
            <w:hideMark/>
          </w:tcPr>
          <w:p w14:paraId="41B1A1D2" w14:textId="77777777" w:rsidR="003F7508" w:rsidRPr="003F7508" w:rsidRDefault="003F7508" w:rsidP="003F7508">
            <w:pPr>
              <w:spacing w:before="0" w:after="0"/>
              <w:rPr>
                <w:rFonts w:eastAsia="Times New Roman" w:cs="Arial"/>
                <w:sz w:val="20"/>
                <w:szCs w:val="20"/>
                <w:lang w:eastAsia="en-GB"/>
              </w:rPr>
            </w:pPr>
          </w:p>
        </w:tc>
        <w:tc>
          <w:tcPr>
            <w:tcW w:w="2197" w:type="dxa"/>
            <w:gridSpan w:val="2"/>
            <w:tcBorders>
              <w:top w:val="nil"/>
              <w:left w:val="nil"/>
              <w:bottom w:val="nil"/>
              <w:right w:val="nil"/>
            </w:tcBorders>
            <w:shd w:val="clear" w:color="000000" w:fill="FFFFFF"/>
            <w:vAlign w:val="bottom"/>
            <w:hideMark/>
          </w:tcPr>
          <w:p w14:paraId="5699C59C"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Financial Liabilities measured at amortised cost</w:t>
            </w:r>
          </w:p>
        </w:tc>
        <w:tc>
          <w:tcPr>
            <w:tcW w:w="272" w:type="dxa"/>
            <w:tcBorders>
              <w:top w:val="nil"/>
              <w:left w:val="nil"/>
              <w:bottom w:val="nil"/>
              <w:right w:val="nil"/>
            </w:tcBorders>
            <w:shd w:val="clear" w:color="000000" w:fill="FFFFFF"/>
            <w:noWrap/>
            <w:vAlign w:val="bottom"/>
            <w:hideMark/>
          </w:tcPr>
          <w:p w14:paraId="643EE715" w14:textId="77777777" w:rsidR="003F7508" w:rsidRPr="003F7508" w:rsidRDefault="003F7508" w:rsidP="003F7508">
            <w:pPr>
              <w:spacing w:before="0" w:after="0"/>
              <w:jc w:val="right"/>
              <w:rPr>
                <w:rFonts w:eastAsia="Times New Roman" w:cs="Arial"/>
                <w:sz w:val="20"/>
                <w:szCs w:val="20"/>
                <w:lang w:eastAsia="en-GB"/>
              </w:rPr>
            </w:pPr>
            <w:r w:rsidRPr="003F7508">
              <w:rPr>
                <w:rFonts w:eastAsia="Times New Roman" w:cs="Arial"/>
                <w:sz w:val="20"/>
                <w:szCs w:val="20"/>
                <w:lang w:eastAsia="en-GB"/>
              </w:rPr>
              <w:t> </w:t>
            </w:r>
          </w:p>
        </w:tc>
        <w:tc>
          <w:tcPr>
            <w:tcW w:w="1155" w:type="dxa"/>
            <w:tcBorders>
              <w:top w:val="nil"/>
              <w:left w:val="nil"/>
              <w:bottom w:val="nil"/>
              <w:right w:val="nil"/>
            </w:tcBorders>
            <w:shd w:val="clear" w:color="000000" w:fill="FFFFFF"/>
            <w:vAlign w:val="bottom"/>
            <w:hideMark/>
          </w:tcPr>
          <w:p w14:paraId="5C3402AB"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Total</w:t>
            </w:r>
          </w:p>
        </w:tc>
      </w:tr>
      <w:tr w:rsidR="003F7508" w:rsidRPr="003F7508" w14:paraId="1BA6AF5C" w14:textId="77777777" w:rsidTr="003F7508">
        <w:trPr>
          <w:trHeight w:val="260"/>
        </w:trPr>
        <w:tc>
          <w:tcPr>
            <w:tcW w:w="6008" w:type="dxa"/>
            <w:tcBorders>
              <w:top w:val="nil"/>
              <w:left w:val="nil"/>
              <w:bottom w:val="nil"/>
              <w:right w:val="nil"/>
            </w:tcBorders>
            <w:shd w:val="clear" w:color="auto" w:fill="auto"/>
            <w:noWrap/>
            <w:vAlign w:val="bottom"/>
            <w:hideMark/>
          </w:tcPr>
          <w:p w14:paraId="7911D7C6" w14:textId="77777777" w:rsidR="003F7508" w:rsidRPr="003F7508" w:rsidRDefault="003F7508" w:rsidP="003F7508">
            <w:pPr>
              <w:spacing w:before="0" w:after="0"/>
              <w:jc w:val="right"/>
              <w:rPr>
                <w:rFonts w:eastAsia="Times New Roman" w:cs="Arial"/>
                <w:b/>
                <w:bCs/>
                <w:sz w:val="20"/>
                <w:szCs w:val="20"/>
                <w:lang w:eastAsia="en-GB"/>
              </w:rPr>
            </w:pPr>
          </w:p>
        </w:tc>
        <w:tc>
          <w:tcPr>
            <w:tcW w:w="714" w:type="dxa"/>
            <w:tcBorders>
              <w:top w:val="nil"/>
              <w:left w:val="nil"/>
              <w:bottom w:val="nil"/>
              <w:right w:val="nil"/>
            </w:tcBorders>
            <w:shd w:val="clear" w:color="auto" w:fill="auto"/>
            <w:noWrap/>
            <w:vAlign w:val="bottom"/>
            <w:hideMark/>
          </w:tcPr>
          <w:p w14:paraId="3C8FC170" w14:textId="77777777" w:rsidR="003F7508" w:rsidRPr="003F7508" w:rsidRDefault="003F7508" w:rsidP="003F7508">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000000" w:fill="FFFFFF"/>
            <w:vAlign w:val="bottom"/>
            <w:hideMark/>
          </w:tcPr>
          <w:p w14:paraId="71FCBEED"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31-Mar-24</w:t>
            </w:r>
          </w:p>
        </w:tc>
        <w:tc>
          <w:tcPr>
            <w:tcW w:w="272" w:type="dxa"/>
            <w:tcBorders>
              <w:top w:val="nil"/>
              <w:left w:val="nil"/>
              <w:bottom w:val="nil"/>
              <w:right w:val="nil"/>
            </w:tcBorders>
            <w:shd w:val="clear" w:color="000000" w:fill="FFFFFF"/>
            <w:noWrap/>
            <w:vAlign w:val="bottom"/>
            <w:hideMark/>
          </w:tcPr>
          <w:p w14:paraId="083570C1"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 </w:t>
            </w:r>
          </w:p>
        </w:tc>
        <w:tc>
          <w:tcPr>
            <w:tcW w:w="1155" w:type="dxa"/>
            <w:tcBorders>
              <w:top w:val="nil"/>
              <w:left w:val="nil"/>
              <w:bottom w:val="nil"/>
              <w:right w:val="nil"/>
            </w:tcBorders>
            <w:shd w:val="clear" w:color="000000" w:fill="FFFFFF"/>
            <w:vAlign w:val="bottom"/>
            <w:hideMark/>
          </w:tcPr>
          <w:p w14:paraId="053349E6"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31-Mar-24</w:t>
            </w:r>
          </w:p>
        </w:tc>
      </w:tr>
      <w:tr w:rsidR="003F7508" w:rsidRPr="003F7508" w14:paraId="4E93B761" w14:textId="77777777" w:rsidTr="003F7508">
        <w:trPr>
          <w:trHeight w:val="260"/>
        </w:trPr>
        <w:tc>
          <w:tcPr>
            <w:tcW w:w="6008" w:type="dxa"/>
            <w:tcBorders>
              <w:top w:val="nil"/>
              <w:left w:val="nil"/>
              <w:bottom w:val="nil"/>
              <w:right w:val="nil"/>
            </w:tcBorders>
            <w:shd w:val="clear" w:color="auto" w:fill="auto"/>
            <w:noWrap/>
            <w:vAlign w:val="bottom"/>
            <w:hideMark/>
          </w:tcPr>
          <w:p w14:paraId="64A215BD" w14:textId="77777777" w:rsidR="003F7508" w:rsidRPr="003F7508" w:rsidRDefault="003F7508" w:rsidP="003F7508">
            <w:pPr>
              <w:spacing w:before="0" w:after="0"/>
              <w:jc w:val="right"/>
              <w:rPr>
                <w:rFonts w:eastAsia="Times New Roman" w:cs="Arial"/>
                <w:b/>
                <w:bCs/>
                <w:sz w:val="20"/>
                <w:szCs w:val="20"/>
                <w:lang w:eastAsia="en-GB"/>
              </w:rPr>
            </w:pPr>
          </w:p>
        </w:tc>
        <w:tc>
          <w:tcPr>
            <w:tcW w:w="714" w:type="dxa"/>
            <w:tcBorders>
              <w:top w:val="nil"/>
              <w:left w:val="nil"/>
              <w:bottom w:val="nil"/>
              <w:right w:val="nil"/>
            </w:tcBorders>
            <w:shd w:val="clear" w:color="auto" w:fill="auto"/>
            <w:noWrap/>
            <w:vAlign w:val="bottom"/>
            <w:hideMark/>
          </w:tcPr>
          <w:p w14:paraId="3928F224" w14:textId="77777777" w:rsidR="003F7508" w:rsidRPr="003F7508" w:rsidRDefault="003F7508" w:rsidP="003F7508">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000000" w:fill="FFFFFF"/>
            <w:noWrap/>
            <w:vAlign w:val="bottom"/>
            <w:hideMark/>
          </w:tcPr>
          <w:p w14:paraId="72DE19EE"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£'000</w:t>
            </w:r>
          </w:p>
        </w:tc>
        <w:tc>
          <w:tcPr>
            <w:tcW w:w="272" w:type="dxa"/>
            <w:tcBorders>
              <w:top w:val="nil"/>
              <w:left w:val="nil"/>
              <w:bottom w:val="nil"/>
              <w:right w:val="nil"/>
            </w:tcBorders>
            <w:shd w:val="clear" w:color="000000" w:fill="FFFFFF"/>
            <w:noWrap/>
            <w:vAlign w:val="bottom"/>
            <w:hideMark/>
          </w:tcPr>
          <w:p w14:paraId="4D95AAE8"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 </w:t>
            </w:r>
          </w:p>
        </w:tc>
        <w:tc>
          <w:tcPr>
            <w:tcW w:w="1155" w:type="dxa"/>
            <w:tcBorders>
              <w:top w:val="nil"/>
              <w:left w:val="nil"/>
              <w:bottom w:val="nil"/>
              <w:right w:val="nil"/>
            </w:tcBorders>
            <w:shd w:val="clear" w:color="000000" w:fill="FFFFFF"/>
            <w:noWrap/>
            <w:vAlign w:val="bottom"/>
            <w:hideMark/>
          </w:tcPr>
          <w:p w14:paraId="01CA7268"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£'000</w:t>
            </w:r>
          </w:p>
        </w:tc>
      </w:tr>
      <w:tr w:rsidR="003F7508" w:rsidRPr="003F7508" w14:paraId="7786B877" w14:textId="77777777" w:rsidTr="003F7508">
        <w:trPr>
          <w:trHeight w:val="250"/>
        </w:trPr>
        <w:tc>
          <w:tcPr>
            <w:tcW w:w="6008" w:type="dxa"/>
            <w:tcBorders>
              <w:top w:val="nil"/>
              <w:left w:val="nil"/>
              <w:bottom w:val="nil"/>
              <w:right w:val="nil"/>
            </w:tcBorders>
            <w:shd w:val="clear" w:color="auto" w:fill="auto"/>
            <w:noWrap/>
            <w:vAlign w:val="bottom"/>
            <w:hideMark/>
          </w:tcPr>
          <w:p w14:paraId="13EED58A" w14:textId="77777777" w:rsidR="003F7508" w:rsidRPr="003F7508" w:rsidRDefault="003F7508" w:rsidP="003F7508">
            <w:pPr>
              <w:spacing w:before="0" w:after="0"/>
              <w:jc w:val="right"/>
              <w:rPr>
                <w:rFonts w:eastAsia="Times New Roman" w:cs="Arial"/>
                <w:b/>
                <w:bCs/>
                <w:sz w:val="20"/>
                <w:szCs w:val="20"/>
                <w:lang w:eastAsia="en-GB"/>
              </w:rPr>
            </w:pPr>
          </w:p>
        </w:tc>
        <w:tc>
          <w:tcPr>
            <w:tcW w:w="714" w:type="dxa"/>
            <w:tcBorders>
              <w:top w:val="nil"/>
              <w:left w:val="nil"/>
              <w:bottom w:val="nil"/>
              <w:right w:val="nil"/>
            </w:tcBorders>
            <w:shd w:val="clear" w:color="auto" w:fill="auto"/>
            <w:noWrap/>
            <w:vAlign w:val="bottom"/>
            <w:hideMark/>
          </w:tcPr>
          <w:p w14:paraId="4C82DCAF" w14:textId="77777777" w:rsidR="003F7508" w:rsidRPr="003F7508" w:rsidRDefault="003F7508" w:rsidP="003F7508">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000000" w:fill="FFFFFF"/>
            <w:noWrap/>
            <w:vAlign w:val="bottom"/>
            <w:hideMark/>
          </w:tcPr>
          <w:p w14:paraId="5358FF56"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18487750"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1155" w:type="dxa"/>
            <w:tcBorders>
              <w:top w:val="nil"/>
              <w:left w:val="nil"/>
              <w:bottom w:val="nil"/>
              <w:right w:val="nil"/>
            </w:tcBorders>
            <w:shd w:val="clear" w:color="000000" w:fill="FFFFFF"/>
            <w:noWrap/>
            <w:vAlign w:val="bottom"/>
            <w:hideMark/>
          </w:tcPr>
          <w:p w14:paraId="2F15EF36"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r>
      <w:tr w:rsidR="003F7508" w:rsidRPr="003F7508" w14:paraId="44ADDDB2" w14:textId="77777777" w:rsidTr="003F7508">
        <w:trPr>
          <w:trHeight w:val="260"/>
        </w:trPr>
        <w:tc>
          <w:tcPr>
            <w:tcW w:w="6008" w:type="dxa"/>
            <w:tcBorders>
              <w:top w:val="nil"/>
              <w:left w:val="nil"/>
              <w:bottom w:val="nil"/>
              <w:right w:val="nil"/>
            </w:tcBorders>
            <w:shd w:val="clear" w:color="000000" w:fill="FFFFFF"/>
            <w:noWrap/>
            <w:vAlign w:val="bottom"/>
            <w:hideMark/>
          </w:tcPr>
          <w:p w14:paraId="065FA2DF"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Loans with external bodies</w:t>
            </w:r>
          </w:p>
        </w:tc>
        <w:tc>
          <w:tcPr>
            <w:tcW w:w="714" w:type="dxa"/>
            <w:tcBorders>
              <w:top w:val="nil"/>
              <w:left w:val="nil"/>
              <w:bottom w:val="nil"/>
              <w:right w:val="nil"/>
            </w:tcBorders>
            <w:shd w:val="clear" w:color="000000" w:fill="FFFFFF"/>
            <w:noWrap/>
            <w:vAlign w:val="bottom"/>
            <w:hideMark/>
          </w:tcPr>
          <w:p w14:paraId="1DF7FF62"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1483" w:type="dxa"/>
            <w:tcBorders>
              <w:top w:val="nil"/>
              <w:left w:val="nil"/>
              <w:bottom w:val="nil"/>
              <w:right w:val="nil"/>
            </w:tcBorders>
            <w:shd w:val="clear" w:color="000000" w:fill="FFFFFF"/>
            <w:noWrap/>
            <w:vAlign w:val="bottom"/>
            <w:hideMark/>
          </w:tcPr>
          <w:p w14:paraId="4E0D192F" w14:textId="77777777" w:rsidR="003F7508" w:rsidRPr="003F7508" w:rsidRDefault="003F7508" w:rsidP="003F7508">
            <w:pPr>
              <w:spacing w:before="0" w:after="0"/>
              <w:jc w:val="right"/>
              <w:rPr>
                <w:rFonts w:eastAsia="Times New Roman" w:cs="Arial"/>
                <w:sz w:val="20"/>
                <w:szCs w:val="20"/>
                <w:lang w:eastAsia="en-GB"/>
              </w:rPr>
            </w:pPr>
            <w:r w:rsidRPr="003F7508">
              <w:rPr>
                <w:rFonts w:eastAsia="Times New Roman" w:cs="Arial"/>
                <w:sz w:val="20"/>
                <w:szCs w:val="20"/>
                <w:lang w:eastAsia="en-GB"/>
              </w:rPr>
              <w:t>2,523</w:t>
            </w:r>
          </w:p>
        </w:tc>
        <w:tc>
          <w:tcPr>
            <w:tcW w:w="272" w:type="dxa"/>
            <w:tcBorders>
              <w:top w:val="nil"/>
              <w:left w:val="nil"/>
              <w:bottom w:val="nil"/>
              <w:right w:val="nil"/>
            </w:tcBorders>
            <w:shd w:val="clear" w:color="000000" w:fill="FFFFFF"/>
            <w:noWrap/>
            <w:vAlign w:val="bottom"/>
            <w:hideMark/>
          </w:tcPr>
          <w:p w14:paraId="678BFDF5"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1155" w:type="dxa"/>
            <w:tcBorders>
              <w:top w:val="nil"/>
              <w:left w:val="nil"/>
              <w:bottom w:val="nil"/>
              <w:right w:val="nil"/>
            </w:tcBorders>
            <w:shd w:val="clear" w:color="000000" w:fill="FFFFFF"/>
            <w:noWrap/>
            <w:vAlign w:val="bottom"/>
            <w:hideMark/>
          </w:tcPr>
          <w:p w14:paraId="009A90B3"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2,523</w:t>
            </w:r>
          </w:p>
        </w:tc>
      </w:tr>
      <w:tr w:rsidR="003F7508" w:rsidRPr="003F7508" w14:paraId="7A039120" w14:textId="77777777" w:rsidTr="003F7508">
        <w:trPr>
          <w:trHeight w:val="260"/>
        </w:trPr>
        <w:tc>
          <w:tcPr>
            <w:tcW w:w="6008" w:type="dxa"/>
            <w:tcBorders>
              <w:top w:val="nil"/>
              <w:left w:val="nil"/>
              <w:bottom w:val="nil"/>
              <w:right w:val="nil"/>
            </w:tcBorders>
            <w:shd w:val="clear" w:color="auto" w:fill="auto"/>
            <w:noWrap/>
            <w:vAlign w:val="bottom"/>
            <w:hideMark/>
          </w:tcPr>
          <w:p w14:paraId="5D1ED81F"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Trade and other payables with NHSE bodies</w:t>
            </w:r>
          </w:p>
        </w:tc>
        <w:tc>
          <w:tcPr>
            <w:tcW w:w="714" w:type="dxa"/>
            <w:tcBorders>
              <w:top w:val="nil"/>
              <w:left w:val="nil"/>
              <w:bottom w:val="nil"/>
              <w:right w:val="nil"/>
            </w:tcBorders>
            <w:shd w:val="clear" w:color="auto" w:fill="auto"/>
            <w:noWrap/>
            <w:vAlign w:val="bottom"/>
            <w:hideMark/>
          </w:tcPr>
          <w:p w14:paraId="0355F621" w14:textId="77777777" w:rsidR="003F7508" w:rsidRPr="003F7508" w:rsidRDefault="003F7508" w:rsidP="003F7508">
            <w:pPr>
              <w:spacing w:before="0" w:after="0"/>
              <w:rPr>
                <w:rFonts w:eastAsia="Times New Roman" w:cs="Arial"/>
                <w:sz w:val="20"/>
                <w:szCs w:val="20"/>
                <w:lang w:eastAsia="en-GB"/>
              </w:rPr>
            </w:pPr>
          </w:p>
        </w:tc>
        <w:tc>
          <w:tcPr>
            <w:tcW w:w="1483" w:type="dxa"/>
            <w:tcBorders>
              <w:top w:val="nil"/>
              <w:left w:val="nil"/>
              <w:bottom w:val="nil"/>
              <w:right w:val="nil"/>
            </w:tcBorders>
            <w:shd w:val="clear" w:color="000000" w:fill="FFFFFF"/>
            <w:noWrap/>
            <w:vAlign w:val="bottom"/>
            <w:hideMark/>
          </w:tcPr>
          <w:p w14:paraId="13D013CD" w14:textId="77777777" w:rsidR="003F7508" w:rsidRPr="003F7508" w:rsidRDefault="003F7508" w:rsidP="003F7508">
            <w:pPr>
              <w:spacing w:before="0" w:after="0"/>
              <w:jc w:val="right"/>
              <w:rPr>
                <w:rFonts w:eastAsia="Times New Roman" w:cs="Arial"/>
                <w:sz w:val="20"/>
                <w:szCs w:val="20"/>
                <w:lang w:eastAsia="en-GB"/>
              </w:rPr>
            </w:pPr>
            <w:r w:rsidRPr="003F7508">
              <w:rPr>
                <w:rFonts w:eastAsia="Times New Roman" w:cs="Arial"/>
                <w:sz w:val="20"/>
                <w:szCs w:val="20"/>
                <w:lang w:eastAsia="en-GB"/>
              </w:rPr>
              <w:t>4,804</w:t>
            </w:r>
          </w:p>
        </w:tc>
        <w:tc>
          <w:tcPr>
            <w:tcW w:w="272" w:type="dxa"/>
            <w:tcBorders>
              <w:top w:val="nil"/>
              <w:left w:val="nil"/>
              <w:bottom w:val="nil"/>
              <w:right w:val="nil"/>
            </w:tcBorders>
            <w:shd w:val="clear" w:color="000000" w:fill="FFFFFF"/>
            <w:noWrap/>
            <w:vAlign w:val="bottom"/>
            <w:hideMark/>
          </w:tcPr>
          <w:p w14:paraId="309461B6"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1155" w:type="dxa"/>
            <w:tcBorders>
              <w:top w:val="nil"/>
              <w:left w:val="nil"/>
              <w:bottom w:val="nil"/>
              <w:right w:val="nil"/>
            </w:tcBorders>
            <w:shd w:val="clear" w:color="000000" w:fill="FFFFFF"/>
            <w:noWrap/>
            <w:vAlign w:val="bottom"/>
            <w:hideMark/>
          </w:tcPr>
          <w:p w14:paraId="47754C79"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4,804</w:t>
            </w:r>
          </w:p>
        </w:tc>
      </w:tr>
      <w:tr w:rsidR="003F7508" w:rsidRPr="003F7508" w14:paraId="2E34F4FE" w14:textId="77777777" w:rsidTr="003F7508">
        <w:trPr>
          <w:trHeight w:val="260"/>
        </w:trPr>
        <w:tc>
          <w:tcPr>
            <w:tcW w:w="6008" w:type="dxa"/>
            <w:tcBorders>
              <w:top w:val="nil"/>
              <w:left w:val="nil"/>
              <w:bottom w:val="nil"/>
              <w:right w:val="nil"/>
            </w:tcBorders>
            <w:shd w:val="clear" w:color="auto" w:fill="auto"/>
            <w:noWrap/>
            <w:vAlign w:val="bottom"/>
            <w:hideMark/>
          </w:tcPr>
          <w:p w14:paraId="75E36A4A"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Trade and other payables with other DHSC group bodies</w:t>
            </w:r>
          </w:p>
        </w:tc>
        <w:tc>
          <w:tcPr>
            <w:tcW w:w="714" w:type="dxa"/>
            <w:tcBorders>
              <w:top w:val="nil"/>
              <w:left w:val="nil"/>
              <w:bottom w:val="nil"/>
              <w:right w:val="nil"/>
            </w:tcBorders>
            <w:shd w:val="clear" w:color="auto" w:fill="auto"/>
            <w:noWrap/>
            <w:vAlign w:val="bottom"/>
            <w:hideMark/>
          </w:tcPr>
          <w:p w14:paraId="307187DA" w14:textId="77777777" w:rsidR="003F7508" w:rsidRPr="003F7508" w:rsidRDefault="003F7508" w:rsidP="003F7508">
            <w:pPr>
              <w:spacing w:before="0" w:after="0"/>
              <w:rPr>
                <w:rFonts w:eastAsia="Times New Roman" w:cs="Arial"/>
                <w:sz w:val="20"/>
                <w:szCs w:val="20"/>
                <w:lang w:eastAsia="en-GB"/>
              </w:rPr>
            </w:pPr>
          </w:p>
        </w:tc>
        <w:tc>
          <w:tcPr>
            <w:tcW w:w="1483" w:type="dxa"/>
            <w:tcBorders>
              <w:top w:val="nil"/>
              <w:left w:val="nil"/>
              <w:bottom w:val="nil"/>
              <w:right w:val="nil"/>
            </w:tcBorders>
            <w:shd w:val="clear" w:color="000000" w:fill="FFFFFF"/>
            <w:noWrap/>
            <w:vAlign w:val="bottom"/>
            <w:hideMark/>
          </w:tcPr>
          <w:p w14:paraId="0E75907D" w14:textId="77777777" w:rsidR="003F7508" w:rsidRPr="003F7508" w:rsidRDefault="003F7508" w:rsidP="003F7508">
            <w:pPr>
              <w:spacing w:before="0" w:after="0"/>
              <w:jc w:val="right"/>
              <w:rPr>
                <w:rFonts w:eastAsia="Times New Roman" w:cs="Arial"/>
                <w:sz w:val="20"/>
                <w:szCs w:val="20"/>
                <w:lang w:eastAsia="en-GB"/>
              </w:rPr>
            </w:pPr>
            <w:r w:rsidRPr="003F7508">
              <w:rPr>
                <w:rFonts w:eastAsia="Times New Roman" w:cs="Arial"/>
                <w:sz w:val="20"/>
                <w:szCs w:val="20"/>
                <w:lang w:eastAsia="en-GB"/>
              </w:rPr>
              <w:t>16,636</w:t>
            </w:r>
          </w:p>
        </w:tc>
        <w:tc>
          <w:tcPr>
            <w:tcW w:w="272" w:type="dxa"/>
            <w:tcBorders>
              <w:top w:val="nil"/>
              <w:left w:val="nil"/>
              <w:bottom w:val="nil"/>
              <w:right w:val="nil"/>
            </w:tcBorders>
            <w:shd w:val="clear" w:color="000000" w:fill="FFFFFF"/>
            <w:noWrap/>
            <w:vAlign w:val="bottom"/>
            <w:hideMark/>
          </w:tcPr>
          <w:p w14:paraId="4F34BA2A"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1155" w:type="dxa"/>
            <w:tcBorders>
              <w:top w:val="nil"/>
              <w:left w:val="nil"/>
              <w:bottom w:val="nil"/>
              <w:right w:val="nil"/>
            </w:tcBorders>
            <w:shd w:val="clear" w:color="000000" w:fill="FFFFFF"/>
            <w:noWrap/>
            <w:vAlign w:val="bottom"/>
            <w:hideMark/>
          </w:tcPr>
          <w:p w14:paraId="34D6C449"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16,636</w:t>
            </w:r>
          </w:p>
        </w:tc>
      </w:tr>
      <w:tr w:rsidR="003F7508" w:rsidRPr="003F7508" w14:paraId="089E15B0" w14:textId="77777777" w:rsidTr="003F7508">
        <w:trPr>
          <w:trHeight w:val="260"/>
        </w:trPr>
        <w:tc>
          <w:tcPr>
            <w:tcW w:w="6008" w:type="dxa"/>
            <w:tcBorders>
              <w:top w:val="nil"/>
              <w:left w:val="nil"/>
              <w:bottom w:val="nil"/>
              <w:right w:val="nil"/>
            </w:tcBorders>
            <w:shd w:val="clear" w:color="auto" w:fill="auto"/>
            <w:noWrap/>
            <w:vAlign w:val="bottom"/>
            <w:hideMark/>
          </w:tcPr>
          <w:p w14:paraId="40A79142"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Trade and other payables with external bodies</w:t>
            </w:r>
          </w:p>
        </w:tc>
        <w:tc>
          <w:tcPr>
            <w:tcW w:w="714" w:type="dxa"/>
            <w:tcBorders>
              <w:top w:val="nil"/>
              <w:left w:val="nil"/>
              <w:bottom w:val="nil"/>
              <w:right w:val="nil"/>
            </w:tcBorders>
            <w:shd w:val="clear" w:color="auto" w:fill="auto"/>
            <w:noWrap/>
            <w:vAlign w:val="bottom"/>
            <w:hideMark/>
          </w:tcPr>
          <w:p w14:paraId="777C7AC6" w14:textId="77777777" w:rsidR="003F7508" w:rsidRPr="003F7508" w:rsidRDefault="003F7508" w:rsidP="003F7508">
            <w:pPr>
              <w:spacing w:before="0" w:after="0"/>
              <w:rPr>
                <w:rFonts w:eastAsia="Times New Roman" w:cs="Arial"/>
                <w:sz w:val="20"/>
                <w:szCs w:val="20"/>
                <w:lang w:eastAsia="en-GB"/>
              </w:rPr>
            </w:pPr>
          </w:p>
        </w:tc>
        <w:tc>
          <w:tcPr>
            <w:tcW w:w="1483" w:type="dxa"/>
            <w:tcBorders>
              <w:top w:val="nil"/>
              <w:left w:val="nil"/>
              <w:bottom w:val="nil"/>
              <w:right w:val="nil"/>
            </w:tcBorders>
            <w:shd w:val="clear" w:color="000000" w:fill="FFFFFF"/>
            <w:noWrap/>
            <w:vAlign w:val="bottom"/>
            <w:hideMark/>
          </w:tcPr>
          <w:p w14:paraId="7D7EEA0C" w14:textId="77777777" w:rsidR="003F7508" w:rsidRPr="003F7508" w:rsidRDefault="003F7508" w:rsidP="003F7508">
            <w:pPr>
              <w:spacing w:before="0" w:after="0"/>
              <w:jc w:val="right"/>
              <w:rPr>
                <w:rFonts w:eastAsia="Times New Roman" w:cs="Arial"/>
                <w:sz w:val="20"/>
                <w:szCs w:val="20"/>
                <w:lang w:eastAsia="en-GB"/>
              </w:rPr>
            </w:pPr>
            <w:r w:rsidRPr="003F7508">
              <w:rPr>
                <w:rFonts w:eastAsia="Times New Roman" w:cs="Arial"/>
                <w:sz w:val="20"/>
                <w:szCs w:val="20"/>
                <w:lang w:eastAsia="en-GB"/>
              </w:rPr>
              <w:t>122,321</w:t>
            </w:r>
          </w:p>
        </w:tc>
        <w:tc>
          <w:tcPr>
            <w:tcW w:w="272" w:type="dxa"/>
            <w:tcBorders>
              <w:top w:val="nil"/>
              <w:left w:val="nil"/>
              <w:bottom w:val="nil"/>
              <w:right w:val="nil"/>
            </w:tcBorders>
            <w:shd w:val="clear" w:color="000000" w:fill="FFFFFF"/>
            <w:noWrap/>
            <w:vAlign w:val="bottom"/>
            <w:hideMark/>
          </w:tcPr>
          <w:p w14:paraId="08E5D2C3"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1155" w:type="dxa"/>
            <w:tcBorders>
              <w:top w:val="nil"/>
              <w:left w:val="nil"/>
              <w:bottom w:val="nil"/>
              <w:right w:val="nil"/>
            </w:tcBorders>
            <w:shd w:val="clear" w:color="000000" w:fill="FFFFFF"/>
            <w:noWrap/>
            <w:vAlign w:val="bottom"/>
            <w:hideMark/>
          </w:tcPr>
          <w:p w14:paraId="73D334D0"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122,321</w:t>
            </w:r>
          </w:p>
        </w:tc>
      </w:tr>
      <w:tr w:rsidR="003F7508" w:rsidRPr="003F7508" w14:paraId="5D19A466" w14:textId="77777777" w:rsidTr="003F7508">
        <w:trPr>
          <w:trHeight w:val="260"/>
        </w:trPr>
        <w:tc>
          <w:tcPr>
            <w:tcW w:w="6008" w:type="dxa"/>
            <w:tcBorders>
              <w:top w:val="nil"/>
              <w:left w:val="nil"/>
              <w:bottom w:val="nil"/>
              <w:right w:val="nil"/>
            </w:tcBorders>
            <w:shd w:val="clear" w:color="auto" w:fill="auto"/>
            <w:noWrap/>
            <w:vAlign w:val="bottom"/>
            <w:hideMark/>
          </w:tcPr>
          <w:p w14:paraId="33B2B9CF"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Total at 31 March 24</w:t>
            </w:r>
          </w:p>
        </w:tc>
        <w:tc>
          <w:tcPr>
            <w:tcW w:w="714" w:type="dxa"/>
            <w:tcBorders>
              <w:top w:val="nil"/>
              <w:left w:val="nil"/>
              <w:bottom w:val="nil"/>
              <w:right w:val="nil"/>
            </w:tcBorders>
            <w:shd w:val="clear" w:color="auto" w:fill="auto"/>
            <w:noWrap/>
            <w:vAlign w:val="bottom"/>
            <w:hideMark/>
          </w:tcPr>
          <w:p w14:paraId="6A8F0EDE" w14:textId="77777777" w:rsidR="003F7508" w:rsidRPr="003F7508" w:rsidRDefault="003F7508" w:rsidP="003F7508">
            <w:pPr>
              <w:spacing w:before="0" w:after="0"/>
              <w:rPr>
                <w:rFonts w:eastAsia="Times New Roman" w:cs="Arial"/>
                <w:b/>
                <w:bCs/>
                <w:sz w:val="20"/>
                <w:szCs w:val="20"/>
                <w:lang w:eastAsia="en-GB"/>
              </w:rPr>
            </w:pPr>
          </w:p>
        </w:tc>
        <w:tc>
          <w:tcPr>
            <w:tcW w:w="1483" w:type="dxa"/>
            <w:tcBorders>
              <w:top w:val="single" w:sz="4" w:space="0" w:color="auto"/>
              <w:left w:val="nil"/>
              <w:bottom w:val="single" w:sz="4" w:space="0" w:color="auto"/>
              <w:right w:val="nil"/>
            </w:tcBorders>
            <w:shd w:val="clear" w:color="000000" w:fill="FFFFFF"/>
            <w:noWrap/>
            <w:vAlign w:val="bottom"/>
            <w:hideMark/>
          </w:tcPr>
          <w:p w14:paraId="0D3A3E3B"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146,284</w:t>
            </w:r>
          </w:p>
        </w:tc>
        <w:tc>
          <w:tcPr>
            <w:tcW w:w="272" w:type="dxa"/>
            <w:tcBorders>
              <w:top w:val="nil"/>
              <w:left w:val="nil"/>
              <w:bottom w:val="nil"/>
              <w:right w:val="nil"/>
            </w:tcBorders>
            <w:shd w:val="clear" w:color="000000" w:fill="FFFFFF"/>
            <w:noWrap/>
            <w:vAlign w:val="bottom"/>
            <w:hideMark/>
          </w:tcPr>
          <w:p w14:paraId="0E722046"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 </w:t>
            </w:r>
          </w:p>
        </w:tc>
        <w:tc>
          <w:tcPr>
            <w:tcW w:w="1155" w:type="dxa"/>
            <w:tcBorders>
              <w:top w:val="single" w:sz="4" w:space="0" w:color="auto"/>
              <w:left w:val="nil"/>
              <w:bottom w:val="single" w:sz="4" w:space="0" w:color="auto"/>
              <w:right w:val="nil"/>
            </w:tcBorders>
            <w:shd w:val="clear" w:color="000000" w:fill="FFFFFF"/>
            <w:noWrap/>
            <w:vAlign w:val="bottom"/>
            <w:hideMark/>
          </w:tcPr>
          <w:p w14:paraId="4B4CD1CE" w14:textId="77777777" w:rsidR="003F7508" w:rsidRPr="003F7508" w:rsidRDefault="003F7508" w:rsidP="003F7508">
            <w:pPr>
              <w:spacing w:before="0" w:after="0"/>
              <w:jc w:val="right"/>
              <w:rPr>
                <w:rFonts w:eastAsia="Times New Roman" w:cs="Arial"/>
                <w:b/>
                <w:bCs/>
                <w:sz w:val="20"/>
                <w:szCs w:val="20"/>
                <w:lang w:eastAsia="en-GB"/>
              </w:rPr>
            </w:pPr>
            <w:r w:rsidRPr="003F7508">
              <w:rPr>
                <w:rFonts w:eastAsia="Times New Roman" w:cs="Arial"/>
                <w:b/>
                <w:bCs/>
                <w:sz w:val="20"/>
                <w:szCs w:val="20"/>
                <w:lang w:eastAsia="en-GB"/>
              </w:rPr>
              <w:t>146,284</w:t>
            </w:r>
          </w:p>
        </w:tc>
      </w:tr>
      <w:tr w:rsidR="003F7508" w:rsidRPr="003F7508" w14:paraId="5C710383" w14:textId="77777777" w:rsidTr="003F7508">
        <w:trPr>
          <w:trHeight w:val="260"/>
        </w:trPr>
        <w:tc>
          <w:tcPr>
            <w:tcW w:w="6008" w:type="dxa"/>
            <w:tcBorders>
              <w:top w:val="nil"/>
              <w:left w:val="nil"/>
              <w:bottom w:val="nil"/>
              <w:right w:val="nil"/>
            </w:tcBorders>
            <w:shd w:val="clear" w:color="auto" w:fill="auto"/>
            <w:noWrap/>
            <w:vAlign w:val="bottom"/>
            <w:hideMark/>
          </w:tcPr>
          <w:p w14:paraId="3BC4D1B8" w14:textId="77777777" w:rsidR="003F7508" w:rsidRPr="003F7508" w:rsidRDefault="003F7508" w:rsidP="003F7508">
            <w:pPr>
              <w:spacing w:before="0" w:after="0"/>
              <w:jc w:val="right"/>
              <w:rPr>
                <w:rFonts w:eastAsia="Times New Roman" w:cs="Arial"/>
                <w:b/>
                <w:bCs/>
                <w:sz w:val="20"/>
                <w:szCs w:val="20"/>
                <w:lang w:eastAsia="en-GB"/>
              </w:rPr>
            </w:pPr>
          </w:p>
        </w:tc>
        <w:tc>
          <w:tcPr>
            <w:tcW w:w="714" w:type="dxa"/>
            <w:tcBorders>
              <w:top w:val="nil"/>
              <w:left w:val="nil"/>
              <w:bottom w:val="nil"/>
              <w:right w:val="nil"/>
            </w:tcBorders>
            <w:shd w:val="clear" w:color="auto" w:fill="auto"/>
            <w:noWrap/>
            <w:vAlign w:val="bottom"/>
            <w:hideMark/>
          </w:tcPr>
          <w:p w14:paraId="08AE5291" w14:textId="77777777" w:rsidR="003F7508" w:rsidRPr="003F7508" w:rsidRDefault="003F7508" w:rsidP="003F7508">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000000" w:fill="FFFFFF"/>
            <w:noWrap/>
            <w:vAlign w:val="bottom"/>
            <w:hideMark/>
          </w:tcPr>
          <w:p w14:paraId="22A24C89"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475EDEAA"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 </w:t>
            </w:r>
          </w:p>
        </w:tc>
        <w:tc>
          <w:tcPr>
            <w:tcW w:w="1155" w:type="dxa"/>
            <w:tcBorders>
              <w:top w:val="nil"/>
              <w:left w:val="nil"/>
              <w:bottom w:val="nil"/>
              <w:right w:val="nil"/>
            </w:tcBorders>
            <w:shd w:val="clear" w:color="000000" w:fill="FFFFFF"/>
            <w:noWrap/>
            <w:vAlign w:val="bottom"/>
            <w:hideMark/>
          </w:tcPr>
          <w:p w14:paraId="1D90F0C2"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 </w:t>
            </w:r>
          </w:p>
        </w:tc>
      </w:tr>
      <w:tr w:rsidR="003F7508" w:rsidRPr="003F7508" w14:paraId="3EB9C970" w14:textId="77777777" w:rsidTr="003F7508">
        <w:trPr>
          <w:trHeight w:val="260"/>
        </w:trPr>
        <w:tc>
          <w:tcPr>
            <w:tcW w:w="6008" w:type="dxa"/>
            <w:tcBorders>
              <w:top w:val="nil"/>
              <w:left w:val="nil"/>
              <w:bottom w:val="nil"/>
              <w:right w:val="nil"/>
            </w:tcBorders>
            <w:shd w:val="clear" w:color="auto" w:fill="auto"/>
            <w:noWrap/>
            <w:vAlign w:val="bottom"/>
            <w:hideMark/>
          </w:tcPr>
          <w:p w14:paraId="76A0ABE7" w14:textId="77777777" w:rsidR="003F7508" w:rsidRPr="003F7508" w:rsidRDefault="003F7508" w:rsidP="003F7508">
            <w:pPr>
              <w:spacing w:before="0" w:after="0"/>
              <w:rPr>
                <w:rFonts w:eastAsia="Times New Roman" w:cs="Arial"/>
                <w:b/>
                <w:bCs/>
                <w:sz w:val="20"/>
                <w:szCs w:val="20"/>
                <w:lang w:eastAsia="en-GB"/>
              </w:rPr>
            </w:pPr>
          </w:p>
        </w:tc>
        <w:tc>
          <w:tcPr>
            <w:tcW w:w="714" w:type="dxa"/>
            <w:tcBorders>
              <w:top w:val="nil"/>
              <w:left w:val="nil"/>
              <w:bottom w:val="nil"/>
              <w:right w:val="nil"/>
            </w:tcBorders>
            <w:shd w:val="clear" w:color="auto" w:fill="auto"/>
            <w:noWrap/>
            <w:vAlign w:val="bottom"/>
            <w:hideMark/>
          </w:tcPr>
          <w:p w14:paraId="0CEFABAA" w14:textId="77777777" w:rsidR="003F7508" w:rsidRPr="003F7508" w:rsidRDefault="003F7508" w:rsidP="003F7508">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000000" w:fill="FFFFFF"/>
            <w:noWrap/>
            <w:vAlign w:val="bottom"/>
            <w:hideMark/>
          </w:tcPr>
          <w:p w14:paraId="61995E37"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 </w:t>
            </w:r>
          </w:p>
        </w:tc>
        <w:tc>
          <w:tcPr>
            <w:tcW w:w="272" w:type="dxa"/>
            <w:tcBorders>
              <w:top w:val="nil"/>
              <w:left w:val="nil"/>
              <w:bottom w:val="nil"/>
              <w:right w:val="nil"/>
            </w:tcBorders>
            <w:shd w:val="clear" w:color="000000" w:fill="FFFFFF"/>
            <w:noWrap/>
            <w:vAlign w:val="bottom"/>
            <w:hideMark/>
          </w:tcPr>
          <w:p w14:paraId="53C04C6E"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 </w:t>
            </w:r>
          </w:p>
        </w:tc>
        <w:tc>
          <w:tcPr>
            <w:tcW w:w="1155" w:type="dxa"/>
            <w:tcBorders>
              <w:top w:val="nil"/>
              <w:left w:val="nil"/>
              <w:bottom w:val="nil"/>
              <w:right w:val="nil"/>
            </w:tcBorders>
            <w:shd w:val="clear" w:color="000000" w:fill="FFFFFF"/>
            <w:noWrap/>
            <w:vAlign w:val="bottom"/>
            <w:hideMark/>
          </w:tcPr>
          <w:p w14:paraId="1340F9BF"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 </w:t>
            </w:r>
          </w:p>
        </w:tc>
      </w:tr>
      <w:tr w:rsidR="003F7508" w:rsidRPr="003F7508" w14:paraId="4F78807A" w14:textId="77777777" w:rsidTr="003F7508">
        <w:trPr>
          <w:trHeight w:val="260"/>
        </w:trPr>
        <w:tc>
          <w:tcPr>
            <w:tcW w:w="6008" w:type="dxa"/>
            <w:tcBorders>
              <w:top w:val="nil"/>
              <w:left w:val="nil"/>
              <w:bottom w:val="nil"/>
              <w:right w:val="nil"/>
            </w:tcBorders>
            <w:shd w:val="clear" w:color="000000" w:fill="FFFFFF"/>
            <w:noWrap/>
            <w:vAlign w:val="bottom"/>
            <w:hideMark/>
          </w:tcPr>
          <w:p w14:paraId="7871983D"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17 Operating Segments</w:t>
            </w:r>
          </w:p>
        </w:tc>
        <w:tc>
          <w:tcPr>
            <w:tcW w:w="714" w:type="dxa"/>
            <w:tcBorders>
              <w:top w:val="nil"/>
              <w:left w:val="nil"/>
              <w:bottom w:val="nil"/>
              <w:right w:val="nil"/>
            </w:tcBorders>
            <w:shd w:val="clear" w:color="000000" w:fill="FFFFFF"/>
            <w:noWrap/>
            <w:vAlign w:val="bottom"/>
            <w:hideMark/>
          </w:tcPr>
          <w:p w14:paraId="38EA5219"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1483" w:type="dxa"/>
            <w:tcBorders>
              <w:top w:val="nil"/>
              <w:left w:val="nil"/>
              <w:bottom w:val="nil"/>
              <w:right w:val="nil"/>
            </w:tcBorders>
            <w:shd w:val="clear" w:color="000000" w:fill="FFFFFF"/>
            <w:noWrap/>
            <w:vAlign w:val="bottom"/>
            <w:hideMark/>
          </w:tcPr>
          <w:p w14:paraId="105C5F54"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42C1CF9D"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1155" w:type="dxa"/>
            <w:tcBorders>
              <w:top w:val="nil"/>
              <w:left w:val="nil"/>
              <w:bottom w:val="nil"/>
              <w:right w:val="nil"/>
            </w:tcBorders>
            <w:shd w:val="clear" w:color="000000" w:fill="FFFFFF"/>
            <w:noWrap/>
            <w:vAlign w:val="bottom"/>
            <w:hideMark/>
          </w:tcPr>
          <w:p w14:paraId="2046996C"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r>
      <w:tr w:rsidR="003F7508" w:rsidRPr="003F7508" w14:paraId="382AD4FB" w14:textId="77777777" w:rsidTr="003F7508">
        <w:trPr>
          <w:trHeight w:val="120"/>
        </w:trPr>
        <w:tc>
          <w:tcPr>
            <w:tcW w:w="6008" w:type="dxa"/>
            <w:tcBorders>
              <w:top w:val="nil"/>
              <w:left w:val="nil"/>
              <w:bottom w:val="nil"/>
              <w:right w:val="nil"/>
            </w:tcBorders>
            <w:shd w:val="clear" w:color="000000" w:fill="FFFFFF"/>
            <w:noWrap/>
            <w:vAlign w:val="bottom"/>
            <w:hideMark/>
          </w:tcPr>
          <w:p w14:paraId="5CE5A3A8" w14:textId="77777777" w:rsidR="003F7508" w:rsidRPr="003F7508" w:rsidRDefault="003F7508" w:rsidP="003F7508">
            <w:pPr>
              <w:spacing w:before="0" w:after="0"/>
              <w:rPr>
                <w:rFonts w:eastAsia="Times New Roman" w:cs="Arial"/>
                <w:b/>
                <w:bCs/>
                <w:sz w:val="20"/>
                <w:szCs w:val="20"/>
                <w:lang w:eastAsia="en-GB"/>
              </w:rPr>
            </w:pPr>
            <w:r w:rsidRPr="003F7508">
              <w:rPr>
                <w:rFonts w:eastAsia="Times New Roman" w:cs="Arial"/>
                <w:b/>
                <w:bCs/>
                <w:sz w:val="20"/>
                <w:szCs w:val="20"/>
                <w:lang w:eastAsia="en-GB"/>
              </w:rPr>
              <w:t> </w:t>
            </w:r>
          </w:p>
        </w:tc>
        <w:tc>
          <w:tcPr>
            <w:tcW w:w="714" w:type="dxa"/>
            <w:tcBorders>
              <w:top w:val="nil"/>
              <w:left w:val="nil"/>
              <w:bottom w:val="nil"/>
              <w:right w:val="nil"/>
            </w:tcBorders>
            <w:shd w:val="clear" w:color="000000" w:fill="FFFFFF"/>
            <w:noWrap/>
            <w:vAlign w:val="bottom"/>
            <w:hideMark/>
          </w:tcPr>
          <w:p w14:paraId="70C44DFA"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1483" w:type="dxa"/>
            <w:tcBorders>
              <w:top w:val="nil"/>
              <w:left w:val="nil"/>
              <w:bottom w:val="nil"/>
              <w:right w:val="nil"/>
            </w:tcBorders>
            <w:shd w:val="clear" w:color="000000" w:fill="FFFFFF"/>
            <w:noWrap/>
            <w:vAlign w:val="bottom"/>
            <w:hideMark/>
          </w:tcPr>
          <w:p w14:paraId="35F069E1"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272" w:type="dxa"/>
            <w:tcBorders>
              <w:top w:val="nil"/>
              <w:left w:val="nil"/>
              <w:bottom w:val="nil"/>
              <w:right w:val="nil"/>
            </w:tcBorders>
            <w:shd w:val="clear" w:color="000000" w:fill="FFFFFF"/>
            <w:noWrap/>
            <w:vAlign w:val="bottom"/>
            <w:hideMark/>
          </w:tcPr>
          <w:p w14:paraId="631AB288"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c>
          <w:tcPr>
            <w:tcW w:w="1155" w:type="dxa"/>
            <w:tcBorders>
              <w:top w:val="nil"/>
              <w:left w:val="nil"/>
              <w:bottom w:val="nil"/>
              <w:right w:val="nil"/>
            </w:tcBorders>
            <w:shd w:val="clear" w:color="000000" w:fill="FFFFFF"/>
            <w:noWrap/>
            <w:vAlign w:val="bottom"/>
            <w:hideMark/>
          </w:tcPr>
          <w:p w14:paraId="123FE46D" w14:textId="7777777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 </w:t>
            </w:r>
          </w:p>
        </w:tc>
      </w:tr>
      <w:tr w:rsidR="003F7508" w:rsidRPr="003F7508" w14:paraId="0DBFFE6C" w14:textId="77777777" w:rsidTr="006925AB">
        <w:trPr>
          <w:trHeight w:val="250"/>
        </w:trPr>
        <w:tc>
          <w:tcPr>
            <w:tcW w:w="9632" w:type="dxa"/>
            <w:gridSpan w:val="5"/>
            <w:tcBorders>
              <w:top w:val="nil"/>
              <w:left w:val="nil"/>
              <w:bottom w:val="nil"/>
              <w:right w:val="nil"/>
            </w:tcBorders>
            <w:shd w:val="clear" w:color="000000" w:fill="FFFFFF"/>
            <w:noWrap/>
            <w:vAlign w:val="bottom"/>
            <w:hideMark/>
          </w:tcPr>
          <w:p w14:paraId="622A59B2" w14:textId="2CE0BD07" w:rsidR="003F7508" w:rsidRPr="003F7508" w:rsidRDefault="003F7508" w:rsidP="003F7508">
            <w:pPr>
              <w:spacing w:before="0" w:after="0"/>
              <w:rPr>
                <w:rFonts w:eastAsia="Times New Roman" w:cs="Arial"/>
                <w:sz w:val="20"/>
                <w:szCs w:val="20"/>
                <w:lang w:eastAsia="en-GB"/>
              </w:rPr>
            </w:pPr>
            <w:r w:rsidRPr="003F7508">
              <w:rPr>
                <w:rFonts w:eastAsia="Times New Roman" w:cs="Arial"/>
                <w:sz w:val="20"/>
                <w:szCs w:val="20"/>
                <w:lang w:eastAsia="en-GB"/>
              </w:rPr>
              <w:t>The ICB has only one segment; commissioning of healthcare services.</w:t>
            </w:r>
          </w:p>
        </w:tc>
      </w:tr>
    </w:tbl>
    <w:p w14:paraId="36248FCC" w14:textId="77777777" w:rsidR="00541F03" w:rsidRDefault="00541F03" w:rsidP="00C70A7F">
      <w:pPr>
        <w:spacing w:before="0" w:after="200" w:line="276" w:lineRule="auto"/>
      </w:pPr>
    </w:p>
    <w:p w14:paraId="2597EA55" w14:textId="50059485" w:rsidR="003F7508" w:rsidRDefault="003F7508">
      <w:pPr>
        <w:spacing w:before="0" w:after="200" w:line="276" w:lineRule="auto"/>
      </w:pPr>
      <w:r>
        <w:br w:type="page"/>
      </w:r>
    </w:p>
    <w:tbl>
      <w:tblPr>
        <w:tblW w:w="10443" w:type="dxa"/>
        <w:tblLook w:val="04A0" w:firstRow="1" w:lastRow="0" w:firstColumn="1" w:lastColumn="0" w:noHBand="0" w:noVBand="1"/>
      </w:tblPr>
      <w:tblGrid>
        <w:gridCol w:w="5087"/>
        <w:gridCol w:w="3400"/>
        <w:gridCol w:w="1152"/>
        <w:gridCol w:w="568"/>
        <w:gridCol w:w="272"/>
      </w:tblGrid>
      <w:tr w:rsidR="00394E77" w:rsidRPr="00394E77" w14:paraId="41DA7D9C" w14:textId="77777777" w:rsidTr="00394E77">
        <w:trPr>
          <w:trHeight w:val="260"/>
        </w:trPr>
        <w:tc>
          <w:tcPr>
            <w:tcW w:w="10207" w:type="dxa"/>
            <w:gridSpan w:val="4"/>
            <w:tcBorders>
              <w:top w:val="nil"/>
              <w:left w:val="nil"/>
              <w:bottom w:val="nil"/>
              <w:right w:val="nil"/>
            </w:tcBorders>
            <w:shd w:val="clear" w:color="auto" w:fill="auto"/>
            <w:noWrap/>
            <w:vAlign w:val="bottom"/>
            <w:hideMark/>
          </w:tcPr>
          <w:p w14:paraId="72B8C9F2" w14:textId="2BF873BC" w:rsidR="00394E77" w:rsidRPr="00394E77" w:rsidRDefault="00394E77" w:rsidP="00394E77">
            <w:pPr>
              <w:spacing w:before="0" w:after="0"/>
              <w:rPr>
                <w:rFonts w:eastAsia="Times New Roman" w:cs="Arial"/>
                <w:i/>
                <w:iCs/>
                <w:sz w:val="20"/>
                <w:szCs w:val="20"/>
                <w:lang w:eastAsia="en-GB"/>
              </w:rPr>
            </w:pPr>
            <w:r w:rsidRPr="00394E77">
              <w:rPr>
                <w:rFonts w:eastAsia="Times New Roman" w:cs="Arial"/>
                <w:i/>
                <w:iCs/>
                <w:sz w:val="20"/>
                <w:szCs w:val="20"/>
                <w:lang w:eastAsia="en-GB"/>
              </w:rPr>
              <w:lastRenderedPageBreak/>
              <w:t>NHS Mid and South Essex Integrated Care Board - Statutory Accounts 2023-24</w:t>
            </w:r>
          </w:p>
        </w:tc>
        <w:tc>
          <w:tcPr>
            <w:tcW w:w="236" w:type="dxa"/>
            <w:tcBorders>
              <w:top w:val="nil"/>
              <w:left w:val="nil"/>
              <w:bottom w:val="nil"/>
              <w:right w:val="nil"/>
            </w:tcBorders>
            <w:shd w:val="clear" w:color="000000" w:fill="FFFFFF"/>
            <w:noWrap/>
            <w:vAlign w:val="bottom"/>
            <w:hideMark/>
          </w:tcPr>
          <w:p w14:paraId="3628448C"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r>
      <w:tr w:rsidR="00394E77" w:rsidRPr="00394E77" w14:paraId="40E1B275" w14:textId="77777777" w:rsidTr="00394E77">
        <w:trPr>
          <w:trHeight w:val="250"/>
        </w:trPr>
        <w:tc>
          <w:tcPr>
            <w:tcW w:w="5087" w:type="dxa"/>
            <w:tcBorders>
              <w:top w:val="nil"/>
              <w:left w:val="nil"/>
              <w:bottom w:val="nil"/>
              <w:right w:val="nil"/>
            </w:tcBorders>
            <w:shd w:val="clear" w:color="000000" w:fill="FFFFFF"/>
            <w:noWrap/>
            <w:vAlign w:val="bottom"/>
            <w:hideMark/>
          </w:tcPr>
          <w:p w14:paraId="76119FD6"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3400" w:type="dxa"/>
            <w:tcBorders>
              <w:top w:val="nil"/>
              <w:left w:val="nil"/>
              <w:bottom w:val="nil"/>
              <w:right w:val="nil"/>
            </w:tcBorders>
            <w:shd w:val="clear" w:color="000000" w:fill="FFFFFF"/>
            <w:noWrap/>
            <w:vAlign w:val="bottom"/>
            <w:hideMark/>
          </w:tcPr>
          <w:p w14:paraId="1D2DD09A"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1720" w:type="dxa"/>
            <w:gridSpan w:val="2"/>
            <w:tcBorders>
              <w:top w:val="nil"/>
              <w:left w:val="nil"/>
              <w:bottom w:val="nil"/>
              <w:right w:val="nil"/>
            </w:tcBorders>
            <w:shd w:val="clear" w:color="000000" w:fill="FFFFFF"/>
            <w:noWrap/>
            <w:vAlign w:val="bottom"/>
            <w:hideMark/>
          </w:tcPr>
          <w:p w14:paraId="01A8612A"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236" w:type="dxa"/>
            <w:tcBorders>
              <w:top w:val="nil"/>
              <w:left w:val="nil"/>
              <w:bottom w:val="nil"/>
              <w:right w:val="nil"/>
            </w:tcBorders>
            <w:shd w:val="clear" w:color="000000" w:fill="FFFFFF"/>
            <w:noWrap/>
            <w:vAlign w:val="bottom"/>
            <w:hideMark/>
          </w:tcPr>
          <w:p w14:paraId="33A44B18"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r>
      <w:tr w:rsidR="00394E77" w:rsidRPr="00394E77" w14:paraId="477A784F" w14:textId="77777777" w:rsidTr="00394E77">
        <w:trPr>
          <w:trHeight w:val="260"/>
        </w:trPr>
        <w:tc>
          <w:tcPr>
            <w:tcW w:w="10207" w:type="dxa"/>
            <w:gridSpan w:val="4"/>
            <w:tcBorders>
              <w:top w:val="nil"/>
              <w:left w:val="nil"/>
              <w:bottom w:val="nil"/>
              <w:right w:val="nil"/>
            </w:tcBorders>
            <w:shd w:val="clear" w:color="000000" w:fill="FFFFFF"/>
            <w:noWrap/>
            <w:vAlign w:val="bottom"/>
            <w:hideMark/>
          </w:tcPr>
          <w:p w14:paraId="40F53C1C" w14:textId="0ABC8F9D" w:rsidR="00394E77" w:rsidRPr="00394E77" w:rsidRDefault="00394E77" w:rsidP="00394E77">
            <w:pPr>
              <w:spacing w:before="0" w:after="0"/>
              <w:rPr>
                <w:rFonts w:eastAsia="Times New Roman" w:cs="Arial"/>
                <w:b/>
                <w:bCs/>
                <w:sz w:val="20"/>
                <w:szCs w:val="20"/>
                <w:lang w:eastAsia="en-GB"/>
              </w:rPr>
            </w:pPr>
            <w:r w:rsidRPr="00394E77">
              <w:rPr>
                <w:rFonts w:eastAsia="Times New Roman" w:cs="Arial"/>
                <w:b/>
                <w:bCs/>
                <w:sz w:val="20"/>
                <w:szCs w:val="20"/>
                <w:lang w:eastAsia="en-GB"/>
              </w:rPr>
              <w:t>18 Joint Arrangements - Interests In Joint Operations</w:t>
            </w:r>
          </w:p>
        </w:tc>
        <w:tc>
          <w:tcPr>
            <w:tcW w:w="236" w:type="dxa"/>
            <w:tcBorders>
              <w:top w:val="nil"/>
              <w:left w:val="nil"/>
              <w:bottom w:val="nil"/>
              <w:right w:val="nil"/>
            </w:tcBorders>
            <w:shd w:val="clear" w:color="000000" w:fill="FFFFFF"/>
            <w:noWrap/>
            <w:vAlign w:val="bottom"/>
            <w:hideMark/>
          </w:tcPr>
          <w:p w14:paraId="1B0FC80E"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r>
      <w:tr w:rsidR="00394E77" w:rsidRPr="00394E77" w14:paraId="652CAFA3" w14:textId="77777777" w:rsidTr="00394E77">
        <w:trPr>
          <w:trHeight w:val="120"/>
        </w:trPr>
        <w:tc>
          <w:tcPr>
            <w:tcW w:w="5087" w:type="dxa"/>
            <w:tcBorders>
              <w:top w:val="nil"/>
              <w:left w:val="nil"/>
              <w:bottom w:val="nil"/>
              <w:right w:val="nil"/>
            </w:tcBorders>
            <w:shd w:val="clear" w:color="000000" w:fill="FFFFFF"/>
            <w:noWrap/>
            <w:vAlign w:val="bottom"/>
            <w:hideMark/>
          </w:tcPr>
          <w:p w14:paraId="40664385"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3400" w:type="dxa"/>
            <w:tcBorders>
              <w:top w:val="nil"/>
              <w:left w:val="nil"/>
              <w:bottom w:val="nil"/>
              <w:right w:val="nil"/>
            </w:tcBorders>
            <w:shd w:val="clear" w:color="000000" w:fill="FFFFFF"/>
            <w:noWrap/>
            <w:vAlign w:val="bottom"/>
            <w:hideMark/>
          </w:tcPr>
          <w:p w14:paraId="2E391079"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1720" w:type="dxa"/>
            <w:gridSpan w:val="2"/>
            <w:tcBorders>
              <w:top w:val="nil"/>
              <w:left w:val="nil"/>
              <w:bottom w:val="nil"/>
              <w:right w:val="nil"/>
            </w:tcBorders>
            <w:shd w:val="clear" w:color="000000" w:fill="FFFFFF"/>
            <w:noWrap/>
            <w:vAlign w:val="bottom"/>
            <w:hideMark/>
          </w:tcPr>
          <w:p w14:paraId="5E39AC8D"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236" w:type="dxa"/>
            <w:tcBorders>
              <w:top w:val="nil"/>
              <w:left w:val="nil"/>
              <w:bottom w:val="nil"/>
              <w:right w:val="nil"/>
            </w:tcBorders>
            <w:shd w:val="clear" w:color="000000" w:fill="FFFFFF"/>
            <w:noWrap/>
            <w:vAlign w:val="bottom"/>
            <w:hideMark/>
          </w:tcPr>
          <w:p w14:paraId="659D78B5"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r>
      <w:tr w:rsidR="00394E77" w:rsidRPr="00394E77" w14:paraId="14961711" w14:textId="77777777" w:rsidTr="00394E77">
        <w:trPr>
          <w:trHeight w:val="255"/>
        </w:trPr>
        <w:tc>
          <w:tcPr>
            <w:tcW w:w="5087" w:type="dxa"/>
            <w:tcBorders>
              <w:top w:val="nil"/>
              <w:left w:val="nil"/>
              <w:bottom w:val="nil"/>
              <w:right w:val="nil"/>
            </w:tcBorders>
            <w:shd w:val="clear" w:color="000000" w:fill="FFFFFF"/>
            <w:vAlign w:val="center"/>
            <w:hideMark/>
          </w:tcPr>
          <w:p w14:paraId="7E5AF207" w14:textId="77777777" w:rsidR="00394E77" w:rsidRPr="00394E77" w:rsidRDefault="00394E77" w:rsidP="00394E77">
            <w:pPr>
              <w:spacing w:before="0" w:after="0"/>
              <w:rPr>
                <w:rFonts w:eastAsia="Times New Roman" w:cs="Arial"/>
                <w:b/>
                <w:bCs/>
                <w:sz w:val="20"/>
                <w:szCs w:val="20"/>
                <w:lang w:eastAsia="en-GB"/>
              </w:rPr>
            </w:pPr>
            <w:r w:rsidRPr="00394E77">
              <w:rPr>
                <w:rFonts w:eastAsia="Times New Roman" w:cs="Arial"/>
                <w:b/>
                <w:bCs/>
                <w:sz w:val="20"/>
                <w:szCs w:val="20"/>
                <w:lang w:eastAsia="en-GB"/>
              </w:rPr>
              <w:t>Better Care Funds</w:t>
            </w:r>
          </w:p>
        </w:tc>
        <w:tc>
          <w:tcPr>
            <w:tcW w:w="3400" w:type="dxa"/>
            <w:tcBorders>
              <w:top w:val="nil"/>
              <w:left w:val="nil"/>
              <w:bottom w:val="nil"/>
              <w:right w:val="nil"/>
            </w:tcBorders>
            <w:shd w:val="clear" w:color="000000" w:fill="FFFFFF"/>
            <w:noWrap/>
            <w:vAlign w:val="bottom"/>
            <w:hideMark/>
          </w:tcPr>
          <w:p w14:paraId="0203F361"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1720" w:type="dxa"/>
            <w:gridSpan w:val="2"/>
            <w:tcBorders>
              <w:top w:val="nil"/>
              <w:left w:val="nil"/>
              <w:bottom w:val="nil"/>
              <w:right w:val="nil"/>
            </w:tcBorders>
            <w:shd w:val="clear" w:color="000000" w:fill="FFFFFF"/>
            <w:noWrap/>
            <w:vAlign w:val="bottom"/>
            <w:hideMark/>
          </w:tcPr>
          <w:p w14:paraId="6C9C7507"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236" w:type="dxa"/>
            <w:tcBorders>
              <w:top w:val="nil"/>
              <w:left w:val="nil"/>
              <w:bottom w:val="nil"/>
              <w:right w:val="nil"/>
            </w:tcBorders>
            <w:shd w:val="clear" w:color="000000" w:fill="FFFFFF"/>
            <w:noWrap/>
            <w:vAlign w:val="bottom"/>
            <w:hideMark/>
          </w:tcPr>
          <w:p w14:paraId="49426E81"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r>
      <w:tr w:rsidR="00394E77" w:rsidRPr="00394E77" w14:paraId="5CF48EAC" w14:textId="77777777" w:rsidTr="00394E77">
        <w:trPr>
          <w:trHeight w:val="260"/>
        </w:trPr>
        <w:tc>
          <w:tcPr>
            <w:tcW w:w="5087" w:type="dxa"/>
            <w:tcBorders>
              <w:top w:val="nil"/>
              <w:left w:val="nil"/>
              <w:bottom w:val="nil"/>
              <w:right w:val="nil"/>
            </w:tcBorders>
            <w:shd w:val="clear" w:color="000000" w:fill="FFFFFF"/>
            <w:vAlign w:val="center"/>
            <w:hideMark/>
          </w:tcPr>
          <w:p w14:paraId="5CFFB699" w14:textId="77777777" w:rsidR="00394E77" w:rsidRPr="00394E77" w:rsidRDefault="00394E77" w:rsidP="00394E77">
            <w:pPr>
              <w:spacing w:before="0" w:after="0"/>
              <w:rPr>
                <w:rFonts w:eastAsia="Times New Roman" w:cs="Arial"/>
                <w:b/>
                <w:bCs/>
                <w:sz w:val="20"/>
                <w:szCs w:val="20"/>
                <w:lang w:eastAsia="en-GB"/>
              </w:rPr>
            </w:pPr>
            <w:r w:rsidRPr="00394E77">
              <w:rPr>
                <w:rFonts w:eastAsia="Times New Roman" w:cs="Arial"/>
                <w:b/>
                <w:bCs/>
                <w:sz w:val="20"/>
                <w:szCs w:val="20"/>
                <w:lang w:eastAsia="en-GB"/>
              </w:rPr>
              <w:t> </w:t>
            </w:r>
          </w:p>
        </w:tc>
        <w:tc>
          <w:tcPr>
            <w:tcW w:w="3400" w:type="dxa"/>
            <w:tcBorders>
              <w:top w:val="nil"/>
              <w:left w:val="nil"/>
              <w:bottom w:val="nil"/>
              <w:right w:val="nil"/>
            </w:tcBorders>
            <w:shd w:val="clear" w:color="000000" w:fill="FFFFFF"/>
            <w:noWrap/>
            <w:vAlign w:val="bottom"/>
            <w:hideMark/>
          </w:tcPr>
          <w:p w14:paraId="590CFA1A"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1720" w:type="dxa"/>
            <w:gridSpan w:val="2"/>
            <w:tcBorders>
              <w:top w:val="nil"/>
              <w:left w:val="nil"/>
              <w:bottom w:val="nil"/>
              <w:right w:val="nil"/>
            </w:tcBorders>
            <w:shd w:val="clear" w:color="000000" w:fill="FFFFFF"/>
            <w:noWrap/>
            <w:vAlign w:val="bottom"/>
            <w:hideMark/>
          </w:tcPr>
          <w:p w14:paraId="61E38E36"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236" w:type="dxa"/>
            <w:tcBorders>
              <w:top w:val="nil"/>
              <w:left w:val="nil"/>
              <w:bottom w:val="nil"/>
              <w:right w:val="nil"/>
            </w:tcBorders>
            <w:shd w:val="clear" w:color="000000" w:fill="FFFFFF"/>
            <w:noWrap/>
            <w:vAlign w:val="bottom"/>
            <w:hideMark/>
          </w:tcPr>
          <w:p w14:paraId="71D3947E"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r>
      <w:tr w:rsidR="00394E77" w:rsidRPr="00394E77" w14:paraId="6B6DED8B" w14:textId="77777777" w:rsidTr="00394E77">
        <w:trPr>
          <w:trHeight w:val="255"/>
        </w:trPr>
        <w:tc>
          <w:tcPr>
            <w:tcW w:w="5087" w:type="dxa"/>
            <w:tcBorders>
              <w:top w:val="nil"/>
              <w:left w:val="nil"/>
              <w:bottom w:val="nil"/>
              <w:right w:val="nil"/>
            </w:tcBorders>
            <w:shd w:val="clear" w:color="000000" w:fill="FFFFFF"/>
            <w:noWrap/>
            <w:vAlign w:val="center"/>
            <w:hideMark/>
          </w:tcPr>
          <w:p w14:paraId="2D1241B7" w14:textId="77777777" w:rsidR="00394E77" w:rsidRPr="00394E77" w:rsidRDefault="00394E77" w:rsidP="00394E77">
            <w:pPr>
              <w:spacing w:before="0" w:after="0"/>
              <w:rPr>
                <w:rFonts w:eastAsia="Times New Roman" w:cs="Arial"/>
                <w:b/>
                <w:bCs/>
                <w:sz w:val="20"/>
                <w:szCs w:val="20"/>
                <w:lang w:eastAsia="en-GB"/>
              </w:rPr>
            </w:pPr>
            <w:r w:rsidRPr="00394E77">
              <w:rPr>
                <w:rFonts w:eastAsia="Times New Roman" w:cs="Arial"/>
                <w:b/>
                <w:bCs/>
                <w:sz w:val="20"/>
                <w:szCs w:val="20"/>
                <w:lang w:eastAsia="en-GB"/>
              </w:rPr>
              <w:t>Essex County Council</w:t>
            </w:r>
          </w:p>
        </w:tc>
        <w:tc>
          <w:tcPr>
            <w:tcW w:w="3400" w:type="dxa"/>
            <w:tcBorders>
              <w:top w:val="nil"/>
              <w:left w:val="nil"/>
              <w:bottom w:val="nil"/>
              <w:right w:val="nil"/>
            </w:tcBorders>
            <w:shd w:val="clear" w:color="000000" w:fill="FFFFFF"/>
            <w:noWrap/>
            <w:vAlign w:val="bottom"/>
            <w:hideMark/>
          </w:tcPr>
          <w:p w14:paraId="306FCC2B"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1720" w:type="dxa"/>
            <w:gridSpan w:val="2"/>
            <w:tcBorders>
              <w:top w:val="nil"/>
              <w:left w:val="nil"/>
              <w:bottom w:val="nil"/>
              <w:right w:val="nil"/>
            </w:tcBorders>
            <w:shd w:val="clear" w:color="000000" w:fill="FFFFFF"/>
            <w:noWrap/>
            <w:vAlign w:val="bottom"/>
            <w:hideMark/>
          </w:tcPr>
          <w:p w14:paraId="4BF85A6C"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236" w:type="dxa"/>
            <w:tcBorders>
              <w:top w:val="nil"/>
              <w:left w:val="nil"/>
              <w:bottom w:val="nil"/>
              <w:right w:val="nil"/>
            </w:tcBorders>
            <w:shd w:val="clear" w:color="000000" w:fill="FFFFFF"/>
            <w:noWrap/>
            <w:vAlign w:val="bottom"/>
            <w:hideMark/>
          </w:tcPr>
          <w:p w14:paraId="11B1C20B"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r>
      <w:tr w:rsidR="00394E77" w:rsidRPr="00394E77" w14:paraId="4C714BC1" w14:textId="77777777" w:rsidTr="00394E77">
        <w:trPr>
          <w:gridAfter w:val="2"/>
          <w:wAfter w:w="804" w:type="dxa"/>
          <w:trHeight w:val="590"/>
        </w:trPr>
        <w:tc>
          <w:tcPr>
            <w:tcW w:w="9639" w:type="dxa"/>
            <w:gridSpan w:val="3"/>
            <w:tcBorders>
              <w:top w:val="nil"/>
              <w:left w:val="nil"/>
              <w:bottom w:val="nil"/>
              <w:right w:val="nil"/>
            </w:tcBorders>
            <w:shd w:val="clear" w:color="000000" w:fill="FFFFFF"/>
            <w:vAlign w:val="center"/>
            <w:hideMark/>
          </w:tcPr>
          <w:p w14:paraId="0FFF33C2"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xml:space="preserve">The ICB has operated a Better Care Fund of £67,924k during 2023-24, together with Essex County Council under a section 75 agreement. </w:t>
            </w:r>
          </w:p>
        </w:tc>
      </w:tr>
      <w:tr w:rsidR="00394E77" w:rsidRPr="00394E77" w14:paraId="4A3F7E33" w14:textId="77777777" w:rsidTr="00394E77">
        <w:trPr>
          <w:gridAfter w:val="2"/>
          <w:wAfter w:w="804" w:type="dxa"/>
          <w:trHeight w:val="1130"/>
        </w:trPr>
        <w:tc>
          <w:tcPr>
            <w:tcW w:w="9639" w:type="dxa"/>
            <w:gridSpan w:val="3"/>
            <w:tcBorders>
              <w:top w:val="nil"/>
              <w:left w:val="nil"/>
              <w:bottom w:val="nil"/>
              <w:right w:val="nil"/>
            </w:tcBorders>
            <w:shd w:val="clear" w:color="000000" w:fill="FFFFFF"/>
            <w:vAlign w:val="center"/>
            <w:hideMark/>
          </w:tcPr>
          <w:p w14:paraId="31740062"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This arrangement has been reviewed and both parties have agreed that it does not constitute a pooled fund. This conclusion has been reached as both parties have retained the financial risks associated with each of the schemes as existed before the fund was set up. The arrangements for each scheme within the Better Care Fund have been reviewed to determine the appropriate accounting treatment by the ICB and agreed with Essex County Council.</w:t>
            </w:r>
          </w:p>
        </w:tc>
      </w:tr>
      <w:tr w:rsidR="00394E77" w:rsidRPr="00394E77" w14:paraId="74B936CC" w14:textId="77777777" w:rsidTr="00394E77">
        <w:trPr>
          <w:trHeight w:val="260"/>
        </w:trPr>
        <w:tc>
          <w:tcPr>
            <w:tcW w:w="5087" w:type="dxa"/>
            <w:tcBorders>
              <w:top w:val="nil"/>
              <w:left w:val="nil"/>
              <w:bottom w:val="nil"/>
              <w:right w:val="nil"/>
            </w:tcBorders>
            <w:shd w:val="clear" w:color="000000" w:fill="FFFFFF"/>
            <w:vAlign w:val="center"/>
            <w:hideMark/>
          </w:tcPr>
          <w:p w14:paraId="00D95920"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3400" w:type="dxa"/>
            <w:tcBorders>
              <w:top w:val="nil"/>
              <w:left w:val="nil"/>
              <w:bottom w:val="nil"/>
              <w:right w:val="nil"/>
            </w:tcBorders>
            <w:shd w:val="clear" w:color="000000" w:fill="FFFFFF"/>
            <w:noWrap/>
            <w:vAlign w:val="bottom"/>
            <w:hideMark/>
          </w:tcPr>
          <w:p w14:paraId="2D3CD800"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1720" w:type="dxa"/>
            <w:gridSpan w:val="2"/>
            <w:tcBorders>
              <w:top w:val="nil"/>
              <w:left w:val="nil"/>
              <w:bottom w:val="nil"/>
              <w:right w:val="nil"/>
            </w:tcBorders>
            <w:shd w:val="clear" w:color="000000" w:fill="FFFFFF"/>
            <w:noWrap/>
            <w:vAlign w:val="bottom"/>
            <w:hideMark/>
          </w:tcPr>
          <w:p w14:paraId="12373466"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236" w:type="dxa"/>
            <w:tcBorders>
              <w:top w:val="nil"/>
              <w:left w:val="nil"/>
              <w:bottom w:val="nil"/>
              <w:right w:val="nil"/>
            </w:tcBorders>
            <w:shd w:val="clear" w:color="000000" w:fill="FFFFFF"/>
            <w:noWrap/>
            <w:vAlign w:val="bottom"/>
            <w:hideMark/>
          </w:tcPr>
          <w:p w14:paraId="6AE1D51A"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r>
      <w:tr w:rsidR="00394E77" w:rsidRPr="00394E77" w14:paraId="5F71F602" w14:textId="77777777" w:rsidTr="00394E77">
        <w:trPr>
          <w:trHeight w:val="260"/>
        </w:trPr>
        <w:tc>
          <w:tcPr>
            <w:tcW w:w="5087" w:type="dxa"/>
            <w:tcBorders>
              <w:top w:val="nil"/>
              <w:left w:val="nil"/>
              <w:bottom w:val="nil"/>
              <w:right w:val="nil"/>
            </w:tcBorders>
            <w:shd w:val="clear" w:color="000000" w:fill="FFFFFF"/>
            <w:noWrap/>
            <w:vAlign w:val="center"/>
            <w:hideMark/>
          </w:tcPr>
          <w:p w14:paraId="00782B5F" w14:textId="77777777" w:rsidR="00394E77" w:rsidRPr="00394E77" w:rsidRDefault="00394E77" w:rsidP="00394E77">
            <w:pPr>
              <w:spacing w:before="0" w:after="0"/>
              <w:rPr>
                <w:rFonts w:eastAsia="Times New Roman" w:cs="Arial"/>
                <w:b/>
                <w:bCs/>
                <w:sz w:val="20"/>
                <w:szCs w:val="20"/>
                <w:lang w:eastAsia="en-GB"/>
              </w:rPr>
            </w:pPr>
            <w:r w:rsidRPr="00394E77">
              <w:rPr>
                <w:rFonts w:eastAsia="Times New Roman" w:cs="Arial"/>
                <w:b/>
                <w:bCs/>
                <w:sz w:val="20"/>
                <w:szCs w:val="20"/>
                <w:lang w:eastAsia="en-GB"/>
              </w:rPr>
              <w:t>Thurrock Council</w:t>
            </w:r>
          </w:p>
        </w:tc>
        <w:tc>
          <w:tcPr>
            <w:tcW w:w="3400" w:type="dxa"/>
            <w:tcBorders>
              <w:top w:val="nil"/>
              <w:left w:val="nil"/>
              <w:bottom w:val="nil"/>
              <w:right w:val="nil"/>
            </w:tcBorders>
            <w:shd w:val="clear" w:color="000000" w:fill="FFFFFF"/>
            <w:noWrap/>
            <w:vAlign w:val="bottom"/>
            <w:hideMark/>
          </w:tcPr>
          <w:p w14:paraId="1D248759"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1720" w:type="dxa"/>
            <w:gridSpan w:val="2"/>
            <w:tcBorders>
              <w:top w:val="nil"/>
              <w:left w:val="nil"/>
              <w:bottom w:val="nil"/>
              <w:right w:val="nil"/>
            </w:tcBorders>
            <w:shd w:val="clear" w:color="000000" w:fill="FFFFFF"/>
            <w:noWrap/>
            <w:vAlign w:val="bottom"/>
            <w:hideMark/>
          </w:tcPr>
          <w:p w14:paraId="1D691EC7"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236" w:type="dxa"/>
            <w:tcBorders>
              <w:top w:val="nil"/>
              <w:left w:val="nil"/>
              <w:bottom w:val="nil"/>
              <w:right w:val="nil"/>
            </w:tcBorders>
            <w:shd w:val="clear" w:color="000000" w:fill="FFFFFF"/>
            <w:noWrap/>
            <w:vAlign w:val="bottom"/>
            <w:hideMark/>
          </w:tcPr>
          <w:p w14:paraId="64CE752C"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r>
      <w:tr w:rsidR="00394E77" w:rsidRPr="00394E77" w14:paraId="05480ADF" w14:textId="77777777" w:rsidTr="00394E77">
        <w:trPr>
          <w:gridAfter w:val="2"/>
          <w:wAfter w:w="804" w:type="dxa"/>
          <w:trHeight w:val="580"/>
        </w:trPr>
        <w:tc>
          <w:tcPr>
            <w:tcW w:w="9639" w:type="dxa"/>
            <w:gridSpan w:val="3"/>
            <w:tcBorders>
              <w:top w:val="nil"/>
              <w:left w:val="nil"/>
              <w:bottom w:val="nil"/>
              <w:right w:val="nil"/>
            </w:tcBorders>
            <w:shd w:val="clear" w:color="000000" w:fill="FFFFFF"/>
            <w:vAlign w:val="center"/>
            <w:hideMark/>
          </w:tcPr>
          <w:p w14:paraId="299CF3F7"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xml:space="preserve">The ICB has operated a Better Care Fund of £13,477k during 2023-24, together with Thurrock Council, under a section 75 agreement. </w:t>
            </w:r>
          </w:p>
        </w:tc>
      </w:tr>
      <w:tr w:rsidR="00394E77" w:rsidRPr="00394E77" w14:paraId="210F2D03" w14:textId="77777777" w:rsidTr="00394E77">
        <w:trPr>
          <w:gridAfter w:val="2"/>
          <w:wAfter w:w="804" w:type="dxa"/>
          <w:trHeight w:val="1271"/>
        </w:trPr>
        <w:tc>
          <w:tcPr>
            <w:tcW w:w="9639" w:type="dxa"/>
            <w:gridSpan w:val="3"/>
            <w:tcBorders>
              <w:top w:val="nil"/>
              <w:left w:val="nil"/>
              <w:bottom w:val="nil"/>
              <w:right w:val="nil"/>
            </w:tcBorders>
            <w:shd w:val="clear" w:color="000000" w:fill="FFFFFF"/>
            <w:vAlign w:val="center"/>
            <w:hideMark/>
          </w:tcPr>
          <w:p w14:paraId="37D5D312" w14:textId="07D721F4"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xml:space="preserve">This arrangement has been reviewed and both parties have agreed that it does not constitute a pooled fund. The lead commissioner for the Better Care Fund (BCF) in 2023-24 was Thurrock Council. The Health and Wellbeing Board (HWB) was charged with responsibility for the BCF. The HWB delegated monthly monitoring to the Better Care Fund (BCF) Delivery Group which reports to the Thurrock Integrated Care Alliance (TICA). The TICA comprises senior executives across the ICB and Thurrock Council and was jointly chaired by the Alliance Director of the ICB and the Director of Adult Social Care from Thurrock Council. </w:t>
            </w:r>
          </w:p>
        </w:tc>
      </w:tr>
      <w:tr w:rsidR="00394E77" w:rsidRPr="00394E77" w14:paraId="25238AC3" w14:textId="77777777" w:rsidTr="00394E77">
        <w:trPr>
          <w:trHeight w:val="250"/>
        </w:trPr>
        <w:tc>
          <w:tcPr>
            <w:tcW w:w="5087" w:type="dxa"/>
            <w:tcBorders>
              <w:top w:val="nil"/>
              <w:left w:val="nil"/>
              <w:bottom w:val="nil"/>
              <w:right w:val="nil"/>
            </w:tcBorders>
            <w:shd w:val="clear" w:color="000000" w:fill="FFFFFF"/>
            <w:noWrap/>
            <w:vAlign w:val="bottom"/>
            <w:hideMark/>
          </w:tcPr>
          <w:p w14:paraId="5E3E8CE7"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3400" w:type="dxa"/>
            <w:tcBorders>
              <w:top w:val="nil"/>
              <w:left w:val="nil"/>
              <w:bottom w:val="nil"/>
              <w:right w:val="nil"/>
            </w:tcBorders>
            <w:shd w:val="clear" w:color="000000" w:fill="FFFFFF"/>
            <w:noWrap/>
            <w:vAlign w:val="bottom"/>
            <w:hideMark/>
          </w:tcPr>
          <w:p w14:paraId="20B05854"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1720" w:type="dxa"/>
            <w:gridSpan w:val="2"/>
            <w:tcBorders>
              <w:top w:val="nil"/>
              <w:left w:val="nil"/>
              <w:bottom w:val="nil"/>
              <w:right w:val="nil"/>
            </w:tcBorders>
            <w:shd w:val="clear" w:color="000000" w:fill="FFFFFF"/>
            <w:noWrap/>
            <w:vAlign w:val="bottom"/>
            <w:hideMark/>
          </w:tcPr>
          <w:p w14:paraId="28396343"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236" w:type="dxa"/>
            <w:tcBorders>
              <w:top w:val="nil"/>
              <w:left w:val="nil"/>
              <w:bottom w:val="nil"/>
              <w:right w:val="nil"/>
            </w:tcBorders>
            <w:shd w:val="clear" w:color="000000" w:fill="FFFFFF"/>
            <w:noWrap/>
            <w:vAlign w:val="bottom"/>
            <w:hideMark/>
          </w:tcPr>
          <w:p w14:paraId="3CA1C586"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r>
      <w:tr w:rsidR="00394E77" w:rsidRPr="00394E77" w14:paraId="2E2FE31A" w14:textId="77777777" w:rsidTr="00394E77">
        <w:trPr>
          <w:trHeight w:val="260"/>
        </w:trPr>
        <w:tc>
          <w:tcPr>
            <w:tcW w:w="5087" w:type="dxa"/>
            <w:tcBorders>
              <w:top w:val="nil"/>
              <w:left w:val="nil"/>
              <w:bottom w:val="nil"/>
              <w:right w:val="nil"/>
            </w:tcBorders>
            <w:shd w:val="clear" w:color="000000" w:fill="FFFFFF"/>
            <w:noWrap/>
            <w:vAlign w:val="center"/>
            <w:hideMark/>
          </w:tcPr>
          <w:p w14:paraId="5F8F0F96" w14:textId="77777777" w:rsidR="00394E77" w:rsidRPr="00394E77" w:rsidRDefault="00394E77" w:rsidP="00394E77">
            <w:pPr>
              <w:spacing w:before="0" w:after="0"/>
              <w:rPr>
                <w:rFonts w:eastAsia="Times New Roman" w:cs="Arial"/>
                <w:b/>
                <w:bCs/>
                <w:sz w:val="20"/>
                <w:szCs w:val="20"/>
                <w:lang w:eastAsia="en-GB"/>
              </w:rPr>
            </w:pPr>
            <w:r w:rsidRPr="00394E77">
              <w:rPr>
                <w:rFonts w:eastAsia="Times New Roman" w:cs="Arial"/>
                <w:b/>
                <w:bCs/>
                <w:sz w:val="20"/>
                <w:szCs w:val="20"/>
                <w:lang w:eastAsia="en-GB"/>
              </w:rPr>
              <w:t>Southend City Council</w:t>
            </w:r>
          </w:p>
        </w:tc>
        <w:tc>
          <w:tcPr>
            <w:tcW w:w="3400" w:type="dxa"/>
            <w:tcBorders>
              <w:top w:val="nil"/>
              <w:left w:val="nil"/>
              <w:bottom w:val="nil"/>
              <w:right w:val="nil"/>
            </w:tcBorders>
            <w:shd w:val="clear" w:color="000000" w:fill="FFFFFF"/>
            <w:noWrap/>
            <w:vAlign w:val="bottom"/>
            <w:hideMark/>
          </w:tcPr>
          <w:p w14:paraId="0E55E8E7"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1720" w:type="dxa"/>
            <w:gridSpan w:val="2"/>
            <w:tcBorders>
              <w:top w:val="nil"/>
              <w:left w:val="nil"/>
              <w:bottom w:val="nil"/>
              <w:right w:val="nil"/>
            </w:tcBorders>
            <w:shd w:val="clear" w:color="000000" w:fill="FFFFFF"/>
            <w:noWrap/>
            <w:vAlign w:val="bottom"/>
            <w:hideMark/>
          </w:tcPr>
          <w:p w14:paraId="10D49F9E"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236" w:type="dxa"/>
            <w:tcBorders>
              <w:top w:val="nil"/>
              <w:left w:val="nil"/>
              <w:bottom w:val="nil"/>
              <w:right w:val="nil"/>
            </w:tcBorders>
            <w:shd w:val="clear" w:color="000000" w:fill="FFFFFF"/>
            <w:noWrap/>
            <w:vAlign w:val="bottom"/>
            <w:hideMark/>
          </w:tcPr>
          <w:p w14:paraId="47FC1EA1"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r>
      <w:tr w:rsidR="00394E77" w:rsidRPr="00394E77" w14:paraId="4B2A00F8" w14:textId="77777777" w:rsidTr="00394E77">
        <w:trPr>
          <w:gridAfter w:val="2"/>
          <w:wAfter w:w="804" w:type="dxa"/>
          <w:trHeight w:val="570"/>
        </w:trPr>
        <w:tc>
          <w:tcPr>
            <w:tcW w:w="9639" w:type="dxa"/>
            <w:gridSpan w:val="3"/>
            <w:tcBorders>
              <w:top w:val="nil"/>
              <w:left w:val="nil"/>
              <w:bottom w:val="nil"/>
              <w:right w:val="nil"/>
            </w:tcBorders>
            <w:shd w:val="clear" w:color="000000" w:fill="FFFFFF"/>
            <w:vAlign w:val="center"/>
            <w:hideMark/>
          </w:tcPr>
          <w:p w14:paraId="6106564F"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xml:space="preserve">The ICB has operated a Better Care Fund of £15,977k during 2023-24, together with Southend City Council under a section 75 agreement. </w:t>
            </w:r>
          </w:p>
        </w:tc>
      </w:tr>
      <w:tr w:rsidR="00394E77" w:rsidRPr="00394E77" w14:paraId="717C7A53" w14:textId="77777777" w:rsidTr="00394E77">
        <w:trPr>
          <w:gridAfter w:val="2"/>
          <w:wAfter w:w="804" w:type="dxa"/>
          <w:trHeight w:val="1360"/>
        </w:trPr>
        <w:tc>
          <w:tcPr>
            <w:tcW w:w="9639" w:type="dxa"/>
            <w:gridSpan w:val="3"/>
            <w:tcBorders>
              <w:top w:val="nil"/>
              <w:left w:val="nil"/>
              <w:bottom w:val="nil"/>
              <w:right w:val="nil"/>
            </w:tcBorders>
            <w:shd w:val="clear" w:color="000000" w:fill="FFFFFF"/>
            <w:vAlign w:val="center"/>
            <w:hideMark/>
          </w:tcPr>
          <w:p w14:paraId="257415FE"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xml:space="preserve">This arrangement has been reviewed and both parties have agreed that it does not constitute a pooled fund. This conclusion has been reached as both parties have retained the financial risks associated with each of the schemes as existed before the fund was set up. The arrangements for each scheme within the Better Care Fund have been reviewed to determine the appropriate accounting treatment by the ICB and Southend City Council. Control of the commissioning arrangements has been key to determining the nature of each scheme within the fund. </w:t>
            </w:r>
          </w:p>
        </w:tc>
      </w:tr>
      <w:tr w:rsidR="00394E77" w:rsidRPr="00394E77" w14:paraId="7BA62049" w14:textId="77777777" w:rsidTr="00394E77">
        <w:trPr>
          <w:trHeight w:val="250"/>
        </w:trPr>
        <w:tc>
          <w:tcPr>
            <w:tcW w:w="5087" w:type="dxa"/>
            <w:tcBorders>
              <w:top w:val="nil"/>
              <w:left w:val="nil"/>
              <w:bottom w:val="nil"/>
              <w:right w:val="nil"/>
            </w:tcBorders>
            <w:shd w:val="clear" w:color="000000" w:fill="FFFFFF"/>
            <w:noWrap/>
            <w:vAlign w:val="bottom"/>
            <w:hideMark/>
          </w:tcPr>
          <w:p w14:paraId="4F6DC62D"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3400" w:type="dxa"/>
            <w:tcBorders>
              <w:top w:val="nil"/>
              <w:left w:val="nil"/>
              <w:bottom w:val="nil"/>
              <w:right w:val="nil"/>
            </w:tcBorders>
            <w:shd w:val="clear" w:color="000000" w:fill="FFFFFF"/>
            <w:noWrap/>
            <w:vAlign w:val="bottom"/>
            <w:hideMark/>
          </w:tcPr>
          <w:p w14:paraId="41588849"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1720" w:type="dxa"/>
            <w:gridSpan w:val="2"/>
            <w:tcBorders>
              <w:top w:val="nil"/>
              <w:left w:val="nil"/>
              <w:bottom w:val="nil"/>
              <w:right w:val="nil"/>
            </w:tcBorders>
            <w:shd w:val="clear" w:color="000000" w:fill="FFFFFF"/>
            <w:noWrap/>
            <w:vAlign w:val="bottom"/>
            <w:hideMark/>
          </w:tcPr>
          <w:p w14:paraId="7C712D7C"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236" w:type="dxa"/>
            <w:tcBorders>
              <w:top w:val="nil"/>
              <w:left w:val="nil"/>
              <w:bottom w:val="nil"/>
              <w:right w:val="nil"/>
            </w:tcBorders>
            <w:shd w:val="clear" w:color="000000" w:fill="FFFFFF"/>
            <w:noWrap/>
            <w:vAlign w:val="bottom"/>
            <w:hideMark/>
          </w:tcPr>
          <w:p w14:paraId="1CEAED81"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r>
      <w:tr w:rsidR="00394E77" w:rsidRPr="00394E77" w14:paraId="212F0DEF" w14:textId="77777777" w:rsidTr="00394E77">
        <w:trPr>
          <w:trHeight w:val="260"/>
        </w:trPr>
        <w:tc>
          <w:tcPr>
            <w:tcW w:w="5087" w:type="dxa"/>
            <w:tcBorders>
              <w:top w:val="nil"/>
              <w:left w:val="nil"/>
              <w:bottom w:val="nil"/>
              <w:right w:val="nil"/>
            </w:tcBorders>
            <w:shd w:val="clear" w:color="000000" w:fill="FFFFFF"/>
            <w:noWrap/>
            <w:vAlign w:val="center"/>
            <w:hideMark/>
          </w:tcPr>
          <w:p w14:paraId="2F319A17" w14:textId="77777777" w:rsidR="00394E77" w:rsidRPr="00394E77" w:rsidRDefault="00394E77" w:rsidP="00394E77">
            <w:pPr>
              <w:spacing w:before="0" w:after="0"/>
              <w:rPr>
                <w:rFonts w:eastAsia="Times New Roman" w:cs="Arial"/>
                <w:b/>
                <w:bCs/>
                <w:sz w:val="20"/>
                <w:szCs w:val="20"/>
                <w:lang w:eastAsia="en-GB"/>
              </w:rPr>
            </w:pPr>
            <w:r w:rsidRPr="00394E77">
              <w:rPr>
                <w:rFonts w:eastAsia="Times New Roman" w:cs="Arial"/>
                <w:b/>
                <w:bCs/>
                <w:sz w:val="20"/>
                <w:szCs w:val="20"/>
                <w:lang w:eastAsia="en-GB"/>
              </w:rPr>
              <w:t>Transforming Care Partnership</w:t>
            </w:r>
          </w:p>
        </w:tc>
        <w:tc>
          <w:tcPr>
            <w:tcW w:w="3400" w:type="dxa"/>
            <w:tcBorders>
              <w:top w:val="nil"/>
              <w:left w:val="nil"/>
              <w:bottom w:val="nil"/>
              <w:right w:val="nil"/>
            </w:tcBorders>
            <w:shd w:val="clear" w:color="000000" w:fill="FFFFFF"/>
            <w:noWrap/>
            <w:vAlign w:val="bottom"/>
            <w:hideMark/>
          </w:tcPr>
          <w:p w14:paraId="1CF12AB7"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1720" w:type="dxa"/>
            <w:gridSpan w:val="2"/>
            <w:tcBorders>
              <w:top w:val="nil"/>
              <w:left w:val="nil"/>
              <w:bottom w:val="nil"/>
              <w:right w:val="nil"/>
            </w:tcBorders>
            <w:shd w:val="clear" w:color="000000" w:fill="FFFFFF"/>
            <w:noWrap/>
            <w:vAlign w:val="bottom"/>
            <w:hideMark/>
          </w:tcPr>
          <w:p w14:paraId="6B007775"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c>
          <w:tcPr>
            <w:tcW w:w="236" w:type="dxa"/>
            <w:tcBorders>
              <w:top w:val="nil"/>
              <w:left w:val="nil"/>
              <w:bottom w:val="nil"/>
              <w:right w:val="nil"/>
            </w:tcBorders>
            <w:shd w:val="clear" w:color="000000" w:fill="FFFFFF"/>
            <w:noWrap/>
            <w:vAlign w:val="bottom"/>
            <w:hideMark/>
          </w:tcPr>
          <w:p w14:paraId="0BF3C090"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 </w:t>
            </w:r>
          </w:p>
        </w:tc>
      </w:tr>
      <w:tr w:rsidR="00394E77" w:rsidRPr="00394E77" w14:paraId="60388AAB" w14:textId="77777777" w:rsidTr="00394E77">
        <w:trPr>
          <w:gridAfter w:val="2"/>
          <w:wAfter w:w="804" w:type="dxa"/>
          <w:trHeight w:val="2620"/>
        </w:trPr>
        <w:tc>
          <w:tcPr>
            <w:tcW w:w="9639" w:type="dxa"/>
            <w:gridSpan w:val="3"/>
            <w:tcBorders>
              <w:top w:val="nil"/>
              <w:left w:val="nil"/>
              <w:bottom w:val="nil"/>
              <w:right w:val="nil"/>
            </w:tcBorders>
            <w:shd w:val="clear" w:color="000000" w:fill="FFFFFF"/>
            <w:vAlign w:val="center"/>
            <w:hideMark/>
          </w:tcPr>
          <w:p w14:paraId="105677A4" w14:textId="77777777" w:rsidR="00394E77" w:rsidRPr="00394E77" w:rsidRDefault="00394E77" w:rsidP="00394E77">
            <w:pPr>
              <w:spacing w:before="0" w:after="0"/>
              <w:rPr>
                <w:rFonts w:eastAsia="Times New Roman" w:cs="Arial"/>
                <w:sz w:val="20"/>
                <w:szCs w:val="20"/>
                <w:lang w:eastAsia="en-GB"/>
              </w:rPr>
            </w:pPr>
            <w:r w:rsidRPr="00394E77">
              <w:rPr>
                <w:rFonts w:eastAsia="Times New Roman" w:cs="Arial"/>
                <w:sz w:val="20"/>
                <w:szCs w:val="20"/>
                <w:lang w:eastAsia="en-GB"/>
              </w:rPr>
              <w:t>The ICB has also been a party to a Transforming Care Partnership section 75 agreement with Essex County Council. This agreement determines the arrangements for funds released from discharged long-stay in-patients with learning disabilities as identified by the national Transforming Care programme. The costs of health packages for this cohort of patients have been accounted for by the ICB on a net accounting basis as the ICB is acting as Principal. Where funding is released to Essex County Council to fund community packages for patients who have been discharged this would have been accounted for by the ICB on a gross accounting basis as the local authority is acting as Principal. The arrangement is not considered to be one of Joint Control as both health and community packages continue to be commissioned by the respective partners, the local authorities take the risk of releasable funding being insufficient for community packages and the role of health partners on the Transforming Care Partnership is one of oversight and to check that the fund manager is spending the funds on the agreed purposes.</w:t>
            </w:r>
          </w:p>
        </w:tc>
      </w:tr>
    </w:tbl>
    <w:p w14:paraId="011FA3C3" w14:textId="77777777" w:rsidR="003F7508" w:rsidRDefault="003F7508" w:rsidP="00C70A7F">
      <w:pPr>
        <w:spacing w:before="0" w:after="200" w:line="276" w:lineRule="auto"/>
      </w:pPr>
    </w:p>
    <w:p w14:paraId="285FA729" w14:textId="789CA981" w:rsidR="001E2580" w:rsidRDefault="001E2580">
      <w:pPr>
        <w:spacing w:before="0" w:after="200" w:line="276" w:lineRule="auto"/>
      </w:pPr>
      <w:r>
        <w:br w:type="page"/>
      </w:r>
    </w:p>
    <w:tbl>
      <w:tblPr>
        <w:tblW w:w="11028" w:type="dxa"/>
        <w:tblInd w:w="-851" w:type="dxa"/>
        <w:tblLook w:val="04A0" w:firstRow="1" w:lastRow="0" w:firstColumn="1" w:lastColumn="0" w:noHBand="0" w:noVBand="1"/>
      </w:tblPr>
      <w:tblGrid>
        <w:gridCol w:w="3261"/>
        <w:gridCol w:w="3119"/>
        <w:gridCol w:w="1417"/>
        <w:gridCol w:w="1061"/>
        <w:gridCol w:w="1087"/>
        <w:gridCol w:w="1083"/>
      </w:tblGrid>
      <w:tr w:rsidR="00070245" w:rsidRPr="001E2580" w14:paraId="466F1DF1" w14:textId="77777777" w:rsidTr="00D47A80">
        <w:trPr>
          <w:trHeight w:val="260"/>
        </w:trPr>
        <w:tc>
          <w:tcPr>
            <w:tcW w:w="6380" w:type="dxa"/>
            <w:gridSpan w:val="2"/>
            <w:tcBorders>
              <w:top w:val="nil"/>
              <w:left w:val="nil"/>
              <w:bottom w:val="nil"/>
              <w:right w:val="nil"/>
            </w:tcBorders>
            <w:shd w:val="clear" w:color="auto" w:fill="auto"/>
            <w:noWrap/>
            <w:vAlign w:val="bottom"/>
            <w:hideMark/>
          </w:tcPr>
          <w:p w14:paraId="2C9E0581" w14:textId="77777777" w:rsidR="001E2580" w:rsidRPr="001E2580" w:rsidRDefault="001E2580" w:rsidP="001E2580">
            <w:pPr>
              <w:spacing w:before="0" w:after="0"/>
              <w:rPr>
                <w:rFonts w:eastAsia="Times New Roman" w:cs="Arial"/>
                <w:i/>
                <w:iCs/>
                <w:sz w:val="20"/>
                <w:szCs w:val="20"/>
                <w:lang w:eastAsia="en-GB"/>
              </w:rPr>
            </w:pPr>
            <w:r w:rsidRPr="001E2580">
              <w:rPr>
                <w:rFonts w:eastAsia="Times New Roman" w:cs="Arial"/>
                <w:i/>
                <w:iCs/>
                <w:sz w:val="20"/>
                <w:szCs w:val="20"/>
                <w:lang w:eastAsia="en-GB"/>
              </w:rPr>
              <w:lastRenderedPageBreak/>
              <w:t>NHS Mid and South Essex Integrated Care Board - Statutory Accounts 2023-24</w:t>
            </w:r>
          </w:p>
        </w:tc>
        <w:tc>
          <w:tcPr>
            <w:tcW w:w="1417" w:type="dxa"/>
            <w:tcBorders>
              <w:top w:val="nil"/>
              <w:left w:val="nil"/>
              <w:bottom w:val="nil"/>
              <w:right w:val="nil"/>
            </w:tcBorders>
            <w:shd w:val="clear" w:color="auto" w:fill="auto"/>
            <w:noWrap/>
            <w:vAlign w:val="bottom"/>
            <w:hideMark/>
          </w:tcPr>
          <w:p w14:paraId="4545E7CD" w14:textId="77777777" w:rsidR="001E2580" w:rsidRPr="001E2580" w:rsidRDefault="001E2580" w:rsidP="001E2580">
            <w:pPr>
              <w:spacing w:before="0" w:after="0"/>
              <w:rPr>
                <w:rFonts w:eastAsia="Times New Roman" w:cs="Arial"/>
                <w:i/>
                <w:iCs/>
                <w:sz w:val="20"/>
                <w:szCs w:val="20"/>
                <w:lang w:eastAsia="en-GB"/>
              </w:rPr>
            </w:pPr>
          </w:p>
        </w:tc>
        <w:tc>
          <w:tcPr>
            <w:tcW w:w="1061" w:type="dxa"/>
            <w:tcBorders>
              <w:top w:val="nil"/>
              <w:left w:val="nil"/>
              <w:bottom w:val="nil"/>
              <w:right w:val="nil"/>
            </w:tcBorders>
            <w:shd w:val="clear" w:color="auto" w:fill="auto"/>
            <w:noWrap/>
            <w:vAlign w:val="bottom"/>
            <w:hideMark/>
          </w:tcPr>
          <w:p w14:paraId="25DA7752"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085" w:type="dxa"/>
            <w:tcBorders>
              <w:top w:val="nil"/>
              <w:left w:val="nil"/>
              <w:bottom w:val="nil"/>
              <w:right w:val="nil"/>
            </w:tcBorders>
            <w:shd w:val="clear" w:color="auto" w:fill="auto"/>
            <w:noWrap/>
            <w:vAlign w:val="bottom"/>
            <w:hideMark/>
          </w:tcPr>
          <w:p w14:paraId="49204215"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bottom"/>
            <w:hideMark/>
          </w:tcPr>
          <w:p w14:paraId="7593E96E"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r>
      <w:tr w:rsidR="00070245" w:rsidRPr="001E2580" w14:paraId="1FA7D029" w14:textId="77777777" w:rsidTr="00D47A80">
        <w:trPr>
          <w:trHeight w:val="250"/>
        </w:trPr>
        <w:tc>
          <w:tcPr>
            <w:tcW w:w="3261" w:type="dxa"/>
            <w:tcBorders>
              <w:top w:val="nil"/>
              <w:left w:val="nil"/>
              <w:bottom w:val="nil"/>
              <w:right w:val="nil"/>
            </w:tcBorders>
            <w:shd w:val="clear" w:color="auto" w:fill="auto"/>
            <w:noWrap/>
            <w:vAlign w:val="bottom"/>
            <w:hideMark/>
          </w:tcPr>
          <w:p w14:paraId="2FDC7F7E"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3119" w:type="dxa"/>
            <w:tcBorders>
              <w:top w:val="nil"/>
              <w:left w:val="nil"/>
              <w:bottom w:val="nil"/>
              <w:right w:val="nil"/>
            </w:tcBorders>
            <w:shd w:val="clear" w:color="auto" w:fill="auto"/>
            <w:noWrap/>
            <w:vAlign w:val="bottom"/>
            <w:hideMark/>
          </w:tcPr>
          <w:p w14:paraId="3913CF8D"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417" w:type="dxa"/>
            <w:tcBorders>
              <w:top w:val="nil"/>
              <w:left w:val="nil"/>
              <w:bottom w:val="nil"/>
              <w:right w:val="nil"/>
            </w:tcBorders>
            <w:shd w:val="clear" w:color="auto" w:fill="auto"/>
            <w:noWrap/>
            <w:vAlign w:val="bottom"/>
            <w:hideMark/>
          </w:tcPr>
          <w:p w14:paraId="480E38B4"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061" w:type="dxa"/>
            <w:tcBorders>
              <w:top w:val="nil"/>
              <w:left w:val="nil"/>
              <w:bottom w:val="nil"/>
              <w:right w:val="nil"/>
            </w:tcBorders>
            <w:shd w:val="clear" w:color="auto" w:fill="auto"/>
            <w:noWrap/>
            <w:vAlign w:val="bottom"/>
            <w:hideMark/>
          </w:tcPr>
          <w:p w14:paraId="64A21B1E"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085" w:type="dxa"/>
            <w:tcBorders>
              <w:top w:val="nil"/>
              <w:left w:val="nil"/>
              <w:bottom w:val="nil"/>
              <w:right w:val="nil"/>
            </w:tcBorders>
            <w:shd w:val="clear" w:color="auto" w:fill="auto"/>
            <w:noWrap/>
            <w:vAlign w:val="bottom"/>
            <w:hideMark/>
          </w:tcPr>
          <w:p w14:paraId="39F743E9"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bottom"/>
            <w:hideMark/>
          </w:tcPr>
          <w:p w14:paraId="5DF51EB4"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r>
      <w:tr w:rsidR="00070245" w:rsidRPr="001E2580" w14:paraId="7E1846B6" w14:textId="77777777" w:rsidTr="00D47A80">
        <w:trPr>
          <w:trHeight w:val="260"/>
        </w:trPr>
        <w:tc>
          <w:tcPr>
            <w:tcW w:w="3261" w:type="dxa"/>
            <w:tcBorders>
              <w:top w:val="nil"/>
              <w:left w:val="nil"/>
              <w:bottom w:val="nil"/>
              <w:right w:val="nil"/>
            </w:tcBorders>
            <w:shd w:val="clear" w:color="auto" w:fill="auto"/>
            <w:noWrap/>
            <w:vAlign w:val="bottom"/>
            <w:hideMark/>
          </w:tcPr>
          <w:p w14:paraId="03E97689" w14:textId="77777777" w:rsidR="001E2580" w:rsidRPr="001E2580" w:rsidRDefault="001E2580" w:rsidP="001E2580">
            <w:pPr>
              <w:spacing w:before="0" w:after="0"/>
              <w:rPr>
                <w:rFonts w:eastAsia="Times New Roman" w:cs="Arial"/>
                <w:b/>
                <w:bCs/>
                <w:sz w:val="20"/>
                <w:szCs w:val="20"/>
                <w:lang w:eastAsia="en-GB"/>
              </w:rPr>
            </w:pPr>
            <w:r w:rsidRPr="001E2580">
              <w:rPr>
                <w:rFonts w:eastAsia="Times New Roman" w:cs="Arial"/>
                <w:b/>
                <w:bCs/>
                <w:sz w:val="20"/>
                <w:szCs w:val="20"/>
                <w:lang w:eastAsia="en-GB"/>
              </w:rPr>
              <w:t>19 Related Party Transactions</w:t>
            </w:r>
          </w:p>
        </w:tc>
        <w:tc>
          <w:tcPr>
            <w:tcW w:w="3119" w:type="dxa"/>
            <w:tcBorders>
              <w:top w:val="nil"/>
              <w:left w:val="nil"/>
              <w:bottom w:val="nil"/>
              <w:right w:val="nil"/>
            </w:tcBorders>
            <w:shd w:val="clear" w:color="auto" w:fill="auto"/>
            <w:noWrap/>
            <w:vAlign w:val="bottom"/>
            <w:hideMark/>
          </w:tcPr>
          <w:p w14:paraId="2E751DBE" w14:textId="77777777" w:rsidR="001E2580" w:rsidRPr="001E2580" w:rsidRDefault="001E2580" w:rsidP="001E2580">
            <w:pPr>
              <w:spacing w:before="0" w:after="0"/>
              <w:rPr>
                <w:rFonts w:eastAsia="Times New Roman" w:cs="Arial"/>
                <w:b/>
                <w:bCs/>
                <w:sz w:val="20"/>
                <w:szCs w:val="20"/>
                <w:lang w:eastAsia="en-GB"/>
              </w:rPr>
            </w:pPr>
          </w:p>
        </w:tc>
        <w:tc>
          <w:tcPr>
            <w:tcW w:w="1417" w:type="dxa"/>
            <w:tcBorders>
              <w:top w:val="nil"/>
              <w:left w:val="nil"/>
              <w:bottom w:val="nil"/>
              <w:right w:val="nil"/>
            </w:tcBorders>
            <w:shd w:val="clear" w:color="auto" w:fill="auto"/>
            <w:noWrap/>
            <w:vAlign w:val="bottom"/>
            <w:hideMark/>
          </w:tcPr>
          <w:p w14:paraId="5E02CFCC"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061" w:type="dxa"/>
            <w:tcBorders>
              <w:top w:val="nil"/>
              <w:left w:val="nil"/>
              <w:bottom w:val="nil"/>
              <w:right w:val="nil"/>
            </w:tcBorders>
            <w:shd w:val="clear" w:color="auto" w:fill="auto"/>
            <w:noWrap/>
            <w:vAlign w:val="bottom"/>
            <w:hideMark/>
          </w:tcPr>
          <w:p w14:paraId="2CEAB3C8"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085" w:type="dxa"/>
            <w:tcBorders>
              <w:top w:val="nil"/>
              <w:left w:val="nil"/>
              <w:bottom w:val="nil"/>
              <w:right w:val="nil"/>
            </w:tcBorders>
            <w:shd w:val="clear" w:color="auto" w:fill="auto"/>
            <w:noWrap/>
            <w:vAlign w:val="bottom"/>
            <w:hideMark/>
          </w:tcPr>
          <w:p w14:paraId="42FFBDFF"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bottom"/>
            <w:hideMark/>
          </w:tcPr>
          <w:p w14:paraId="6828BE45"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r>
      <w:tr w:rsidR="00070245" w:rsidRPr="001E2580" w14:paraId="6D30101E" w14:textId="77777777" w:rsidTr="00D47A80">
        <w:trPr>
          <w:trHeight w:val="120"/>
        </w:trPr>
        <w:tc>
          <w:tcPr>
            <w:tcW w:w="3261" w:type="dxa"/>
            <w:tcBorders>
              <w:top w:val="nil"/>
              <w:left w:val="nil"/>
              <w:bottom w:val="nil"/>
              <w:right w:val="nil"/>
            </w:tcBorders>
            <w:shd w:val="clear" w:color="auto" w:fill="auto"/>
            <w:noWrap/>
            <w:vAlign w:val="bottom"/>
            <w:hideMark/>
          </w:tcPr>
          <w:p w14:paraId="045DB8AB"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3119" w:type="dxa"/>
            <w:tcBorders>
              <w:top w:val="nil"/>
              <w:left w:val="nil"/>
              <w:bottom w:val="nil"/>
              <w:right w:val="nil"/>
            </w:tcBorders>
            <w:shd w:val="clear" w:color="auto" w:fill="auto"/>
            <w:noWrap/>
            <w:vAlign w:val="bottom"/>
            <w:hideMark/>
          </w:tcPr>
          <w:p w14:paraId="1A82380A"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417" w:type="dxa"/>
            <w:tcBorders>
              <w:top w:val="nil"/>
              <w:left w:val="nil"/>
              <w:bottom w:val="nil"/>
              <w:right w:val="nil"/>
            </w:tcBorders>
            <w:shd w:val="clear" w:color="auto" w:fill="auto"/>
            <w:noWrap/>
            <w:vAlign w:val="bottom"/>
            <w:hideMark/>
          </w:tcPr>
          <w:p w14:paraId="10AC88CA"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061" w:type="dxa"/>
            <w:tcBorders>
              <w:top w:val="nil"/>
              <w:left w:val="nil"/>
              <w:bottom w:val="nil"/>
              <w:right w:val="nil"/>
            </w:tcBorders>
            <w:shd w:val="clear" w:color="auto" w:fill="auto"/>
            <w:noWrap/>
            <w:vAlign w:val="bottom"/>
            <w:hideMark/>
          </w:tcPr>
          <w:p w14:paraId="460866DA"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085" w:type="dxa"/>
            <w:tcBorders>
              <w:top w:val="nil"/>
              <w:left w:val="nil"/>
              <w:bottom w:val="nil"/>
              <w:right w:val="nil"/>
            </w:tcBorders>
            <w:shd w:val="clear" w:color="auto" w:fill="auto"/>
            <w:noWrap/>
            <w:vAlign w:val="bottom"/>
            <w:hideMark/>
          </w:tcPr>
          <w:p w14:paraId="4B5E9F3F"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bottom"/>
            <w:hideMark/>
          </w:tcPr>
          <w:p w14:paraId="08101CDD"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r>
      <w:tr w:rsidR="000F3176" w:rsidRPr="001E2580" w14:paraId="6A2229F4" w14:textId="77777777" w:rsidTr="00D47A80">
        <w:trPr>
          <w:trHeight w:val="260"/>
        </w:trPr>
        <w:tc>
          <w:tcPr>
            <w:tcW w:w="9945" w:type="dxa"/>
            <w:gridSpan w:val="5"/>
            <w:vMerge w:val="restart"/>
            <w:tcBorders>
              <w:top w:val="nil"/>
              <w:left w:val="nil"/>
              <w:right w:val="nil"/>
            </w:tcBorders>
            <w:shd w:val="clear" w:color="auto" w:fill="auto"/>
            <w:noWrap/>
            <w:vAlign w:val="bottom"/>
            <w:hideMark/>
          </w:tcPr>
          <w:p w14:paraId="67BE74D2" w14:textId="77777777" w:rsidR="000F3176" w:rsidRPr="001E2580" w:rsidRDefault="000F3176" w:rsidP="001E2580">
            <w:pPr>
              <w:spacing w:before="0" w:after="0"/>
              <w:rPr>
                <w:rFonts w:eastAsia="Times New Roman" w:cs="Arial"/>
                <w:b/>
                <w:bCs/>
                <w:sz w:val="20"/>
                <w:szCs w:val="20"/>
                <w:lang w:eastAsia="en-GB"/>
              </w:rPr>
            </w:pPr>
            <w:r w:rsidRPr="001E2580">
              <w:rPr>
                <w:rFonts w:eastAsia="Times New Roman" w:cs="Arial"/>
                <w:b/>
                <w:bCs/>
                <w:sz w:val="20"/>
                <w:szCs w:val="20"/>
                <w:lang w:eastAsia="en-GB"/>
              </w:rPr>
              <w:t>Details of related party transactions with individuals are as follows:</w:t>
            </w:r>
          </w:p>
          <w:p w14:paraId="67E733D3" w14:textId="109477B4" w:rsidR="000F3176" w:rsidRPr="001E2580" w:rsidRDefault="000F3176" w:rsidP="001E2580">
            <w:pPr>
              <w:spacing w:before="0" w:after="0"/>
              <w:rPr>
                <w:rFonts w:eastAsia="Times New Roman" w:cs="Arial"/>
                <w:b/>
                <w:bCs/>
                <w:sz w:val="20"/>
                <w:szCs w:val="20"/>
                <w:lang w:eastAsia="en-GB"/>
              </w:rPr>
            </w:pPr>
            <w:r w:rsidRPr="001E2580">
              <w:rPr>
                <w:rFonts w:ascii="Calibri" w:eastAsia="Times New Roman" w:hAnsi="Calibri" w:cs="Calibri"/>
                <w:b/>
                <w:bCs/>
                <w:color w:val="000000"/>
                <w:sz w:val="22"/>
                <w:lang w:eastAsia="en-GB"/>
              </w:rPr>
              <w:t>Part one - Transactions with board members and those with significant influence over the ICB.</w:t>
            </w:r>
          </w:p>
        </w:tc>
        <w:tc>
          <w:tcPr>
            <w:tcW w:w="1083" w:type="dxa"/>
            <w:tcBorders>
              <w:top w:val="nil"/>
              <w:left w:val="nil"/>
              <w:bottom w:val="nil"/>
              <w:right w:val="nil"/>
            </w:tcBorders>
            <w:shd w:val="clear" w:color="auto" w:fill="auto"/>
            <w:noWrap/>
            <w:vAlign w:val="bottom"/>
            <w:hideMark/>
          </w:tcPr>
          <w:p w14:paraId="2BBC1945" w14:textId="77777777" w:rsidR="000F3176" w:rsidRPr="001E2580" w:rsidRDefault="000F3176" w:rsidP="001E2580">
            <w:pPr>
              <w:spacing w:before="0" w:after="0"/>
              <w:rPr>
                <w:rFonts w:eastAsia="Times New Roman" w:cs="Arial"/>
                <w:b/>
                <w:bCs/>
                <w:sz w:val="20"/>
                <w:szCs w:val="20"/>
                <w:lang w:eastAsia="en-GB"/>
              </w:rPr>
            </w:pPr>
          </w:p>
        </w:tc>
      </w:tr>
      <w:tr w:rsidR="000F3176" w:rsidRPr="001E2580" w14:paraId="2C8ACC2E" w14:textId="77777777" w:rsidTr="00D47A80">
        <w:trPr>
          <w:trHeight w:val="345"/>
        </w:trPr>
        <w:tc>
          <w:tcPr>
            <w:tcW w:w="9945" w:type="dxa"/>
            <w:gridSpan w:val="5"/>
            <w:vMerge/>
            <w:tcBorders>
              <w:left w:val="nil"/>
              <w:bottom w:val="nil"/>
              <w:right w:val="nil"/>
            </w:tcBorders>
            <w:shd w:val="clear" w:color="auto" w:fill="auto"/>
            <w:noWrap/>
            <w:vAlign w:val="bottom"/>
            <w:hideMark/>
          </w:tcPr>
          <w:p w14:paraId="5915EC8B" w14:textId="37BA8AAE" w:rsidR="000F3176" w:rsidRPr="001E2580" w:rsidRDefault="000F3176" w:rsidP="001E2580">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bottom"/>
            <w:hideMark/>
          </w:tcPr>
          <w:p w14:paraId="3920708E" w14:textId="77777777" w:rsidR="000F3176" w:rsidRPr="001E2580" w:rsidRDefault="000F3176" w:rsidP="001E2580">
            <w:pPr>
              <w:spacing w:before="0" w:after="0"/>
              <w:rPr>
                <w:rFonts w:ascii="Times New Roman" w:eastAsia="Times New Roman" w:hAnsi="Times New Roman" w:cs="Times New Roman"/>
                <w:sz w:val="20"/>
                <w:szCs w:val="20"/>
                <w:lang w:eastAsia="en-GB"/>
              </w:rPr>
            </w:pPr>
          </w:p>
        </w:tc>
      </w:tr>
      <w:tr w:rsidR="00070245" w:rsidRPr="001E2580" w14:paraId="6B711F9E" w14:textId="77777777" w:rsidTr="00D47A80">
        <w:trPr>
          <w:trHeight w:val="120"/>
        </w:trPr>
        <w:tc>
          <w:tcPr>
            <w:tcW w:w="3261" w:type="dxa"/>
            <w:tcBorders>
              <w:top w:val="nil"/>
              <w:left w:val="nil"/>
              <w:bottom w:val="nil"/>
              <w:right w:val="nil"/>
            </w:tcBorders>
            <w:shd w:val="clear" w:color="auto" w:fill="auto"/>
            <w:noWrap/>
            <w:vAlign w:val="bottom"/>
            <w:hideMark/>
          </w:tcPr>
          <w:p w14:paraId="63C7DD52"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3119" w:type="dxa"/>
            <w:tcBorders>
              <w:top w:val="nil"/>
              <w:left w:val="nil"/>
              <w:bottom w:val="nil"/>
              <w:right w:val="nil"/>
            </w:tcBorders>
            <w:shd w:val="clear" w:color="auto" w:fill="auto"/>
            <w:noWrap/>
            <w:vAlign w:val="bottom"/>
            <w:hideMark/>
          </w:tcPr>
          <w:p w14:paraId="0582801D"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417" w:type="dxa"/>
            <w:tcBorders>
              <w:top w:val="nil"/>
              <w:left w:val="nil"/>
              <w:bottom w:val="nil"/>
              <w:right w:val="nil"/>
            </w:tcBorders>
            <w:shd w:val="clear" w:color="auto" w:fill="auto"/>
            <w:noWrap/>
            <w:vAlign w:val="bottom"/>
            <w:hideMark/>
          </w:tcPr>
          <w:p w14:paraId="7A798C88"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061" w:type="dxa"/>
            <w:tcBorders>
              <w:top w:val="nil"/>
              <w:left w:val="nil"/>
              <w:bottom w:val="nil"/>
              <w:right w:val="nil"/>
            </w:tcBorders>
            <w:shd w:val="clear" w:color="auto" w:fill="auto"/>
            <w:noWrap/>
            <w:vAlign w:val="bottom"/>
            <w:hideMark/>
          </w:tcPr>
          <w:p w14:paraId="24113FDC"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085" w:type="dxa"/>
            <w:tcBorders>
              <w:top w:val="nil"/>
              <w:left w:val="nil"/>
              <w:bottom w:val="nil"/>
              <w:right w:val="nil"/>
            </w:tcBorders>
            <w:shd w:val="clear" w:color="auto" w:fill="auto"/>
            <w:noWrap/>
            <w:vAlign w:val="bottom"/>
            <w:hideMark/>
          </w:tcPr>
          <w:p w14:paraId="44CB978A"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bottom"/>
            <w:hideMark/>
          </w:tcPr>
          <w:p w14:paraId="518160F3"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r>
      <w:tr w:rsidR="000F3176" w:rsidRPr="001E2580" w14:paraId="7A7EE4D8" w14:textId="77777777" w:rsidTr="00D47A80">
        <w:trPr>
          <w:trHeight w:val="250"/>
        </w:trPr>
        <w:tc>
          <w:tcPr>
            <w:tcW w:w="11028" w:type="dxa"/>
            <w:gridSpan w:val="6"/>
            <w:tcBorders>
              <w:top w:val="nil"/>
              <w:left w:val="nil"/>
              <w:bottom w:val="nil"/>
              <w:right w:val="nil"/>
            </w:tcBorders>
            <w:shd w:val="clear" w:color="000000" w:fill="FFFFFF"/>
            <w:noWrap/>
            <w:hideMark/>
          </w:tcPr>
          <w:p w14:paraId="12EBC8B1" w14:textId="4C45A12E" w:rsidR="000F3176" w:rsidRPr="001E2580" w:rsidRDefault="000F3176" w:rsidP="000F3176">
            <w:pPr>
              <w:spacing w:before="0" w:after="0"/>
              <w:rPr>
                <w:rFonts w:eastAsia="Times New Roman" w:cs="Arial"/>
                <w:sz w:val="20"/>
                <w:szCs w:val="20"/>
                <w:lang w:eastAsia="en-GB"/>
              </w:rPr>
            </w:pPr>
            <w:r w:rsidRPr="001E2580">
              <w:rPr>
                <w:rFonts w:eastAsia="Times New Roman" w:cs="Arial"/>
                <w:sz w:val="20"/>
                <w:szCs w:val="20"/>
                <w:lang w:eastAsia="en-GB"/>
              </w:rPr>
              <w:t>Transactions with the chair, chief executive or members of the board of directors are shown in the remuneration report.   </w:t>
            </w:r>
          </w:p>
        </w:tc>
      </w:tr>
      <w:tr w:rsidR="000F3176" w:rsidRPr="001E2580" w14:paraId="5A4BB2A8" w14:textId="77777777" w:rsidTr="00D47A80">
        <w:trPr>
          <w:trHeight w:val="250"/>
        </w:trPr>
        <w:tc>
          <w:tcPr>
            <w:tcW w:w="9945" w:type="dxa"/>
            <w:gridSpan w:val="5"/>
            <w:tcBorders>
              <w:top w:val="nil"/>
              <w:left w:val="nil"/>
              <w:bottom w:val="nil"/>
              <w:right w:val="nil"/>
            </w:tcBorders>
            <w:shd w:val="clear" w:color="auto" w:fill="auto"/>
            <w:noWrap/>
            <w:vAlign w:val="bottom"/>
            <w:hideMark/>
          </w:tcPr>
          <w:p w14:paraId="712D7B0D" w14:textId="5B2E6B63" w:rsidR="000F3176" w:rsidRPr="001E2580" w:rsidRDefault="000F3176" w:rsidP="000F3176">
            <w:pPr>
              <w:spacing w:before="0" w:after="0"/>
              <w:rPr>
                <w:rFonts w:ascii="Times New Roman" w:eastAsia="Times New Roman" w:hAnsi="Times New Roman" w:cs="Times New Roman"/>
                <w:sz w:val="20"/>
                <w:szCs w:val="20"/>
                <w:lang w:eastAsia="en-GB"/>
              </w:rPr>
            </w:pPr>
            <w:r w:rsidRPr="001E2580">
              <w:rPr>
                <w:rFonts w:eastAsia="Times New Roman" w:cs="Arial"/>
                <w:sz w:val="20"/>
                <w:szCs w:val="20"/>
                <w:lang w:eastAsia="en-GB"/>
              </w:rPr>
              <w:t>There are no other individuals who are considered to meet the definition of related parties under IAS24 as interpreted by the GAM 2023-24</w:t>
            </w:r>
          </w:p>
        </w:tc>
        <w:tc>
          <w:tcPr>
            <w:tcW w:w="1083" w:type="dxa"/>
            <w:tcBorders>
              <w:top w:val="nil"/>
              <w:left w:val="nil"/>
              <w:bottom w:val="nil"/>
              <w:right w:val="nil"/>
            </w:tcBorders>
            <w:shd w:val="clear" w:color="auto" w:fill="auto"/>
            <w:noWrap/>
            <w:vAlign w:val="bottom"/>
            <w:hideMark/>
          </w:tcPr>
          <w:p w14:paraId="78D68F7D" w14:textId="77777777" w:rsidR="000F3176" w:rsidRPr="001E2580" w:rsidRDefault="000F3176" w:rsidP="001E2580">
            <w:pPr>
              <w:spacing w:before="0" w:after="0"/>
              <w:jc w:val="center"/>
              <w:rPr>
                <w:rFonts w:ascii="Times New Roman" w:eastAsia="Times New Roman" w:hAnsi="Times New Roman" w:cs="Times New Roman"/>
                <w:sz w:val="20"/>
                <w:szCs w:val="20"/>
                <w:lang w:eastAsia="en-GB"/>
              </w:rPr>
            </w:pPr>
          </w:p>
        </w:tc>
      </w:tr>
      <w:tr w:rsidR="00070245" w:rsidRPr="001E2580" w14:paraId="0FA49CD3" w14:textId="77777777" w:rsidTr="00D47A80">
        <w:trPr>
          <w:trHeight w:val="250"/>
        </w:trPr>
        <w:tc>
          <w:tcPr>
            <w:tcW w:w="3261" w:type="dxa"/>
            <w:tcBorders>
              <w:top w:val="nil"/>
              <w:left w:val="nil"/>
              <w:bottom w:val="nil"/>
              <w:right w:val="nil"/>
            </w:tcBorders>
            <w:shd w:val="clear" w:color="auto" w:fill="auto"/>
            <w:vAlign w:val="bottom"/>
            <w:hideMark/>
          </w:tcPr>
          <w:p w14:paraId="3935332B" w14:textId="77777777" w:rsidR="001E2580" w:rsidRPr="001E2580" w:rsidRDefault="001E2580" w:rsidP="001E2580">
            <w:pPr>
              <w:spacing w:before="0" w:after="0"/>
              <w:jc w:val="center"/>
              <w:rPr>
                <w:rFonts w:ascii="Times New Roman" w:eastAsia="Times New Roman" w:hAnsi="Times New Roman" w:cs="Times New Roman"/>
                <w:sz w:val="20"/>
                <w:szCs w:val="20"/>
                <w:lang w:eastAsia="en-GB"/>
              </w:rPr>
            </w:pPr>
          </w:p>
        </w:tc>
        <w:tc>
          <w:tcPr>
            <w:tcW w:w="3119" w:type="dxa"/>
            <w:tcBorders>
              <w:top w:val="nil"/>
              <w:left w:val="nil"/>
              <w:bottom w:val="nil"/>
              <w:right w:val="nil"/>
            </w:tcBorders>
            <w:shd w:val="clear" w:color="auto" w:fill="auto"/>
            <w:vAlign w:val="bottom"/>
            <w:hideMark/>
          </w:tcPr>
          <w:p w14:paraId="48F8D6CE"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417" w:type="dxa"/>
            <w:tcBorders>
              <w:top w:val="nil"/>
              <w:left w:val="nil"/>
              <w:bottom w:val="nil"/>
              <w:right w:val="nil"/>
            </w:tcBorders>
            <w:shd w:val="clear" w:color="auto" w:fill="auto"/>
            <w:noWrap/>
            <w:vAlign w:val="bottom"/>
            <w:hideMark/>
          </w:tcPr>
          <w:p w14:paraId="0D55830B"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061" w:type="dxa"/>
            <w:tcBorders>
              <w:top w:val="nil"/>
              <w:left w:val="nil"/>
              <w:bottom w:val="nil"/>
              <w:right w:val="nil"/>
            </w:tcBorders>
            <w:shd w:val="clear" w:color="auto" w:fill="auto"/>
            <w:noWrap/>
            <w:vAlign w:val="bottom"/>
            <w:hideMark/>
          </w:tcPr>
          <w:p w14:paraId="2490E72F" w14:textId="77777777" w:rsidR="001E2580" w:rsidRPr="001E2580" w:rsidRDefault="001E2580" w:rsidP="001E2580">
            <w:pPr>
              <w:spacing w:before="0" w:after="0"/>
              <w:jc w:val="right"/>
              <w:rPr>
                <w:rFonts w:ascii="Times New Roman" w:eastAsia="Times New Roman" w:hAnsi="Times New Roman" w:cs="Times New Roman"/>
                <w:sz w:val="20"/>
                <w:szCs w:val="20"/>
                <w:lang w:eastAsia="en-GB"/>
              </w:rPr>
            </w:pPr>
          </w:p>
        </w:tc>
        <w:tc>
          <w:tcPr>
            <w:tcW w:w="1085" w:type="dxa"/>
            <w:tcBorders>
              <w:top w:val="nil"/>
              <w:left w:val="nil"/>
              <w:bottom w:val="nil"/>
              <w:right w:val="nil"/>
            </w:tcBorders>
            <w:shd w:val="clear" w:color="auto" w:fill="auto"/>
            <w:noWrap/>
            <w:vAlign w:val="bottom"/>
            <w:hideMark/>
          </w:tcPr>
          <w:p w14:paraId="6601B3AA" w14:textId="77777777" w:rsidR="001E2580" w:rsidRPr="001E2580" w:rsidRDefault="001E2580" w:rsidP="001E2580">
            <w:pPr>
              <w:spacing w:before="0" w:after="0"/>
              <w:jc w:val="right"/>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bottom"/>
            <w:hideMark/>
          </w:tcPr>
          <w:p w14:paraId="6A56666F" w14:textId="77777777" w:rsidR="001E2580" w:rsidRPr="001E2580" w:rsidRDefault="001E2580" w:rsidP="001E2580">
            <w:pPr>
              <w:spacing w:before="0" w:after="0"/>
              <w:jc w:val="right"/>
              <w:rPr>
                <w:rFonts w:ascii="Times New Roman" w:eastAsia="Times New Roman" w:hAnsi="Times New Roman" w:cs="Times New Roman"/>
                <w:sz w:val="20"/>
                <w:szCs w:val="20"/>
                <w:lang w:eastAsia="en-GB"/>
              </w:rPr>
            </w:pPr>
          </w:p>
        </w:tc>
      </w:tr>
      <w:tr w:rsidR="000F3176" w:rsidRPr="001E2580" w14:paraId="3A51AAB4" w14:textId="77777777" w:rsidTr="00D47A80">
        <w:trPr>
          <w:trHeight w:val="260"/>
        </w:trPr>
        <w:tc>
          <w:tcPr>
            <w:tcW w:w="11028" w:type="dxa"/>
            <w:gridSpan w:val="6"/>
            <w:tcBorders>
              <w:top w:val="nil"/>
              <w:left w:val="nil"/>
              <w:bottom w:val="nil"/>
              <w:right w:val="nil"/>
            </w:tcBorders>
            <w:shd w:val="clear" w:color="000000" w:fill="FFFFFF"/>
            <w:noWrap/>
            <w:vAlign w:val="bottom"/>
            <w:hideMark/>
          </w:tcPr>
          <w:p w14:paraId="5A278CCE" w14:textId="28E89A67" w:rsidR="000F3176" w:rsidRPr="001E2580" w:rsidRDefault="000F3176" w:rsidP="001E2580">
            <w:pPr>
              <w:spacing w:before="0" w:after="0"/>
              <w:rPr>
                <w:rFonts w:ascii="Times New Roman" w:eastAsia="Times New Roman" w:hAnsi="Times New Roman" w:cs="Times New Roman"/>
                <w:sz w:val="20"/>
                <w:szCs w:val="20"/>
                <w:lang w:eastAsia="en-GB"/>
              </w:rPr>
            </w:pPr>
            <w:r w:rsidRPr="001E2580">
              <w:rPr>
                <w:rFonts w:eastAsia="Times New Roman" w:cs="Arial"/>
                <w:b/>
                <w:bCs/>
                <w:sz w:val="20"/>
                <w:szCs w:val="20"/>
                <w:lang w:eastAsia="en-GB"/>
              </w:rPr>
              <w:t xml:space="preserve">Part two - Transactions in relation to interests declared by Governing Board Members </w:t>
            </w:r>
          </w:p>
        </w:tc>
      </w:tr>
      <w:tr w:rsidR="00070245" w:rsidRPr="001E2580" w14:paraId="0F0359FE" w14:textId="77777777" w:rsidTr="00D47A80">
        <w:trPr>
          <w:trHeight w:val="120"/>
        </w:trPr>
        <w:tc>
          <w:tcPr>
            <w:tcW w:w="3261" w:type="dxa"/>
            <w:tcBorders>
              <w:top w:val="nil"/>
              <w:left w:val="nil"/>
              <w:bottom w:val="nil"/>
              <w:right w:val="nil"/>
            </w:tcBorders>
            <w:shd w:val="clear" w:color="000000" w:fill="FFFFFF"/>
            <w:noWrap/>
            <w:vAlign w:val="bottom"/>
            <w:hideMark/>
          </w:tcPr>
          <w:p w14:paraId="6A0E9C7F" w14:textId="77777777" w:rsidR="001E2580" w:rsidRPr="001E2580" w:rsidRDefault="001E2580" w:rsidP="001E2580">
            <w:pPr>
              <w:spacing w:before="0" w:after="0"/>
              <w:rPr>
                <w:rFonts w:eastAsia="Times New Roman" w:cs="Arial"/>
                <w:b/>
                <w:bCs/>
                <w:sz w:val="20"/>
                <w:szCs w:val="20"/>
                <w:lang w:eastAsia="en-GB"/>
              </w:rPr>
            </w:pPr>
            <w:r w:rsidRPr="001E2580">
              <w:rPr>
                <w:rFonts w:eastAsia="Times New Roman" w:cs="Arial"/>
                <w:b/>
                <w:bCs/>
                <w:sz w:val="20"/>
                <w:szCs w:val="20"/>
                <w:lang w:eastAsia="en-GB"/>
              </w:rPr>
              <w:t> </w:t>
            </w:r>
          </w:p>
        </w:tc>
        <w:tc>
          <w:tcPr>
            <w:tcW w:w="3119" w:type="dxa"/>
            <w:tcBorders>
              <w:top w:val="nil"/>
              <w:left w:val="nil"/>
              <w:bottom w:val="nil"/>
              <w:right w:val="nil"/>
            </w:tcBorders>
            <w:shd w:val="clear" w:color="auto" w:fill="auto"/>
            <w:noWrap/>
            <w:vAlign w:val="bottom"/>
            <w:hideMark/>
          </w:tcPr>
          <w:p w14:paraId="4D969D8F" w14:textId="77777777" w:rsidR="001E2580" w:rsidRPr="001E2580" w:rsidRDefault="001E2580" w:rsidP="001E2580">
            <w:pPr>
              <w:spacing w:before="0" w:after="0"/>
              <w:rPr>
                <w:rFonts w:eastAsia="Times New Roman" w:cs="Arial"/>
                <w:b/>
                <w:bCs/>
                <w:sz w:val="20"/>
                <w:szCs w:val="20"/>
                <w:lang w:eastAsia="en-GB"/>
              </w:rPr>
            </w:pPr>
          </w:p>
        </w:tc>
        <w:tc>
          <w:tcPr>
            <w:tcW w:w="1417" w:type="dxa"/>
            <w:tcBorders>
              <w:top w:val="nil"/>
              <w:left w:val="nil"/>
              <w:bottom w:val="nil"/>
              <w:right w:val="nil"/>
            </w:tcBorders>
            <w:shd w:val="clear" w:color="auto" w:fill="auto"/>
            <w:noWrap/>
            <w:vAlign w:val="bottom"/>
            <w:hideMark/>
          </w:tcPr>
          <w:p w14:paraId="26276698"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061" w:type="dxa"/>
            <w:tcBorders>
              <w:top w:val="nil"/>
              <w:left w:val="nil"/>
              <w:bottom w:val="nil"/>
              <w:right w:val="nil"/>
            </w:tcBorders>
            <w:shd w:val="clear" w:color="auto" w:fill="auto"/>
            <w:noWrap/>
            <w:vAlign w:val="bottom"/>
            <w:hideMark/>
          </w:tcPr>
          <w:p w14:paraId="5097A16C"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085" w:type="dxa"/>
            <w:tcBorders>
              <w:top w:val="nil"/>
              <w:left w:val="nil"/>
              <w:bottom w:val="nil"/>
              <w:right w:val="nil"/>
            </w:tcBorders>
            <w:shd w:val="clear" w:color="auto" w:fill="auto"/>
            <w:noWrap/>
            <w:vAlign w:val="bottom"/>
            <w:hideMark/>
          </w:tcPr>
          <w:p w14:paraId="64187BA8"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bottom"/>
            <w:hideMark/>
          </w:tcPr>
          <w:p w14:paraId="1A4CCA8E" w14:textId="77777777" w:rsidR="001E2580" w:rsidRPr="001E2580" w:rsidRDefault="001E2580" w:rsidP="001E2580">
            <w:pPr>
              <w:spacing w:before="0" w:after="0"/>
              <w:rPr>
                <w:rFonts w:ascii="Times New Roman" w:eastAsia="Times New Roman" w:hAnsi="Times New Roman" w:cs="Times New Roman"/>
                <w:sz w:val="20"/>
                <w:szCs w:val="20"/>
                <w:lang w:eastAsia="en-GB"/>
              </w:rPr>
            </w:pPr>
          </w:p>
        </w:tc>
      </w:tr>
      <w:tr w:rsidR="00070245" w:rsidRPr="001E2580" w14:paraId="316C0DDF" w14:textId="77777777" w:rsidTr="00D47A80">
        <w:trPr>
          <w:trHeight w:val="1040"/>
        </w:trPr>
        <w:tc>
          <w:tcPr>
            <w:tcW w:w="3261" w:type="dxa"/>
            <w:tcBorders>
              <w:top w:val="nil"/>
              <w:left w:val="nil"/>
              <w:bottom w:val="nil"/>
              <w:right w:val="nil"/>
            </w:tcBorders>
            <w:shd w:val="clear" w:color="auto" w:fill="auto"/>
            <w:vAlign w:val="bottom"/>
            <w:hideMark/>
          </w:tcPr>
          <w:p w14:paraId="0EA025CA" w14:textId="77777777" w:rsidR="001E2580" w:rsidRPr="001E2580" w:rsidRDefault="001E2580" w:rsidP="001E2580">
            <w:pPr>
              <w:spacing w:before="0" w:after="0"/>
              <w:rPr>
                <w:rFonts w:ascii="Times New Roman" w:eastAsia="Times New Roman" w:hAnsi="Times New Roman" w:cs="Times New Roman"/>
                <w:sz w:val="18"/>
                <w:szCs w:val="18"/>
                <w:lang w:eastAsia="en-GB"/>
              </w:rPr>
            </w:pPr>
          </w:p>
        </w:tc>
        <w:tc>
          <w:tcPr>
            <w:tcW w:w="3119" w:type="dxa"/>
            <w:tcBorders>
              <w:top w:val="nil"/>
              <w:left w:val="nil"/>
              <w:bottom w:val="nil"/>
              <w:right w:val="nil"/>
            </w:tcBorders>
            <w:shd w:val="clear" w:color="auto" w:fill="auto"/>
            <w:vAlign w:val="bottom"/>
            <w:hideMark/>
          </w:tcPr>
          <w:p w14:paraId="30D678EC" w14:textId="77777777" w:rsidR="001E2580" w:rsidRPr="001E2580" w:rsidRDefault="001E2580" w:rsidP="001E2580">
            <w:pPr>
              <w:spacing w:before="0" w:after="0"/>
              <w:rPr>
                <w:rFonts w:ascii="Times New Roman" w:eastAsia="Times New Roman" w:hAnsi="Times New Roman" w:cs="Times New Roman"/>
                <w:sz w:val="18"/>
                <w:szCs w:val="18"/>
                <w:lang w:eastAsia="en-GB"/>
              </w:rPr>
            </w:pPr>
          </w:p>
        </w:tc>
        <w:tc>
          <w:tcPr>
            <w:tcW w:w="1417" w:type="dxa"/>
            <w:tcBorders>
              <w:top w:val="nil"/>
              <w:left w:val="nil"/>
              <w:bottom w:val="nil"/>
              <w:right w:val="nil"/>
            </w:tcBorders>
            <w:shd w:val="clear" w:color="auto" w:fill="auto"/>
            <w:vAlign w:val="bottom"/>
            <w:hideMark/>
          </w:tcPr>
          <w:p w14:paraId="2EE9B49A" w14:textId="77777777" w:rsidR="001E2580" w:rsidRPr="001E2580" w:rsidRDefault="001E2580" w:rsidP="00DB78E2">
            <w:pPr>
              <w:spacing w:before="0" w:after="0"/>
              <w:jc w:val="right"/>
              <w:rPr>
                <w:rFonts w:eastAsia="Times New Roman" w:cs="Arial"/>
                <w:b/>
                <w:bCs/>
                <w:sz w:val="18"/>
                <w:szCs w:val="18"/>
                <w:lang w:eastAsia="en-GB"/>
              </w:rPr>
            </w:pPr>
            <w:r w:rsidRPr="001E2580">
              <w:rPr>
                <w:rFonts w:eastAsia="Times New Roman" w:cs="Arial"/>
                <w:b/>
                <w:bCs/>
                <w:sz w:val="18"/>
                <w:szCs w:val="18"/>
                <w:lang w:eastAsia="en-GB"/>
              </w:rPr>
              <w:t>Payments to related party</w:t>
            </w:r>
          </w:p>
        </w:tc>
        <w:tc>
          <w:tcPr>
            <w:tcW w:w="1061" w:type="dxa"/>
            <w:tcBorders>
              <w:top w:val="nil"/>
              <w:left w:val="nil"/>
              <w:bottom w:val="nil"/>
              <w:right w:val="nil"/>
            </w:tcBorders>
            <w:shd w:val="clear" w:color="auto" w:fill="auto"/>
            <w:vAlign w:val="bottom"/>
            <w:hideMark/>
          </w:tcPr>
          <w:p w14:paraId="56C23AA1" w14:textId="77777777" w:rsidR="001E2580" w:rsidRPr="001E2580" w:rsidRDefault="001E2580" w:rsidP="00DB78E2">
            <w:pPr>
              <w:spacing w:before="0" w:after="0"/>
              <w:jc w:val="right"/>
              <w:rPr>
                <w:rFonts w:eastAsia="Times New Roman" w:cs="Arial"/>
                <w:b/>
                <w:bCs/>
                <w:sz w:val="18"/>
                <w:szCs w:val="18"/>
                <w:lang w:eastAsia="en-GB"/>
              </w:rPr>
            </w:pPr>
            <w:r w:rsidRPr="001E2580">
              <w:rPr>
                <w:rFonts w:eastAsia="Times New Roman" w:cs="Arial"/>
                <w:b/>
                <w:bCs/>
                <w:sz w:val="18"/>
                <w:szCs w:val="18"/>
                <w:lang w:eastAsia="en-GB"/>
              </w:rPr>
              <w:t>Receipts from related party</w:t>
            </w:r>
          </w:p>
        </w:tc>
        <w:tc>
          <w:tcPr>
            <w:tcW w:w="1085" w:type="dxa"/>
            <w:tcBorders>
              <w:top w:val="nil"/>
              <w:left w:val="nil"/>
              <w:bottom w:val="nil"/>
              <w:right w:val="nil"/>
            </w:tcBorders>
            <w:shd w:val="clear" w:color="auto" w:fill="auto"/>
            <w:vAlign w:val="bottom"/>
            <w:hideMark/>
          </w:tcPr>
          <w:p w14:paraId="745025A6" w14:textId="77777777" w:rsidR="001E2580" w:rsidRPr="001E2580" w:rsidRDefault="001E2580" w:rsidP="00DB78E2">
            <w:pPr>
              <w:spacing w:before="0" w:after="0"/>
              <w:jc w:val="right"/>
              <w:rPr>
                <w:rFonts w:eastAsia="Times New Roman" w:cs="Arial"/>
                <w:b/>
                <w:bCs/>
                <w:sz w:val="18"/>
                <w:szCs w:val="18"/>
                <w:lang w:eastAsia="en-GB"/>
              </w:rPr>
            </w:pPr>
            <w:r w:rsidRPr="001E2580">
              <w:rPr>
                <w:rFonts w:eastAsia="Times New Roman" w:cs="Arial"/>
                <w:b/>
                <w:bCs/>
                <w:sz w:val="18"/>
                <w:szCs w:val="18"/>
                <w:lang w:eastAsia="en-GB"/>
              </w:rPr>
              <w:t>Amounts owed to related party</w:t>
            </w:r>
          </w:p>
        </w:tc>
        <w:tc>
          <w:tcPr>
            <w:tcW w:w="1083" w:type="dxa"/>
            <w:tcBorders>
              <w:top w:val="nil"/>
              <w:left w:val="nil"/>
              <w:bottom w:val="nil"/>
              <w:right w:val="nil"/>
            </w:tcBorders>
            <w:shd w:val="clear" w:color="auto" w:fill="auto"/>
            <w:vAlign w:val="bottom"/>
            <w:hideMark/>
          </w:tcPr>
          <w:p w14:paraId="41C1587A" w14:textId="77777777" w:rsidR="001E2580" w:rsidRPr="001E2580" w:rsidRDefault="001E2580" w:rsidP="00DB78E2">
            <w:pPr>
              <w:spacing w:before="0" w:after="0"/>
              <w:jc w:val="right"/>
              <w:rPr>
                <w:rFonts w:eastAsia="Times New Roman" w:cs="Arial"/>
                <w:b/>
                <w:bCs/>
                <w:sz w:val="18"/>
                <w:szCs w:val="18"/>
                <w:lang w:eastAsia="en-GB"/>
              </w:rPr>
            </w:pPr>
            <w:r w:rsidRPr="001E2580">
              <w:rPr>
                <w:rFonts w:eastAsia="Times New Roman" w:cs="Arial"/>
                <w:b/>
                <w:bCs/>
                <w:sz w:val="18"/>
                <w:szCs w:val="18"/>
                <w:lang w:eastAsia="en-GB"/>
              </w:rPr>
              <w:t>Amounts due from related party</w:t>
            </w:r>
          </w:p>
        </w:tc>
      </w:tr>
      <w:tr w:rsidR="00070245" w:rsidRPr="001E2580" w14:paraId="53563261" w14:textId="77777777" w:rsidTr="00D47A80">
        <w:trPr>
          <w:trHeight w:val="360"/>
        </w:trPr>
        <w:tc>
          <w:tcPr>
            <w:tcW w:w="3261" w:type="dxa"/>
            <w:tcBorders>
              <w:top w:val="nil"/>
              <w:left w:val="nil"/>
              <w:bottom w:val="nil"/>
              <w:right w:val="nil"/>
            </w:tcBorders>
            <w:shd w:val="clear" w:color="auto" w:fill="auto"/>
            <w:noWrap/>
            <w:vAlign w:val="bottom"/>
            <w:hideMark/>
          </w:tcPr>
          <w:p w14:paraId="195CFDC7" w14:textId="77777777" w:rsidR="001E2580" w:rsidRPr="001E2580" w:rsidRDefault="001E2580" w:rsidP="001E2580">
            <w:pPr>
              <w:spacing w:before="0" w:after="0"/>
              <w:jc w:val="right"/>
              <w:rPr>
                <w:rFonts w:eastAsia="Times New Roman" w:cs="Arial"/>
                <w:b/>
                <w:bCs/>
                <w:sz w:val="18"/>
                <w:szCs w:val="18"/>
                <w:lang w:eastAsia="en-GB"/>
              </w:rPr>
            </w:pPr>
          </w:p>
        </w:tc>
        <w:tc>
          <w:tcPr>
            <w:tcW w:w="3119" w:type="dxa"/>
            <w:tcBorders>
              <w:top w:val="nil"/>
              <w:left w:val="nil"/>
              <w:bottom w:val="nil"/>
              <w:right w:val="nil"/>
            </w:tcBorders>
            <w:shd w:val="clear" w:color="auto" w:fill="auto"/>
            <w:noWrap/>
            <w:vAlign w:val="bottom"/>
            <w:hideMark/>
          </w:tcPr>
          <w:p w14:paraId="1F808600" w14:textId="77777777" w:rsidR="001E2580" w:rsidRPr="001E2580" w:rsidRDefault="001E2580" w:rsidP="001E2580">
            <w:pPr>
              <w:spacing w:before="0" w:after="0"/>
              <w:rPr>
                <w:rFonts w:ascii="Times New Roman" w:eastAsia="Times New Roman" w:hAnsi="Times New Roman" w:cs="Times New Roman"/>
                <w:sz w:val="18"/>
                <w:szCs w:val="18"/>
                <w:lang w:eastAsia="en-GB"/>
              </w:rPr>
            </w:pPr>
          </w:p>
        </w:tc>
        <w:tc>
          <w:tcPr>
            <w:tcW w:w="1417" w:type="dxa"/>
            <w:tcBorders>
              <w:top w:val="nil"/>
              <w:left w:val="nil"/>
              <w:bottom w:val="nil"/>
              <w:right w:val="nil"/>
            </w:tcBorders>
            <w:shd w:val="clear" w:color="auto" w:fill="auto"/>
            <w:noWrap/>
            <w:vAlign w:val="bottom"/>
            <w:hideMark/>
          </w:tcPr>
          <w:p w14:paraId="20A16526" w14:textId="77777777" w:rsidR="001E2580" w:rsidRPr="001E2580" w:rsidRDefault="001E2580" w:rsidP="00DB78E2">
            <w:pPr>
              <w:spacing w:before="0" w:after="0"/>
              <w:jc w:val="right"/>
              <w:rPr>
                <w:rFonts w:eastAsia="Times New Roman" w:cs="Arial"/>
                <w:b/>
                <w:bCs/>
                <w:sz w:val="18"/>
                <w:szCs w:val="18"/>
                <w:lang w:eastAsia="en-GB"/>
              </w:rPr>
            </w:pPr>
            <w:r w:rsidRPr="001E2580">
              <w:rPr>
                <w:rFonts w:eastAsia="Times New Roman" w:cs="Arial"/>
                <w:b/>
                <w:bCs/>
                <w:sz w:val="18"/>
                <w:szCs w:val="18"/>
                <w:lang w:eastAsia="en-GB"/>
              </w:rPr>
              <w:t>£'000</w:t>
            </w:r>
          </w:p>
        </w:tc>
        <w:tc>
          <w:tcPr>
            <w:tcW w:w="1061" w:type="dxa"/>
            <w:tcBorders>
              <w:top w:val="nil"/>
              <w:left w:val="nil"/>
              <w:bottom w:val="nil"/>
              <w:right w:val="nil"/>
            </w:tcBorders>
            <w:shd w:val="clear" w:color="auto" w:fill="auto"/>
            <w:noWrap/>
            <w:vAlign w:val="bottom"/>
            <w:hideMark/>
          </w:tcPr>
          <w:p w14:paraId="6AB230A7" w14:textId="77777777" w:rsidR="001E2580" w:rsidRPr="001E2580" w:rsidRDefault="001E2580" w:rsidP="00DB78E2">
            <w:pPr>
              <w:spacing w:before="0" w:after="0"/>
              <w:jc w:val="right"/>
              <w:rPr>
                <w:rFonts w:eastAsia="Times New Roman" w:cs="Arial"/>
                <w:b/>
                <w:bCs/>
                <w:sz w:val="18"/>
                <w:szCs w:val="18"/>
                <w:lang w:eastAsia="en-GB"/>
              </w:rPr>
            </w:pPr>
            <w:r w:rsidRPr="001E2580">
              <w:rPr>
                <w:rFonts w:eastAsia="Times New Roman" w:cs="Arial"/>
                <w:b/>
                <w:bCs/>
                <w:sz w:val="18"/>
                <w:szCs w:val="18"/>
                <w:lang w:eastAsia="en-GB"/>
              </w:rPr>
              <w:t>£'000</w:t>
            </w:r>
          </w:p>
        </w:tc>
        <w:tc>
          <w:tcPr>
            <w:tcW w:w="1085" w:type="dxa"/>
            <w:tcBorders>
              <w:top w:val="nil"/>
              <w:left w:val="nil"/>
              <w:bottom w:val="nil"/>
              <w:right w:val="nil"/>
            </w:tcBorders>
            <w:shd w:val="clear" w:color="auto" w:fill="auto"/>
            <w:noWrap/>
            <w:vAlign w:val="bottom"/>
            <w:hideMark/>
          </w:tcPr>
          <w:p w14:paraId="51016C4E" w14:textId="77777777" w:rsidR="001E2580" w:rsidRPr="001E2580" w:rsidRDefault="001E2580" w:rsidP="00DB78E2">
            <w:pPr>
              <w:spacing w:before="0" w:after="0"/>
              <w:jc w:val="right"/>
              <w:rPr>
                <w:rFonts w:eastAsia="Times New Roman" w:cs="Arial"/>
                <w:b/>
                <w:bCs/>
                <w:sz w:val="18"/>
                <w:szCs w:val="18"/>
                <w:lang w:eastAsia="en-GB"/>
              </w:rPr>
            </w:pPr>
            <w:r w:rsidRPr="001E2580">
              <w:rPr>
                <w:rFonts w:eastAsia="Times New Roman" w:cs="Arial"/>
                <w:b/>
                <w:bCs/>
                <w:sz w:val="18"/>
                <w:szCs w:val="18"/>
                <w:lang w:eastAsia="en-GB"/>
              </w:rPr>
              <w:t>£'000</w:t>
            </w:r>
          </w:p>
        </w:tc>
        <w:tc>
          <w:tcPr>
            <w:tcW w:w="1083" w:type="dxa"/>
            <w:tcBorders>
              <w:top w:val="nil"/>
              <w:left w:val="nil"/>
              <w:bottom w:val="nil"/>
              <w:right w:val="nil"/>
            </w:tcBorders>
            <w:shd w:val="clear" w:color="auto" w:fill="auto"/>
            <w:noWrap/>
            <w:vAlign w:val="bottom"/>
            <w:hideMark/>
          </w:tcPr>
          <w:p w14:paraId="3EA4CCEB" w14:textId="77777777" w:rsidR="001E2580" w:rsidRPr="001E2580" w:rsidRDefault="001E2580" w:rsidP="00DB78E2">
            <w:pPr>
              <w:spacing w:before="0" w:after="0"/>
              <w:jc w:val="right"/>
              <w:rPr>
                <w:rFonts w:eastAsia="Times New Roman" w:cs="Arial"/>
                <w:b/>
                <w:bCs/>
                <w:sz w:val="18"/>
                <w:szCs w:val="18"/>
                <w:lang w:eastAsia="en-GB"/>
              </w:rPr>
            </w:pPr>
            <w:r w:rsidRPr="001E2580">
              <w:rPr>
                <w:rFonts w:eastAsia="Times New Roman" w:cs="Arial"/>
                <w:b/>
                <w:bCs/>
                <w:sz w:val="18"/>
                <w:szCs w:val="18"/>
                <w:lang w:eastAsia="en-GB"/>
              </w:rPr>
              <w:t>£'000</w:t>
            </w:r>
          </w:p>
        </w:tc>
      </w:tr>
      <w:tr w:rsidR="00070245" w:rsidRPr="001E2580" w14:paraId="44320867" w14:textId="77777777" w:rsidTr="00D47A80">
        <w:trPr>
          <w:trHeight w:val="250"/>
        </w:trPr>
        <w:tc>
          <w:tcPr>
            <w:tcW w:w="3261" w:type="dxa"/>
            <w:vMerge w:val="restart"/>
            <w:tcBorders>
              <w:top w:val="single" w:sz="4" w:space="0" w:color="auto"/>
              <w:left w:val="single" w:sz="4" w:space="0" w:color="auto"/>
              <w:bottom w:val="single" w:sz="4" w:space="0" w:color="000000"/>
              <w:right w:val="nil"/>
            </w:tcBorders>
            <w:shd w:val="clear" w:color="auto" w:fill="auto"/>
            <w:noWrap/>
            <w:vAlign w:val="center"/>
            <w:hideMark/>
          </w:tcPr>
          <w:p w14:paraId="2CD7995E"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Mid &amp; South Essex NHS FT</w:t>
            </w:r>
          </w:p>
        </w:tc>
        <w:tc>
          <w:tcPr>
            <w:tcW w:w="3119" w:type="dxa"/>
            <w:tcBorders>
              <w:top w:val="single" w:sz="4" w:space="0" w:color="auto"/>
              <w:left w:val="nil"/>
              <w:bottom w:val="nil"/>
              <w:right w:val="nil"/>
            </w:tcBorders>
            <w:shd w:val="clear" w:color="auto" w:fill="auto"/>
            <w:vAlign w:val="center"/>
            <w:hideMark/>
          </w:tcPr>
          <w:p w14:paraId="662374BA"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Matthew Hopkins, ICB Board Partner Member (MSE FT)</w:t>
            </w:r>
          </w:p>
        </w:tc>
        <w:tc>
          <w:tcPr>
            <w:tcW w:w="1417" w:type="dxa"/>
            <w:vMerge w:val="restart"/>
            <w:tcBorders>
              <w:top w:val="single" w:sz="4" w:space="0" w:color="auto"/>
              <w:left w:val="nil"/>
              <w:bottom w:val="single" w:sz="4" w:space="0" w:color="000000"/>
              <w:right w:val="nil"/>
            </w:tcBorders>
            <w:shd w:val="clear" w:color="auto" w:fill="auto"/>
            <w:noWrap/>
            <w:vAlign w:val="center"/>
            <w:hideMark/>
          </w:tcPr>
          <w:p w14:paraId="7941EBA4" w14:textId="3459D02F" w:rsidR="001E2580" w:rsidRPr="001E2580" w:rsidRDefault="00070245" w:rsidP="00DB78E2">
            <w:pPr>
              <w:spacing w:before="0" w:after="0"/>
              <w:jc w:val="right"/>
              <w:rPr>
                <w:rFonts w:eastAsia="Times New Roman" w:cs="Arial"/>
                <w:sz w:val="18"/>
                <w:szCs w:val="18"/>
                <w:lang w:eastAsia="en-GB"/>
              </w:rPr>
            </w:pPr>
            <w:r>
              <w:rPr>
                <w:rFonts w:eastAsia="Times New Roman" w:cs="Arial"/>
                <w:sz w:val="18"/>
                <w:szCs w:val="18"/>
                <w:lang w:eastAsia="en-GB"/>
              </w:rPr>
              <w:t>1,121,908</w:t>
            </w:r>
          </w:p>
        </w:tc>
        <w:tc>
          <w:tcPr>
            <w:tcW w:w="1061" w:type="dxa"/>
            <w:vMerge w:val="restart"/>
            <w:tcBorders>
              <w:top w:val="single" w:sz="4" w:space="0" w:color="auto"/>
              <w:left w:val="nil"/>
              <w:bottom w:val="single" w:sz="4" w:space="0" w:color="000000"/>
              <w:right w:val="nil"/>
            </w:tcBorders>
            <w:shd w:val="clear" w:color="auto" w:fill="auto"/>
            <w:noWrap/>
            <w:vAlign w:val="center"/>
            <w:hideMark/>
          </w:tcPr>
          <w:p w14:paraId="70F9FE3E" w14:textId="05F47B51" w:rsidR="001E2580" w:rsidRPr="001E2580" w:rsidRDefault="005E6E14" w:rsidP="00DB78E2">
            <w:pPr>
              <w:spacing w:before="0" w:after="0"/>
              <w:jc w:val="right"/>
              <w:rPr>
                <w:rFonts w:eastAsia="Times New Roman" w:cs="Arial"/>
                <w:sz w:val="18"/>
                <w:szCs w:val="18"/>
                <w:lang w:eastAsia="en-GB"/>
              </w:rPr>
            </w:pPr>
            <w:r>
              <w:rPr>
                <w:rFonts w:eastAsia="Times New Roman" w:cs="Arial"/>
                <w:sz w:val="18"/>
                <w:szCs w:val="18"/>
                <w:lang w:eastAsia="en-GB"/>
              </w:rPr>
              <w:t>(</w:t>
            </w:r>
            <w:r w:rsidR="001E2580" w:rsidRPr="001E2580">
              <w:rPr>
                <w:rFonts w:eastAsia="Times New Roman" w:cs="Arial"/>
                <w:sz w:val="18"/>
                <w:szCs w:val="18"/>
                <w:lang w:eastAsia="en-GB"/>
              </w:rPr>
              <w:t>1,370</w:t>
            </w:r>
            <w:r>
              <w:rPr>
                <w:rFonts w:eastAsia="Times New Roman" w:cs="Arial"/>
                <w:sz w:val="18"/>
                <w:szCs w:val="18"/>
                <w:lang w:eastAsia="en-GB"/>
              </w:rPr>
              <w:t>)</w:t>
            </w:r>
          </w:p>
        </w:tc>
        <w:tc>
          <w:tcPr>
            <w:tcW w:w="1085" w:type="dxa"/>
            <w:vMerge w:val="restart"/>
            <w:tcBorders>
              <w:top w:val="single" w:sz="4" w:space="0" w:color="auto"/>
              <w:left w:val="nil"/>
              <w:bottom w:val="single" w:sz="4" w:space="0" w:color="000000"/>
              <w:right w:val="nil"/>
            </w:tcBorders>
            <w:shd w:val="clear" w:color="auto" w:fill="auto"/>
            <w:noWrap/>
            <w:vAlign w:val="center"/>
            <w:hideMark/>
          </w:tcPr>
          <w:p w14:paraId="419B808B" w14:textId="7BED1796"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 xml:space="preserve"> 9,283</w:t>
            </w:r>
          </w:p>
        </w:tc>
        <w:tc>
          <w:tcPr>
            <w:tcW w:w="1083"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059F1D41" w14:textId="10175C4B" w:rsidR="001E2580" w:rsidRPr="001E2580" w:rsidRDefault="00933F0E" w:rsidP="00DB78E2">
            <w:pPr>
              <w:spacing w:before="0" w:after="0"/>
              <w:jc w:val="right"/>
              <w:rPr>
                <w:rFonts w:eastAsia="Times New Roman" w:cs="Arial"/>
                <w:sz w:val="18"/>
                <w:szCs w:val="18"/>
                <w:lang w:eastAsia="en-GB"/>
              </w:rPr>
            </w:pPr>
            <w:r>
              <w:rPr>
                <w:rFonts w:eastAsia="Times New Roman" w:cs="Arial"/>
                <w:sz w:val="18"/>
                <w:szCs w:val="18"/>
                <w:lang w:eastAsia="en-GB"/>
              </w:rPr>
              <w:t>(</w:t>
            </w:r>
            <w:r w:rsidR="001E2580" w:rsidRPr="001E2580">
              <w:rPr>
                <w:rFonts w:eastAsia="Times New Roman" w:cs="Arial"/>
                <w:sz w:val="18"/>
                <w:szCs w:val="18"/>
                <w:lang w:eastAsia="en-GB"/>
              </w:rPr>
              <w:t>166</w:t>
            </w:r>
            <w:r>
              <w:rPr>
                <w:rFonts w:eastAsia="Times New Roman" w:cs="Arial"/>
                <w:sz w:val="18"/>
                <w:szCs w:val="18"/>
                <w:lang w:eastAsia="en-GB"/>
              </w:rPr>
              <w:t>)</w:t>
            </w:r>
          </w:p>
        </w:tc>
      </w:tr>
      <w:tr w:rsidR="00070245" w:rsidRPr="001E2580" w14:paraId="1968CE9C" w14:textId="77777777" w:rsidTr="00D47A80">
        <w:trPr>
          <w:trHeight w:val="250"/>
        </w:trPr>
        <w:tc>
          <w:tcPr>
            <w:tcW w:w="3261" w:type="dxa"/>
            <w:vMerge/>
            <w:tcBorders>
              <w:top w:val="single" w:sz="4" w:space="0" w:color="auto"/>
              <w:left w:val="single" w:sz="4" w:space="0" w:color="auto"/>
              <w:bottom w:val="single" w:sz="4" w:space="0" w:color="000000"/>
              <w:right w:val="nil"/>
            </w:tcBorders>
            <w:vAlign w:val="center"/>
            <w:hideMark/>
          </w:tcPr>
          <w:p w14:paraId="4E791D53" w14:textId="77777777" w:rsidR="001E2580" w:rsidRPr="001E2580" w:rsidRDefault="001E2580" w:rsidP="001E2580">
            <w:pPr>
              <w:spacing w:before="0" w:after="0"/>
              <w:rPr>
                <w:rFonts w:eastAsia="Times New Roman" w:cs="Arial"/>
                <w:sz w:val="18"/>
                <w:szCs w:val="18"/>
                <w:lang w:eastAsia="en-GB"/>
              </w:rPr>
            </w:pPr>
          </w:p>
        </w:tc>
        <w:tc>
          <w:tcPr>
            <w:tcW w:w="3119" w:type="dxa"/>
            <w:tcBorders>
              <w:top w:val="nil"/>
              <w:left w:val="nil"/>
              <w:bottom w:val="single" w:sz="4" w:space="0" w:color="auto"/>
              <w:right w:val="nil"/>
            </w:tcBorders>
            <w:shd w:val="clear" w:color="auto" w:fill="auto"/>
            <w:vAlign w:val="center"/>
            <w:hideMark/>
          </w:tcPr>
          <w:p w14:paraId="1766E50D" w14:textId="7B8AC450"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Hannah Coffey, ICB Board Partner Member (MSE FT)</w:t>
            </w:r>
          </w:p>
        </w:tc>
        <w:tc>
          <w:tcPr>
            <w:tcW w:w="1417" w:type="dxa"/>
            <w:vMerge/>
            <w:tcBorders>
              <w:top w:val="single" w:sz="4" w:space="0" w:color="auto"/>
              <w:left w:val="nil"/>
              <w:bottom w:val="single" w:sz="4" w:space="0" w:color="000000"/>
              <w:right w:val="nil"/>
            </w:tcBorders>
            <w:vAlign w:val="center"/>
            <w:hideMark/>
          </w:tcPr>
          <w:p w14:paraId="616DECC7" w14:textId="77777777" w:rsidR="001E2580" w:rsidRPr="001E2580" w:rsidRDefault="001E2580" w:rsidP="00DB78E2">
            <w:pPr>
              <w:spacing w:before="0" w:after="0"/>
              <w:jc w:val="right"/>
              <w:rPr>
                <w:rFonts w:eastAsia="Times New Roman" w:cs="Arial"/>
                <w:sz w:val="18"/>
                <w:szCs w:val="18"/>
                <w:lang w:eastAsia="en-GB"/>
              </w:rPr>
            </w:pPr>
          </w:p>
        </w:tc>
        <w:tc>
          <w:tcPr>
            <w:tcW w:w="1061" w:type="dxa"/>
            <w:vMerge/>
            <w:tcBorders>
              <w:top w:val="single" w:sz="4" w:space="0" w:color="auto"/>
              <w:left w:val="nil"/>
              <w:bottom w:val="single" w:sz="4" w:space="0" w:color="000000"/>
              <w:right w:val="nil"/>
            </w:tcBorders>
            <w:vAlign w:val="center"/>
            <w:hideMark/>
          </w:tcPr>
          <w:p w14:paraId="51216BF4" w14:textId="77777777" w:rsidR="001E2580" w:rsidRPr="001E2580" w:rsidRDefault="001E2580" w:rsidP="00DB78E2">
            <w:pPr>
              <w:spacing w:before="0" w:after="0"/>
              <w:jc w:val="right"/>
              <w:rPr>
                <w:rFonts w:eastAsia="Times New Roman" w:cs="Arial"/>
                <w:sz w:val="18"/>
                <w:szCs w:val="18"/>
                <w:lang w:eastAsia="en-GB"/>
              </w:rPr>
            </w:pPr>
          </w:p>
        </w:tc>
        <w:tc>
          <w:tcPr>
            <w:tcW w:w="1085" w:type="dxa"/>
            <w:vMerge/>
            <w:tcBorders>
              <w:top w:val="single" w:sz="4" w:space="0" w:color="auto"/>
              <w:left w:val="nil"/>
              <w:bottom w:val="single" w:sz="4" w:space="0" w:color="000000"/>
              <w:right w:val="nil"/>
            </w:tcBorders>
            <w:vAlign w:val="center"/>
            <w:hideMark/>
          </w:tcPr>
          <w:p w14:paraId="0A374B6E" w14:textId="77777777" w:rsidR="001E2580" w:rsidRPr="001E2580" w:rsidRDefault="001E2580" w:rsidP="00DB78E2">
            <w:pPr>
              <w:spacing w:before="0" w:after="0"/>
              <w:jc w:val="right"/>
              <w:rPr>
                <w:rFonts w:eastAsia="Times New Roman" w:cs="Arial"/>
                <w:sz w:val="18"/>
                <w:szCs w:val="18"/>
                <w:lang w:eastAsia="en-GB"/>
              </w:rPr>
            </w:pPr>
          </w:p>
        </w:tc>
        <w:tc>
          <w:tcPr>
            <w:tcW w:w="1083" w:type="dxa"/>
            <w:vMerge/>
            <w:tcBorders>
              <w:top w:val="single" w:sz="4" w:space="0" w:color="auto"/>
              <w:left w:val="nil"/>
              <w:bottom w:val="single" w:sz="4" w:space="0" w:color="000000"/>
              <w:right w:val="single" w:sz="4" w:space="0" w:color="auto"/>
            </w:tcBorders>
            <w:vAlign w:val="center"/>
            <w:hideMark/>
          </w:tcPr>
          <w:p w14:paraId="065581FF" w14:textId="77777777" w:rsidR="001E2580" w:rsidRPr="001E2580" w:rsidRDefault="001E2580" w:rsidP="00DB78E2">
            <w:pPr>
              <w:spacing w:before="0" w:after="0"/>
              <w:jc w:val="right"/>
              <w:rPr>
                <w:rFonts w:eastAsia="Times New Roman" w:cs="Arial"/>
                <w:sz w:val="18"/>
                <w:szCs w:val="18"/>
                <w:lang w:eastAsia="en-GB"/>
              </w:rPr>
            </w:pPr>
          </w:p>
        </w:tc>
      </w:tr>
      <w:tr w:rsidR="00070245" w:rsidRPr="001E2580" w14:paraId="38E06BFD" w14:textId="77777777" w:rsidTr="00D47A80">
        <w:trPr>
          <w:trHeight w:val="250"/>
        </w:trPr>
        <w:tc>
          <w:tcPr>
            <w:tcW w:w="3261" w:type="dxa"/>
            <w:vMerge w:val="restart"/>
            <w:tcBorders>
              <w:top w:val="nil"/>
              <w:left w:val="single" w:sz="4" w:space="0" w:color="auto"/>
              <w:bottom w:val="single" w:sz="4" w:space="0" w:color="000000"/>
              <w:right w:val="nil"/>
            </w:tcBorders>
            <w:shd w:val="clear" w:color="auto" w:fill="auto"/>
            <w:vAlign w:val="center"/>
            <w:hideMark/>
          </w:tcPr>
          <w:p w14:paraId="64CAE846"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Essex Partnership University NHS FT</w:t>
            </w:r>
          </w:p>
        </w:tc>
        <w:tc>
          <w:tcPr>
            <w:tcW w:w="3119" w:type="dxa"/>
            <w:tcBorders>
              <w:top w:val="nil"/>
              <w:left w:val="nil"/>
              <w:bottom w:val="nil"/>
              <w:right w:val="nil"/>
            </w:tcBorders>
            <w:shd w:val="clear" w:color="auto" w:fill="auto"/>
            <w:vAlign w:val="center"/>
            <w:hideMark/>
          </w:tcPr>
          <w:p w14:paraId="573DA8B5"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Paul Scott, Partner Member, Essex Partnership University NHS FT</w:t>
            </w:r>
          </w:p>
        </w:tc>
        <w:tc>
          <w:tcPr>
            <w:tcW w:w="1417" w:type="dxa"/>
            <w:vMerge w:val="restart"/>
            <w:tcBorders>
              <w:top w:val="nil"/>
              <w:left w:val="nil"/>
              <w:bottom w:val="single" w:sz="4" w:space="0" w:color="000000"/>
              <w:right w:val="nil"/>
            </w:tcBorders>
            <w:shd w:val="clear" w:color="auto" w:fill="auto"/>
            <w:noWrap/>
            <w:vAlign w:val="center"/>
            <w:hideMark/>
          </w:tcPr>
          <w:p w14:paraId="737E1B71" w14:textId="2A17DD15" w:rsidR="001E2580" w:rsidRPr="001E2580" w:rsidRDefault="00070245" w:rsidP="00DB78E2">
            <w:pPr>
              <w:spacing w:before="0" w:after="0"/>
              <w:jc w:val="right"/>
              <w:rPr>
                <w:rFonts w:eastAsia="Times New Roman" w:cs="Arial"/>
                <w:sz w:val="18"/>
                <w:szCs w:val="18"/>
                <w:lang w:eastAsia="en-GB"/>
              </w:rPr>
            </w:pPr>
            <w:r>
              <w:rPr>
                <w:rFonts w:eastAsia="Times New Roman" w:cs="Arial"/>
                <w:sz w:val="18"/>
                <w:szCs w:val="18"/>
                <w:lang w:eastAsia="en-GB"/>
              </w:rPr>
              <w:t>218,557</w:t>
            </w:r>
          </w:p>
        </w:tc>
        <w:tc>
          <w:tcPr>
            <w:tcW w:w="1061" w:type="dxa"/>
            <w:vMerge w:val="restart"/>
            <w:tcBorders>
              <w:top w:val="nil"/>
              <w:left w:val="nil"/>
              <w:bottom w:val="single" w:sz="4" w:space="0" w:color="000000"/>
              <w:right w:val="nil"/>
            </w:tcBorders>
            <w:shd w:val="clear" w:color="auto" w:fill="auto"/>
            <w:noWrap/>
            <w:vAlign w:val="center"/>
            <w:hideMark/>
          </w:tcPr>
          <w:p w14:paraId="47EFA946" w14:textId="6A5311F5" w:rsidR="001E2580" w:rsidRPr="001E2580" w:rsidRDefault="005E6E14" w:rsidP="00DB78E2">
            <w:pPr>
              <w:spacing w:before="0" w:after="0"/>
              <w:jc w:val="right"/>
              <w:rPr>
                <w:rFonts w:eastAsia="Times New Roman" w:cs="Arial"/>
                <w:sz w:val="18"/>
                <w:szCs w:val="18"/>
                <w:lang w:eastAsia="en-GB"/>
              </w:rPr>
            </w:pPr>
            <w:r>
              <w:rPr>
                <w:rFonts w:eastAsia="Times New Roman" w:cs="Arial"/>
                <w:sz w:val="18"/>
                <w:szCs w:val="18"/>
                <w:lang w:eastAsia="en-GB"/>
              </w:rPr>
              <w:t>(</w:t>
            </w:r>
            <w:r w:rsidR="001E2580" w:rsidRPr="001E2580">
              <w:rPr>
                <w:rFonts w:eastAsia="Times New Roman" w:cs="Arial"/>
                <w:sz w:val="18"/>
                <w:szCs w:val="18"/>
                <w:lang w:eastAsia="en-GB"/>
              </w:rPr>
              <w:t>10</w:t>
            </w:r>
            <w:r>
              <w:rPr>
                <w:rFonts w:eastAsia="Times New Roman" w:cs="Arial"/>
                <w:sz w:val="18"/>
                <w:szCs w:val="18"/>
                <w:lang w:eastAsia="en-GB"/>
              </w:rPr>
              <w:t>)</w:t>
            </w:r>
          </w:p>
        </w:tc>
        <w:tc>
          <w:tcPr>
            <w:tcW w:w="1085" w:type="dxa"/>
            <w:vMerge w:val="restart"/>
            <w:tcBorders>
              <w:top w:val="nil"/>
              <w:left w:val="nil"/>
              <w:bottom w:val="single" w:sz="4" w:space="0" w:color="000000"/>
              <w:right w:val="nil"/>
            </w:tcBorders>
            <w:shd w:val="clear" w:color="auto" w:fill="auto"/>
            <w:noWrap/>
            <w:vAlign w:val="center"/>
            <w:hideMark/>
          </w:tcPr>
          <w:p w14:paraId="503DB992" w14:textId="51AEDA7D"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 xml:space="preserve"> 1,366</w:t>
            </w:r>
          </w:p>
        </w:tc>
        <w:tc>
          <w:tcPr>
            <w:tcW w:w="1083" w:type="dxa"/>
            <w:vMerge w:val="restart"/>
            <w:tcBorders>
              <w:top w:val="nil"/>
              <w:left w:val="nil"/>
              <w:bottom w:val="single" w:sz="4" w:space="0" w:color="000000"/>
              <w:right w:val="single" w:sz="4" w:space="0" w:color="auto"/>
            </w:tcBorders>
            <w:shd w:val="clear" w:color="auto" w:fill="auto"/>
            <w:noWrap/>
            <w:vAlign w:val="center"/>
            <w:hideMark/>
          </w:tcPr>
          <w:p w14:paraId="6B04F964" w14:textId="3F80EA11" w:rsidR="001E2580" w:rsidRPr="001E2580" w:rsidRDefault="00933F0E" w:rsidP="00DB78E2">
            <w:pPr>
              <w:spacing w:before="0" w:after="0"/>
              <w:jc w:val="right"/>
              <w:rPr>
                <w:rFonts w:eastAsia="Times New Roman" w:cs="Arial"/>
                <w:sz w:val="18"/>
                <w:szCs w:val="18"/>
                <w:lang w:eastAsia="en-GB"/>
              </w:rPr>
            </w:pPr>
            <w:r>
              <w:rPr>
                <w:rFonts w:eastAsia="Times New Roman" w:cs="Arial"/>
                <w:sz w:val="18"/>
                <w:szCs w:val="18"/>
                <w:lang w:eastAsia="en-GB"/>
              </w:rPr>
              <w:t>(</w:t>
            </w:r>
            <w:r w:rsidR="001E2580" w:rsidRPr="001E2580">
              <w:rPr>
                <w:rFonts w:eastAsia="Times New Roman" w:cs="Arial"/>
                <w:sz w:val="18"/>
                <w:szCs w:val="18"/>
                <w:lang w:eastAsia="en-GB"/>
              </w:rPr>
              <w:t>10</w:t>
            </w:r>
            <w:r>
              <w:rPr>
                <w:rFonts w:eastAsia="Times New Roman" w:cs="Arial"/>
                <w:sz w:val="18"/>
                <w:szCs w:val="18"/>
                <w:lang w:eastAsia="en-GB"/>
              </w:rPr>
              <w:t>)</w:t>
            </w:r>
            <w:r w:rsidR="001E2580" w:rsidRPr="001E2580">
              <w:rPr>
                <w:rFonts w:eastAsia="Times New Roman" w:cs="Arial"/>
                <w:sz w:val="18"/>
                <w:szCs w:val="18"/>
                <w:lang w:eastAsia="en-GB"/>
              </w:rPr>
              <w:t xml:space="preserve"> </w:t>
            </w:r>
          </w:p>
        </w:tc>
      </w:tr>
      <w:tr w:rsidR="00070245" w:rsidRPr="001E2580" w14:paraId="1BEF3969" w14:textId="77777777" w:rsidTr="00D47A80">
        <w:trPr>
          <w:trHeight w:val="250"/>
        </w:trPr>
        <w:tc>
          <w:tcPr>
            <w:tcW w:w="3261" w:type="dxa"/>
            <w:vMerge/>
            <w:tcBorders>
              <w:top w:val="nil"/>
              <w:left w:val="single" w:sz="4" w:space="0" w:color="auto"/>
              <w:bottom w:val="single" w:sz="4" w:space="0" w:color="000000"/>
              <w:right w:val="nil"/>
            </w:tcBorders>
            <w:vAlign w:val="center"/>
            <w:hideMark/>
          </w:tcPr>
          <w:p w14:paraId="149B89BA" w14:textId="77777777" w:rsidR="001E2580" w:rsidRPr="001E2580" w:rsidRDefault="001E2580" w:rsidP="001E2580">
            <w:pPr>
              <w:spacing w:before="0" w:after="0"/>
              <w:rPr>
                <w:rFonts w:eastAsia="Times New Roman" w:cs="Arial"/>
                <w:sz w:val="18"/>
                <w:szCs w:val="18"/>
                <w:lang w:eastAsia="en-GB"/>
              </w:rPr>
            </w:pPr>
          </w:p>
        </w:tc>
        <w:tc>
          <w:tcPr>
            <w:tcW w:w="3119" w:type="dxa"/>
            <w:tcBorders>
              <w:top w:val="nil"/>
              <w:left w:val="nil"/>
              <w:bottom w:val="single" w:sz="4" w:space="0" w:color="auto"/>
              <w:right w:val="nil"/>
            </w:tcBorders>
            <w:shd w:val="clear" w:color="auto" w:fill="auto"/>
            <w:vAlign w:val="center"/>
            <w:hideMark/>
          </w:tcPr>
          <w:p w14:paraId="2DFF5C9E"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Frances Bolger, Interim Chief Nursing Officer</w:t>
            </w:r>
          </w:p>
        </w:tc>
        <w:tc>
          <w:tcPr>
            <w:tcW w:w="1417" w:type="dxa"/>
            <w:vMerge/>
            <w:tcBorders>
              <w:top w:val="nil"/>
              <w:left w:val="nil"/>
              <w:bottom w:val="single" w:sz="4" w:space="0" w:color="000000"/>
              <w:right w:val="nil"/>
            </w:tcBorders>
            <w:vAlign w:val="center"/>
            <w:hideMark/>
          </w:tcPr>
          <w:p w14:paraId="3890EE25" w14:textId="77777777" w:rsidR="001E2580" w:rsidRPr="001E2580" w:rsidRDefault="001E2580" w:rsidP="00DB78E2">
            <w:pPr>
              <w:spacing w:before="0" w:after="0"/>
              <w:jc w:val="right"/>
              <w:rPr>
                <w:rFonts w:eastAsia="Times New Roman" w:cs="Arial"/>
                <w:sz w:val="18"/>
                <w:szCs w:val="18"/>
                <w:lang w:eastAsia="en-GB"/>
              </w:rPr>
            </w:pPr>
          </w:p>
        </w:tc>
        <w:tc>
          <w:tcPr>
            <w:tcW w:w="1061" w:type="dxa"/>
            <w:vMerge/>
            <w:tcBorders>
              <w:top w:val="nil"/>
              <w:left w:val="nil"/>
              <w:bottom w:val="single" w:sz="4" w:space="0" w:color="000000"/>
              <w:right w:val="nil"/>
            </w:tcBorders>
            <w:vAlign w:val="center"/>
            <w:hideMark/>
          </w:tcPr>
          <w:p w14:paraId="2B0CC5A1" w14:textId="77777777" w:rsidR="001E2580" w:rsidRPr="001E2580" w:rsidRDefault="001E2580" w:rsidP="00DB78E2">
            <w:pPr>
              <w:spacing w:before="0" w:after="0"/>
              <w:jc w:val="right"/>
              <w:rPr>
                <w:rFonts w:eastAsia="Times New Roman" w:cs="Arial"/>
                <w:sz w:val="18"/>
                <w:szCs w:val="18"/>
                <w:lang w:eastAsia="en-GB"/>
              </w:rPr>
            </w:pPr>
          </w:p>
        </w:tc>
        <w:tc>
          <w:tcPr>
            <w:tcW w:w="1085" w:type="dxa"/>
            <w:vMerge/>
            <w:tcBorders>
              <w:top w:val="nil"/>
              <w:left w:val="nil"/>
              <w:bottom w:val="single" w:sz="4" w:space="0" w:color="000000"/>
              <w:right w:val="nil"/>
            </w:tcBorders>
            <w:vAlign w:val="center"/>
            <w:hideMark/>
          </w:tcPr>
          <w:p w14:paraId="24067035" w14:textId="77777777" w:rsidR="001E2580" w:rsidRPr="001E2580" w:rsidRDefault="001E2580" w:rsidP="00DB78E2">
            <w:pPr>
              <w:spacing w:before="0" w:after="0"/>
              <w:jc w:val="right"/>
              <w:rPr>
                <w:rFonts w:eastAsia="Times New Roman" w:cs="Arial"/>
                <w:sz w:val="18"/>
                <w:szCs w:val="18"/>
                <w:lang w:eastAsia="en-GB"/>
              </w:rPr>
            </w:pPr>
          </w:p>
        </w:tc>
        <w:tc>
          <w:tcPr>
            <w:tcW w:w="1083" w:type="dxa"/>
            <w:vMerge/>
            <w:tcBorders>
              <w:top w:val="nil"/>
              <w:left w:val="nil"/>
              <w:bottom w:val="single" w:sz="4" w:space="0" w:color="000000"/>
              <w:right w:val="single" w:sz="4" w:space="0" w:color="auto"/>
            </w:tcBorders>
            <w:vAlign w:val="center"/>
            <w:hideMark/>
          </w:tcPr>
          <w:p w14:paraId="260B5601" w14:textId="77777777" w:rsidR="001E2580" w:rsidRPr="001E2580" w:rsidRDefault="001E2580" w:rsidP="00DB78E2">
            <w:pPr>
              <w:spacing w:before="0" w:after="0"/>
              <w:jc w:val="right"/>
              <w:rPr>
                <w:rFonts w:eastAsia="Times New Roman" w:cs="Arial"/>
                <w:sz w:val="18"/>
                <w:szCs w:val="18"/>
                <w:lang w:eastAsia="en-GB"/>
              </w:rPr>
            </w:pPr>
          </w:p>
        </w:tc>
      </w:tr>
      <w:tr w:rsidR="00070245" w:rsidRPr="001E2580" w14:paraId="22D71898" w14:textId="77777777" w:rsidTr="00D47A80">
        <w:trPr>
          <w:trHeight w:val="250"/>
        </w:trPr>
        <w:tc>
          <w:tcPr>
            <w:tcW w:w="3261" w:type="dxa"/>
            <w:tcBorders>
              <w:top w:val="nil"/>
              <w:left w:val="single" w:sz="4" w:space="0" w:color="auto"/>
              <w:bottom w:val="nil"/>
              <w:right w:val="nil"/>
            </w:tcBorders>
            <w:shd w:val="clear" w:color="auto" w:fill="auto"/>
            <w:vAlign w:val="center"/>
            <w:hideMark/>
          </w:tcPr>
          <w:p w14:paraId="437A2AD7"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Essex County Council</w:t>
            </w:r>
          </w:p>
        </w:tc>
        <w:tc>
          <w:tcPr>
            <w:tcW w:w="3119" w:type="dxa"/>
            <w:tcBorders>
              <w:top w:val="nil"/>
              <w:left w:val="nil"/>
              <w:bottom w:val="nil"/>
              <w:right w:val="nil"/>
            </w:tcBorders>
            <w:shd w:val="clear" w:color="auto" w:fill="auto"/>
            <w:vAlign w:val="center"/>
            <w:hideMark/>
          </w:tcPr>
          <w:p w14:paraId="40CA4EB3" w14:textId="68D03E5B"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Peter Fairley, Partner Member, Essex County Council</w:t>
            </w:r>
          </w:p>
        </w:tc>
        <w:tc>
          <w:tcPr>
            <w:tcW w:w="1417" w:type="dxa"/>
            <w:tcBorders>
              <w:top w:val="nil"/>
              <w:left w:val="nil"/>
              <w:bottom w:val="nil"/>
              <w:right w:val="nil"/>
            </w:tcBorders>
            <w:shd w:val="clear" w:color="auto" w:fill="auto"/>
            <w:noWrap/>
            <w:vAlign w:val="center"/>
            <w:hideMark/>
          </w:tcPr>
          <w:p w14:paraId="2C3A05A4" w14:textId="0A107494"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86,674</w:t>
            </w:r>
          </w:p>
        </w:tc>
        <w:tc>
          <w:tcPr>
            <w:tcW w:w="1061" w:type="dxa"/>
            <w:tcBorders>
              <w:top w:val="nil"/>
              <w:left w:val="nil"/>
              <w:bottom w:val="nil"/>
              <w:right w:val="nil"/>
            </w:tcBorders>
            <w:shd w:val="clear" w:color="auto" w:fill="auto"/>
            <w:noWrap/>
            <w:vAlign w:val="center"/>
            <w:hideMark/>
          </w:tcPr>
          <w:p w14:paraId="48F72B89" w14:textId="74489314" w:rsidR="001E2580" w:rsidRPr="001E2580" w:rsidRDefault="00B203B3" w:rsidP="00DB78E2">
            <w:pPr>
              <w:spacing w:before="0" w:after="0"/>
              <w:jc w:val="right"/>
              <w:rPr>
                <w:rFonts w:eastAsia="Times New Roman" w:cs="Arial"/>
                <w:sz w:val="18"/>
                <w:szCs w:val="18"/>
                <w:lang w:eastAsia="en-GB"/>
              </w:rPr>
            </w:pPr>
            <w:r>
              <w:rPr>
                <w:rFonts w:eastAsia="Times New Roman" w:cs="Arial"/>
                <w:sz w:val="18"/>
                <w:szCs w:val="18"/>
                <w:lang w:eastAsia="en-GB"/>
              </w:rPr>
              <w:t>(</w:t>
            </w:r>
            <w:r w:rsidR="001E2580" w:rsidRPr="001E2580">
              <w:rPr>
                <w:rFonts w:eastAsia="Times New Roman" w:cs="Arial"/>
                <w:sz w:val="18"/>
                <w:szCs w:val="18"/>
                <w:lang w:eastAsia="en-GB"/>
              </w:rPr>
              <w:t>26,924</w:t>
            </w:r>
            <w:r w:rsidR="005E6E14">
              <w:rPr>
                <w:rFonts w:eastAsia="Times New Roman" w:cs="Arial"/>
                <w:sz w:val="18"/>
                <w:szCs w:val="18"/>
                <w:lang w:eastAsia="en-GB"/>
              </w:rPr>
              <w:t>)</w:t>
            </w:r>
          </w:p>
        </w:tc>
        <w:tc>
          <w:tcPr>
            <w:tcW w:w="1085" w:type="dxa"/>
            <w:tcBorders>
              <w:top w:val="nil"/>
              <w:left w:val="nil"/>
              <w:bottom w:val="nil"/>
              <w:right w:val="nil"/>
            </w:tcBorders>
            <w:shd w:val="clear" w:color="auto" w:fill="auto"/>
            <w:noWrap/>
            <w:vAlign w:val="center"/>
            <w:hideMark/>
          </w:tcPr>
          <w:p w14:paraId="4D4E0122" w14:textId="692B941E"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895</w:t>
            </w:r>
          </w:p>
        </w:tc>
        <w:tc>
          <w:tcPr>
            <w:tcW w:w="1083" w:type="dxa"/>
            <w:tcBorders>
              <w:top w:val="nil"/>
              <w:left w:val="nil"/>
              <w:bottom w:val="nil"/>
              <w:right w:val="single" w:sz="4" w:space="0" w:color="auto"/>
            </w:tcBorders>
            <w:shd w:val="clear" w:color="auto" w:fill="auto"/>
            <w:noWrap/>
            <w:vAlign w:val="center"/>
            <w:hideMark/>
          </w:tcPr>
          <w:p w14:paraId="448E5170" w14:textId="2DDD22A9" w:rsidR="001E2580" w:rsidRPr="001E2580" w:rsidRDefault="00933F0E" w:rsidP="00DB78E2">
            <w:pPr>
              <w:spacing w:before="0" w:after="0"/>
              <w:jc w:val="right"/>
              <w:rPr>
                <w:rFonts w:eastAsia="Times New Roman" w:cs="Arial"/>
                <w:sz w:val="18"/>
                <w:szCs w:val="18"/>
                <w:lang w:eastAsia="en-GB"/>
              </w:rPr>
            </w:pPr>
            <w:r>
              <w:rPr>
                <w:rFonts w:eastAsia="Times New Roman" w:cs="Arial"/>
                <w:sz w:val="18"/>
                <w:szCs w:val="18"/>
                <w:lang w:eastAsia="en-GB"/>
              </w:rPr>
              <w:t>(</w:t>
            </w:r>
            <w:r w:rsidR="001E2580" w:rsidRPr="001E2580">
              <w:rPr>
                <w:rFonts w:eastAsia="Times New Roman" w:cs="Arial"/>
                <w:sz w:val="18"/>
                <w:szCs w:val="18"/>
                <w:lang w:eastAsia="en-GB"/>
              </w:rPr>
              <w:t>2,159</w:t>
            </w:r>
            <w:r>
              <w:rPr>
                <w:rFonts w:eastAsia="Times New Roman" w:cs="Arial"/>
                <w:sz w:val="18"/>
                <w:szCs w:val="18"/>
                <w:lang w:eastAsia="en-GB"/>
              </w:rPr>
              <w:t>)</w:t>
            </w:r>
          </w:p>
        </w:tc>
      </w:tr>
      <w:tr w:rsidR="00070245" w:rsidRPr="001E2580" w14:paraId="7047D82C" w14:textId="77777777" w:rsidTr="00D47A80">
        <w:trPr>
          <w:trHeight w:val="250"/>
        </w:trPr>
        <w:tc>
          <w:tcPr>
            <w:tcW w:w="3261" w:type="dxa"/>
            <w:tcBorders>
              <w:top w:val="single" w:sz="4" w:space="0" w:color="auto"/>
              <w:left w:val="single" w:sz="4" w:space="0" w:color="auto"/>
              <w:bottom w:val="single" w:sz="4" w:space="0" w:color="auto"/>
              <w:right w:val="nil"/>
            </w:tcBorders>
            <w:shd w:val="clear" w:color="auto" w:fill="auto"/>
            <w:noWrap/>
            <w:vAlign w:val="center"/>
            <w:hideMark/>
          </w:tcPr>
          <w:p w14:paraId="30D75011"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North East London NHS FT</w:t>
            </w:r>
          </w:p>
        </w:tc>
        <w:tc>
          <w:tcPr>
            <w:tcW w:w="3119" w:type="dxa"/>
            <w:tcBorders>
              <w:top w:val="single" w:sz="4" w:space="0" w:color="auto"/>
              <w:left w:val="nil"/>
              <w:bottom w:val="single" w:sz="4" w:space="0" w:color="auto"/>
              <w:right w:val="nil"/>
            </w:tcBorders>
            <w:shd w:val="clear" w:color="auto" w:fill="auto"/>
            <w:noWrap/>
            <w:vAlign w:val="center"/>
            <w:hideMark/>
          </w:tcPr>
          <w:p w14:paraId="4F2775A4"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Joseph Fielder, Non-Executive Member</w:t>
            </w:r>
          </w:p>
        </w:tc>
        <w:tc>
          <w:tcPr>
            <w:tcW w:w="1417" w:type="dxa"/>
            <w:tcBorders>
              <w:top w:val="single" w:sz="4" w:space="0" w:color="auto"/>
              <w:left w:val="nil"/>
              <w:bottom w:val="single" w:sz="4" w:space="0" w:color="auto"/>
              <w:right w:val="nil"/>
            </w:tcBorders>
            <w:shd w:val="clear" w:color="auto" w:fill="auto"/>
            <w:noWrap/>
            <w:vAlign w:val="center"/>
            <w:hideMark/>
          </w:tcPr>
          <w:p w14:paraId="37D8E9C6" w14:textId="345518A6"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56,257</w:t>
            </w:r>
          </w:p>
        </w:tc>
        <w:tc>
          <w:tcPr>
            <w:tcW w:w="1061" w:type="dxa"/>
            <w:tcBorders>
              <w:top w:val="single" w:sz="4" w:space="0" w:color="auto"/>
              <w:left w:val="nil"/>
              <w:bottom w:val="single" w:sz="4" w:space="0" w:color="auto"/>
              <w:right w:val="nil"/>
            </w:tcBorders>
            <w:shd w:val="clear" w:color="auto" w:fill="auto"/>
            <w:noWrap/>
            <w:vAlign w:val="center"/>
            <w:hideMark/>
          </w:tcPr>
          <w:p w14:paraId="178D1890" w14:textId="4BA017CD" w:rsidR="001E2580" w:rsidRPr="001E2580" w:rsidRDefault="00B203B3" w:rsidP="00DB78E2">
            <w:pPr>
              <w:spacing w:before="0" w:after="0"/>
              <w:jc w:val="right"/>
              <w:rPr>
                <w:rFonts w:eastAsia="Times New Roman" w:cs="Arial"/>
                <w:sz w:val="18"/>
                <w:szCs w:val="18"/>
                <w:lang w:eastAsia="en-GB"/>
              </w:rPr>
            </w:pPr>
            <w:r>
              <w:rPr>
                <w:rFonts w:eastAsia="Times New Roman" w:cs="Arial"/>
                <w:sz w:val="18"/>
                <w:szCs w:val="18"/>
                <w:lang w:eastAsia="en-GB"/>
              </w:rPr>
              <w:t>(</w:t>
            </w:r>
            <w:r w:rsidR="001E2580" w:rsidRPr="001E2580">
              <w:rPr>
                <w:rFonts w:eastAsia="Times New Roman" w:cs="Arial"/>
                <w:sz w:val="18"/>
                <w:szCs w:val="18"/>
                <w:lang w:eastAsia="en-GB"/>
              </w:rPr>
              <w:t>10</w:t>
            </w:r>
            <w:r>
              <w:rPr>
                <w:rFonts w:eastAsia="Times New Roman" w:cs="Arial"/>
                <w:sz w:val="18"/>
                <w:szCs w:val="18"/>
                <w:lang w:eastAsia="en-GB"/>
              </w:rPr>
              <w:t>)</w:t>
            </w:r>
          </w:p>
        </w:tc>
        <w:tc>
          <w:tcPr>
            <w:tcW w:w="1085" w:type="dxa"/>
            <w:tcBorders>
              <w:top w:val="single" w:sz="4" w:space="0" w:color="auto"/>
              <w:left w:val="nil"/>
              <w:bottom w:val="single" w:sz="4" w:space="0" w:color="auto"/>
              <w:right w:val="nil"/>
            </w:tcBorders>
            <w:shd w:val="clear" w:color="auto" w:fill="auto"/>
            <w:noWrap/>
            <w:vAlign w:val="center"/>
            <w:hideMark/>
          </w:tcPr>
          <w:p w14:paraId="1AF418AB" w14:textId="5A145628"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801</w:t>
            </w:r>
          </w:p>
        </w:tc>
        <w:tc>
          <w:tcPr>
            <w:tcW w:w="1083" w:type="dxa"/>
            <w:tcBorders>
              <w:top w:val="single" w:sz="4" w:space="0" w:color="auto"/>
              <w:left w:val="nil"/>
              <w:bottom w:val="single" w:sz="4" w:space="0" w:color="auto"/>
              <w:right w:val="single" w:sz="4" w:space="0" w:color="auto"/>
            </w:tcBorders>
            <w:shd w:val="clear" w:color="auto" w:fill="auto"/>
            <w:noWrap/>
            <w:vAlign w:val="center"/>
            <w:hideMark/>
          </w:tcPr>
          <w:p w14:paraId="21630F1F" w14:textId="6A12226C" w:rsidR="001E2580" w:rsidRPr="001E2580" w:rsidRDefault="00933F0E" w:rsidP="00DB78E2">
            <w:pPr>
              <w:spacing w:before="0" w:after="0"/>
              <w:jc w:val="right"/>
              <w:rPr>
                <w:rFonts w:eastAsia="Times New Roman" w:cs="Arial"/>
                <w:sz w:val="18"/>
                <w:szCs w:val="18"/>
                <w:lang w:eastAsia="en-GB"/>
              </w:rPr>
            </w:pPr>
            <w:r>
              <w:rPr>
                <w:rFonts w:eastAsia="Times New Roman" w:cs="Arial"/>
                <w:sz w:val="18"/>
                <w:szCs w:val="18"/>
                <w:lang w:eastAsia="en-GB"/>
              </w:rPr>
              <w:t>(</w:t>
            </w:r>
            <w:r w:rsidR="001E2580" w:rsidRPr="001E2580">
              <w:rPr>
                <w:rFonts w:eastAsia="Times New Roman" w:cs="Arial"/>
                <w:sz w:val="18"/>
                <w:szCs w:val="18"/>
                <w:lang w:eastAsia="en-GB"/>
              </w:rPr>
              <w:t>10</w:t>
            </w:r>
            <w:r>
              <w:rPr>
                <w:rFonts w:eastAsia="Times New Roman" w:cs="Arial"/>
                <w:sz w:val="18"/>
                <w:szCs w:val="18"/>
                <w:lang w:eastAsia="en-GB"/>
              </w:rPr>
              <w:t>)</w:t>
            </w:r>
          </w:p>
        </w:tc>
      </w:tr>
      <w:tr w:rsidR="00070245" w:rsidRPr="001E2580" w14:paraId="075D5839" w14:textId="77777777" w:rsidTr="00D47A80">
        <w:trPr>
          <w:trHeight w:val="500"/>
        </w:trPr>
        <w:tc>
          <w:tcPr>
            <w:tcW w:w="3261" w:type="dxa"/>
            <w:tcBorders>
              <w:top w:val="single" w:sz="4" w:space="0" w:color="auto"/>
              <w:left w:val="single" w:sz="4" w:space="0" w:color="auto"/>
              <w:bottom w:val="nil"/>
              <w:right w:val="nil"/>
            </w:tcBorders>
            <w:shd w:val="clear" w:color="auto" w:fill="auto"/>
            <w:vAlign w:val="center"/>
            <w:hideMark/>
          </w:tcPr>
          <w:p w14:paraId="0F3D0DDE"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Barking, Havering &amp; Redbridge University Hospitals NHS Trust</w:t>
            </w:r>
          </w:p>
        </w:tc>
        <w:tc>
          <w:tcPr>
            <w:tcW w:w="3119" w:type="dxa"/>
            <w:tcBorders>
              <w:top w:val="nil"/>
              <w:left w:val="nil"/>
              <w:bottom w:val="nil"/>
              <w:right w:val="nil"/>
            </w:tcBorders>
            <w:shd w:val="clear" w:color="auto" w:fill="auto"/>
            <w:noWrap/>
            <w:vAlign w:val="center"/>
            <w:hideMark/>
          </w:tcPr>
          <w:p w14:paraId="3449B71F"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George Wood, Non-Executive Member</w:t>
            </w:r>
          </w:p>
        </w:tc>
        <w:tc>
          <w:tcPr>
            <w:tcW w:w="1417" w:type="dxa"/>
            <w:tcBorders>
              <w:top w:val="nil"/>
              <w:left w:val="nil"/>
              <w:bottom w:val="nil"/>
              <w:right w:val="nil"/>
            </w:tcBorders>
            <w:shd w:val="clear" w:color="auto" w:fill="auto"/>
            <w:noWrap/>
            <w:vAlign w:val="center"/>
            <w:hideMark/>
          </w:tcPr>
          <w:p w14:paraId="0B02DFF4" w14:textId="3F9F6BB3"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40,410</w:t>
            </w:r>
          </w:p>
        </w:tc>
        <w:tc>
          <w:tcPr>
            <w:tcW w:w="1061" w:type="dxa"/>
            <w:tcBorders>
              <w:top w:val="nil"/>
              <w:left w:val="nil"/>
              <w:bottom w:val="nil"/>
              <w:right w:val="nil"/>
            </w:tcBorders>
            <w:shd w:val="clear" w:color="auto" w:fill="auto"/>
            <w:noWrap/>
            <w:vAlign w:val="center"/>
            <w:hideMark/>
          </w:tcPr>
          <w:p w14:paraId="08565641" w14:textId="00AF3498"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w:t>
            </w:r>
          </w:p>
        </w:tc>
        <w:tc>
          <w:tcPr>
            <w:tcW w:w="1085" w:type="dxa"/>
            <w:tcBorders>
              <w:top w:val="nil"/>
              <w:left w:val="nil"/>
              <w:bottom w:val="nil"/>
              <w:right w:val="nil"/>
            </w:tcBorders>
            <w:shd w:val="clear" w:color="auto" w:fill="auto"/>
            <w:noWrap/>
            <w:vAlign w:val="center"/>
            <w:hideMark/>
          </w:tcPr>
          <w:p w14:paraId="7337C172" w14:textId="707F81AB"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w:t>
            </w:r>
          </w:p>
        </w:tc>
        <w:tc>
          <w:tcPr>
            <w:tcW w:w="1083" w:type="dxa"/>
            <w:tcBorders>
              <w:top w:val="nil"/>
              <w:left w:val="nil"/>
              <w:bottom w:val="nil"/>
              <w:right w:val="single" w:sz="4" w:space="0" w:color="auto"/>
            </w:tcBorders>
            <w:shd w:val="clear" w:color="auto" w:fill="auto"/>
            <w:noWrap/>
            <w:vAlign w:val="center"/>
            <w:hideMark/>
          </w:tcPr>
          <w:p w14:paraId="3D051758" w14:textId="37425FF0" w:rsidR="001E2580" w:rsidRPr="001E2580" w:rsidRDefault="00933F0E" w:rsidP="00DB78E2">
            <w:pPr>
              <w:spacing w:before="0" w:after="0"/>
              <w:jc w:val="right"/>
              <w:rPr>
                <w:rFonts w:eastAsia="Times New Roman" w:cs="Arial"/>
                <w:sz w:val="18"/>
                <w:szCs w:val="18"/>
                <w:lang w:eastAsia="en-GB"/>
              </w:rPr>
            </w:pPr>
            <w:r>
              <w:rPr>
                <w:rFonts w:eastAsia="Times New Roman" w:cs="Arial"/>
                <w:sz w:val="18"/>
                <w:szCs w:val="18"/>
                <w:lang w:eastAsia="en-GB"/>
              </w:rPr>
              <w:t>(</w:t>
            </w:r>
            <w:r w:rsidR="001E2580" w:rsidRPr="001E2580">
              <w:rPr>
                <w:rFonts w:eastAsia="Times New Roman" w:cs="Arial"/>
                <w:sz w:val="18"/>
                <w:szCs w:val="18"/>
                <w:lang w:eastAsia="en-GB"/>
              </w:rPr>
              <w:t>494</w:t>
            </w:r>
            <w:r>
              <w:rPr>
                <w:rFonts w:eastAsia="Times New Roman" w:cs="Arial"/>
                <w:sz w:val="18"/>
                <w:szCs w:val="18"/>
                <w:lang w:eastAsia="en-GB"/>
              </w:rPr>
              <w:t>)</w:t>
            </w:r>
          </w:p>
        </w:tc>
      </w:tr>
      <w:tr w:rsidR="00070245" w:rsidRPr="001E2580" w14:paraId="12EBD84F" w14:textId="77777777" w:rsidTr="00D47A80">
        <w:trPr>
          <w:trHeight w:val="250"/>
        </w:trPr>
        <w:tc>
          <w:tcPr>
            <w:tcW w:w="3261" w:type="dxa"/>
            <w:vMerge w:val="restart"/>
            <w:tcBorders>
              <w:top w:val="single" w:sz="4" w:space="0" w:color="auto"/>
              <w:left w:val="single" w:sz="4" w:space="0" w:color="auto"/>
              <w:bottom w:val="single" w:sz="4" w:space="0" w:color="000000"/>
              <w:right w:val="nil"/>
            </w:tcBorders>
            <w:shd w:val="clear" w:color="auto" w:fill="auto"/>
            <w:noWrap/>
            <w:vAlign w:val="center"/>
            <w:hideMark/>
          </w:tcPr>
          <w:p w14:paraId="230E409A"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 xml:space="preserve">Thurrock Council </w:t>
            </w:r>
          </w:p>
        </w:tc>
        <w:tc>
          <w:tcPr>
            <w:tcW w:w="3119" w:type="dxa"/>
            <w:tcBorders>
              <w:top w:val="single" w:sz="4" w:space="0" w:color="auto"/>
              <w:left w:val="nil"/>
              <w:bottom w:val="nil"/>
              <w:right w:val="nil"/>
            </w:tcBorders>
            <w:shd w:val="clear" w:color="auto" w:fill="auto"/>
            <w:noWrap/>
            <w:vAlign w:val="center"/>
            <w:hideMark/>
          </w:tcPr>
          <w:p w14:paraId="74D108C4"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Ian Wake, Partner Member, Thurrock Council</w:t>
            </w:r>
          </w:p>
        </w:tc>
        <w:tc>
          <w:tcPr>
            <w:tcW w:w="1417" w:type="dxa"/>
            <w:vMerge w:val="restart"/>
            <w:tcBorders>
              <w:top w:val="single" w:sz="4" w:space="0" w:color="auto"/>
              <w:left w:val="nil"/>
              <w:bottom w:val="single" w:sz="4" w:space="0" w:color="000000"/>
              <w:right w:val="nil"/>
            </w:tcBorders>
            <w:shd w:val="clear" w:color="auto" w:fill="auto"/>
            <w:noWrap/>
            <w:vAlign w:val="center"/>
            <w:hideMark/>
          </w:tcPr>
          <w:p w14:paraId="124A4995" w14:textId="35601619" w:rsidR="001E2580" w:rsidRPr="001E2580" w:rsidRDefault="00070245" w:rsidP="00DB78E2">
            <w:pPr>
              <w:spacing w:before="0" w:after="0"/>
              <w:jc w:val="right"/>
              <w:rPr>
                <w:rFonts w:eastAsia="Times New Roman" w:cs="Arial"/>
                <w:sz w:val="18"/>
                <w:szCs w:val="18"/>
                <w:lang w:eastAsia="en-GB"/>
              </w:rPr>
            </w:pPr>
            <w:r>
              <w:rPr>
                <w:rFonts w:eastAsia="Times New Roman" w:cs="Arial"/>
                <w:sz w:val="18"/>
                <w:szCs w:val="18"/>
                <w:lang w:eastAsia="en-GB"/>
              </w:rPr>
              <w:t>17,983</w:t>
            </w:r>
          </w:p>
        </w:tc>
        <w:tc>
          <w:tcPr>
            <w:tcW w:w="1061" w:type="dxa"/>
            <w:vMerge w:val="restart"/>
            <w:tcBorders>
              <w:top w:val="single" w:sz="4" w:space="0" w:color="auto"/>
              <w:left w:val="nil"/>
              <w:bottom w:val="single" w:sz="4" w:space="0" w:color="000000"/>
              <w:right w:val="nil"/>
            </w:tcBorders>
            <w:shd w:val="clear" w:color="auto" w:fill="auto"/>
            <w:noWrap/>
            <w:vAlign w:val="center"/>
            <w:hideMark/>
          </w:tcPr>
          <w:p w14:paraId="46F58EB4" w14:textId="3A7D1C99" w:rsidR="001E2580" w:rsidRPr="001E2580" w:rsidRDefault="00B203B3" w:rsidP="00DB78E2">
            <w:pPr>
              <w:spacing w:before="0" w:after="0"/>
              <w:jc w:val="right"/>
              <w:rPr>
                <w:rFonts w:eastAsia="Times New Roman" w:cs="Arial"/>
                <w:sz w:val="18"/>
                <w:szCs w:val="18"/>
                <w:lang w:eastAsia="en-GB"/>
              </w:rPr>
            </w:pPr>
            <w:r>
              <w:rPr>
                <w:rFonts w:eastAsia="Times New Roman" w:cs="Arial"/>
                <w:sz w:val="18"/>
                <w:szCs w:val="18"/>
                <w:lang w:eastAsia="en-GB"/>
              </w:rPr>
              <w:t>(</w:t>
            </w:r>
            <w:r w:rsidR="001E2580" w:rsidRPr="001E2580">
              <w:rPr>
                <w:rFonts w:eastAsia="Times New Roman" w:cs="Arial"/>
                <w:sz w:val="18"/>
                <w:szCs w:val="18"/>
                <w:lang w:eastAsia="en-GB"/>
              </w:rPr>
              <w:t>7,683</w:t>
            </w:r>
            <w:r>
              <w:rPr>
                <w:rFonts w:eastAsia="Times New Roman" w:cs="Arial"/>
                <w:sz w:val="18"/>
                <w:szCs w:val="18"/>
                <w:lang w:eastAsia="en-GB"/>
              </w:rPr>
              <w:t>)</w:t>
            </w:r>
          </w:p>
        </w:tc>
        <w:tc>
          <w:tcPr>
            <w:tcW w:w="1085" w:type="dxa"/>
            <w:vMerge w:val="restart"/>
            <w:tcBorders>
              <w:top w:val="single" w:sz="4" w:space="0" w:color="auto"/>
              <w:left w:val="nil"/>
              <w:bottom w:val="single" w:sz="4" w:space="0" w:color="000000"/>
              <w:right w:val="nil"/>
            </w:tcBorders>
            <w:shd w:val="clear" w:color="auto" w:fill="auto"/>
            <w:noWrap/>
            <w:vAlign w:val="center"/>
            <w:hideMark/>
          </w:tcPr>
          <w:p w14:paraId="5570645C" w14:textId="04E8E300"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441</w:t>
            </w:r>
          </w:p>
        </w:tc>
        <w:tc>
          <w:tcPr>
            <w:tcW w:w="1083"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53C6F683" w14:textId="3B29BF02" w:rsidR="001E2580" w:rsidRPr="001E2580" w:rsidRDefault="005833A7" w:rsidP="00DB78E2">
            <w:pPr>
              <w:spacing w:before="0" w:after="0"/>
              <w:jc w:val="right"/>
              <w:rPr>
                <w:rFonts w:eastAsia="Times New Roman" w:cs="Arial"/>
                <w:sz w:val="18"/>
                <w:szCs w:val="18"/>
                <w:lang w:eastAsia="en-GB"/>
              </w:rPr>
            </w:pPr>
            <w:r>
              <w:rPr>
                <w:rFonts w:eastAsia="Times New Roman" w:cs="Arial"/>
                <w:sz w:val="18"/>
                <w:szCs w:val="18"/>
                <w:lang w:eastAsia="en-GB"/>
              </w:rPr>
              <w:t>(</w:t>
            </w:r>
            <w:r w:rsidR="00DB78E2">
              <w:rPr>
                <w:rFonts w:eastAsia="Times New Roman" w:cs="Arial"/>
                <w:sz w:val="18"/>
                <w:szCs w:val="18"/>
                <w:lang w:eastAsia="en-GB"/>
              </w:rPr>
              <w:t>3,228</w:t>
            </w:r>
            <w:r>
              <w:rPr>
                <w:rFonts w:eastAsia="Times New Roman" w:cs="Arial"/>
                <w:sz w:val="18"/>
                <w:szCs w:val="18"/>
                <w:lang w:eastAsia="en-GB"/>
              </w:rPr>
              <w:t>)</w:t>
            </w:r>
          </w:p>
        </w:tc>
      </w:tr>
      <w:tr w:rsidR="00070245" w:rsidRPr="001E2580" w14:paraId="2BB88253" w14:textId="77777777" w:rsidTr="00D47A80">
        <w:trPr>
          <w:trHeight w:val="250"/>
        </w:trPr>
        <w:tc>
          <w:tcPr>
            <w:tcW w:w="3261" w:type="dxa"/>
            <w:vMerge/>
            <w:tcBorders>
              <w:top w:val="single" w:sz="4" w:space="0" w:color="auto"/>
              <w:left w:val="single" w:sz="4" w:space="0" w:color="auto"/>
              <w:bottom w:val="single" w:sz="4" w:space="0" w:color="000000"/>
              <w:right w:val="nil"/>
            </w:tcBorders>
            <w:vAlign w:val="center"/>
            <w:hideMark/>
          </w:tcPr>
          <w:p w14:paraId="7CD60492" w14:textId="77777777" w:rsidR="001E2580" w:rsidRPr="001E2580" w:rsidRDefault="001E2580" w:rsidP="001E2580">
            <w:pPr>
              <w:spacing w:before="0" w:after="0"/>
              <w:rPr>
                <w:rFonts w:eastAsia="Times New Roman" w:cs="Arial"/>
                <w:sz w:val="18"/>
                <w:szCs w:val="18"/>
                <w:lang w:eastAsia="en-GB"/>
              </w:rPr>
            </w:pPr>
          </w:p>
        </w:tc>
        <w:tc>
          <w:tcPr>
            <w:tcW w:w="3119" w:type="dxa"/>
            <w:tcBorders>
              <w:top w:val="nil"/>
              <w:left w:val="nil"/>
              <w:bottom w:val="single" w:sz="4" w:space="0" w:color="auto"/>
              <w:right w:val="nil"/>
            </w:tcBorders>
            <w:shd w:val="clear" w:color="auto" w:fill="auto"/>
            <w:vAlign w:val="center"/>
            <w:hideMark/>
          </w:tcPr>
          <w:p w14:paraId="397A45E2"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Les Billingham, Partner Member, Thurrock Council</w:t>
            </w:r>
          </w:p>
        </w:tc>
        <w:tc>
          <w:tcPr>
            <w:tcW w:w="1417" w:type="dxa"/>
            <w:vMerge/>
            <w:tcBorders>
              <w:top w:val="single" w:sz="4" w:space="0" w:color="auto"/>
              <w:left w:val="nil"/>
              <w:bottom w:val="single" w:sz="4" w:space="0" w:color="000000"/>
              <w:right w:val="nil"/>
            </w:tcBorders>
            <w:vAlign w:val="center"/>
            <w:hideMark/>
          </w:tcPr>
          <w:p w14:paraId="22D7B7DC" w14:textId="77777777" w:rsidR="001E2580" w:rsidRPr="001E2580" w:rsidRDefault="001E2580" w:rsidP="00DB78E2">
            <w:pPr>
              <w:spacing w:before="0" w:after="0"/>
              <w:jc w:val="right"/>
              <w:rPr>
                <w:rFonts w:eastAsia="Times New Roman" w:cs="Arial"/>
                <w:sz w:val="18"/>
                <w:szCs w:val="18"/>
                <w:lang w:eastAsia="en-GB"/>
              </w:rPr>
            </w:pPr>
          </w:p>
        </w:tc>
        <w:tc>
          <w:tcPr>
            <w:tcW w:w="1061" w:type="dxa"/>
            <w:vMerge/>
            <w:tcBorders>
              <w:top w:val="single" w:sz="4" w:space="0" w:color="auto"/>
              <w:left w:val="nil"/>
              <w:bottom w:val="single" w:sz="4" w:space="0" w:color="000000"/>
              <w:right w:val="nil"/>
            </w:tcBorders>
            <w:vAlign w:val="center"/>
            <w:hideMark/>
          </w:tcPr>
          <w:p w14:paraId="48B534B5" w14:textId="77777777" w:rsidR="001E2580" w:rsidRPr="001E2580" w:rsidRDefault="001E2580" w:rsidP="00DB78E2">
            <w:pPr>
              <w:spacing w:before="0" w:after="0"/>
              <w:jc w:val="right"/>
              <w:rPr>
                <w:rFonts w:eastAsia="Times New Roman" w:cs="Arial"/>
                <w:sz w:val="18"/>
                <w:szCs w:val="18"/>
                <w:lang w:eastAsia="en-GB"/>
              </w:rPr>
            </w:pPr>
          </w:p>
        </w:tc>
        <w:tc>
          <w:tcPr>
            <w:tcW w:w="1085" w:type="dxa"/>
            <w:vMerge/>
            <w:tcBorders>
              <w:top w:val="single" w:sz="4" w:space="0" w:color="auto"/>
              <w:left w:val="nil"/>
              <w:bottom w:val="single" w:sz="4" w:space="0" w:color="000000"/>
              <w:right w:val="nil"/>
            </w:tcBorders>
            <w:vAlign w:val="center"/>
            <w:hideMark/>
          </w:tcPr>
          <w:p w14:paraId="6AB3F006" w14:textId="77777777" w:rsidR="001E2580" w:rsidRPr="001E2580" w:rsidRDefault="001E2580" w:rsidP="00DB78E2">
            <w:pPr>
              <w:spacing w:before="0" w:after="0"/>
              <w:jc w:val="right"/>
              <w:rPr>
                <w:rFonts w:eastAsia="Times New Roman" w:cs="Arial"/>
                <w:sz w:val="18"/>
                <w:szCs w:val="18"/>
                <w:lang w:eastAsia="en-GB"/>
              </w:rPr>
            </w:pPr>
          </w:p>
        </w:tc>
        <w:tc>
          <w:tcPr>
            <w:tcW w:w="1083" w:type="dxa"/>
            <w:vMerge/>
            <w:tcBorders>
              <w:top w:val="single" w:sz="4" w:space="0" w:color="auto"/>
              <w:left w:val="nil"/>
              <w:bottom w:val="single" w:sz="4" w:space="0" w:color="000000"/>
              <w:right w:val="single" w:sz="4" w:space="0" w:color="auto"/>
            </w:tcBorders>
            <w:vAlign w:val="center"/>
            <w:hideMark/>
          </w:tcPr>
          <w:p w14:paraId="140C0214" w14:textId="77777777" w:rsidR="001E2580" w:rsidRPr="001E2580" w:rsidRDefault="001E2580" w:rsidP="00DB78E2">
            <w:pPr>
              <w:spacing w:before="0" w:after="0"/>
              <w:jc w:val="right"/>
              <w:rPr>
                <w:rFonts w:eastAsia="Times New Roman" w:cs="Arial"/>
                <w:sz w:val="18"/>
                <w:szCs w:val="18"/>
                <w:lang w:eastAsia="en-GB"/>
              </w:rPr>
            </w:pPr>
          </w:p>
        </w:tc>
      </w:tr>
      <w:tr w:rsidR="00070245" w:rsidRPr="001E2580" w14:paraId="184244D9" w14:textId="77777777" w:rsidTr="00D47A80">
        <w:trPr>
          <w:trHeight w:val="250"/>
        </w:trPr>
        <w:tc>
          <w:tcPr>
            <w:tcW w:w="3261" w:type="dxa"/>
            <w:tcBorders>
              <w:top w:val="nil"/>
              <w:left w:val="single" w:sz="4" w:space="0" w:color="auto"/>
              <w:bottom w:val="nil"/>
              <w:right w:val="nil"/>
            </w:tcBorders>
            <w:shd w:val="clear" w:color="auto" w:fill="auto"/>
            <w:noWrap/>
            <w:vAlign w:val="center"/>
            <w:hideMark/>
          </w:tcPr>
          <w:p w14:paraId="606C6173"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 xml:space="preserve">Southend City Council </w:t>
            </w:r>
          </w:p>
        </w:tc>
        <w:tc>
          <w:tcPr>
            <w:tcW w:w="3119" w:type="dxa"/>
            <w:tcBorders>
              <w:top w:val="nil"/>
              <w:left w:val="nil"/>
              <w:bottom w:val="nil"/>
              <w:right w:val="nil"/>
            </w:tcBorders>
            <w:shd w:val="clear" w:color="auto" w:fill="auto"/>
            <w:vAlign w:val="center"/>
            <w:hideMark/>
          </w:tcPr>
          <w:p w14:paraId="38E35491"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Mark Harvey, Partner Member, Southend City Council</w:t>
            </w:r>
          </w:p>
        </w:tc>
        <w:tc>
          <w:tcPr>
            <w:tcW w:w="1417" w:type="dxa"/>
            <w:tcBorders>
              <w:top w:val="nil"/>
              <w:left w:val="nil"/>
              <w:bottom w:val="nil"/>
              <w:right w:val="nil"/>
            </w:tcBorders>
            <w:shd w:val="clear" w:color="auto" w:fill="auto"/>
            <w:noWrap/>
            <w:vAlign w:val="center"/>
            <w:hideMark/>
          </w:tcPr>
          <w:p w14:paraId="043005B6" w14:textId="61F3923C"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19,512</w:t>
            </w:r>
          </w:p>
        </w:tc>
        <w:tc>
          <w:tcPr>
            <w:tcW w:w="1061" w:type="dxa"/>
            <w:tcBorders>
              <w:top w:val="nil"/>
              <w:left w:val="nil"/>
              <w:bottom w:val="nil"/>
              <w:right w:val="nil"/>
            </w:tcBorders>
            <w:shd w:val="clear" w:color="auto" w:fill="auto"/>
            <w:noWrap/>
            <w:vAlign w:val="center"/>
            <w:hideMark/>
          </w:tcPr>
          <w:p w14:paraId="4157D216" w14:textId="77555CA3" w:rsidR="001E2580" w:rsidRPr="001E2580" w:rsidRDefault="00B203B3" w:rsidP="00DB78E2">
            <w:pPr>
              <w:spacing w:before="0" w:after="0"/>
              <w:jc w:val="right"/>
              <w:rPr>
                <w:rFonts w:eastAsia="Times New Roman" w:cs="Arial"/>
                <w:sz w:val="18"/>
                <w:szCs w:val="18"/>
                <w:lang w:eastAsia="en-GB"/>
              </w:rPr>
            </w:pPr>
            <w:r>
              <w:rPr>
                <w:rFonts w:eastAsia="Times New Roman" w:cs="Arial"/>
                <w:sz w:val="18"/>
                <w:szCs w:val="18"/>
                <w:lang w:eastAsia="en-GB"/>
              </w:rPr>
              <w:t>(</w:t>
            </w:r>
            <w:r w:rsidR="001E2580" w:rsidRPr="001E2580">
              <w:rPr>
                <w:rFonts w:eastAsia="Times New Roman" w:cs="Arial"/>
                <w:sz w:val="18"/>
                <w:szCs w:val="18"/>
                <w:lang w:eastAsia="en-GB"/>
              </w:rPr>
              <w:t>9,873</w:t>
            </w:r>
            <w:r>
              <w:rPr>
                <w:rFonts w:eastAsia="Times New Roman" w:cs="Arial"/>
                <w:sz w:val="18"/>
                <w:szCs w:val="18"/>
                <w:lang w:eastAsia="en-GB"/>
              </w:rPr>
              <w:t>)</w:t>
            </w:r>
          </w:p>
        </w:tc>
        <w:tc>
          <w:tcPr>
            <w:tcW w:w="1085" w:type="dxa"/>
            <w:tcBorders>
              <w:top w:val="nil"/>
              <w:left w:val="nil"/>
              <w:bottom w:val="nil"/>
              <w:right w:val="nil"/>
            </w:tcBorders>
            <w:shd w:val="clear" w:color="auto" w:fill="auto"/>
            <w:noWrap/>
            <w:vAlign w:val="center"/>
            <w:hideMark/>
          </w:tcPr>
          <w:p w14:paraId="61236DF5" w14:textId="7837AB8F"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30</w:t>
            </w:r>
          </w:p>
        </w:tc>
        <w:tc>
          <w:tcPr>
            <w:tcW w:w="1083" w:type="dxa"/>
            <w:tcBorders>
              <w:top w:val="nil"/>
              <w:left w:val="nil"/>
              <w:bottom w:val="nil"/>
              <w:right w:val="single" w:sz="4" w:space="0" w:color="auto"/>
            </w:tcBorders>
            <w:shd w:val="clear" w:color="auto" w:fill="auto"/>
            <w:noWrap/>
            <w:vAlign w:val="center"/>
            <w:hideMark/>
          </w:tcPr>
          <w:p w14:paraId="273E3349" w14:textId="763DFE50" w:rsidR="001E2580" w:rsidRPr="001E2580" w:rsidRDefault="005833A7" w:rsidP="00DB78E2">
            <w:pPr>
              <w:spacing w:before="0" w:after="0"/>
              <w:jc w:val="right"/>
              <w:rPr>
                <w:rFonts w:eastAsia="Times New Roman" w:cs="Arial"/>
                <w:sz w:val="18"/>
                <w:szCs w:val="18"/>
                <w:lang w:eastAsia="en-GB"/>
              </w:rPr>
            </w:pPr>
            <w:r>
              <w:rPr>
                <w:rFonts w:eastAsia="Times New Roman" w:cs="Arial"/>
                <w:sz w:val="18"/>
                <w:szCs w:val="18"/>
                <w:lang w:eastAsia="en-GB"/>
              </w:rPr>
              <w:t>(</w:t>
            </w:r>
            <w:r w:rsidR="001E2580" w:rsidRPr="001E2580">
              <w:rPr>
                <w:rFonts w:eastAsia="Times New Roman" w:cs="Arial"/>
                <w:sz w:val="18"/>
                <w:szCs w:val="18"/>
                <w:lang w:eastAsia="en-GB"/>
              </w:rPr>
              <w:t>509</w:t>
            </w:r>
            <w:r>
              <w:rPr>
                <w:rFonts w:eastAsia="Times New Roman" w:cs="Arial"/>
                <w:sz w:val="18"/>
                <w:szCs w:val="18"/>
                <w:lang w:eastAsia="en-GB"/>
              </w:rPr>
              <w:t>)</w:t>
            </w:r>
          </w:p>
        </w:tc>
      </w:tr>
      <w:tr w:rsidR="00070245" w:rsidRPr="001E2580" w14:paraId="41426FF2" w14:textId="77777777" w:rsidTr="00D47A80">
        <w:trPr>
          <w:trHeight w:val="250"/>
        </w:trPr>
        <w:tc>
          <w:tcPr>
            <w:tcW w:w="3261" w:type="dxa"/>
            <w:vMerge w:val="restart"/>
            <w:tcBorders>
              <w:top w:val="single" w:sz="4" w:space="0" w:color="auto"/>
              <w:left w:val="single" w:sz="4" w:space="0" w:color="auto"/>
              <w:bottom w:val="single" w:sz="4" w:space="0" w:color="000000"/>
              <w:right w:val="nil"/>
            </w:tcBorders>
            <w:shd w:val="clear" w:color="auto" w:fill="auto"/>
            <w:noWrap/>
            <w:vAlign w:val="center"/>
            <w:hideMark/>
          </w:tcPr>
          <w:p w14:paraId="4157FDB1"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Suffolk and North East Essex ICB</w:t>
            </w:r>
          </w:p>
        </w:tc>
        <w:tc>
          <w:tcPr>
            <w:tcW w:w="3119" w:type="dxa"/>
            <w:tcBorders>
              <w:top w:val="single" w:sz="4" w:space="0" w:color="auto"/>
              <w:left w:val="nil"/>
              <w:bottom w:val="nil"/>
              <w:right w:val="nil"/>
            </w:tcBorders>
            <w:shd w:val="clear" w:color="auto" w:fill="auto"/>
            <w:noWrap/>
            <w:vAlign w:val="center"/>
            <w:hideMark/>
          </w:tcPr>
          <w:p w14:paraId="67AC465E"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Frances Bolger, Interim Chief Nursing Officer</w:t>
            </w:r>
          </w:p>
        </w:tc>
        <w:tc>
          <w:tcPr>
            <w:tcW w:w="1417" w:type="dxa"/>
            <w:vMerge w:val="restart"/>
            <w:tcBorders>
              <w:top w:val="single" w:sz="4" w:space="0" w:color="auto"/>
              <w:left w:val="nil"/>
              <w:bottom w:val="single" w:sz="4" w:space="0" w:color="000000"/>
              <w:right w:val="nil"/>
            </w:tcBorders>
            <w:shd w:val="clear" w:color="auto" w:fill="auto"/>
            <w:noWrap/>
            <w:vAlign w:val="center"/>
            <w:hideMark/>
          </w:tcPr>
          <w:p w14:paraId="57146089" w14:textId="34C15A5E" w:rsidR="001E2580" w:rsidRPr="001E2580" w:rsidRDefault="00070245" w:rsidP="00DB78E2">
            <w:pPr>
              <w:spacing w:before="0" w:after="0"/>
              <w:jc w:val="right"/>
              <w:rPr>
                <w:rFonts w:eastAsia="Times New Roman" w:cs="Arial"/>
                <w:sz w:val="18"/>
                <w:szCs w:val="18"/>
                <w:lang w:eastAsia="en-GB"/>
              </w:rPr>
            </w:pPr>
            <w:r>
              <w:rPr>
                <w:rFonts w:eastAsia="Times New Roman" w:cs="Arial"/>
                <w:sz w:val="18"/>
                <w:szCs w:val="18"/>
                <w:lang w:eastAsia="en-GB"/>
              </w:rPr>
              <w:t>11,325</w:t>
            </w:r>
          </w:p>
        </w:tc>
        <w:tc>
          <w:tcPr>
            <w:tcW w:w="1061" w:type="dxa"/>
            <w:vMerge w:val="restart"/>
            <w:tcBorders>
              <w:top w:val="single" w:sz="4" w:space="0" w:color="auto"/>
              <w:left w:val="nil"/>
              <w:bottom w:val="single" w:sz="4" w:space="0" w:color="000000"/>
              <w:right w:val="nil"/>
            </w:tcBorders>
            <w:shd w:val="clear" w:color="auto" w:fill="auto"/>
            <w:noWrap/>
            <w:vAlign w:val="center"/>
            <w:hideMark/>
          </w:tcPr>
          <w:p w14:paraId="43C8402F" w14:textId="5C816A88" w:rsidR="001E2580" w:rsidRPr="001E2580" w:rsidRDefault="00933F0E" w:rsidP="00DB78E2">
            <w:pPr>
              <w:spacing w:before="0" w:after="0"/>
              <w:jc w:val="right"/>
              <w:rPr>
                <w:rFonts w:eastAsia="Times New Roman" w:cs="Arial"/>
                <w:sz w:val="18"/>
                <w:szCs w:val="18"/>
                <w:lang w:eastAsia="en-GB"/>
              </w:rPr>
            </w:pPr>
            <w:r>
              <w:rPr>
                <w:rFonts w:eastAsia="Times New Roman" w:cs="Arial"/>
                <w:sz w:val="18"/>
                <w:szCs w:val="18"/>
                <w:lang w:eastAsia="en-GB"/>
              </w:rPr>
              <w:t>(</w:t>
            </w:r>
            <w:r w:rsidR="001E2580" w:rsidRPr="001E2580">
              <w:rPr>
                <w:rFonts w:eastAsia="Times New Roman" w:cs="Arial"/>
                <w:sz w:val="18"/>
                <w:szCs w:val="18"/>
                <w:lang w:eastAsia="en-GB"/>
              </w:rPr>
              <w:t>263</w:t>
            </w:r>
            <w:r>
              <w:rPr>
                <w:rFonts w:eastAsia="Times New Roman" w:cs="Arial"/>
                <w:sz w:val="18"/>
                <w:szCs w:val="18"/>
                <w:lang w:eastAsia="en-GB"/>
              </w:rPr>
              <w:t>)</w:t>
            </w:r>
          </w:p>
        </w:tc>
        <w:tc>
          <w:tcPr>
            <w:tcW w:w="1085" w:type="dxa"/>
            <w:vMerge w:val="restart"/>
            <w:tcBorders>
              <w:top w:val="single" w:sz="4" w:space="0" w:color="auto"/>
              <w:left w:val="nil"/>
              <w:bottom w:val="single" w:sz="4" w:space="0" w:color="000000"/>
              <w:right w:val="nil"/>
            </w:tcBorders>
            <w:shd w:val="clear" w:color="auto" w:fill="auto"/>
            <w:noWrap/>
            <w:vAlign w:val="center"/>
            <w:hideMark/>
          </w:tcPr>
          <w:p w14:paraId="745331CC" w14:textId="23E5AE0A"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2,966</w:t>
            </w:r>
          </w:p>
        </w:tc>
        <w:tc>
          <w:tcPr>
            <w:tcW w:w="1083"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36AA6070" w14:textId="3CDCF6A0" w:rsidR="001E2580" w:rsidRPr="001E2580" w:rsidRDefault="005833A7" w:rsidP="00DB78E2">
            <w:pPr>
              <w:spacing w:before="0" w:after="0"/>
              <w:jc w:val="right"/>
              <w:rPr>
                <w:rFonts w:eastAsia="Times New Roman" w:cs="Arial"/>
                <w:sz w:val="18"/>
                <w:szCs w:val="18"/>
                <w:lang w:eastAsia="en-GB"/>
              </w:rPr>
            </w:pPr>
            <w:r>
              <w:rPr>
                <w:rFonts w:eastAsia="Times New Roman" w:cs="Arial"/>
                <w:sz w:val="18"/>
                <w:szCs w:val="18"/>
                <w:lang w:eastAsia="en-GB"/>
              </w:rPr>
              <w:t>(1</w:t>
            </w:r>
            <w:r w:rsidR="001E2580" w:rsidRPr="001E2580">
              <w:rPr>
                <w:rFonts w:eastAsia="Times New Roman" w:cs="Arial"/>
                <w:sz w:val="18"/>
                <w:szCs w:val="18"/>
                <w:lang w:eastAsia="en-GB"/>
              </w:rPr>
              <w:t>2</w:t>
            </w:r>
            <w:r>
              <w:rPr>
                <w:rFonts w:eastAsia="Times New Roman" w:cs="Arial"/>
                <w:sz w:val="18"/>
                <w:szCs w:val="18"/>
                <w:lang w:eastAsia="en-GB"/>
              </w:rPr>
              <w:t>)</w:t>
            </w:r>
          </w:p>
        </w:tc>
      </w:tr>
      <w:tr w:rsidR="00070245" w:rsidRPr="001E2580" w14:paraId="6602C65D" w14:textId="77777777" w:rsidTr="00D47A80">
        <w:trPr>
          <w:trHeight w:val="250"/>
        </w:trPr>
        <w:tc>
          <w:tcPr>
            <w:tcW w:w="3261" w:type="dxa"/>
            <w:vMerge/>
            <w:tcBorders>
              <w:top w:val="single" w:sz="4" w:space="0" w:color="auto"/>
              <w:left w:val="single" w:sz="4" w:space="0" w:color="auto"/>
              <w:bottom w:val="single" w:sz="4" w:space="0" w:color="000000"/>
              <w:right w:val="nil"/>
            </w:tcBorders>
            <w:vAlign w:val="center"/>
            <w:hideMark/>
          </w:tcPr>
          <w:p w14:paraId="2CCD66CA" w14:textId="77777777" w:rsidR="001E2580" w:rsidRPr="001E2580" w:rsidRDefault="001E2580" w:rsidP="001E2580">
            <w:pPr>
              <w:spacing w:before="0" w:after="0"/>
              <w:rPr>
                <w:rFonts w:eastAsia="Times New Roman" w:cs="Arial"/>
                <w:sz w:val="18"/>
                <w:szCs w:val="18"/>
                <w:lang w:eastAsia="en-GB"/>
              </w:rPr>
            </w:pPr>
          </w:p>
        </w:tc>
        <w:tc>
          <w:tcPr>
            <w:tcW w:w="3119" w:type="dxa"/>
            <w:tcBorders>
              <w:top w:val="nil"/>
              <w:left w:val="nil"/>
              <w:bottom w:val="single" w:sz="4" w:space="0" w:color="auto"/>
              <w:right w:val="nil"/>
            </w:tcBorders>
            <w:shd w:val="clear" w:color="auto" w:fill="auto"/>
            <w:vAlign w:val="center"/>
            <w:hideMark/>
          </w:tcPr>
          <w:p w14:paraId="5EED1EFC" w14:textId="17F51A6E"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Peter Fairley, Partner Member, Essex County Council</w:t>
            </w:r>
          </w:p>
        </w:tc>
        <w:tc>
          <w:tcPr>
            <w:tcW w:w="1417" w:type="dxa"/>
            <w:vMerge/>
            <w:tcBorders>
              <w:top w:val="single" w:sz="4" w:space="0" w:color="auto"/>
              <w:left w:val="nil"/>
              <w:bottom w:val="single" w:sz="4" w:space="0" w:color="000000"/>
              <w:right w:val="nil"/>
            </w:tcBorders>
            <w:vAlign w:val="center"/>
            <w:hideMark/>
          </w:tcPr>
          <w:p w14:paraId="49CA8DF3" w14:textId="77777777" w:rsidR="001E2580" w:rsidRPr="001E2580" w:rsidRDefault="001E2580" w:rsidP="00DB78E2">
            <w:pPr>
              <w:spacing w:before="0" w:after="0"/>
              <w:jc w:val="right"/>
              <w:rPr>
                <w:rFonts w:eastAsia="Times New Roman" w:cs="Arial"/>
                <w:sz w:val="18"/>
                <w:szCs w:val="18"/>
                <w:lang w:eastAsia="en-GB"/>
              </w:rPr>
            </w:pPr>
          </w:p>
        </w:tc>
        <w:tc>
          <w:tcPr>
            <w:tcW w:w="1061" w:type="dxa"/>
            <w:vMerge/>
            <w:tcBorders>
              <w:top w:val="single" w:sz="4" w:space="0" w:color="auto"/>
              <w:left w:val="nil"/>
              <w:bottom w:val="single" w:sz="4" w:space="0" w:color="000000"/>
              <w:right w:val="nil"/>
            </w:tcBorders>
            <w:vAlign w:val="center"/>
            <w:hideMark/>
          </w:tcPr>
          <w:p w14:paraId="7AB48C66" w14:textId="77777777" w:rsidR="001E2580" w:rsidRPr="001E2580" w:rsidRDefault="001E2580" w:rsidP="00DB78E2">
            <w:pPr>
              <w:spacing w:before="0" w:after="0"/>
              <w:jc w:val="right"/>
              <w:rPr>
                <w:rFonts w:eastAsia="Times New Roman" w:cs="Arial"/>
                <w:sz w:val="18"/>
                <w:szCs w:val="18"/>
                <w:lang w:eastAsia="en-GB"/>
              </w:rPr>
            </w:pPr>
          </w:p>
        </w:tc>
        <w:tc>
          <w:tcPr>
            <w:tcW w:w="1085" w:type="dxa"/>
            <w:vMerge/>
            <w:tcBorders>
              <w:top w:val="single" w:sz="4" w:space="0" w:color="auto"/>
              <w:left w:val="nil"/>
              <w:bottom w:val="single" w:sz="4" w:space="0" w:color="000000"/>
              <w:right w:val="nil"/>
            </w:tcBorders>
            <w:vAlign w:val="center"/>
            <w:hideMark/>
          </w:tcPr>
          <w:p w14:paraId="7B7B1F2F" w14:textId="77777777" w:rsidR="001E2580" w:rsidRPr="001E2580" w:rsidRDefault="001E2580" w:rsidP="00DB78E2">
            <w:pPr>
              <w:spacing w:before="0" w:after="0"/>
              <w:jc w:val="right"/>
              <w:rPr>
                <w:rFonts w:eastAsia="Times New Roman" w:cs="Arial"/>
                <w:sz w:val="18"/>
                <w:szCs w:val="18"/>
                <w:lang w:eastAsia="en-GB"/>
              </w:rPr>
            </w:pPr>
          </w:p>
        </w:tc>
        <w:tc>
          <w:tcPr>
            <w:tcW w:w="1083" w:type="dxa"/>
            <w:vMerge/>
            <w:tcBorders>
              <w:top w:val="single" w:sz="4" w:space="0" w:color="auto"/>
              <w:left w:val="nil"/>
              <w:bottom w:val="single" w:sz="4" w:space="0" w:color="000000"/>
              <w:right w:val="single" w:sz="4" w:space="0" w:color="auto"/>
            </w:tcBorders>
            <w:vAlign w:val="center"/>
            <w:hideMark/>
          </w:tcPr>
          <w:p w14:paraId="3D685146" w14:textId="77777777" w:rsidR="001E2580" w:rsidRPr="001E2580" w:rsidRDefault="001E2580" w:rsidP="00DB78E2">
            <w:pPr>
              <w:spacing w:before="0" w:after="0"/>
              <w:jc w:val="right"/>
              <w:rPr>
                <w:rFonts w:eastAsia="Times New Roman" w:cs="Arial"/>
                <w:sz w:val="18"/>
                <w:szCs w:val="18"/>
                <w:lang w:eastAsia="en-GB"/>
              </w:rPr>
            </w:pPr>
          </w:p>
        </w:tc>
      </w:tr>
      <w:tr w:rsidR="00070245" w:rsidRPr="001E2580" w14:paraId="77F27BE9" w14:textId="77777777" w:rsidTr="00D47A80">
        <w:trPr>
          <w:trHeight w:val="250"/>
        </w:trPr>
        <w:tc>
          <w:tcPr>
            <w:tcW w:w="3261" w:type="dxa"/>
            <w:tcBorders>
              <w:top w:val="single" w:sz="4" w:space="0" w:color="auto"/>
              <w:left w:val="single" w:sz="4" w:space="0" w:color="auto"/>
              <w:bottom w:val="single" w:sz="4" w:space="0" w:color="auto"/>
              <w:right w:val="nil"/>
            </w:tcBorders>
            <w:shd w:val="clear" w:color="auto" w:fill="auto"/>
            <w:noWrap/>
            <w:vAlign w:val="center"/>
            <w:hideMark/>
          </w:tcPr>
          <w:p w14:paraId="1380D91F"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UCL Partners Limited</w:t>
            </w:r>
          </w:p>
        </w:tc>
        <w:tc>
          <w:tcPr>
            <w:tcW w:w="3119" w:type="dxa"/>
            <w:tcBorders>
              <w:top w:val="nil"/>
              <w:left w:val="nil"/>
              <w:bottom w:val="single" w:sz="4" w:space="0" w:color="auto"/>
              <w:right w:val="nil"/>
            </w:tcBorders>
            <w:shd w:val="clear" w:color="auto" w:fill="auto"/>
            <w:noWrap/>
            <w:vAlign w:val="center"/>
            <w:hideMark/>
          </w:tcPr>
          <w:p w14:paraId="51162CFD" w14:textId="31039A9F"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Anthony McKeever, Chief Executive Officer</w:t>
            </w:r>
          </w:p>
        </w:tc>
        <w:tc>
          <w:tcPr>
            <w:tcW w:w="1417" w:type="dxa"/>
            <w:tcBorders>
              <w:top w:val="nil"/>
              <w:left w:val="nil"/>
              <w:bottom w:val="single" w:sz="4" w:space="0" w:color="auto"/>
              <w:right w:val="nil"/>
            </w:tcBorders>
            <w:shd w:val="clear" w:color="auto" w:fill="auto"/>
            <w:noWrap/>
            <w:vAlign w:val="center"/>
            <w:hideMark/>
          </w:tcPr>
          <w:p w14:paraId="5AC8BEA0" w14:textId="583DEA54"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9,682</w:t>
            </w:r>
          </w:p>
        </w:tc>
        <w:tc>
          <w:tcPr>
            <w:tcW w:w="1061" w:type="dxa"/>
            <w:tcBorders>
              <w:top w:val="nil"/>
              <w:left w:val="nil"/>
              <w:bottom w:val="single" w:sz="4" w:space="0" w:color="auto"/>
              <w:right w:val="nil"/>
            </w:tcBorders>
            <w:shd w:val="clear" w:color="auto" w:fill="auto"/>
            <w:noWrap/>
            <w:vAlign w:val="center"/>
            <w:hideMark/>
          </w:tcPr>
          <w:p w14:paraId="6245DC5C" w14:textId="7766E3B0"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w:t>
            </w:r>
          </w:p>
        </w:tc>
        <w:tc>
          <w:tcPr>
            <w:tcW w:w="1085" w:type="dxa"/>
            <w:tcBorders>
              <w:top w:val="nil"/>
              <w:left w:val="nil"/>
              <w:bottom w:val="single" w:sz="4" w:space="0" w:color="auto"/>
              <w:right w:val="nil"/>
            </w:tcBorders>
            <w:shd w:val="clear" w:color="auto" w:fill="auto"/>
            <w:noWrap/>
            <w:vAlign w:val="center"/>
            <w:hideMark/>
          </w:tcPr>
          <w:p w14:paraId="2D23A644" w14:textId="696A36B5"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339</w:t>
            </w:r>
          </w:p>
        </w:tc>
        <w:tc>
          <w:tcPr>
            <w:tcW w:w="1083" w:type="dxa"/>
            <w:tcBorders>
              <w:top w:val="nil"/>
              <w:left w:val="nil"/>
              <w:bottom w:val="single" w:sz="4" w:space="0" w:color="auto"/>
              <w:right w:val="single" w:sz="4" w:space="0" w:color="auto"/>
            </w:tcBorders>
            <w:shd w:val="clear" w:color="auto" w:fill="auto"/>
            <w:noWrap/>
            <w:vAlign w:val="center"/>
            <w:hideMark/>
          </w:tcPr>
          <w:p w14:paraId="4BAE474F" w14:textId="771DA55A"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w:t>
            </w:r>
          </w:p>
        </w:tc>
      </w:tr>
      <w:tr w:rsidR="00070245" w:rsidRPr="001E2580" w14:paraId="11EEF324" w14:textId="77777777" w:rsidTr="00D47A80">
        <w:trPr>
          <w:trHeight w:val="250"/>
        </w:trPr>
        <w:tc>
          <w:tcPr>
            <w:tcW w:w="3261" w:type="dxa"/>
            <w:tcBorders>
              <w:top w:val="nil"/>
              <w:left w:val="single" w:sz="4" w:space="0" w:color="auto"/>
              <w:bottom w:val="single" w:sz="4" w:space="0" w:color="auto"/>
              <w:right w:val="nil"/>
            </w:tcBorders>
            <w:shd w:val="clear" w:color="auto" w:fill="auto"/>
            <w:noWrap/>
            <w:vAlign w:val="center"/>
            <w:hideMark/>
          </w:tcPr>
          <w:p w14:paraId="2C888E29"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Princess Alexandra Hospital</w:t>
            </w:r>
          </w:p>
        </w:tc>
        <w:tc>
          <w:tcPr>
            <w:tcW w:w="3119" w:type="dxa"/>
            <w:tcBorders>
              <w:top w:val="nil"/>
              <w:left w:val="nil"/>
              <w:bottom w:val="single" w:sz="4" w:space="0" w:color="auto"/>
              <w:right w:val="nil"/>
            </w:tcBorders>
            <w:shd w:val="clear" w:color="auto" w:fill="auto"/>
            <w:noWrap/>
            <w:vAlign w:val="center"/>
            <w:hideMark/>
          </w:tcPr>
          <w:p w14:paraId="0DC27FC2"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George Wood, Non-Executive Member</w:t>
            </w:r>
          </w:p>
        </w:tc>
        <w:tc>
          <w:tcPr>
            <w:tcW w:w="1417" w:type="dxa"/>
            <w:tcBorders>
              <w:top w:val="nil"/>
              <w:left w:val="nil"/>
              <w:bottom w:val="single" w:sz="4" w:space="0" w:color="auto"/>
              <w:right w:val="nil"/>
            </w:tcBorders>
            <w:shd w:val="clear" w:color="auto" w:fill="auto"/>
            <w:noWrap/>
            <w:vAlign w:val="center"/>
            <w:hideMark/>
          </w:tcPr>
          <w:p w14:paraId="79ABE62D" w14:textId="5A536CE2"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2,153</w:t>
            </w:r>
          </w:p>
        </w:tc>
        <w:tc>
          <w:tcPr>
            <w:tcW w:w="1061" w:type="dxa"/>
            <w:tcBorders>
              <w:top w:val="nil"/>
              <w:left w:val="nil"/>
              <w:bottom w:val="single" w:sz="4" w:space="0" w:color="auto"/>
              <w:right w:val="nil"/>
            </w:tcBorders>
            <w:shd w:val="clear" w:color="auto" w:fill="auto"/>
            <w:noWrap/>
            <w:vAlign w:val="center"/>
            <w:hideMark/>
          </w:tcPr>
          <w:p w14:paraId="52AA4F19" w14:textId="5852CD9F"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w:t>
            </w:r>
          </w:p>
        </w:tc>
        <w:tc>
          <w:tcPr>
            <w:tcW w:w="1085" w:type="dxa"/>
            <w:tcBorders>
              <w:top w:val="nil"/>
              <w:left w:val="nil"/>
              <w:bottom w:val="single" w:sz="4" w:space="0" w:color="auto"/>
              <w:right w:val="nil"/>
            </w:tcBorders>
            <w:shd w:val="clear" w:color="auto" w:fill="auto"/>
            <w:noWrap/>
            <w:vAlign w:val="center"/>
            <w:hideMark/>
          </w:tcPr>
          <w:p w14:paraId="6AA94A92" w14:textId="74AF336A"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w:t>
            </w:r>
          </w:p>
        </w:tc>
        <w:tc>
          <w:tcPr>
            <w:tcW w:w="1083" w:type="dxa"/>
            <w:tcBorders>
              <w:top w:val="nil"/>
              <w:left w:val="nil"/>
              <w:bottom w:val="single" w:sz="4" w:space="0" w:color="auto"/>
              <w:right w:val="single" w:sz="4" w:space="0" w:color="auto"/>
            </w:tcBorders>
            <w:shd w:val="clear" w:color="auto" w:fill="auto"/>
            <w:noWrap/>
            <w:vAlign w:val="center"/>
            <w:hideMark/>
          </w:tcPr>
          <w:p w14:paraId="7B9EB0BB" w14:textId="2649E497"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w:t>
            </w:r>
          </w:p>
        </w:tc>
      </w:tr>
      <w:tr w:rsidR="00070245" w:rsidRPr="001E2580" w14:paraId="00ED422E" w14:textId="77777777" w:rsidTr="00D47A80">
        <w:trPr>
          <w:trHeight w:val="250"/>
        </w:trPr>
        <w:tc>
          <w:tcPr>
            <w:tcW w:w="3261" w:type="dxa"/>
            <w:tcBorders>
              <w:top w:val="nil"/>
              <w:left w:val="single" w:sz="4" w:space="0" w:color="auto"/>
              <w:bottom w:val="single" w:sz="4" w:space="0" w:color="auto"/>
              <w:right w:val="nil"/>
            </w:tcBorders>
            <w:shd w:val="clear" w:color="auto" w:fill="auto"/>
            <w:noWrap/>
            <w:vAlign w:val="center"/>
            <w:hideMark/>
          </w:tcPr>
          <w:p w14:paraId="16F273A3"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Colne Valley Primary Care Network</w:t>
            </w:r>
          </w:p>
        </w:tc>
        <w:tc>
          <w:tcPr>
            <w:tcW w:w="3119" w:type="dxa"/>
            <w:tcBorders>
              <w:top w:val="nil"/>
              <w:left w:val="nil"/>
              <w:bottom w:val="single" w:sz="4" w:space="0" w:color="auto"/>
              <w:right w:val="nil"/>
            </w:tcBorders>
            <w:shd w:val="clear" w:color="auto" w:fill="auto"/>
            <w:noWrap/>
            <w:vAlign w:val="center"/>
            <w:hideMark/>
          </w:tcPr>
          <w:p w14:paraId="6E4AF999"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Anna Davey, Primary Care Services Partner Member</w:t>
            </w:r>
          </w:p>
        </w:tc>
        <w:tc>
          <w:tcPr>
            <w:tcW w:w="1417" w:type="dxa"/>
            <w:tcBorders>
              <w:top w:val="nil"/>
              <w:left w:val="nil"/>
              <w:bottom w:val="single" w:sz="4" w:space="0" w:color="auto"/>
              <w:right w:val="nil"/>
            </w:tcBorders>
            <w:shd w:val="clear" w:color="auto" w:fill="auto"/>
            <w:noWrap/>
            <w:vAlign w:val="center"/>
            <w:hideMark/>
          </w:tcPr>
          <w:p w14:paraId="4D564410" w14:textId="4D85082C"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1,740</w:t>
            </w:r>
          </w:p>
        </w:tc>
        <w:tc>
          <w:tcPr>
            <w:tcW w:w="1061" w:type="dxa"/>
            <w:tcBorders>
              <w:top w:val="nil"/>
              <w:left w:val="nil"/>
              <w:bottom w:val="single" w:sz="4" w:space="0" w:color="auto"/>
              <w:right w:val="nil"/>
            </w:tcBorders>
            <w:shd w:val="clear" w:color="auto" w:fill="auto"/>
            <w:noWrap/>
            <w:vAlign w:val="center"/>
            <w:hideMark/>
          </w:tcPr>
          <w:p w14:paraId="017DFFCB" w14:textId="067F355F"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w:t>
            </w:r>
          </w:p>
        </w:tc>
        <w:tc>
          <w:tcPr>
            <w:tcW w:w="1085" w:type="dxa"/>
            <w:tcBorders>
              <w:top w:val="nil"/>
              <w:left w:val="nil"/>
              <w:bottom w:val="single" w:sz="4" w:space="0" w:color="auto"/>
              <w:right w:val="nil"/>
            </w:tcBorders>
            <w:shd w:val="clear" w:color="auto" w:fill="auto"/>
            <w:noWrap/>
            <w:vAlign w:val="center"/>
            <w:hideMark/>
          </w:tcPr>
          <w:p w14:paraId="59CACA63" w14:textId="14A7F3C8"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w:t>
            </w:r>
          </w:p>
        </w:tc>
        <w:tc>
          <w:tcPr>
            <w:tcW w:w="1083" w:type="dxa"/>
            <w:tcBorders>
              <w:top w:val="nil"/>
              <w:left w:val="nil"/>
              <w:bottom w:val="single" w:sz="4" w:space="0" w:color="auto"/>
              <w:right w:val="single" w:sz="4" w:space="0" w:color="auto"/>
            </w:tcBorders>
            <w:shd w:val="clear" w:color="auto" w:fill="auto"/>
            <w:noWrap/>
            <w:vAlign w:val="center"/>
            <w:hideMark/>
          </w:tcPr>
          <w:p w14:paraId="53C32848" w14:textId="73D6D518"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w:t>
            </w:r>
          </w:p>
        </w:tc>
      </w:tr>
      <w:tr w:rsidR="00070245" w:rsidRPr="001E2580" w14:paraId="79AFB6CD" w14:textId="77777777" w:rsidTr="00D47A80">
        <w:trPr>
          <w:trHeight w:val="250"/>
        </w:trPr>
        <w:tc>
          <w:tcPr>
            <w:tcW w:w="3261" w:type="dxa"/>
            <w:tcBorders>
              <w:top w:val="nil"/>
              <w:left w:val="single" w:sz="4" w:space="0" w:color="auto"/>
              <w:bottom w:val="single" w:sz="4" w:space="0" w:color="auto"/>
              <w:right w:val="nil"/>
            </w:tcBorders>
            <w:shd w:val="clear" w:color="auto" w:fill="auto"/>
            <w:noWrap/>
            <w:vAlign w:val="center"/>
            <w:hideMark/>
          </w:tcPr>
          <w:p w14:paraId="29108108"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West Suffolk NHS FT</w:t>
            </w:r>
          </w:p>
        </w:tc>
        <w:tc>
          <w:tcPr>
            <w:tcW w:w="3119" w:type="dxa"/>
            <w:tcBorders>
              <w:top w:val="nil"/>
              <w:left w:val="nil"/>
              <w:bottom w:val="single" w:sz="4" w:space="0" w:color="auto"/>
              <w:right w:val="nil"/>
            </w:tcBorders>
            <w:shd w:val="clear" w:color="auto" w:fill="auto"/>
            <w:noWrap/>
            <w:vAlign w:val="center"/>
            <w:hideMark/>
          </w:tcPr>
          <w:p w14:paraId="7932CAB9"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Tracy Dowling, Interim Chief Executive Officer</w:t>
            </w:r>
          </w:p>
        </w:tc>
        <w:tc>
          <w:tcPr>
            <w:tcW w:w="1417" w:type="dxa"/>
            <w:tcBorders>
              <w:top w:val="nil"/>
              <w:left w:val="nil"/>
              <w:bottom w:val="single" w:sz="4" w:space="0" w:color="auto"/>
              <w:right w:val="nil"/>
            </w:tcBorders>
            <w:shd w:val="clear" w:color="auto" w:fill="auto"/>
            <w:noWrap/>
            <w:vAlign w:val="center"/>
            <w:hideMark/>
          </w:tcPr>
          <w:p w14:paraId="2C98171A" w14:textId="0397534F"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905</w:t>
            </w:r>
          </w:p>
        </w:tc>
        <w:tc>
          <w:tcPr>
            <w:tcW w:w="1061" w:type="dxa"/>
            <w:tcBorders>
              <w:top w:val="nil"/>
              <w:left w:val="nil"/>
              <w:bottom w:val="single" w:sz="4" w:space="0" w:color="auto"/>
              <w:right w:val="nil"/>
            </w:tcBorders>
            <w:shd w:val="clear" w:color="auto" w:fill="auto"/>
            <w:noWrap/>
            <w:vAlign w:val="center"/>
            <w:hideMark/>
          </w:tcPr>
          <w:p w14:paraId="61BB144A" w14:textId="605E31B9"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w:t>
            </w:r>
          </w:p>
        </w:tc>
        <w:tc>
          <w:tcPr>
            <w:tcW w:w="1085" w:type="dxa"/>
            <w:tcBorders>
              <w:top w:val="nil"/>
              <w:left w:val="nil"/>
              <w:bottom w:val="single" w:sz="4" w:space="0" w:color="auto"/>
              <w:right w:val="nil"/>
            </w:tcBorders>
            <w:shd w:val="clear" w:color="auto" w:fill="auto"/>
            <w:noWrap/>
            <w:vAlign w:val="center"/>
            <w:hideMark/>
          </w:tcPr>
          <w:p w14:paraId="61063E89" w14:textId="10EF7AF3"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19</w:t>
            </w:r>
          </w:p>
        </w:tc>
        <w:tc>
          <w:tcPr>
            <w:tcW w:w="1083" w:type="dxa"/>
            <w:tcBorders>
              <w:top w:val="nil"/>
              <w:left w:val="nil"/>
              <w:bottom w:val="single" w:sz="4" w:space="0" w:color="auto"/>
              <w:right w:val="single" w:sz="4" w:space="0" w:color="auto"/>
            </w:tcBorders>
            <w:shd w:val="clear" w:color="auto" w:fill="auto"/>
            <w:noWrap/>
            <w:vAlign w:val="center"/>
            <w:hideMark/>
          </w:tcPr>
          <w:p w14:paraId="4799FDF0" w14:textId="42627166"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w:t>
            </w:r>
          </w:p>
        </w:tc>
      </w:tr>
      <w:tr w:rsidR="00070245" w:rsidRPr="001E2580" w14:paraId="5F06D031" w14:textId="77777777" w:rsidTr="00D47A80">
        <w:trPr>
          <w:trHeight w:val="250"/>
        </w:trPr>
        <w:tc>
          <w:tcPr>
            <w:tcW w:w="3261" w:type="dxa"/>
            <w:tcBorders>
              <w:top w:val="nil"/>
              <w:left w:val="single" w:sz="4" w:space="0" w:color="auto"/>
              <w:bottom w:val="single" w:sz="4" w:space="0" w:color="auto"/>
              <w:right w:val="nil"/>
            </w:tcBorders>
            <w:shd w:val="clear" w:color="auto" w:fill="auto"/>
            <w:noWrap/>
            <w:vAlign w:val="center"/>
            <w:hideMark/>
          </w:tcPr>
          <w:p w14:paraId="6504D5C6"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Essex Cares</w:t>
            </w:r>
          </w:p>
        </w:tc>
        <w:tc>
          <w:tcPr>
            <w:tcW w:w="3119" w:type="dxa"/>
            <w:tcBorders>
              <w:top w:val="nil"/>
              <w:left w:val="nil"/>
              <w:bottom w:val="single" w:sz="4" w:space="0" w:color="auto"/>
              <w:right w:val="nil"/>
            </w:tcBorders>
            <w:shd w:val="clear" w:color="auto" w:fill="auto"/>
            <w:noWrap/>
            <w:vAlign w:val="center"/>
            <w:hideMark/>
          </w:tcPr>
          <w:p w14:paraId="0589FE26" w14:textId="724F8320"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Peter Fairley, Partner Member, Essex County Council</w:t>
            </w:r>
          </w:p>
        </w:tc>
        <w:tc>
          <w:tcPr>
            <w:tcW w:w="1417" w:type="dxa"/>
            <w:tcBorders>
              <w:top w:val="nil"/>
              <w:left w:val="nil"/>
              <w:bottom w:val="single" w:sz="4" w:space="0" w:color="auto"/>
              <w:right w:val="nil"/>
            </w:tcBorders>
            <w:shd w:val="clear" w:color="auto" w:fill="auto"/>
            <w:noWrap/>
            <w:vAlign w:val="center"/>
            <w:hideMark/>
          </w:tcPr>
          <w:p w14:paraId="19E7BCE4" w14:textId="5F63B093"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653</w:t>
            </w:r>
          </w:p>
        </w:tc>
        <w:tc>
          <w:tcPr>
            <w:tcW w:w="1061" w:type="dxa"/>
            <w:tcBorders>
              <w:top w:val="nil"/>
              <w:left w:val="nil"/>
              <w:bottom w:val="single" w:sz="4" w:space="0" w:color="auto"/>
              <w:right w:val="nil"/>
            </w:tcBorders>
            <w:shd w:val="clear" w:color="auto" w:fill="auto"/>
            <w:noWrap/>
            <w:vAlign w:val="center"/>
            <w:hideMark/>
          </w:tcPr>
          <w:p w14:paraId="6A463C6F" w14:textId="033D3B4A"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w:t>
            </w:r>
          </w:p>
        </w:tc>
        <w:tc>
          <w:tcPr>
            <w:tcW w:w="1085" w:type="dxa"/>
            <w:tcBorders>
              <w:top w:val="nil"/>
              <w:left w:val="nil"/>
              <w:bottom w:val="single" w:sz="4" w:space="0" w:color="auto"/>
              <w:right w:val="nil"/>
            </w:tcBorders>
            <w:shd w:val="clear" w:color="auto" w:fill="auto"/>
            <w:noWrap/>
            <w:vAlign w:val="center"/>
            <w:hideMark/>
          </w:tcPr>
          <w:p w14:paraId="238964B7" w14:textId="0A98CE66"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2</w:t>
            </w:r>
          </w:p>
        </w:tc>
        <w:tc>
          <w:tcPr>
            <w:tcW w:w="1083" w:type="dxa"/>
            <w:tcBorders>
              <w:top w:val="nil"/>
              <w:left w:val="nil"/>
              <w:bottom w:val="single" w:sz="4" w:space="0" w:color="auto"/>
              <w:right w:val="single" w:sz="4" w:space="0" w:color="auto"/>
            </w:tcBorders>
            <w:shd w:val="clear" w:color="auto" w:fill="auto"/>
            <w:noWrap/>
            <w:vAlign w:val="center"/>
            <w:hideMark/>
          </w:tcPr>
          <w:p w14:paraId="68E973A8" w14:textId="6735FFF6" w:rsidR="001E2580" w:rsidRPr="001E2580" w:rsidRDefault="001E2580" w:rsidP="00DB78E2">
            <w:pPr>
              <w:spacing w:before="0" w:after="0"/>
              <w:jc w:val="right"/>
              <w:rPr>
                <w:rFonts w:eastAsia="Times New Roman" w:cs="Arial"/>
                <w:sz w:val="18"/>
                <w:szCs w:val="18"/>
                <w:lang w:eastAsia="en-GB"/>
              </w:rPr>
            </w:pPr>
            <w:r w:rsidRPr="001E2580">
              <w:rPr>
                <w:rFonts w:eastAsia="Times New Roman" w:cs="Arial"/>
                <w:sz w:val="18"/>
                <w:szCs w:val="18"/>
                <w:lang w:eastAsia="en-GB"/>
              </w:rPr>
              <w:t>-</w:t>
            </w:r>
          </w:p>
        </w:tc>
      </w:tr>
      <w:tr w:rsidR="00070245" w:rsidRPr="001E2580" w14:paraId="7C6CD250" w14:textId="77777777" w:rsidTr="00D47A80">
        <w:trPr>
          <w:trHeight w:val="290"/>
        </w:trPr>
        <w:tc>
          <w:tcPr>
            <w:tcW w:w="3261" w:type="dxa"/>
            <w:tcBorders>
              <w:top w:val="nil"/>
              <w:left w:val="single" w:sz="4" w:space="0" w:color="auto"/>
              <w:bottom w:val="single" w:sz="4" w:space="0" w:color="auto"/>
              <w:right w:val="nil"/>
            </w:tcBorders>
            <w:shd w:val="clear" w:color="auto" w:fill="auto"/>
            <w:noWrap/>
            <w:vAlign w:val="center"/>
            <w:hideMark/>
          </w:tcPr>
          <w:p w14:paraId="236DD1AD"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Health Innovation East</w:t>
            </w:r>
          </w:p>
        </w:tc>
        <w:tc>
          <w:tcPr>
            <w:tcW w:w="3119" w:type="dxa"/>
            <w:tcBorders>
              <w:top w:val="nil"/>
              <w:left w:val="nil"/>
              <w:bottom w:val="single" w:sz="4" w:space="0" w:color="auto"/>
              <w:right w:val="nil"/>
            </w:tcBorders>
            <w:shd w:val="clear" w:color="auto" w:fill="auto"/>
            <w:noWrap/>
            <w:vAlign w:val="center"/>
            <w:hideMark/>
          </w:tcPr>
          <w:p w14:paraId="4711A693" w14:textId="77777777" w:rsidR="001E2580" w:rsidRPr="001E2580" w:rsidRDefault="001E2580" w:rsidP="001E2580">
            <w:pPr>
              <w:spacing w:before="0" w:after="0"/>
              <w:rPr>
                <w:rFonts w:eastAsia="Times New Roman" w:cs="Arial"/>
                <w:sz w:val="18"/>
                <w:szCs w:val="18"/>
                <w:lang w:eastAsia="en-GB"/>
              </w:rPr>
            </w:pPr>
            <w:r w:rsidRPr="001E2580">
              <w:rPr>
                <w:rFonts w:eastAsia="Times New Roman" w:cs="Arial"/>
                <w:sz w:val="18"/>
                <w:szCs w:val="18"/>
                <w:lang w:eastAsia="en-GB"/>
              </w:rPr>
              <w:t>Tracy Dowling, Interim Chief Executive Officer</w:t>
            </w:r>
          </w:p>
        </w:tc>
        <w:tc>
          <w:tcPr>
            <w:tcW w:w="1417" w:type="dxa"/>
            <w:tcBorders>
              <w:top w:val="nil"/>
              <w:left w:val="nil"/>
              <w:bottom w:val="single" w:sz="4" w:space="0" w:color="auto"/>
              <w:right w:val="nil"/>
            </w:tcBorders>
            <w:shd w:val="clear" w:color="auto" w:fill="auto"/>
            <w:noWrap/>
            <w:vAlign w:val="center"/>
            <w:hideMark/>
          </w:tcPr>
          <w:p w14:paraId="0B302F3F" w14:textId="57B908ED" w:rsidR="001E2580" w:rsidRPr="001E2580" w:rsidRDefault="00EE7E10" w:rsidP="00DB78E2">
            <w:pPr>
              <w:spacing w:before="0" w:after="0"/>
              <w:jc w:val="right"/>
              <w:rPr>
                <w:rFonts w:eastAsia="Times New Roman" w:cs="Arial"/>
                <w:sz w:val="18"/>
                <w:szCs w:val="18"/>
                <w:lang w:eastAsia="en-GB"/>
              </w:rPr>
            </w:pPr>
            <w:r>
              <w:rPr>
                <w:rFonts w:eastAsia="Times New Roman" w:cs="Arial"/>
                <w:sz w:val="18"/>
                <w:szCs w:val="18"/>
                <w:lang w:eastAsia="en-GB"/>
              </w:rPr>
              <w:t>-</w:t>
            </w:r>
          </w:p>
        </w:tc>
        <w:tc>
          <w:tcPr>
            <w:tcW w:w="1061" w:type="dxa"/>
            <w:tcBorders>
              <w:top w:val="nil"/>
              <w:left w:val="nil"/>
              <w:bottom w:val="single" w:sz="4" w:space="0" w:color="auto"/>
              <w:right w:val="nil"/>
            </w:tcBorders>
            <w:shd w:val="clear" w:color="auto" w:fill="auto"/>
            <w:noWrap/>
            <w:vAlign w:val="center"/>
            <w:hideMark/>
          </w:tcPr>
          <w:p w14:paraId="52912F32" w14:textId="5FC178A6" w:rsidR="001E2580" w:rsidRPr="001E2580" w:rsidRDefault="00EE7E10" w:rsidP="00DB78E2">
            <w:pPr>
              <w:spacing w:before="0" w:after="0"/>
              <w:jc w:val="right"/>
              <w:rPr>
                <w:rFonts w:eastAsia="Times New Roman" w:cs="Arial"/>
                <w:sz w:val="18"/>
                <w:szCs w:val="18"/>
                <w:lang w:eastAsia="en-GB"/>
              </w:rPr>
            </w:pPr>
            <w:r>
              <w:rPr>
                <w:rFonts w:eastAsia="Times New Roman" w:cs="Arial"/>
                <w:sz w:val="18"/>
                <w:szCs w:val="18"/>
                <w:lang w:eastAsia="en-GB"/>
              </w:rPr>
              <w:t>(4)</w:t>
            </w:r>
          </w:p>
        </w:tc>
        <w:tc>
          <w:tcPr>
            <w:tcW w:w="1085" w:type="dxa"/>
            <w:tcBorders>
              <w:top w:val="nil"/>
              <w:left w:val="nil"/>
              <w:bottom w:val="single" w:sz="4" w:space="0" w:color="auto"/>
              <w:right w:val="nil"/>
            </w:tcBorders>
            <w:shd w:val="clear" w:color="auto" w:fill="auto"/>
            <w:noWrap/>
            <w:vAlign w:val="center"/>
            <w:hideMark/>
          </w:tcPr>
          <w:p w14:paraId="26CC6A8E" w14:textId="5E49FE98" w:rsidR="001E2580" w:rsidRPr="001E2580" w:rsidRDefault="00EE7E10" w:rsidP="00DB78E2">
            <w:pPr>
              <w:spacing w:before="0" w:after="0"/>
              <w:jc w:val="right"/>
              <w:rPr>
                <w:rFonts w:eastAsia="Times New Roman" w:cs="Arial"/>
                <w:sz w:val="18"/>
                <w:szCs w:val="18"/>
                <w:lang w:eastAsia="en-GB"/>
              </w:rPr>
            </w:pPr>
            <w:r>
              <w:rPr>
                <w:rFonts w:eastAsia="Times New Roman" w:cs="Arial"/>
                <w:sz w:val="18"/>
                <w:szCs w:val="18"/>
                <w:lang w:eastAsia="en-GB"/>
              </w:rPr>
              <w:t>-</w:t>
            </w:r>
          </w:p>
        </w:tc>
        <w:tc>
          <w:tcPr>
            <w:tcW w:w="1083" w:type="dxa"/>
            <w:tcBorders>
              <w:top w:val="nil"/>
              <w:left w:val="nil"/>
              <w:bottom w:val="single" w:sz="4" w:space="0" w:color="auto"/>
              <w:right w:val="single" w:sz="4" w:space="0" w:color="auto"/>
            </w:tcBorders>
            <w:shd w:val="clear" w:color="auto" w:fill="auto"/>
            <w:noWrap/>
            <w:vAlign w:val="center"/>
            <w:hideMark/>
          </w:tcPr>
          <w:p w14:paraId="0B2097D1" w14:textId="6E9ED478" w:rsidR="001E2580" w:rsidRPr="001E2580" w:rsidRDefault="00EE7E10" w:rsidP="00DB78E2">
            <w:pPr>
              <w:spacing w:before="0" w:after="0"/>
              <w:jc w:val="right"/>
              <w:rPr>
                <w:rFonts w:eastAsia="Times New Roman" w:cs="Arial"/>
                <w:sz w:val="18"/>
                <w:szCs w:val="18"/>
                <w:lang w:eastAsia="en-GB"/>
              </w:rPr>
            </w:pPr>
            <w:r>
              <w:rPr>
                <w:rFonts w:eastAsia="Times New Roman" w:cs="Arial"/>
                <w:sz w:val="18"/>
                <w:szCs w:val="18"/>
                <w:lang w:eastAsia="en-GB"/>
              </w:rPr>
              <w:t>(4)</w:t>
            </w:r>
          </w:p>
        </w:tc>
      </w:tr>
    </w:tbl>
    <w:p w14:paraId="2D1FC35C" w14:textId="77777777" w:rsidR="001E2580" w:rsidRDefault="001E2580" w:rsidP="00C70A7F">
      <w:pPr>
        <w:spacing w:before="0" w:after="200" w:line="276" w:lineRule="auto"/>
      </w:pPr>
    </w:p>
    <w:p w14:paraId="4B7656D7" w14:textId="5A78F98A" w:rsidR="00A51C26" w:rsidRDefault="00A51C26">
      <w:pPr>
        <w:spacing w:before="0" w:after="200" w:line="276" w:lineRule="auto"/>
      </w:pPr>
      <w:r>
        <w:br w:type="page"/>
      </w:r>
    </w:p>
    <w:tbl>
      <w:tblPr>
        <w:tblW w:w="11046" w:type="dxa"/>
        <w:tblInd w:w="-567" w:type="dxa"/>
        <w:tblLook w:val="04A0" w:firstRow="1" w:lastRow="0" w:firstColumn="1" w:lastColumn="0" w:noHBand="0" w:noVBand="1"/>
      </w:tblPr>
      <w:tblGrid>
        <w:gridCol w:w="3686"/>
        <w:gridCol w:w="2977"/>
        <w:gridCol w:w="1161"/>
        <w:gridCol w:w="1050"/>
        <w:gridCol w:w="1083"/>
        <w:gridCol w:w="1083"/>
        <w:gridCol w:w="6"/>
      </w:tblGrid>
      <w:tr w:rsidR="00472ABB" w:rsidRPr="00472ABB" w14:paraId="083A4950" w14:textId="77777777" w:rsidTr="00472ABB">
        <w:trPr>
          <w:gridAfter w:val="1"/>
          <w:wAfter w:w="6" w:type="dxa"/>
          <w:trHeight w:val="260"/>
        </w:trPr>
        <w:tc>
          <w:tcPr>
            <w:tcW w:w="3686" w:type="dxa"/>
            <w:tcBorders>
              <w:top w:val="nil"/>
              <w:left w:val="nil"/>
              <w:bottom w:val="nil"/>
              <w:right w:val="nil"/>
            </w:tcBorders>
            <w:shd w:val="clear" w:color="000000" w:fill="FFFFFF"/>
            <w:noWrap/>
            <w:vAlign w:val="bottom"/>
            <w:hideMark/>
          </w:tcPr>
          <w:p w14:paraId="11E75AE3" w14:textId="77777777" w:rsidR="00472ABB" w:rsidRPr="00472ABB" w:rsidRDefault="00472ABB" w:rsidP="00472ABB">
            <w:pPr>
              <w:spacing w:before="0" w:after="0"/>
              <w:rPr>
                <w:rFonts w:eastAsia="Times New Roman" w:cs="Arial"/>
                <w:b/>
                <w:bCs/>
                <w:sz w:val="20"/>
                <w:szCs w:val="20"/>
                <w:lang w:eastAsia="en-GB"/>
              </w:rPr>
            </w:pPr>
            <w:r w:rsidRPr="00472ABB">
              <w:rPr>
                <w:rFonts w:eastAsia="Times New Roman" w:cs="Arial"/>
                <w:b/>
                <w:bCs/>
                <w:sz w:val="20"/>
                <w:szCs w:val="20"/>
                <w:lang w:eastAsia="en-GB"/>
              </w:rPr>
              <w:lastRenderedPageBreak/>
              <w:t>Part Three - Transactions in relation to practices where the GP has been a member of Governing Body</w:t>
            </w:r>
          </w:p>
        </w:tc>
        <w:tc>
          <w:tcPr>
            <w:tcW w:w="2977" w:type="dxa"/>
            <w:tcBorders>
              <w:top w:val="nil"/>
              <w:left w:val="nil"/>
              <w:bottom w:val="nil"/>
              <w:right w:val="nil"/>
            </w:tcBorders>
            <w:shd w:val="clear" w:color="auto" w:fill="auto"/>
            <w:vAlign w:val="bottom"/>
            <w:hideMark/>
          </w:tcPr>
          <w:p w14:paraId="73967208" w14:textId="77777777" w:rsidR="00472ABB" w:rsidRPr="00472ABB" w:rsidRDefault="00472ABB" w:rsidP="00472ABB">
            <w:pPr>
              <w:spacing w:before="0" w:after="0"/>
              <w:rPr>
                <w:rFonts w:eastAsia="Times New Roman" w:cs="Arial"/>
                <w:b/>
                <w:bCs/>
                <w:sz w:val="20"/>
                <w:szCs w:val="20"/>
                <w:lang w:eastAsia="en-GB"/>
              </w:rPr>
            </w:pPr>
          </w:p>
        </w:tc>
        <w:tc>
          <w:tcPr>
            <w:tcW w:w="1161" w:type="dxa"/>
            <w:tcBorders>
              <w:top w:val="nil"/>
              <w:left w:val="nil"/>
              <w:bottom w:val="nil"/>
              <w:right w:val="nil"/>
            </w:tcBorders>
            <w:shd w:val="clear" w:color="auto" w:fill="auto"/>
            <w:vAlign w:val="bottom"/>
            <w:hideMark/>
          </w:tcPr>
          <w:p w14:paraId="6DA18641"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vAlign w:val="bottom"/>
            <w:hideMark/>
          </w:tcPr>
          <w:p w14:paraId="68A85470" w14:textId="77777777" w:rsidR="00472ABB" w:rsidRPr="00472ABB" w:rsidRDefault="00472ABB" w:rsidP="00472ABB">
            <w:pPr>
              <w:spacing w:before="0" w:after="0"/>
              <w:jc w:val="center"/>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vAlign w:val="bottom"/>
            <w:hideMark/>
          </w:tcPr>
          <w:p w14:paraId="1CBC2B06" w14:textId="77777777" w:rsidR="00472ABB" w:rsidRPr="00472ABB" w:rsidRDefault="00472ABB" w:rsidP="00472ABB">
            <w:pPr>
              <w:spacing w:before="0" w:after="0"/>
              <w:jc w:val="center"/>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vAlign w:val="bottom"/>
            <w:hideMark/>
          </w:tcPr>
          <w:p w14:paraId="79CB52F4" w14:textId="77777777" w:rsidR="00472ABB" w:rsidRPr="00472ABB" w:rsidRDefault="00472ABB" w:rsidP="00472ABB">
            <w:pPr>
              <w:spacing w:before="0" w:after="0"/>
              <w:jc w:val="center"/>
              <w:rPr>
                <w:rFonts w:ascii="Times New Roman" w:eastAsia="Times New Roman" w:hAnsi="Times New Roman" w:cs="Times New Roman"/>
                <w:sz w:val="20"/>
                <w:szCs w:val="20"/>
                <w:lang w:eastAsia="en-GB"/>
              </w:rPr>
            </w:pPr>
          </w:p>
        </w:tc>
      </w:tr>
      <w:tr w:rsidR="00472ABB" w:rsidRPr="00472ABB" w14:paraId="6D3AC57C" w14:textId="77777777" w:rsidTr="00472ABB">
        <w:trPr>
          <w:gridAfter w:val="1"/>
          <w:wAfter w:w="6" w:type="dxa"/>
          <w:trHeight w:val="100"/>
        </w:trPr>
        <w:tc>
          <w:tcPr>
            <w:tcW w:w="3686" w:type="dxa"/>
            <w:tcBorders>
              <w:top w:val="nil"/>
              <w:left w:val="nil"/>
              <w:bottom w:val="nil"/>
              <w:right w:val="nil"/>
            </w:tcBorders>
            <w:shd w:val="clear" w:color="000000" w:fill="FFFFFF"/>
            <w:noWrap/>
            <w:vAlign w:val="bottom"/>
            <w:hideMark/>
          </w:tcPr>
          <w:p w14:paraId="3F1B407A" w14:textId="77777777" w:rsidR="00472ABB" w:rsidRPr="00472ABB" w:rsidRDefault="00472ABB" w:rsidP="00472ABB">
            <w:pPr>
              <w:spacing w:before="0" w:after="0"/>
              <w:rPr>
                <w:rFonts w:eastAsia="Times New Roman" w:cs="Arial"/>
                <w:b/>
                <w:bCs/>
                <w:sz w:val="20"/>
                <w:szCs w:val="20"/>
                <w:lang w:eastAsia="en-GB"/>
              </w:rPr>
            </w:pPr>
            <w:r w:rsidRPr="00472ABB">
              <w:rPr>
                <w:rFonts w:eastAsia="Times New Roman" w:cs="Arial"/>
                <w:b/>
                <w:bCs/>
                <w:sz w:val="20"/>
                <w:szCs w:val="20"/>
                <w:lang w:eastAsia="en-GB"/>
              </w:rPr>
              <w:t> </w:t>
            </w:r>
          </w:p>
        </w:tc>
        <w:tc>
          <w:tcPr>
            <w:tcW w:w="2977" w:type="dxa"/>
            <w:tcBorders>
              <w:top w:val="nil"/>
              <w:left w:val="nil"/>
              <w:bottom w:val="nil"/>
              <w:right w:val="nil"/>
            </w:tcBorders>
            <w:shd w:val="clear" w:color="auto" w:fill="auto"/>
            <w:vAlign w:val="bottom"/>
            <w:hideMark/>
          </w:tcPr>
          <w:p w14:paraId="13856DED" w14:textId="77777777" w:rsidR="00472ABB" w:rsidRPr="00472ABB" w:rsidRDefault="00472ABB" w:rsidP="00472ABB">
            <w:pPr>
              <w:spacing w:before="0" w:after="0"/>
              <w:rPr>
                <w:rFonts w:eastAsia="Times New Roman" w:cs="Arial"/>
                <w:b/>
                <w:bCs/>
                <w:sz w:val="20"/>
                <w:szCs w:val="20"/>
                <w:lang w:eastAsia="en-GB"/>
              </w:rPr>
            </w:pPr>
          </w:p>
        </w:tc>
        <w:tc>
          <w:tcPr>
            <w:tcW w:w="1161" w:type="dxa"/>
            <w:tcBorders>
              <w:top w:val="nil"/>
              <w:left w:val="nil"/>
              <w:bottom w:val="nil"/>
              <w:right w:val="nil"/>
            </w:tcBorders>
            <w:shd w:val="clear" w:color="auto" w:fill="auto"/>
            <w:vAlign w:val="bottom"/>
            <w:hideMark/>
          </w:tcPr>
          <w:p w14:paraId="00D6DC44"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vAlign w:val="bottom"/>
            <w:hideMark/>
          </w:tcPr>
          <w:p w14:paraId="4DCCD4E6" w14:textId="77777777" w:rsidR="00472ABB" w:rsidRPr="00472ABB" w:rsidRDefault="00472ABB" w:rsidP="00472ABB">
            <w:pPr>
              <w:spacing w:before="0" w:after="0"/>
              <w:jc w:val="center"/>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vAlign w:val="bottom"/>
            <w:hideMark/>
          </w:tcPr>
          <w:p w14:paraId="46105E3D" w14:textId="77777777" w:rsidR="00472ABB" w:rsidRPr="00472ABB" w:rsidRDefault="00472ABB" w:rsidP="00472ABB">
            <w:pPr>
              <w:spacing w:before="0" w:after="0"/>
              <w:jc w:val="center"/>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vAlign w:val="bottom"/>
            <w:hideMark/>
          </w:tcPr>
          <w:p w14:paraId="7CFC1190" w14:textId="77777777" w:rsidR="00472ABB" w:rsidRPr="00472ABB" w:rsidRDefault="00472ABB" w:rsidP="00472ABB">
            <w:pPr>
              <w:spacing w:before="0" w:after="0"/>
              <w:jc w:val="center"/>
              <w:rPr>
                <w:rFonts w:ascii="Times New Roman" w:eastAsia="Times New Roman" w:hAnsi="Times New Roman" w:cs="Times New Roman"/>
                <w:sz w:val="20"/>
                <w:szCs w:val="20"/>
                <w:lang w:eastAsia="en-GB"/>
              </w:rPr>
            </w:pPr>
          </w:p>
        </w:tc>
      </w:tr>
      <w:tr w:rsidR="00472ABB" w:rsidRPr="00472ABB" w14:paraId="1EA30751" w14:textId="77777777" w:rsidTr="00472ABB">
        <w:trPr>
          <w:gridAfter w:val="1"/>
          <w:wAfter w:w="6" w:type="dxa"/>
          <w:trHeight w:val="1040"/>
        </w:trPr>
        <w:tc>
          <w:tcPr>
            <w:tcW w:w="3686" w:type="dxa"/>
            <w:tcBorders>
              <w:top w:val="nil"/>
              <w:left w:val="nil"/>
              <w:bottom w:val="nil"/>
              <w:right w:val="nil"/>
            </w:tcBorders>
            <w:shd w:val="clear" w:color="auto" w:fill="auto"/>
            <w:vAlign w:val="bottom"/>
            <w:hideMark/>
          </w:tcPr>
          <w:p w14:paraId="02B70FC6" w14:textId="77777777" w:rsidR="00472ABB" w:rsidRPr="00472ABB" w:rsidRDefault="00472ABB" w:rsidP="00472ABB">
            <w:pPr>
              <w:spacing w:before="0" w:after="0"/>
              <w:jc w:val="center"/>
              <w:rPr>
                <w:rFonts w:ascii="Times New Roman" w:eastAsia="Times New Roman" w:hAnsi="Times New Roman" w:cs="Times New Roman"/>
                <w:sz w:val="20"/>
                <w:szCs w:val="20"/>
                <w:lang w:eastAsia="en-GB"/>
              </w:rPr>
            </w:pPr>
          </w:p>
        </w:tc>
        <w:tc>
          <w:tcPr>
            <w:tcW w:w="2977" w:type="dxa"/>
            <w:tcBorders>
              <w:top w:val="nil"/>
              <w:left w:val="nil"/>
              <w:bottom w:val="nil"/>
              <w:right w:val="nil"/>
            </w:tcBorders>
            <w:shd w:val="clear" w:color="auto" w:fill="auto"/>
            <w:vAlign w:val="bottom"/>
            <w:hideMark/>
          </w:tcPr>
          <w:p w14:paraId="43E4DDCB"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161" w:type="dxa"/>
            <w:tcBorders>
              <w:top w:val="nil"/>
              <w:left w:val="nil"/>
              <w:bottom w:val="nil"/>
              <w:right w:val="nil"/>
            </w:tcBorders>
            <w:shd w:val="clear" w:color="auto" w:fill="auto"/>
            <w:vAlign w:val="bottom"/>
            <w:hideMark/>
          </w:tcPr>
          <w:p w14:paraId="3E1D9DCC" w14:textId="77777777" w:rsidR="00472ABB" w:rsidRPr="00472ABB" w:rsidRDefault="00472ABB" w:rsidP="00472ABB">
            <w:pPr>
              <w:spacing w:before="0" w:after="0"/>
              <w:jc w:val="right"/>
              <w:rPr>
                <w:rFonts w:eastAsia="Times New Roman" w:cs="Arial"/>
                <w:b/>
                <w:bCs/>
                <w:sz w:val="20"/>
                <w:szCs w:val="20"/>
                <w:lang w:eastAsia="en-GB"/>
              </w:rPr>
            </w:pPr>
            <w:r w:rsidRPr="00472ABB">
              <w:rPr>
                <w:rFonts w:eastAsia="Times New Roman" w:cs="Arial"/>
                <w:b/>
                <w:bCs/>
                <w:sz w:val="20"/>
                <w:szCs w:val="20"/>
                <w:lang w:eastAsia="en-GB"/>
              </w:rPr>
              <w:t>Payments to related party</w:t>
            </w:r>
          </w:p>
        </w:tc>
        <w:tc>
          <w:tcPr>
            <w:tcW w:w="1050" w:type="dxa"/>
            <w:tcBorders>
              <w:top w:val="nil"/>
              <w:left w:val="nil"/>
              <w:bottom w:val="nil"/>
              <w:right w:val="nil"/>
            </w:tcBorders>
            <w:shd w:val="clear" w:color="auto" w:fill="auto"/>
            <w:vAlign w:val="bottom"/>
            <w:hideMark/>
          </w:tcPr>
          <w:p w14:paraId="113B7EEB" w14:textId="77777777" w:rsidR="00472ABB" w:rsidRPr="00472ABB" w:rsidRDefault="00472ABB" w:rsidP="00472ABB">
            <w:pPr>
              <w:spacing w:before="0" w:after="0"/>
              <w:jc w:val="right"/>
              <w:rPr>
                <w:rFonts w:eastAsia="Times New Roman" w:cs="Arial"/>
                <w:b/>
                <w:bCs/>
                <w:sz w:val="20"/>
                <w:szCs w:val="20"/>
                <w:lang w:eastAsia="en-GB"/>
              </w:rPr>
            </w:pPr>
            <w:r w:rsidRPr="00472ABB">
              <w:rPr>
                <w:rFonts w:eastAsia="Times New Roman" w:cs="Arial"/>
                <w:b/>
                <w:bCs/>
                <w:sz w:val="20"/>
                <w:szCs w:val="20"/>
                <w:lang w:eastAsia="en-GB"/>
              </w:rPr>
              <w:t>Receipts from related party</w:t>
            </w:r>
          </w:p>
        </w:tc>
        <w:tc>
          <w:tcPr>
            <w:tcW w:w="1083" w:type="dxa"/>
            <w:tcBorders>
              <w:top w:val="nil"/>
              <w:left w:val="nil"/>
              <w:bottom w:val="nil"/>
              <w:right w:val="nil"/>
            </w:tcBorders>
            <w:shd w:val="clear" w:color="auto" w:fill="auto"/>
            <w:vAlign w:val="bottom"/>
            <w:hideMark/>
          </w:tcPr>
          <w:p w14:paraId="3280AEC0" w14:textId="77777777" w:rsidR="00472ABB" w:rsidRPr="00472ABB" w:rsidRDefault="00472ABB" w:rsidP="00472ABB">
            <w:pPr>
              <w:spacing w:before="0" w:after="0"/>
              <w:jc w:val="right"/>
              <w:rPr>
                <w:rFonts w:eastAsia="Times New Roman" w:cs="Arial"/>
                <w:b/>
                <w:bCs/>
                <w:sz w:val="20"/>
                <w:szCs w:val="20"/>
                <w:lang w:eastAsia="en-GB"/>
              </w:rPr>
            </w:pPr>
            <w:r w:rsidRPr="00472ABB">
              <w:rPr>
                <w:rFonts w:eastAsia="Times New Roman" w:cs="Arial"/>
                <w:b/>
                <w:bCs/>
                <w:sz w:val="20"/>
                <w:szCs w:val="20"/>
                <w:lang w:eastAsia="en-GB"/>
              </w:rPr>
              <w:t>Amounts owed to related party</w:t>
            </w:r>
          </w:p>
        </w:tc>
        <w:tc>
          <w:tcPr>
            <w:tcW w:w="1083" w:type="dxa"/>
            <w:tcBorders>
              <w:top w:val="nil"/>
              <w:left w:val="nil"/>
              <w:bottom w:val="nil"/>
              <w:right w:val="nil"/>
            </w:tcBorders>
            <w:shd w:val="clear" w:color="auto" w:fill="auto"/>
            <w:vAlign w:val="bottom"/>
            <w:hideMark/>
          </w:tcPr>
          <w:p w14:paraId="0DBCCA21" w14:textId="77777777" w:rsidR="00472ABB" w:rsidRPr="00472ABB" w:rsidRDefault="00472ABB" w:rsidP="00472ABB">
            <w:pPr>
              <w:spacing w:before="0" w:after="0"/>
              <w:jc w:val="right"/>
              <w:rPr>
                <w:rFonts w:eastAsia="Times New Roman" w:cs="Arial"/>
                <w:b/>
                <w:bCs/>
                <w:sz w:val="20"/>
                <w:szCs w:val="20"/>
                <w:lang w:eastAsia="en-GB"/>
              </w:rPr>
            </w:pPr>
            <w:r w:rsidRPr="00472ABB">
              <w:rPr>
                <w:rFonts w:eastAsia="Times New Roman" w:cs="Arial"/>
                <w:b/>
                <w:bCs/>
                <w:sz w:val="20"/>
                <w:szCs w:val="20"/>
                <w:lang w:eastAsia="en-GB"/>
              </w:rPr>
              <w:t>Amounts due from related party</w:t>
            </w:r>
          </w:p>
        </w:tc>
      </w:tr>
      <w:tr w:rsidR="00472ABB" w:rsidRPr="00472ABB" w14:paraId="6B113F7A" w14:textId="77777777" w:rsidTr="00472ABB">
        <w:trPr>
          <w:gridAfter w:val="1"/>
          <w:wAfter w:w="6" w:type="dxa"/>
          <w:trHeight w:val="360"/>
        </w:trPr>
        <w:tc>
          <w:tcPr>
            <w:tcW w:w="3686" w:type="dxa"/>
            <w:tcBorders>
              <w:top w:val="nil"/>
              <w:left w:val="nil"/>
              <w:bottom w:val="nil"/>
              <w:right w:val="nil"/>
            </w:tcBorders>
            <w:shd w:val="clear" w:color="auto" w:fill="auto"/>
            <w:noWrap/>
            <w:vAlign w:val="bottom"/>
            <w:hideMark/>
          </w:tcPr>
          <w:p w14:paraId="6F5C7229" w14:textId="77777777" w:rsidR="00472ABB" w:rsidRPr="00472ABB" w:rsidRDefault="00472ABB" w:rsidP="00472ABB">
            <w:pPr>
              <w:spacing w:before="0" w:after="0"/>
              <w:jc w:val="right"/>
              <w:rPr>
                <w:rFonts w:eastAsia="Times New Roman" w:cs="Arial"/>
                <w:b/>
                <w:bCs/>
                <w:sz w:val="20"/>
                <w:szCs w:val="20"/>
                <w:lang w:eastAsia="en-GB"/>
              </w:rPr>
            </w:pPr>
          </w:p>
        </w:tc>
        <w:tc>
          <w:tcPr>
            <w:tcW w:w="2977" w:type="dxa"/>
            <w:tcBorders>
              <w:top w:val="nil"/>
              <w:left w:val="nil"/>
              <w:bottom w:val="nil"/>
              <w:right w:val="nil"/>
            </w:tcBorders>
            <w:shd w:val="clear" w:color="auto" w:fill="auto"/>
            <w:noWrap/>
            <w:vAlign w:val="bottom"/>
            <w:hideMark/>
          </w:tcPr>
          <w:p w14:paraId="48947087"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161" w:type="dxa"/>
            <w:tcBorders>
              <w:top w:val="nil"/>
              <w:left w:val="nil"/>
              <w:bottom w:val="nil"/>
              <w:right w:val="nil"/>
            </w:tcBorders>
            <w:shd w:val="clear" w:color="auto" w:fill="auto"/>
            <w:noWrap/>
            <w:vAlign w:val="bottom"/>
            <w:hideMark/>
          </w:tcPr>
          <w:p w14:paraId="01ADB899" w14:textId="77777777" w:rsidR="00472ABB" w:rsidRPr="00472ABB" w:rsidRDefault="00472ABB" w:rsidP="00472ABB">
            <w:pPr>
              <w:spacing w:before="0" w:after="0"/>
              <w:jc w:val="right"/>
              <w:rPr>
                <w:rFonts w:eastAsia="Times New Roman" w:cs="Arial"/>
                <w:b/>
                <w:bCs/>
                <w:sz w:val="20"/>
                <w:szCs w:val="20"/>
                <w:lang w:eastAsia="en-GB"/>
              </w:rPr>
            </w:pPr>
            <w:r w:rsidRPr="00472ABB">
              <w:rPr>
                <w:rFonts w:eastAsia="Times New Roman" w:cs="Arial"/>
                <w:b/>
                <w:bCs/>
                <w:sz w:val="20"/>
                <w:szCs w:val="20"/>
                <w:lang w:eastAsia="en-GB"/>
              </w:rPr>
              <w:t>£'000</w:t>
            </w:r>
          </w:p>
        </w:tc>
        <w:tc>
          <w:tcPr>
            <w:tcW w:w="1050" w:type="dxa"/>
            <w:tcBorders>
              <w:top w:val="nil"/>
              <w:left w:val="nil"/>
              <w:bottom w:val="nil"/>
              <w:right w:val="nil"/>
            </w:tcBorders>
            <w:shd w:val="clear" w:color="auto" w:fill="auto"/>
            <w:noWrap/>
            <w:vAlign w:val="bottom"/>
            <w:hideMark/>
          </w:tcPr>
          <w:p w14:paraId="008F78FD" w14:textId="77777777" w:rsidR="00472ABB" w:rsidRPr="00472ABB" w:rsidRDefault="00472ABB" w:rsidP="00472ABB">
            <w:pPr>
              <w:spacing w:before="0" w:after="0"/>
              <w:jc w:val="right"/>
              <w:rPr>
                <w:rFonts w:eastAsia="Times New Roman" w:cs="Arial"/>
                <w:b/>
                <w:bCs/>
                <w:sz w:val="20"/>
                <w:szCs w:val="20"/>
                <w:lang w:eastAsia="en-GB"/>
              </w:rPr>
            </w:pPr>
            <w:r w:rsidRPr="00472ABB">
              <w:rPr>
                <w:rFonts w:eastAsia="Times New Roman" w:cs="Arial"/>
                <w:b/>
                <w:bCs/>
                <w:sz w:val="20"/>
                <w:szCs w:val="20"/>
                <w:lang w:eastAsia="en-GB"/>
              </w:rPr>
              <w:t>£'000</w:t>
            </w:r>
          </w:p>
        </w:tc>
        <w:tc>
          <w:tcPr>
            <w:tcW w:w="1083" w:type="dxa"/>
            <w:tcBorders>
              <w:top w:val="nil"/>
              <w:left w:val="nil"/>
              <w:bottom w:val="nil"/>
              <w:right w:val="nil"/>
            </w:tcBorders>
            <w:shd w:val="clear" w:color="auto" w:fill="auto"/>
            <w:noWrap/>
            <w:vAlign w:val="bottom"/>
            <w:hideMark/>
          </w:tcPr>
          <w:p w14:paraId="1B212641" w14:textId="77777777" w:rsidR="00472ABB" w:rsidRPr="00472ABB" w:rsidRDefault="00472ABB" w:rsidP="00472ABB">
            <w:pPr>
              <w:spacing w:before="0" w:after="0"/>
              <w:jc w:val="right"/>
              <w:rPr>
                <w:rFonts w:eastAsia="Times New Roman" w:cs="Arial"/>
                <w:b/>
                <w:bCs/>
                <w:sz w:val="20"/>
                <w:szCs w:val="20"/>
                <w:lang w:eastAsia="en-GB"/>
              </w:rPr>
            </w:pPr>
            <w:r w:rsidRPr="00472ABB">
              <w:rPr>
                <w:rFonts w:eastAsia="Times New Roman" w:cs="Arial"/>
                <w:b/>
                <w:bCs/>
                <w:sz w:val="20"/>
                <w:szCs w:val="20"/>
                <w:lang w:eastAsia="en-GB"/>
              </w:rPr>
              <w:t>£'000</w:t>
            </w:r>
          </w:p>
        </w:tc>
        <w:tc>
          <w:tcPr>
            <w:tcW w:w="1083" w:type="dxa"/>
            <w:tcBorders>
              <w:top w:val="nil"/>
              <w:left w:val="nil"/>
              <w:bottom w:val="nil"/>
              <w:right w:val="nil"/>
            </w:tcBorders>
            <w:shd w:val="clear" w:color="auto" w:fill="auto"/>
            <w:noWrap/>
            <w:vAlign w:val="bottom"/>
            <w:hideMark/>
          </w:tcPr>
          <w:p w14:paraId="61C559C2" w14:textId="77777777" w:rsidR="00472ABB" w:rsidRPr="00472ABB" w:rsidRDefault="00472ABB" w:rsidP="00472ABB">
            <w:pPr>
              <w:spacing w:before="0" w:after="0"/>
              <w:jc w:val="right"/>
              <w:rPr>
                <w:rFonts w:eastAsia="Times New Roman" w:cs="Arial"/>
                <w:b/>
                <w:bCs/>
                <w:sz w:val="20"/>
                <w:szCs w:val="20"/>
                <w:lang w:eastAsia="en-GB"/>
              </w:rPr>
            </w:pPr>
            <w:r w:rsidRPr="00472ABB">
              <w:rPr>
                <w:rFonts w:eastAsia="Times New Roman" w:cs="Arial"/>
                <w:b/>
                <w:bCs/>
                <w:sz w:val="20"/>
                <w:szCs w:val="20"/>
                <w:lang w:eastAsia="en-GB"/>
              </w:rPr>
              <w:t>£'000</w:t>
            </w:r>
          </w:p>
        </w:tc>
      </w:tr>
      <w:tr w:rsidR="00472ABB" w:rsidRPr="00472ABB" w14:paraId="658CDB82" w14:textId="77777777" w:rsidTr="00472ABB">
        <w:trPr>
          <w:gridAfter w:val="1"/>
          <w:wAfter w:w="6" w:type="dxa"/>
          <w:trHeight w:val="250"/>
        </w:trPr>
        <w:tc>
          <w:tcPr>
            <w:tcW w:w="3686" w:type="dxa"/>
            <w:tcBorders>
              <w:top w:val="single" w:sz="4" w:space="0" w:color="auto"/>
              <w:left w:val="single" w:sz="4" w:space="0" w:color="auto"/>
              <w:bottom w:val="single" w:sz="4" w:space="0" w:color="auto"/>
              <w:right w:val="nil"/>
            </w:tcBorders>
            <w:shd w:val="clear" w:color="auto" w:fill="auto"/>
            <w:noWrap/>
            <w:vAlign w:val="center"/>
            <w:hideMark/>
          </w:tcPr>
          <w:p w14:paraId="0FBD254F" w14:textId="77777777" w:rsidR="00472ABB" w:rsidRPr="00472ABB" w:rsidRDefault="00472ABB" w:rsidP="00472ABB">
            <w:pPr>
              <w:spacing w:before="0" w:after="0"/>
              <w:rPr>
                <w:rFonts w:eastAsia="Times New Roman" w:cs="Arial"/>
                <w:sz w:val="20"/>
                <w:szCs w:val="20"/>
                <w:lang w:eastAsia="en-GB"/>
              </w:rPr>
            </w:pPr>
            <w:r w:rsidRPr="00472ABB">
              <w:rPr>
                <w:rFonts w:eastAsia="Times New Roman" w:cs="Arial"/>
                <w:sz w:val="20"/>
                <w:szCs w:val="20"/>
                <w:lang w:eastAsia="en-GB"/>
              </w:rPr>
              <w:t>Coggeshall Surgery</w:t>
            </w:r>
          </w:p>
        </w:tc>
        <w:tc>
          <w:tcPr>
            <w:tcW w:w="2977" w:type="dxa"/>
            <w:tcBorders>
              <w:top w:val="single" w:sz="4" w:space="0" w:color="auto"/>
              <w:left w:val="nil"/>
              <w:bottom w:val="single" w:sz="4" w:space="0" w:color="auto"/>
              <w:right w:val="nil"/>
            </w:tcBorders>
            <w:shd w:val="clear" w:color="auto" w:fill="auto"/>
            <w:noWrap/>
            <w:vAlign w:val="center"/>
            <w:hideMark/>
          </w:tcPr>
          <w:p w14:paraId="664CF015" w14:textId="77777777" w:rsidR="00472ABB" w:rsidRPr="00472ABB" w:rsidRDefault="00472ABB" w:rsidP="00472ABB">
            <w:pPr>
              <w:spacing w:before="0" w:after="0"/>
              <w:rPr>
                <w:rFonts w:eastAsia="Times New Roman" w:cs="Arial"/>
                <w:sz w:val="20"/>
                <w:szCs w:val="20"/>
                <w:lang w:eastAsia="en-GB"/>
              </w:rPr>
            </w:pPr>
            <w:r w:rsidRPr="00472ABB">
              <w:rPr>
                <w:rFonts w:eastAsia="Times New Roman" w:cs="Arial"/>
                <w:sz w:val="20"/>
                <w:szCs w:val="20"/>
                <w:lang w:eastAsia="en-GB"/>
              </w:rPr>
              <w:t>Anna Davey, Primary Care Services Partner Member</w:t>
            </w:r>
          </w:p>
        </w:tc>
        <w:tc>
          <w:tcPr>
            <w:tcW w:w="1161" w:type="dxa"/>
            <w:tcBorders>
              <w:top w:val="single" w:sz="4" w:space="0" w:color="auto"/>
              <w:left w:val="nil"/>
              <w:bottom w:val="single" w:sz="4" w:space="0" w:color="auto"/>
              <w:right w:val="nil"/>
            </w:tcBorders>
            <w:shd w:val="clear" w:color="auto" w:fill="auto"/>
            <w:noWrap/>
            <w:vAlign w:val="center"/>
            <w:hideMark/>
          </w:tcPr>
          <w:p w14:paraId="30A35229" w14:textId="77777777" w:rsidR="00472ABB" w:rsidRPr="00472ABB" w:rsidRDefault="00472ABB" w:rsidP="00472ABB">
            <w:pPr>
              <w:spacing w:before="0" w:after="0"/>
              <w:jc w:val="center"/>
              <w:rPr>
                <w:rFonts w:eastAsia="Times New Roman" w:cs="Arial"/>
                <w:sz w:val="20"/>
                <w:szCs w:val="20"/>
                <w:lang w:eastAsia="en-GB"/>
              </w:rPr>
            </w:pPr>
            <w:r w:rsidRPr="00472ABB">
              <w:rPr>
                <w:rFonts w:eastAsia="Times New Roman" w:cs="Arial"/>
                <w:sz w:val="20"/>
                <w:szCs w:val="20"/>
                <w:lang w:eastAsia="en-GB"/>
              </w:rPr>
              <w:t xml:space="preserve">          876 </w:t>
            </w:r>
          </w:p>
        </w:tc>
        <w:tc>
          <w:tcPr>
            <w:tcW w:w="1050" w:type="dxa"/>
            <w:tcBorders>
              <w:top w:val="single" w:sz="4" w:space="0" w:color="auto"/>
              <w:left w:val="nil"/>
              <w:bottom w:val="single" w:sz="4" w:space="0" w:color="auto"/>
              <w:right w:val="nil"/>
            </w:tcBorders>
            <w:shd w:val="clear" w:color="auto" w:fill="auto"/>
            <w:noWrap/>
            <w:vAlign w:val="center"/>
            <w:hideMark/>
          </w:tcPr>
          <w:p w14:paraId="0493C464" w14:textId="77777777" w:rsidR="00472ABB" w:rsidRPr="00472ABB" w:rsidRDefault="00472ABB" w:rsidP="00472ABB">
            <w:pPr>
              <w:spacing w:before="0" w:after="0"/>
              <w:jc w:val="center"/>
              <w:rPr>
                <w:rFonts w:eastAsia="Times New Roman" w:cs="Arial"/>
                <w:sz w:val="20"/>
                <w:szCs w:val="20"/>
                <w:lang w:eastAsia="en-GB"/>
              </w:rPr>
            </w:pPr>
            <w:r w:rsidRPr="00472ABB">
              <w:rPr>
                <w:rFonts w:eastAsia="Times New Roman" w:cs="Arial"/>
                <w:sz w:val="20"/>
                <w:szCs w:val="20"/>
                <w:lang w:eastAsia="en-GB"/>
              </w:rPr>
              <w:t xml:space="preserve">            -   </w:t>
            </w:r>
          </w:p>
        </w:tc>
        <w:tc>
          <w:tcPr>
            <w:tcW w:w="1083" w:type="dxa"/>
            <w:tcBorders>
              <w:top w:val="single" w:sz="4" w:space="0" w:color="auto"/>
              <w:left w:val="nil"/>
              <w:bottom w:val="single" w:sz="4" w:space="0" w:color="auto"/>
              <w:right w:val="nil"/>
            </w:tcBorders>
            <w:shd w:val="clear" w:color="auto" w:fill="auto"/>
            <w:noWrap/>
            <w:vAlign w:val="center"/>
            <w:hideMark/>
          </w:tcPr>
          <w:p w14:paraId="33E1ED78" w14:textId="77777777" w:rsidR="00472ABB" w:rsidRPr="00472ABB" w:rsidRDefault="00472ABB" w:rsidP="00472ABB">
            <w:pPr>
              <w:spacing w:before="0" w:after="0"/>
              <w:jc w:val="center"/>
              <w:rPr>
                <w:rFonts w:eastAsia="Times New Roman" w:cs="Arial"/>
                <w:sz w:val="20"/>
                <w:szCs w:val="20"/>
                <w:lang w:eastAsia="en-GB"/>
              </w:rPr>
            </w:pPr>
            <w:r w:rsidRPr="00472ABB">
              <w:rPr>
                <w:rFonts w:eastAsia="Times New Roman" w:cs="Arial"/>
                <w:sz w:val="20"/>
                <w:szCs w:val="20"/>
                <w:lang w:eastAsia="en-GB"/>
              </w:rPr>
              <w:t xml:space="preserve">            -   </w:t>
            </w:r>
          </w:p>
        </w:tc>
        <w:tc>
          <w:tcPr>
            <w:tcW w:w="1083" w:type="dxa"/>
            <w:tcBorders>
              <w:top w:val="single" w:sz="4" w:space="0" w:color="auto"/>
              <w:left w:val="nil"/>
              <w:bottom w:val="single" w:sz="4" w:space="0" w:color="auto"/>
              <w:right w:val="single" w:sz="4" w:space="0" w:color="auto"/>
            </w:tcBorders>
            <w:shd w:val="clear" w:color="auto" w:fill="auto"/>
            <w:noWrap/>
            <w:vAlign w:val="center"/>
            <w:hideMark/>
          </w:tcPr>
          <w:p w14:paraId="7D5FF6D2" w14:textId="77777777" w:rsidR="00472ABB" w:rsidRPr="00472ABB" w:rsidRDefault="00472ABB" w:rsidP="00472ABB">
            <w:pPr>
              <w:spacing w:before="0" w:after="0"/>
              <w:jc w:val="center"/>
              <w:rPr>
                <w:rFonts w:eastAsia="Times New Roman" w:cs="Arial"/>
                <w:sz w:val="20"/>
                <w:szCs w:val="20"/>
                <w:lang w:eastAsia="en-GB"/>
              </w:rPr>
            </w:pPr>
            <w:r w:rsidRPr="00472ABB">
              <w:rPr>
                <w:rFonts w:eastAsia="Times New Roman" w:cs="Arial"/>
                <w:sz w:val="20"/>
                <w:szCs w:val="20"/>
                <w:lang w:eastAsia="en-GB"/>
              </w:rPr>
              <w:t xml:space="preserve">           -   </w:t>
            </w:r>
          </w:p>
        </w:tc>
      </w:tr>
      <w:tr w:rsidR="00472ABB" w:rsidRPr="00472ABB" w14:paraId="2CF269E6" w14:textId="77777777" w:rsidTr="00472ABB">
        <w:trPr>
          <w:gridAfter w:val="1"/>
          <w:wAfter w:w="6" w:type="dxa"/>
          <w:trHeight w:val="250"/>
        </w:trPr>
        <w:tc>
          <w:tcPr>
            <w:tcW w:w="3686" w:type="dxa"/>
            <w:tcBorders>
              <w:top w:val="nil"/>
              <w:left w:val="nil"/>
              <w:bottom w:val="nil"/>
              <w:right w:val="nil"/>
            </w:tcBorders>
            <w:shd w:val="clear" w:color="auto" w:fill="auto"/>
            <w:noWrap/>
            <w:vAlign w:val="center"/>
            <w:hideMark/>
          </w:tcPr>
          <w:p w14:paraId="67CE08EE" w14:textId="77777777" w:rsidR="00472ABB" w:rsidRPr="00472ABB" w:rsidRDefault="00472ABB" w:rsidP="00472ABB">
            <w:pPr>
              <w:spacing w:before="0" w:after="0"/>
              <w:jc w:val="center"/>
              <w:rPr>
                <w:rFonts w:eastAsia="Times New Roman" w:cs="Arial"/>
                <w:sz w:val="20"/>
                <w:szCs w:val="20"/>
                <w:lang w:eastAsia="en-GB"/>
              </w:rPr>
            </w:pPr>
          </w:p>
        </w:tc>
        <w:tc>
          <w:tcPr>
            <w:tcW w:w="2977" w:type="dxa"/>
            <w:tcBorders>
              <w:top w:val="nil"/>
              <w:left w:val="nil"/>
              <w:bottom w:val="nil"/>
              <w:right w:val="nil"/>
            </w:tcBorders>
            <w:shd w:val="clear" w:color="auto" w:fill="auto"/>
            <w:vAlign w:val="center"/>
            <w:hideMark/>
          </w:tcPr>
          <w:p w14:paraId="66397238"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161" w:type="dxa"/>
            <w:tcBorders>
              <w:top w:val="nil"/>
              <w:left w:val="nil"/>
              <w:bottom w:val="nil"/>
              <w:right w:val="nil"/>
            </w:tcBorders>
            <w:shd w:val="clear" w:color="auto" w:fill="auto"/>
            <w:noWrap/>
            <w:vAlign w:val="center"/>
            <w:hideMark/>
          </w:tcPr>
          <w:p w14:paraId="44DFAD6E"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noWrap/>
            <w:vAlign w:val="center"/>
            <w:hideMark/>
          </w:tcPr>
          <w:p w14:paraId="540D1BB1" w14:textId="77777777" w:rsidR="00472ABB" w:rsidRPr="00472ABB" w:rsidRDefault="00472ABB" w:rsidP="00472ABB">
            <w:pPr>
              <w:spacing w:before="0" w:after="0"/>
              <w:jc w:val="center"/>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15EC4120" w14:textId="77777777" w:rsidR="00472ABB" w:rsidRPr="00472ABB" w:rsidRDefault="00472ABB" w:rsidP="00472ABB">
            <w:pPr>
              <w:spacing w:before="0" w:after="0"/>
              <w:jc w:val="center"/>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238B2AB7" w14:textId="77777777" w:rsidR="00472ABB" w:rsidRPr="00472ABB" w:rsidRDefault="00472ABB" w:rsidP="00472ABB">
            <w:pPr>
              <w:spacing w:before="0" w:after="0"/>
              <w:jc w:val="center"/>
              <w:rPr>
                <w:rFonts w:ascii="Times New Roman" w:eastAsia="Times New Roman" w:hAnsi="Times New Roman" w:cs="Times New Roman"/>
                <w:sz w:val="20"/>
                <w:szCs w:val="20"/>
                <w:lang w:eastAsia="en-GB"/>
              </w:rPr>
            </w:pPr>
          </w:p>
        </w:tc>
      </w:tr>
      <w:tr w:rsidR="00472ABB" w:rsidRPr="00472ABB" w14:paraId="28AB42B9" w14:textId="77777777" w:rsidTr="00472ABB">
        <w:trPr>
          <w:gridAfter w:val="1"/>
          <w:wAfter w:w="6" w:type="dxa"/>
          <w:trHeight w:val="250"/>
        </w:trPr>
        <w:tc>
          <w:tcPr>
            <w:tcW w:w="3686" w:type="dxa"/>
            <w:tcBorders>
              <w:top w:val="nil"/>
              <w:left w:val="nil"/>
              <w:bottom w:val="nil"/>
              <w:right w:val="nil"/>
            </w:tcBorders>
            <w:shd w:val="clear" w:color="auto" w:fill="auto"/>
            <w:noWrap/>
            <w:vAlign w:val="center"/>
            <w:hideMark/>
          </w:tcPr>
          <w:p w14:paraId="6AD577F7" w14:textId="77777777" w:rsidR="00472ABB" w:rsidRPr="00472ABB" w:rsidRDefault="00472ABB" w:rsidP="00472ABB">
            <w:pPr>
              <w:spacing w:before="0" w:after="0"/>
              <w:jc w:val="center"/>
              <w:rPr>
                <w:rFonts w:ascii="Times New Roman" w:eastAsia="Times New Roman" w:hAnsi="Times New Roman" w:cs="Times New Roman"/>
                <w:sz w:val="20"/>
                <w:szCs w:val="20"/>
                <w:lang w:eastAsia="en-GB"/>
              </w:rPr>
            </w:pPr>
          </w:p>
        </w:tc>
        <w:tc>
          <w:tcPr>
            <w:tcW w:w="2977" w:type="dxa"/>
            <w:tcBorders>
              <w:top w:val="nil"/>
              <w:left w:val="nil"/>
              <w:bottom w:val="nil"/>
              <w:right w:val="nil"/>
            </w:tcBorders>
            <w:shd w:val="clear" w:color="auto" w:fill="auto"/>
            <w:vAlign w:val="center"/>
            <w:hideMark/>
          </w:tcPr>
          <w:p w14:paraId="1A682FA6"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161" w:type="dxa"/>
            <w:tcBorders>
              <w:top w:val="nil"/>
              <w:left w:val="nil"/>
              <w:bottom w:val="nil"/>
              <w:right w:val="nil"/>
            </w:tcBorders>
            <w:shd w:val="clear" w:color="auto" w:fill="auto"/>
            <w:noWrap/>
            <w:vAlign w:val="center"/>
            <w:hideMark/>
          </w:tcPr>
          <w:p w14:paraId="29F8C2F5"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noWrap/>
            <w:vAlign w:val="center"/>
            <w:hideMark/>
          </w:tcPr>
          <w:p w14:paraId="475BE7B4" w14:textId="77777777" w:rsidR="00472ABB" w:rsidRPr="00472ABB" w:rsidRDefault="00472ABB" w:rsidP="00472ABB">
            <w:pPr>
              <w:spacing w:before="0" w:after="0"/>
              <w:jc w:val="center"/>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2BD4AECC" w14:textId="77777777" w:rsidR="00472ABB" w:rsidRPr="00472ABB" w:rsidRDefault="00472ABB" w:rsidP="00472ABB">
            <w:pPr>
              <w:spacing w:before="0" w:after="0"/>
              <w:jc w:val="center"/>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194289C0" w14:textId="77777777" w:rsidR="00472ABB" w:rsidRPr="00472ABB" w:rsidRDefault="00472ABB" w:rsidP="00472ABB">
            <w:pPr>
              <w:spacing w:before="0" w:after="0"/>
              <w:jc w:val="center"/>
              <w:rPr>
                <w:rFonts w:ascii="Times New Roman" w:eastAsia="Times New Roman" w:hAnsi="Times New Roman" w:cs="Times New Roman"/>
                <w:sz w:val="20"/>
                <w:szCs w:val="20"/>
                <w:lang w:eastAsia="en-GB"/>
              </w:rPr>
            </w:pPr>
          </w:p>
        </w:tc>
      </w:tr>
      <w:tr w:rsidR="00472ABB" w:rsidRPr="00472ABB" w14:paraId="06DCB58E" w14:textId="77777777" w:rsidTr="00472ABB">
        <w:trPr>
          <w:trHeight w:val="260"/>
        </w:trPr>
        <w:tc>
          <w:tcPr>
            <w:tcW w:w="11046" w:type="dxa"/>
            <w:gridSpan w:val="7"/>
            <w:tcBorders>
              <w:top w:val="nil"/>
              <w:left w:val="nil"/>
              <w:bottom w:val="nil"/>
              <w:right w:val="nil"/>
            </w:tcBorders>
            <w:shd w:val="clear" w:color="000000" w:fill="FFFFFF"/>
            <w:noWrap/>
            <w:vAlign w:val="bottom"/>
            <w:hideMark/>
          </w:tcPr>
          <w:p w14:paraId="2C1A452E" w14:textId="5B29A272" w:rsidR="00472ABB" w:rsidRPr="00472ABB" w:rsidRDefault="00472ABB" w:rsidP="00472ABB">
            <w:pPr>
              <w:spacing w:before="0" w:after="0"/>
              <w:rPr>
                <w:rFonts w:ascii="Times New Roman" w:eastAsia="Times New Roman" w:hAnsi="Times New Roman" w:cs="Times New Roman"/>
                <w:sz w:val="20"/>
                <w:szCs w:val="20"/>
                <w:lang w:eastAsia="en-GB"/>
              </w:rPr>
            </w:pPr>
            <w:r w:rsidRPr="00472ABB">
              <w:rPr>
                <w:rFonts w:eastAsia="Times New Roman" w:cs="Arial"/>
                <w:b/>
                <w:bCs/>
                <w:sz w:val="20"/>
                <w:szCs w:val="20"/>
                <w:lang w:eastAsia="en-GB"/>
              </w:rPr>
              <w:t>Part Four - Material transactions in relation to Department of Health and Social Care Bodies</w:t>
            </w:r>
          </w:p>
        </w:tc>
      </w:tr>
      <w:tr w:rsidR="00472ABB" w:rsidRPr="00472ABB" w14:paraId="020C3B8F" w14:textId="77777777" w:rsidTr="00472ABB">
        <w:trPr>
          <w:trHeight w:val="550"/>
        </w:trPr>
        <w:tc>
          <w:tcPr>
            <w:tcW w:w="11046" w:type="dxa"/>
            <w:gridSpan w:val="7"/>
            <w:tcBorders>
              <w:top w:val="nil"/>
              <w:left w:val="nil"/>
              <w:bottom w:val="nil"/>
              <w:right w:val="nil"/>
            </w:tcBorders>
            <w:shd w:val="clear" w:color="auto" w:fill="auto"/>
            <w:vAlign w:val="center"/>
            <w:hideMark/>
          </w:tcPr>
          <w:p w14:paraId="4321C841" w14:textId="77777777" w:rsidR="00472ABB" w:rsidRPr="00472ABB" w:rsidRDefault="00472ABB" w:rsidP="00472ABB">
            <w:pPr>
              <w:spacing w:before="0" w:after="0"/>
              <w:rPr>
                <w:rFonts w:eastAsia="Times New Roman" w:cs="Arial"/>
                <w:color w:val="000000"/>
                <w:sz w:val="20"/>
                <w:szCs w:val="20"/>
                <w:lang w:eastAsia="en-GB"/>
              </w:rPr>
            </w:pPr>
            <w:r w:rsidRPr="00472ABB">
              <w:rPr>
                <w:rFonts w:eastAsia="Times New Roman" w:cs="Arial"/>
                <w:color w:val="000000"/>
                <w:sz w:val="20"/>
                <w:szCs w:val="20"/>
                <w:lang w:eastAsia="en-GB"/>
              </w:rPr>
              <w:t>The Department of Health is regarded as a related party. During the year the ICB has had a significant number of material transactions with entities for which the Department is regarded as the parent Department:</w:t>
            </w:r>
          </w:p>
        </w:tc>
      </w:tr>
      <w:tr w:rsidR="00472ABB" w:rsidRPr="00472ABB" w14:paraId="51ABCC7F" w14:textId="77777777" w:rsidTr="00472ABB">
        <w:trPr>
          <w:gridAfter w:val="1"/>
          <w:wAfter w:w="6" w:type="dxa"/>
          <w:trHeight w:val="120"/>
        </w:trPr>
        <w:tc>
          <w:tcPr>
            <w:tcW w:w="3686" w:type="dxa"/>
            <w:tcBorders>
              <w:top w:val="nil"/>
              <w:left w:val="nil"/>
              <w:bottom w:val="nil"/>
              <w:right w:val="nil"/>
            </w:tcBorders>
            <w:shd w:val="clear" w:color="auto" w:fill="auto"/>
            <w:noWrap/>
            <w:vAlign w:val="bottom"/>
            <w:hideMark/>
          </w:tcPr>
          <w:p w14:paraId="2A559D8A" w14:textId="77777777" w:rsidR="00472ABB" w:rsidRPr="00472ABB" w:rsidRDefault="00472ABB" w:rsidP="00472ABB">
            <w:pPr>
              <w:spacing w:before="0" w:after="0"/>
              <w:rPr>
                <w:rFonts w:eastAsia="Times New Roman" w:cs="Arial"/>
                <w:color w:val="000000"/>
                <w:sz w:val="20"/>
                <w:szCs w:val="20"/>
                <w:lang w:eastAsia="en-GB"/>
              </w:rPr>
            </w:pPr>
          </w:p>
        </w:tc>
        <w:tc>
          <w:tcPr>
            <w:tcW w:w="2977" w:type="dxa"/>
            <w:tcBorders>
              <w:top w:val="nil"/>
              <w:left w:val="nil"/>
              <w:bottom w:val="nil"/>
              <w:right w:val="nil"/>
            </w:tcBorders>
            <w:shd w:val="clear" w:color="auto" w:fill="auto"/>
            <w:noWrap/>
            <w:vAlign w:val="bottom"/>
            <w:hideMark/>
          </w:tcPr>
          <w:p w14:paraId="318980A4"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161" w:type="dxa"/>
            <w:tcBorders>
              <w:top w:val="nil"/>
              <w:left w:val="nil"/>
              <w:bottom w:val="nil"/>
              <w:right w:val="nil"/>
            </w:tcBorders>
            <w:shd w:val="clear" w:color="auto" w:fill="auto"/>
            <w:noWrap/>
            <w:vAlign w:val="bottom"/>
            <w:hideMark/>
          </w:tcPr>
          <w:p w14:paraId="0318E554"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noWrap/>
            <w:vAlign w:val="bottom"/>
            <w:hideMark/>
          </w:tcPr>
          <w:p w14:paraId="6D228182"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bottom"/>
            <w:hideMark/>
          </w:tcPr>
          <w:p w14:paraId="5FCF48B2"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bottom"/>
            <w:hideMark/>
          </w:tcPr>
          <w:p w14:paraId="2E24B7CC"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r>
      <w:tr w:rsidR="00472ABB" w:rsidRPr="00472ABB" w14:paraId="39E9CF45" w14:textId="77777777" w:rsidTr="00472ABB">
        <w:trPr>
          <w:gridAfter w:val="1"/>
          <w:wAfter w:w="6" w:type="dxa"/>
          <w:trHeight w:val="250"/>
        </w:trPr>
        <w:tc>
          <w:tcPr>
            <w:tcW w:w="6663" w:type="dxa"/>
            <w:gridSpan w:val="2"/>
            <w:tcBorders>
              <w:top w:val="nil"/>
              <w:left w:val="nil"/>
              <w:bottom w:val="nil"/>
              <w:right w:val="nil"/>
            </w:tcBorders>
            <w:shd w:val="clear" w:color="auto" w:fill="auto"/>
            <w:noWrap/>
            <w:vAlign w:val="center"/>
            <w:hideMark/>
          </w:tcPr>
          <w:p w14:paraId="46D1179A" w14:textId="77777777" w:rsidR="00472ABB" w:rsidRPr="00472ABB" w:rsidRDefault="00472ABB" w:rsidP="00472ABB">
            <w:pPr>
              <w:spacing w:before="0" w:after="0"/>
              <w:ind w:firstLineChars="100" w:firstLine="200"/>
              <w:rPr>
                <w:rFonts w:eastAsia="Times New Roman" w:cs="Arial"/>
                <w:color w:val="000000"/>
                <w:sz w:val="20"/>
                <w:szCs w:val="20"/>
                <w:lang w:eastAsia="en-GB"/>
              </w:rPr>
            </w:pPr>
            <w:r w:rsidRPr="00472ABB">
              <w:rPr>
                <w:rFonts w:eastAsia="Times New Roman" w:cs="Arial"/>
                <w:color w:val="000000"/>
                <w:sz w:val="20"/>
                <w:szCs w:val="20"/>
                <w:lang w:eastAsia="en-GB"/>
              </w:rPr>
              <w:t>Barking, Havering &amp; Redbridge University Hospitals NHS Trust</w:t>
            </w:r>
          </w:p>
        </w:tc>
        <w:tc>
          <w:tcPr>
            <w:tcW w:w="1161" w:type="dxa"/>
            <w:tcBorders>
              <w:top w:val="nil"/>
              <w:left w:val="nil"/>
              <w:bottom w:val="nil"/>
              <w:right w:val="nil"/>
            </w:tcBorders>
            <w:shd w:val="clear" w:color="auto" w:fill="auto"/>
            <w:noWrap/>
            <w:vAlign w:val="center"/>
            <w:hideMark/>
          </w:tcPr>
          <w:p w14:paraId="5E834543" w14:textId="77777777" w:rsidR="00472ABB" w:rsidRPr="00472ABB" w:rsidRDefault="00472ABB" w:rsidP="00472ABB">
            <w:pPr>
              <w:spacing w:before="0" w:after="0"/>
              <w:ind w:firstLineChars="100" w:firstLine="200"/>
              <w:rPr>
                <w:rFonts w:eastAsia="Times New Roman" w:cs="Arial"/>
                <w:color w:val="000000"/>
                <w:sz w:val="20"/>
                <w:szCs w:val="20"/>
                <w:lang w:eastAsia="en-GB"/>
              </w:rPr>
            </w:pPr>
          </w:p>
        </w:tc>
        <w:tc>
          <w:tcPr>
            <w:tcW w:w="1050" w:type="dxa"/>
            <w:tcBorders>
              <w:top w:val="nil"/>
              <w:left w:val="nil"/>
              <w:bottom w:val="nil"/>
              <w:right w:val="nil"/>
            </w:tcBorders>
            <w:shd w:val="clear" w:color="auto" w:fill="auto"/>
            <w:noWrap/>
            <w:vAlign w:val="center"/>
            <w:hideMark/>
          </w:tcPr>
          <w:p w14:paraId="6D04FEC4"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73AEA6D4"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0E42F626"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r>
      <w:tr w:rsidR="00472ABB" w:rsidRPr="00472ABB" w14:paraId="4172E7E6" w14:textId="77777777" w:rsidTr="00472ABB">
        <w:trPr>
          <w:gridAfter w:val="1"/>
          <w:wAfter w:w="6" w:type="dxa"/>
          <w:trHeight w:val="250"/>
        </w:trPr>
        <w:tc>
          <w:tcPr>
            <w:tcW w:w="3686" w:type="dxa"/>
            <w:tcBorders>
              <w:top w:val="nil"/>
              <w:left w:val="nil"/>
              <w:bottom w:val="nil"/>
              <w:right w:val="nil"/>
            </w:tcBorders>
            <w:shd w:val="clear" w:color="auto" w:fill="auto"/>
            <w:noWrap/>
            <w:vAlign w:val="center"/>
            <w:hideMark/>
          </w:tcPr>
          <w:p w14:paraId="59C15E22" w14:textId="77777777" w:rsidR="00472ABB" w:rsidRPr="00472ABB" w:rsidRDefault="00472ABB" w:rsidP="00472ABB">
            <w:pPr>
              <w:spacing w:before="0" w:after="0"/>
              <w:ind w:firstLineChars="100" w:firstLine="200"/>
              <w:rPr>
                <w:rFonts w:eastAsia="Times New Roman" w:cs="Arial"/>
                <w:color w:val="000000"/>
                <w:sz w:val="20"/>
                <w:szCs w:val="20"/>
                <w:lang w:eastAsia="en-GB"/>
              </w:rPr>
            </w:pPr>
            <w:r w:rsidRPr="00472ABB">
              <w:rPr>
                <w:rFonts w:eastAsia="Times New Roman" w:cs="Arial"/>
                <w:color w:val="000000"/>
                <w:sz w:val="20"/>
                <w:szCs w:val="20"/>
                <w:lang w:eastAsia="en-GB"/>
              </w:rPr>
              <w:t>Barts and the London NHS Trust</w:t>
            </w:r>
          </w:p>
        </w:tc>
        <w:tc>
          <w:tcPr>
            <w:tcW w:w="2977" w:type="dxa"/>
            <w:tcBorders>
              <w:top w:val="nil"/>
              <w:left w:val="nil"/>
              <w:bottom w:val="nil"/>
              <w:right w:val="nil"/>
            </w:tcBorders>
            <w:shd w:val="clear" w:color="auto" w:fill="auto"/>
            <w:noWrap/>
            <w:vAlign w:val="center"/>
            <w:hideMark/>
          </w:tcPr>
          <w:p w14:paraId="6A4536E9" w14:textId="77777777" w:rsidR="00472ABB" w:rsidRPr="00472ABB" w:rsidRDefault="00472ABB" w:rsidP="00472ABB">
            <w:pPr>
              <w:spacing w:before="0" w:after="0"/>
              <w:ind w:firstLineChars="100" w:firstLine="200"/>
              <w:rPr>
                <w:rFonts w:eastAsia="Times New Roman" w:cs="Arial"/>
                <w:color w:val="000000"/>
                <w:sz w:val="20"/>
                <w:szCs w:val="20"/>
                <w:lang w:eastAsia="en-GB"/>
              </w:rPr>
            </w:pPr>
          </w:p>
        </w:tc>
        <w:tc>
          <w:tcPr>
            <w:tcW w:w="1161" w:type="dxa"/>
            <w:tcBorders>
              <w:top w:val="nil"/>
              <w:left w:val="nil"/>
              <w:bottom w:val="nil"/>
              <w:right w:val="nil"/>
            </w:tcBorders>
            <w:shd w:val="clear" w:color="auto" w:fill="auto"/>
            <w:noWrap/>
            <w:vAlign w:val="center"/>
            <w:hideMark/>
          </w:tcPr>
          <w:p w14:paraId="7C586C72" w14:textId="77777777" w:rsidR="00472ABB" w:rsidRPr="00472ABB" w:rsidRDefault="00472ABB" w:rsidP="00472ABB">
            <w:pPr>
              <w:spacing w:before="0" w:after="0"/>
              <w:ind w:firstLineChars="100" w:firstLine="200"/>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noWrap/>
            <w:vAlign w:val="center"/>
            <w:hideMark/>
          </w:tcPr>
          <w:p w14:paraId="67454F84"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69086FC4"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03B492DD"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r>
      <w:tr w:rsidR="00472ABB" w:rsidRPr="00472ABB" w14:paraId="4D39A650" w14:textId="77777777" w:rsidTr="00160A04">
        <w:trPr>
          <w:gridAfter w:val="1"/>
          <w:wAfter w:w="6" w:type="dxa"/>
          <w:trHeight w:val="250"/>
        </w:trPr>
        <w:tc>
          <w:tcPr>
            <w:tcW w:w="6663" w:type="dxa"/>
            <w:gridSpan w:val="2"/>
            <w:tcBorders>
              <w:top w:val="nil"/>
              <w:left w:val="nil"/>
              <w:bottom w:val="nil"/>
              <w:right w:val="nil"/>
            </w:tcBorders>
            <w:shd w:val="clear" w:color="auto" w:fill="auto"/>
            <w:noWrap/>
            <w:vAlign w:val="center"/>
            <w:hideMark/>
          </w:tcPr>
          <w:p w14:paraId="134E1245" w14:textId="42219A57" w:rsidR="00472ABB" w:rsidRPr="00472ABB" w:rsidRDefault="00472ABB" w:rsidP="00472ABB">
            <w:pPr>
              <w:spacing w:before="0" w:after="0"/>
              <w:ind w:firstLineChars="100" w:firstLine="200"/>
              <w:rPr>
                <w:rFonts w:eastAsia="Times New Roman" w:cs="Arial"/>
                <w:color w:val="000000"/>
                <w:sz w:val="20"/>
                <w:szCs w:val="20"/>
                <w:lang w:eastAsia="en-GB"/>
              </w:rPr>
            </w:pPr>
            <w:r w:rsidRPr="00472ABB">
              <w:rPr>
                <w:rFonts w:eastAsia="Times New Roman" w:cs="Arial"/>
                <w:color w:val="000000"/>
                <w:sz w:val="20"/>
                <w:szCs w:val="20"/>
                <w:lang w:eastAsia="en-GB"/>
              </w:rPr>
              <w:t>East of England Ambulance Service NHS Trust</w:t>
            </w:r>
          </w:p>
        </w:tc>
        <w:tc>
          <w:tcPr>
            <w:tcW w:w="1161" w:type="dxa"/>
            <w:tcBorders>
              <w:top w:val="nil"/>
              <w:left w:val="nil"/>
              <w:bottom w:val="nil"/>
              <w:right w:val="nil"/>
            </w:tcBorders>
            <w:shd w:val="clear" w:color="auto" w:fill="auto"/>
            <w:noWrap/>
            <w:vAlign w:val="center"/>
            <w:hideMark/>
          </w:tcPr>
          <w:p w14:paraId="351F9F55" w14:textId="77777777" w:rsidR="00472ABB" w:rsidRPr="00472ABB" w:rsidRDefault="00472ABB" w:rsidP="00472ABB">
            <w:pPr>
              <w:spacing w:before="0" w:after="0"/>
              <w:ind w:firstLineChars="100" w:firstLine="200"/>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noWrap/>
            <w:vAlign w:val="center"/>
            <w:hideMark/>
          </w:tcPr>
          <w:p w14:paraId="1930578C"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6E9B5D43"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5955D783"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r>
      <w:tr w:rsidR="00472ABB" w:rsidRPr="00472ABB" w14:paraId="7310AA20" w14:textId="77777777" w:rsidTr="000534BC">
        <w:trPr>
          <w:gridAfter w:val="1"/>
          <w:wAfter w:w="6" w:type="dxa"/>
          <w:trHeight w:val="250"/>
        </w:trPr>
        <w:tc>
          <w:tcPr>
            <w:tcW w:w="6663" w:type="dxa"/>
            <w:gridSpan w:val="2"/>
            <w:tcBorders>
              <w:top w:val="nil"/>
              <w:left w:val="nil"/>
              <w:bottom w:val="nil"/>
              <w:right w:val="nil"/>
            </w:tcBorders>
            <w:shd w:val="clear" w:color="auto" w:fill="auto"/>
            <w:noWrap/>
            <w:vAlign w:val="center"/>
            <w:hideMark/>
          </w:tcPr>
          <w:p w14:paraId="307C9010" w14:textId="6F1AEE6A" w:rsidR="00472ABB" w:rsidRPr="00472ABB" w:rsidRDefault="00472ABB" w:rsidP="00472ABB">
            <w:pPr>
              <w:spacing w:before="0" w:after="0"/>
              <w:ind w:firstLineChars="100" w:firstLine="200"/>
              <w:rPr>
                <w:rFonts w:eastAsia="Times New Roman" w:cs="Arial"/>
                <w:color w:val="000000"/>
                <w:sz w:val="20"/>
                <w:szCs w:val="20"/>
                <w:lang w:eastAsia="en-GB"/>
              </w:rPr>
            </w:pPr>
            <w:r w:rsidRPr="00472ABB">
              <w:rPr>
                <w:rFonts w:eastAsia="Times New Roman" w:cs="Arial"/>
                <w:color w:val="000000"/>
                <w:sz w:val="20"/>
                <w:szCs w:val="20"/>
                <w:lang w:eastAsia="en-GB"/>
              </w:rPr>
              <w:t>East Suffolk and North Essex NHS FT</w:t>
            </w:r>
          </w:p>
        </w:tc>
        <w:tc>
          <w:tcPr>
            <w:tcW w:w="1161" w:type="dxa"/>
            <w:tcBorders>
              <w:top w:val="nil"/>
              <w:left w:val="nil"/>
              <w:bottom w:val="nil"/>
              <w:right w:val="nil"/>
            </w:tcBorders>
            <w:shd w:val="clear" w:color="auto" w:fill="auto"/>
            <w:noWrap/>
            <w:vAlign w:val="center"/>
            <w:hideMark/>
          </w:tcPr>
          <w:p w14:paraId="35AF86BC" w14:textId="77777777" w:rsidR="00472ABB" w:rsidRPr="00472ABB" w:rsidRDefault="00472ABB" w:rsidP="00472ABB">
            <w:pPr>
              <w:spacing w:before="0" w:after="0"/>
              <w:ind w:firstLineChars="100" w:firstLine="200"/>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noWrap/>
            <w:vAlign w:val="center"/>
            <w:hideMark/>
          </w:tcPr>
          <w:p w14:paraId="29D0BABB"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47986902"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3D0139BC"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r>
      <w:tr w:rsidR="00472ABB" w:rsidRPr="00472ABB" w14:paraId="5A0F41A3" w14:textId="77777777" w:rsidTr="004024A6">
        <w:trPr>
          <w:gridAfter w:val="1"/>
          <w:wAfter w:w="6" w:type="dxa"/>
          <w:trHeight w:val="250"/>
        </w:trPr>
        <w:tc>
          <w:tcPr>
            <w:tcW w:w="6663" w:type="dxa"/>
            <w:gridSpan w:val="2"/>
            <w:tcBorders>
              <w:top w:val="nil"/>
              <w:left w:val="nil"/>
              <w:bottom w:val="nil"/>
              <w:right w:val="nil"/>
            </w:tcBorders>
            <w:shd w:val="clear" w:color="auto" w:fill="auto"/>
            <w:noWrap/>
            <w:vAlign w:val="center"/>
            <w:hideMark/>
          </w:tcPr>
          <w:p w14:paraId="0DCD6D41" w14:textId="1CC317E3" w:rsidR="00472ABB" w:rsidRPr="00472ABB" w:rsidRDefault="00472ABB" w:rsidP="00472ABB">
            <w:pPr>
              <w:spacing w:before="0" w:after="0"/>
              <w:ind w:firstLineChars="100" w:firstLine="200"/>
              <w:rPr>
                <w:rFonts w:eastAsia="Times New Roman" w:cs="Arial"/>
                <w:color w:val="000000"/>
                <w:sz w:val="20"/>
                <w:szCs w:val="20"/>
                <w:lang w:eastAsia="en-GB"/>
              </w:rPr>
            </w:pPr>
            <w:r w:rsidRPr="00472ABB">
              <w:rPr>
                <w:rFonts w:eastAsia="Times New Roman" w:cs="Arial"/>
                <w:color w:val="000000"/>
                <w:sz w:val="20"/>
                <w:szCs w:val="20"/>
                <w:lang w:eastAsia="en-GB"/>
              </w:rPr>
              <w:t>Essex Partnership University NHS FT</w:t>
            </w:r>
          </w:p>
        </w:tc>
        <w:tc>
          <w:tcPr>
            <w:tcW w:w="1161" w:type="dxa"/>
            <w:tcBorders>
              <w:top w:val="nil"/>
              <w:left w:val="nil"/>
              <w:bottom w:val="nil"/>
              <w:right w:val="nil"/>
            </w:tcBorders>
            <w:shd w:val="clear" w:color="auto" w:fill="auto"/>
            <w:noWrap/>
            <w:vAlign w:val="center"/>
            <w:hideMark/>
          </w:tcPr>
          <w:p w14:paraId="1CE4FD21" w14:textId="77777777" w:rsidR="00472ABB" w:rsidRPr="00472ABB" w:rsidRDefault="00472ABB" w:rsidP="00472ABB">
            <w:pPr>
              <w:spacing w:before="0" w:after="0"/>
              <w:ind w:firstLineChars="100" w:firstLine="200"/>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noWrap/>
            <w:vAlign w:val="center"/>
            <w:hideMark/>
          </w:tcPr>
          <w:p w14:paraId="17CF9C67"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12AFE4DA"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00EB32FA"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r>
      <w:tr w:rsidR="00472ABB" w:rsidRPr="00472ABB" w14:paraId="0D14567A" w14:textId="77777777" w:rsidTr="000F6D70">
        <w:trPr>
          <w:gridAfter w:val="1"/>
          <w:wAfter w:w="6" w:type="dxa"/>
          <w:trHeight w:val="250"/>
        </w:trPr>
        <w:tc>
          <w:tcPr>
            <w:tcW w:w="6663" w:type="dxa"/>
            <w:gridSpan w:val="2"/>
            <w:tcBorders>
              <w:top w:val="nil"/>
              <w:left w:val="nil"/>
              <w:bottom w:val="nil"/>
              <w:right w:val="nil"/>
            </w:tcBorders>
            <w:shd w:val="clear" w:color="auto" w:fill="auto"/>
            <w:noWrap/>
            <w:vAlign w:val="center"/>
            <w:hideMark/>
          </w:tcPr>
          <w:p w14:paraId="7B50E53B" w14:textId="104A505D" w:rsidR="00472ABB" w:rsidRPr="00472ABB" w:rsidRDefault="00472ABB" w:rsidP="00472ABB">
            <w:pPr>
              <w:spacing w:before="0" w:after="0"/>
              <w:ind w:firstLineChars="100" w:firstLine="200"/>
              <w:rPr>
                <w:rFonts w:eastAsia="Times New Roman" w:cs="Arial"/>
                <w:color w:val="000000"/>
                <w:sz w:val="20"/>
                <w:szCs w:val="20"/>
                <w:lang w:eastAsia="en-GB"/>
              </w:rPr>
            </w:pPr>
            <w:r w:rsidRPr="00472ABB">
              <w:rPr>
                <w:rFonts w:eastAsia="Times New Roman" w:cs="Arial"/>
                <w:color w:val="000000"/>
                <w:sz w:val="20"/>
                <w:szCs w:val="20"/>
                <w:lang w:eastAsia="en-GB"/>
              </w:rPr>
              <w:t>Hertfordshire Partnership University NHS FT</w:t>
            </w:r>
          </w:p>
        </w:tc>
        <w:tc>
          <w:tcPr>
            <w:tcW w:w="1161" w:type="dxa"/>
            <w:tcBorders>
              <w:top w:val="nil"/>
              <w:left w:val="nil"/>
              <w:bottom w:val="nil"/>
              <w:right w:val="nil"/>
            </w:tcBorders>
            <w:shd w:val="clear" w:color="auto" w:fill="auto"/>
            <w:noWrap/>
            <w:vAlign w:val="center"/>
            <w:hideMark/>
          </w:tcPr>
          <w:p w14:paraId="69770ACE" w14:textId="77777777" w:rsidR="00472ABB" w:rsidRPr="00472ABB" w:rsidRDefault="00472ABB" w:rsidP="00472ABB">
            <w:pPr>
              <w:spacing w:before="0" w:after="0"/>
              <w:ind w:firstLineChars="100" w:firstLine="200"/>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noWrap/>
            <w:vAlign w:val="center"/>
            <w:hideMark/>
          </w:tcPr>
          <w:p w14:paraId="16E68324"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2441AAAF"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063DD4AB"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r>
      <w:tr w:rsidR="00472ABB" w:rsidRPr="00472ABB" w14:paraId="3A70F054" w14:textId="77777777" w:rsidTr="00472ABB">
        <w:trPr>
          <w:gridAfter w:val="1"/>
          <w:wAfter w:w="6" w:type="dxa"/>
          <w:trHeight w:val="250"/>
        </w:trPr>
        <w:tc>
          <w:tcPr>
            <w:tcW w:w="3686" w:type="dxa"/>
            <w:tcBorders>
              <w:top w:val="nil"/>
              <w:left w:val="nil"/>
              <w:bottom w:val="nil"/>
              <w:right w:val="nil"/>
            </w:tcBorders>
            <w:shd w:val="clear" w:color="auto" w:fill="auto"/>
            <w:noWrap/>
            <w:vAlign w:val="center"/>
            <w:hideMark/>
          </w:tcPr>
          <w:p w14:paraId="60463C31" w14:textId="77777777" w:rsidR="00472ABB" w:rsidRPr="00472ABB" w:rsidRDefault="00472ABB" w:rsidP="00472ABB">
            <w:pPr>
              <w:spacing w:before="0" w:after="0"/>
              <w:ind w:firstLineChars="100" w:firstLine="200"/>
              <w:rPr>
                <w:rFonts w:eastAsia="Times New Roman" w:cs="Arial"/>
                <w:color w:val="000000"/>
                <w:sz w:val="20"/>
                <w:szCs w:val="20"/>
                <w:lang w:eastAsia="en-GB"/>
              </w:rPr>
            </w:pPr>
            <w:r w:rsidRPr="00472ABB">
              <w:rPr>
                <w:rFonts w:eastAsia="Times New Roman" w:cs="Arial"/>
                <w:color w:val="000000"/>
                <w:sz w:val="20"/>
                <w:szCs w:val="20"/>
                <w:lang w:eastAsia="en-GB"/>
              </w:rPr>
              <w:t>Mid and South Essex NHS FT</w:t>
            </w:r>
          </w:p>
        </w:tc>
        <w:tc>
          <w:tcPr>
            <w:tcW w:w="2977" w:type="dxa"/>
            <w:tcBorders>
              <w:top w:val="nil"/>
              <w:left w:val="nil"/>
              <w:bottom w:val="nil"/>
              <w:right w:val="nil"/>
            </w:tcBorders>
            <w:shd w:val="clear" w:color="auto" w:fill="auto"/>
            <w:noWrap/>
            <w:vAlign w:val="center"/>
            <w:hideMark/>
          </w:tcPr>
          <w:p w14:paraId="018014A6" w14:textId="77777777" w:rsidR="00472ABB" w:rsidRPr="00472ABB" w:rsidRDefault="00472ABB" w:rsidP="00472ABB">
            <w:pPr>
              <w:spacing w:before="0" w:after="0"/>
              <w:ind w:firstLineChars="100" w:firstLine="200"/>
              <w:rPr>
                <w:rFonts w:eastAsia="Times New Roman" w:cs="Arial"/>
                <w:color w:val="000000"/>
                <w:sz w:val="20"/>
                <w:szCs w:val="20"/>
                <w:lang w:eastAsia="en-GB"/>
              </w:rPr>
            </w:pPr>
          </w:p>
        </w:tc>
        <w:tc>
          <w:tcPr>
            <w:tcW w:w="1161" w:type="dxa"/>
            <w:tcBorders>
              <w:top w:val="nil"/>
              <w:left w:val="nil"/>
              <w:bottom w:val="nil"/>
              <w:right w:val="nil"/>
            </w:tcBorders>
            <w:shd w:val="clear" w:color="auto" w:fill="auto"/>
            <w:noWrap/>
            <w:vAlign w:val="center"/>
            <w:hideMark/>
          </w:tcPr>
          <w:p w14:paraId="29A4C68C" w14:textId="77777777" w:rsidR="00472ABB" w:rsidRPr="00472ABB" w:rsidRDefault="00472ABB" w:rsidP="00472ABB">
            <w:pPr>
              <w:spacing w:before="0" w:after="0"/>
              <w:ind w:firstLineChars="100" w:firstLine="200"/>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noWrap/>
            <w:vAlign w:val="center"/>
            <w:hideMark/>
          </w:tcPr>
          <w:p w14:paraId="3161C313"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0E85898F"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33FAE005"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r>
      <w:tr w:rsidR="00472ABB" w:rsidRPr="00472ABB" w14:paraId="58ECC5CE" w14:textId="77777777" w:rsidTr="00472ABB">
        <w:trPr>
          <w:gridAfter w:val="1"/>
          <w:wAfter w:w="6" w:type="dxa"/>
          <w:trHeight w:val="250"/>
        </w:trPr>
        <w:tc>
          <w:tcPr>
            <w:tcW w:w="3686" w:type="dxa"/>
            <w:tcBorders>
              <w:top w:val="nil"/>
              <w:left w:val="nil"/>
              <w:bottom w:val="nil"/>
              <w:right w:val="nil"/>
            </w:tcBorders>
            <w:shd w:val="clear" w:color="auto" w:fill="auto"/>
            <w:noWrap/>
            <w:vAlign w:val="center"/>
            <w:hideMark/>
          </w:tcPr>
          <w:p w14:paraId="19C093CF" w14:textId="77777777" w:rsidR="00472ABB" w:rsidRPr="00472ABB" w:rsidRDefault="00472ABB" w:rsidP="00472ABB">
            <w:pPr>
              <w:spacing w:before="0" w:after="0"/>
              <w:ind w:firstLineChars="100" w:firstLine="200"/>
              <w:rPr>
                <w:rFonts w:eastAsia="Times New Roman" w:cs="Arial"/>
                <w:color w:val="000000"/>
                <w:sz w:val="20"/>
                <w:szCs w:val="20"/>
                <w:lang w:eastAsia="en-GB"/>
              </w:rPr>
            </w:pPr>
            <w:r w:rsidRPr="00472ABB">
              <w:rPr>
                <w:rFonts w:eastAsia="Times New Roman" w:cs="Arial"/>
                <w:color w:val="000000"/>
                <w:sz w:val="20"/>
                <w:szCs w:val="20"/>
                <w:lang w:eastAsia="en-GB"/>
              </w:rPr>
              <w:t>North East London NHS FT</w:t>
            </w:r>
          </w:p>
        </w:tc>
        <w:tc>
          <w:tcPr>
            <w:tcW w:w="2977" w:type="dxa"/>
            <w:tcBorders>
              <w:top w:val="nil"/>
              <w:left w:val="nil"/>
              <w:bottom w:val="nil"/>
              <w:right w:val="nil"/>
            </w:tcBorders>
            <w:shd w:val="clear" w:color="auto" w:fill="auto"/>
            <w:noWrap/>
            <w:vAlign w:val="center"/>
            <w:hideMark/>
          </w:tcPr>
          <w:p w14:paraId="0BF31A5C" w14:textId="77777777" w:rsidR="00472ABB" w:rsidRPr="00472ABB" w:rsidRDefault="00472ABB" w:rsidP="00472ABB">
            <w:pPr>
              <w:spacing w:before="0" w:after="0"/>
              <w:ind w:firstLineChars="100" w:firstLine="200"/>
              <w:rPr>
                <w:rFonts w:eastAsia="Times New Roman" w:cs="Arial"/>
                <w:color w:val="000000"/>
                <w:sz w:val="20"/>
                <w:szCs w:val="20"/>
                <w:lang w:eastAsia="en-GB"/>
              </w:rPr>
            </w:pPr>
          </w:p>
        </w:tc>
        <w:tc>
          <w:tcPr>
            <w:tcW w:w="1161" w:type="dxa"/>
            <w:tcBorders>
              <w:top w:val="nil"/>
              <w:left w:val="nil"/>
              <w:bottom w:val="nil"/>
              <w:right w:val="nil"/>
            </w:tcBorders>
            <w:shd w:val="clear" w:color="auto" w:fill="auto"/>
            <w:noWrap/>
            <w:vAlign w:val="center"/>
            <w:hideMark/>
          </w:tcPr>
          <w:p w14:paraId="0846EAB5" w14:textId="77777777" w:rsidR="00472ABB" w:rsidRPr="00472ABB" w:rsidRDefault="00472ABB" w:rsidP="00472ABB">
            <w:pPr>
              <w:spacing w:before="0" w:after="0"/>
              <w:ind w:firstLineChars="100" w:firstLine="200"/>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noWrap/>
            <w:vAlign w:val="center"/>
            <w:hideMark/>
          </w:tcPr>
          <w:p w14:paraId="23A6C679"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5018C395"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61140ABC"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r>
      <w:tr w:rsidR="00472ABB" w:rsidRPr="00472ABB" w14:paraId="75FC42D3" w14:textId="77777777" w:rsidTr="00472ABB">
        <w:trPr>
          <w:gridAfter w:val="1"/>
          <w:wAfter w:w="6" w:type="dxa"/>
          <w:trHeight w:val="250"/>
        </w:trPr>
        <w:tc>
          <w:tcPr>
            <w:tcW w:w="3686" w:type="dxa"/>
            <w:tcBorders>
              <w:top w:val="nil"/>
              <w:left w:val="nil"/>
              <w:bottom w:val="nil"/>
              <w:right w:val="nil"/>
            </w:tcBorders>
            <w:shd w:val="clear" w:color="auto" w:fill="auto"/>
            <w:noWrap/>
            <w:vAlign w:val="center"/>
            <w:hideMark/>
          </w:tcPr>
          <w:p w14:paraId="0E6D652D" w14:textId="77777777" w:rsidR="00472ABB" w:rsidRPr="00472ABB" w:rsidRDefault="00472ABB" w:rsidP="00472ABB">
            <w:pPr>
              <w:spacing w:before="0" w:after="0"/>
              <w:ind w:firstLineChars="100" w:firstLine="200"/>
              <w:rPr>
                <w:rFonts w:eastAsia="Times New Roman" w:cs="Arial"/>
                <w:color w:val="000000"/>
                <w:sz w:val="20"/>
                <w:szCs w:val="20"/>
                <w:lang w:eastAsia="en-GB"/>
              </w:rPr>
            </w:pPr>
            <w:r w:rsidRPr="00472ABB">
              <w:rPr>
                <w:rFonts w:eastAsia="Times New Roman" w:cs="Arial"/>
                <w:color w:val="000000"/>
                <w:sz w:val="20"/>
                <w:szCs w:val="20"/>
                <w:lang w:eastAsia="en-GB"/>
              </w:rPr>
              <w:t>NHS Business Services Authority</w:t>
            </w:r>
          </w:p>
        </w:tc>
        <w:tc>
          <w:tcPr>
            <w:tcW w:w="2977" w:type="dxa"/>
            <w:tcBorders>
              <w:top w:val="nil"/>
              <w:left w:val="nil"/>
              <w:bottom w:val="nil"/>
              <w:right w:val="nil"/>
            </w:tcBorders>
            <w:shd w:val="clear" w:color="auto" w:fill="auto"/>
            <w:noWrap/>
            <w:vAlign w:val="center"/>
            <w:hideMark/>
          </w:tcPr>
          <w:p w14:paraId="15CF340F" w14:textId="77777777" w:rsidR="00472ABB" w:rsidRPr="00472ABB" w:rsidRDefault="00472ABB" w:rsidP="00472ABB">
            <w:pPr>
              <w:spacing w:before="0" w:after="0"/>
              <w:ind w:firstLineChars="100" w:firstLine="200"/>
              <w:rPr>
                <w:rFonts w:eastAsia="Times New Roman" w:cs="Arial"/>
                <w:color w:val="000000"/>
                <w:sz w:val="20"/>
                <w:szCs w:val="20"/>
                <w:lang w:eastAsia="en-GB"/>
              </w:rPr>
            </w:pPr>
          </w:p>
        </w:tc>
        <w:tc>
          <w:tcPr>
            <w:tcW w:w="1161" w:type="dxa"/>
            <w:tcBorders>
              <w:top w:val="nil"/>
              <w:left w:val="nil"/>
              <w:bottom w:val="nil"/>
              <w:right w:val="nil"/>
            </w:tcBorders>
            <w:shd w:val="clear" w:color="auto" w:fill="auto"/>
            <w:noWrap/>
            <w:vAlign w:val="center"/>
            <w:hideMark/>
          </w:tcPr>
          <w:p w14:paraId="490CEC94" w14:textId="77777777" w:rsidR="00472ABB" w:rsidRPr="00472ABB" w:rsidRDefault="00472ABB" w:rsidP="00472ABB">
            <w:pPr>
              <w:spacing w:before="0" w:after="0"/>
              <w:ind w:firstLineChars="100" w:firstLine="200"/>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noWrap/>
            <w:vAlign w:val="center"/>
            <w:hideMark/>
          </w:tcPr>
          <w:p w14:paraId="0FDCCE66"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24E6D05C"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45D420D4"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r>
      <w:tr w:rsidR="00472ABB" w:rsidRPr="00472ABB" w14:paraId="20726418" w14:textId="77777777" w:rsidTr="00472ABB">
        <w:trPr>
          <w:gridAfter w:val="1"/>
          <w:wAfter w:w="6" w:type="dxa"/>
          <w:trHeight w:val="250"/>
        </w:trPr>
        <w:tc>
          <w:tcPr>
            <w:tcW w:w="3686" w:type="dxa"/>
            <w:tcBorders>
              <w:top w:val="nil"/>
              <w:left w:val="nil"/>
              <w:bottom w:val="nil"/>
              <w:right w:val="nil"/>
            </w:tcBorders>
            <w:shd w:val="clear" w:color="auto" w:fill="auto"/>
            <w:noWrap/>
            <w:vAlign w:val="center"/>
            <w:hideMark/>
          </w:tcPr>
          <w:p w14:paraId="699C8260" w14:textId="77777777" w:rsidR="00472ABB" w:rsidRPr="00472ABB" w:rsidRDefault="00472ABB" w:rsidP="00472ABB">
            <w:pPr>
              <w:spacing w:before="0" w:after="0"/>
              <w:ind w:firstLineChars="100" w:firstLine="200"/>
              <w:rPr>
                <w:rFonts w:eastAsia="Times New Roman" w:cs="Arial"/>
                <w:color w:val="000000"/>
                <w:sz w:val="20"/>
                <w:szCs w:val="20"/>
                <w:lang w:eastAsia="en-GB"/>
              </w:rPr>
            </w:pPr>
            <w:r w:rsidRPr="00472ABB">
              <w:rPr>
                <w:rFonts w:eastAsia="Times New Roman" w:cs="Arial"/>
                <w:color w:val="000000"/>
                <w:sz w:val="20"/>
                <w:szCs w:val="20"/>
                <w:lang w:eastAsia="en-GB"/>
              </w:rPr>
              <w:t>NHS England and Improvement</w:t>
            </w:r>
          </w:p>
        </w:tc>
        <w:tc>
          <w:tcPr>
            <w:tcW w:w="2977" w:type="dxa"/>
            <w:tcBorders>
              <w:top w:val="nil"/>
              <w:left w:val="nil"/>
              <w:bottom w:val="nil"/>
              <w:right w:val="nil"/>
            </w:tcBorders>
            <w:shd w:val="clear" w:color="auto" w:fill="auto"/>
            <w:noWrap/>
            <w:vAlign w:val="center"/>
            <w:hideMark/>
          </w:tcPr>
          <w:p w14:paraId="3442821B" w14:textId="77777777" w:rsidR="00472ABB" w:rsidRPr="00472ABB" w:rsidRDefault="00472ABB" w:rsidP="00472ABB">
            <w:pPr>
              <w:spacing w:before="0" w:after="0"/>
              <w:ind w:firstLineChars="100" w:firstLine="200"/>
              <w:rPr>
                <w:rFonts w:eastAsia="Times New Roman" w:cs="Arial"/>
                <w:color w:val="000000"/>
                <w:sz w:val="20"/>
                <w:szCs w:val="20"/>
                <w:lang w:eastAsia="en-GB"/>
              </w:rPr>
            </w:pPr>
          </w:p>
        </w:tc>
        <w:tc>
          <w:tcPr>
            <w:tcW w:w="1161" w:type="dxa"/>
            <w:tcBorders>
              <w:top w:val="nil"/>
              <w:left w:val="nil"/>
              <w:bottom w:val="nil"/>
              <w:right w:val="nil"/>
            </w:tcBorders>
            <w:shd w:val="clear" w:color="auto" w:fill="auto"/>
            <w:noWrap/>
            <w:vAlign w:val="center"/>
            <w:hideMark/>
          </w:tcPr>
          <w:p w14:paraId="7686087E" w14:textId="77777777" w:rsidR="00472ABB" w:rsidRPr="00472ABB" w:rsidRDefault="00472ABB" w:rsidP="00472ABB">
            <w:pPr>
              <w:spacing w:before="0" w:after="0"/>
              <w:ind w:firstLineChars="100" w:firstLine="200"/>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noWrap/>
            <w:vAlign w:val="center"/>
            <w:hideMark/>
          </w:tcPr>
          <w:p w14:paraId="0F00BCF1"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2A5D2412"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523D9B0F"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r>
      <w:tr w:rsidR="00472ABB" w:rsidRPr="00472ABB" w14:paraId="6513BDC8" w14:textId="77777777" w:rsidTr="00472ABB">
        <w:trPr>
          <w:gridAfter w:val="1"/>
          <w:wAfter w:w="6" w:type="dxa"/>
          <w:trHeight w:val="250"/>
        </w:trPr>
        <w:tc>
          <w:tcPr>
            <w:tcW w:w="3686" w:type="dxa"/>
            <w:tcBorders>
              <w:top w:val="nil"/>
              <w:left w:val="nil"/>
              <w:bottom w:val="nil"/>
              <w:right w:val="nil"/>
            </w:tcBorders>
            <w:shd w:val="clear" w:color="auto" w:fill="auto"/>
            <w:noWrap/>
            <w:vAlign w:val="center"/>
            <w:hideMark/>
          </w:tcPr>
          <w:p w14:paraId="5F76B7CC" w14:textId="77777777" w:rsidR="00472ABB" w:rsidRPr="00472ABB" w:rsidRDefault="00472ABB" w:rsidP="00472ABB">
            <w:pPr>
              <w:spacing w:before="0" w:after="0"/>
              <w:ind w:firstLineChars="100" w:firstLine="200"/>
              <w:rPr>
                <w:rFonts w:eastAsia="Times New Roman" w:cs="Arial"/>
                <w:color w:val="000000"/>
                <w:sz w:val="20"/>
                <w:szCs w:val="20"/>
                <w:lang w:eastAsia="en-GB"/>
              </w:rPr>
            </w:pPr>
            <w:r w:rsidRPr="00472ABB">
              <w:rPr>
                <w:rFonts w:eastAsia="Times New Roman" w:cs="Arial"/>
                <w:color w:val="000000"/>
                <w:sz w:val="20"/>
                <w:szCs w:val="20"/>
                <w:lang w:eastAsia="en-GB"/>
              </w:rPr>
              <w:t>NHS Property Services</w:t>
            </w:r>
          </w:p>
        </w:tc>
        <w:tc>
          <w:tcPr>
            <w:tcW w:w="2977" w:type="dxa"/>
            <w:tcBorders>
              <w:top w:val="nil"/>
              <w:left w:val="nil"/>
              <w:bottom w:val="nil"/>
              <w:right w:val="nil"/>
            </w:tcBorders>
            <w:shd w:val="clear" w:color="auto" w:fill="auto"/>
            <w:noWrap/>
            <w:vAlign w:val="center"/>
            <w:hideMark/>
          </w:tcPr>
          <w:p w14:paraId="6875E719" w14:textId="77777777" w:rsidR="00472ABB" w:rsidRPr="00472ABB" w:rsidRDefault="00472ABB" w:rsidP="00472ABB">
            <w:pPr>
              <w:spacing w:before="0" w:after="0"/>
              <w:ind w:firstLineChars="100" w:firstLine="200"/>
              <w:rPr>
                <w:rFonts w:eastAsia="Times New Roman" w:cs="Arial"/>
                <w:color w:val="000000"/>
                <w:sz w:val="20"/>
                <w:szCs w:val="20"/>
                <w:lang w:eastAsia="en-GB"/>
              </w:rPr>
            </w:pPr>
          </w:p>
        </w:tc>
        <w:tc>
          <w:tcPr>
            <w:tcW w:w="1161" w:type="dxa"/>
            <w:tcBorders>
              <w:top w:val="nil"/>
              <w:left w:val="nil"/>
              <w:bottom w:val="nil"/>
              <w:right w:val="nil"/>
            </w:tcBorders>
            <w:shd w:val="clear" w:color="auto" w:fill="auto"/>
            <w:noWrap/>
            <w:vAlign w:val="center"/>
            <w:hideMark/>
          </w:tcPr>
          <w:p w14:paraId="0E2F89B2" w14:textId="77777777" w:rsidR="00472ABB" w:rsidRPr="00472ABB" w:rsidRDefault="00472ABB" w:rsidP="00472ABB">
            <w:pPr>
              <w:spacing w:before="0" w:after="0"/>
              <w:ind w:firstLineChars="100" w:firstLine="200"/>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noWrap/>
            <w:vAlign w:val="center"/>
            <w:hideMark/>
          </w:tcPr>
          <w:p w14:paraId="50C21C73"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41CA36C1"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05A34ED4"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r>
      <w:tr w:rsidR="00472ABB" w:rsidRPr="00472ABB" w14:paraId="4F13D630" w14:textId="77777777" w:rsidTr="00472ABB">
        <w:trPr>
          <w:gridAfter w:val="1"/>
          <w:wAfter w:w="6" w:type="dxa"/>
          <w:trHeight w:val="120"/>
        </w:trPr>
        <w:tc>
          <w:tcPr>
            <w:tcW w:w="3686" w:type="dxa"/>
            <w:tcBorders>
              <w:top w:val="nil"/>
              <w:left w:val="nil"/>
              <w:bottom w:val="nil"/>
              <w:right w:val="nil"/>
            </w:tcBorders>
            <w:shd w:val="clear" w:color="auto" w:fill="auto"/>
            <w:noWrap/>
            <w:vAlign w:val="center"/>
            <w:hideMark/>
          </w:tcPr>
          <w:p w14:paraId="41648649"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2977" w:type="dxa"/>
            <w:tcBorders>
              <w:top w:val="nil"/>
              <w:left w:val="nil"/>
              <w:bottom w:val="nil"/>
              <w:right w:val="nil"/>
            </w:tcBorders>
            <w:shd w:val="clear" w:color="auto" w:fill="auto"/>
            <w:noWrap/>
            <w:vAlign w:val="center"/>
            <w:hideMark/>
          </w:tcPr>
          <w:p w14:paraId="4880762F" w14:textId="77777777" w:rsidR="00472ABB" w:rsidRPr="00472ABB" w:rsidRDefault="00472ABB" w:rsidP="00472ABB">
            <w:pPr>
              <w:spacing w:before="0" w:after="0"/>
              <w:ind w:firstLineChars="100" w:firstLine="200"/>
              <w:rPr>
                <w:rFonts w:ascii="Times New Roman" w:eastAsia="Times New Roman" w:hAnsi="Times New Roman" w:cs="Times New Roman"/>
                <w:sz w:val="20"/>
                <w:szCs w:val="20"/>
                <w:lang w:eastAsia="en-GB"/>
              </w:rPr>
            </w:pPr>
          </w:p>
        </w:tc>
        <w:tc>
          <w:tcPr>
            <w:tcW w:w="1161" w:type="dxa"/>
            <w:tcBorders>
              <w:top w:val="nil"/>
              <w:left w:val="nil"/>
              <w:bottom w:val="nil"/>
              <w:right w:val="nil"/>
            </w:tcBorders>
            <w:shd w:val="clear" w:color="auto" w:fill="auto"/>
            <w:noWrap/>
            <w:vAlign w:val="center"/>
            <w:hideMark/>
          </w:tcPr>
          <w:p w14:paraId="0342D6D9" w14:textId="77777777" w:rsidR="00472ABB" w:rsidRPr="00472ABB" w:rsidRDefault="00472ABB" w:rsidP="00472ABB">
            <w:pPr>
              <w:spacing w:before="0" w:after="0"/>
              <w:ind w:firstLineChars="100" w:firstLine="200"/>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noWrap/>
            <w:vAlign w:val="center"/>
            <w:hideMark/>
          </w:tcPr>
          <w:p w14:paraId="3638FA48"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42E65F85"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center"/>
            <w:hideMark/>
          </w:tcPr>
          <w:p w14:paraId="1AEB471D"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r>
      <w:tr w:rsidR="00472ABB" w:rsidRPr="00472ABB" w14:paraId="4F5C086E" w14:textId="77777777" w:rsidTr="00472ABB">
        <w:trPr>
          <w:trHeight w:val="530"/>
        </w:trPr>
        <w:tc>
          <w:tcPr>
            <w:tcW w:w="11046" w:type="dxa"/>
            <w:gridSpan w:val="7"/>
            <w:tcBorders>
              <w:top w:val="nil"/>
              <w:left w:val="nil"/>
              <w:bottom w:val="nil"/>
              <w:right w:val="nil"/>
            </w:tcBorders>
            <w:shd w:val="clear" w:color="auto" w:fill="auto"/>
            <w:vAlign w:val="center"/>
            <w:hideMark/>
          </w:tcPr>
          <w:p w14:paraId="470CC12F" w14:textId="77777777" w:rsidR="00472ABB" w:rsidRPr="00472ABB" w:rsidRDefault="00472ABB" w:rsidP="00472ABB">
            <w:pPr>
              <w:spacing w:before="0" w:after="0"/>
              <w:rPr>
                <w:rFonts w:eastAsia="Times New Roman" w:cs="Arial"/>
                <w:sz w:val="20"/>
                <w:szCs w:val="20"/>
                <w:lang w:eastAsia="en-GB"/>
              </w:rPr>
            </w:pPr>
            <w:r w:rsidRPr="00472ABB">
              <w:rPr>
                <w:rFonts w:eastAsia="Times New Roman" w:cs="Arial"/>
                <w:sz w:val="20"/>
                <w:szCs w:val="20"/>
                <w:lang w:eastAsia="en-GB"/>
              </w:rPr>
              <w:t>In addition, the ICB has had a number of material transactions with other government departments and other central and local government bodies.  Most of these transactions have been with Essex County Council, Southend City Council and Thurrock Council.</w:t>
            </w:r>
          </w:p>
        </w:tc>
      </w:tr>
      <w:tr w:rsidR="00472ABB" w:rsidRPr="00472ABB" w14:paraId="3A0CF3DC" w14:textId="77777777" w:rsidTr="00472ABB">
        <w:trPr>
          <w:gridAfter w:val="1"/>
          <w:wAfter w:w="6" w:type="dxa"/>
          <w:trHeight w:val="250"/>
        </w:trPr>
        <w:tc>
          <w:tcPr>
            <w:tcW w:w="3686" w:type="dxa"/>
            <w:tcBorders>
              <w:top w:val="nil"/>
              <w:left w:val="nil"/>
              <w:bottom w:val="nil"/>
              <w:right w:val="nil"/>
            </w:tcBorders>
            <w:shd w:val="clear" w:color="auto" w:fill="auto"/>
            <w:noWrap/>
            <w:vAlign w:val="bottom"/>
            <w:hideMark/>
          </w:tcPr>
          <w:p w14:paraId="470A217B"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2977" w:type="dxa"/>
            <w:tcBorders>
              <w:top w:val="nil"/>
              <w:left w:val="nil"/>
              <w:bottom w:val="nil"/>
              <w:right w:val="nil"/>
            </w:tcBorders>
            <w:shd w:val="clear" w:color="auto" w:fill="auto"/>
            <w:noWrap/>
            <w:vAlign w:val="bottom"/>
            <w:hideMark/>
          </w:tcPr>
          <w:p w14:paraId="6AB33FE7"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161" w:type="dxa"/>
            <w:tcBorders>
              <w:top w:val="nil"/>
              <w:left w:val="nil"/>
              <w:bottom w:val="nil"/>
              <w:right w:val="nil"/>
            </w:tcBorders>
            <w:shd w:val="clear" w:color="auto" w:fill="auto"/>
            <w:noWrap/>
            <w:vAlign w:val="bottom"/>
            <w:hideMark/>
          </w:tcPr>
          <w:p w14:paraId="79A7610C"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50" w:type="dxa"/>
            <w:tcBorders>
              <w:top w:val="nil"/>
              <w:left w:val="nil"/>
              <w:bottom w:val="nil"/>
              <w:right w:val="nil"/>
            </w:tcBorders>
            <w:shd w:val="clear" w:color="auto" w:fill="auto"/>
            <w:noWrap/>
            <w:vAlign w:val="bottom"/>
            <w:hideMark/>
          </w:tcPr>
          <w:p w14:paraId="25430B49"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bottom"/>
            <w:hideMark/>
          </w:tcPr>
          <w:p w14:paraId="1814C82A"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noWrap/>
            <w:vAlign w:val="bottom"/>
            <w:hideMark/>
          </w:tcPr>
          <w:p w14:paraId="704FA229"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r>
      <w:tr w:rsidR="00B8462D" w:rsidRPr="00472ABB" w14:paraId="2D1F3F26" w14:textId="77777777" w:rsidTr="00445970">
        <w:trPr>
          <w:gridAfter w:val="1"/>
          <w:wAfter w:w="6" w:type="dxa"/>
          <w:trHeight w:val="260"/>
        </w:trPr>
        <w:tc>
          <w:tcPr>
            <w:tcW w:w="9957" w:type="dxa"/>
            <w:gridSpan w:val="5"/>
            <w:tcBorders>
              <w:top w:val="nil"/>
              <w:left w:val="nil"/>
              <w:bottom w:val="nil"/>
              <w:right w:val="nil"/>
            </w:tcBorders>
            <w:shd w:val="clear" w:color="000000" w:fill="FFFFFF"/>
            <w:noWrap/>
            <w:vAlign w:val="bottom"/>
            <w:hideMark/>
          </w:tcPr>
          <w:p w14:paraId="7D6E1E8C" w14:textId="0E866121" w:rsidR="00B8462D" w:rsidRPr="00472ABB" w:rsidRDefault="00B8462D" w:rsidP="00472ABB">
            <w:pPr>
              <w:spacing w:before="0" w:after="0"/>
              <w:rPr>
                <w:rFonts w:ascii="Times New Roman" w:eastAsia="Times New Roman" w:hAnsi="Times New Roman" w:cs="Times New Roman"/>
                <w:sz w:val="20"/>
                <w:szCs w:val="20"/>
                <w:lang w:eastAsia="en-GB"/>
              </w:rPr>
            </w:pPr>
            <w:r w:rsidRPr="00472ABB">
              <w:rPr>
                <w:rFonts w:eastAsia="Times New Roman" w:cs="Arial"/>
                <w:b/>
                <w:bCs/>
                <w:sz w:val="20"/>
                <w:szCs w:val="20"/>
                <w:lang w:eastAsia="en-GB"/>
              </w:rPr>
              <w:t>Part Five - Department of Health and Social Care</w:t>
            </w:r>
          </w:p>
        </w:tc>
        <w:tc>
          <w:tcPr>
            <w:tcW w:w="1083" w:type="dxa"/>
            <w:tcBorders>
              <w:top w:val="nil"/>
              <w:left w:val="nil"/>
              <w:bottom w:val="nil"/>
              <w:right w:val="nil"/>
            </w:tcBorders>
            <w:shd w:val="clear" w:color="auto" w:fill="auto"/>
            <w:noWrap/>
            <w:vAlign w:val="bottom"/>
            <w:hideMark/>
          </w:tcPr>
          <w:p w14:paraId="0496ED6E" w14:textId="77777777" w:rsidR="00B8462D" w:rsidRPr="00472ABB" w:rsidRDefault="00B8462D" w:rsidP="00472ABB">
            <w:pPr>
              <w:spacing w:before="0" w:after="0"/>
              <w:rPr>
                <w:rFonts w:ascii="Times New Roman" w:eastAsia="Times New Roman" w:hAnsi="Times New Roman" w:cs="Times New Roman"/>
                <w:sz w:val="20"/>
                <w:szCs w:val="20"/>
                <w:lang w:eastAsia="en-GB"/>
              </w:rPr>
            </w:pPr>
          </w:p>
        </w:tc>
      </w:tr>
      <w:tr w:rsidR="00472ABB" w:rsidRPr="00472ABB" w14:paraId="2D53D25F" w14:textId="77777777" w:rsidTr="00472ABB">
        <w:trPr>
          <w:trHeight w:val="570"/>
        </w:trPr>
        <w:tc>
          <w:tcPr>
            <w:tcW w:w="11046" w:type="dxa"/>
            <w:gridSpan w:val="7"/>
            <w:tcBorders>
              <w:top w:val="nil"/>
              <w:left w:val="nil"/>
              <w:bottom w:val="nil"/>
              <w:right w:val="nil"/>
            </w:tcBorders>
            <w:shd w:val="clear" w:color="auto" w:fill="auto"/>
            <w:hideMark/>
          </w:tcPr>
          <w:p w14:paraId="22C65266" w14:textId="77777777" w:rsidR="00472ABB" w:rsidRPr="00472ABB" w:rsidRDefault="00472ABB" w:rsidP="00472ABB">
            <w:pPr>
              <w:spacing w:before="0" w:after="0"/>
              <w:rPr>
                <w:rFonts w:eastAsia="Times New Roman" w:cs="Arial"/>
                <w:sz w:val="20"/>
                <w:szCs w:val="20"/>
                <w:lang w:eastAsia="en-GB"/>
              </w:rPr>
            </w:pPr>
            <w:r w:rsidRPr="00472ABB">
              <w:rPr>
                <w:rFonts w:eastAsia="Times New Roman" w:cs="Arial"/>
                <w:sz w:val="20"/>
                <w:szCs w:val="20"/>
                <w:lang w:eastAsia="en-GB"/>
              </w:rPr>
              <w:t xml:space="preserve">The individuals and entities that the Department of Health and Social Care identifies as meeting the definition of Related Parties set out in IAS 24 (Related Party Transactions) are also deemed to be related parties of the ICB. </w:t>
            </w:r>
          </w:p>
        </w:tc>
      </w:tr>
      <w:tr w:rsidR="00472ABB" w:rsidRPr="00472ABB" w14:paraId="25C683EF" w14:textId="77777777" w:rsidTr="00472ABB">
        <w:trPr>
          <w:gridAfter w:val="1"/>
          <w:wAfter w:w="6" w:type="dxa"/>
          <w:trHeight w:val="250"/>
        </w:trPr>
        <w:tc>
          <w:tcPr>
            <w:tcW w:w="6663" w:type="dxa"/>
            <w:gridSpan w:val="2"/>
            <w:tcBorders>
              <w:top w:val="nil"/>
              <w:left w:val="nil"/>
              <w:bottom w:val="nil"/>
              <w:right w:val="nil"/>
            </w:tcBorders>
            <w:shd w:val="clear" w:color="auto" w:fill="auto"/>
            <w:noWrap/>
            <w:hideMark/>
          </w:tcPr>
          <w:p w14:paraId="03BA4CA6" w14:textId="77777777" w:rsidR="00472ABB" w:rsidRPr="00472ABB" w:rsidRDefault="00472ABB" w:rsidP="00472ABB">
            <w:pPr>
              <w:spacing w:before="0" w:after="0"/>
              <w:rPr>
                <w:rFonts w:eastAsia="Times New Roman" w:cs="Arial"/>
                <w:sz w:val="20"/>
                <w:szCs w:val="20"/>
                <w:lang w:eastAsia="en-GB"/>
              </w:rPr>
            </w:pPr>
            <w:r w:rsidRPr="00472ABB">
              <w:rPr>
                <w:rFonts w:eastAsia="Times New Roman" w:cs="Arial"/>
                <w:sz w:val="20"/>
                <w:szCs w:val="20"/>
                <w:lang w:eastAsia="en-GB"/>
              </w:rPr>
              <w:t>We have reviewed the list of individuals and entities and the ICB does not have any material disclosable transactions with any of the entities.</w:t>
            </w:r>
          </w:p>
        </w:tc>
        <w:tc>
          <w:tcPr>
            <w:tcW w:w="1161" w:type="dxa"/>
            <w:tcBorders>
              <w:top w:val="nil"/>
              <w:left w:val="nil"/>
              <w:bottom w:val="nil"/>
              <w:right w:val="nil"/>
            </w:tcBorders>
            <w:shd w:val="clear" w:color="auto" w:fill="auto"/>
            <w:hideMark/>
          </w:tcPr>
          <w:p w14:paraId="1D1B3062" w14:textId="77777777" w:rsidR="00472ABB" w:rsidRPr="00472ABB" w:rsidRDefault="00472ABB" w:rsidP="00472ABB">
            <w:pPr>
              <w:spacing w:before="0" w:after="0"/>
              <w:rPr>
                <w:rFonts w:eastAsia="Times New Roman" w:cs="Arial"/>
                <w:sz w:val="20"/>
                <w:szCs w:val="20"/>
                <w:lang w:eastAsia="en-GB"/>
              </w:rPr>
            </w:pPr>
          </w:p>
        </w:tc>
        <w:tc>
          <w:tcPr>
            <w:tcW w:w="1050" w:type="dxa"/>
            <w:tcBorders>
              <w:top w:val="nil"/>
              <w:left w:val="nil"/>
              <w:bottom w:val="nil"/>
              <w:right w:val="nil"/>
            </w:tcBorders>
            <w:shd w:val="clear" w:color="auto" w:fill="auto"/>
            <w:hideMark/>
          </w:tcPr>
          <w:p w14:paraId="371BDC4B"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hideMark/>
          </w:tcPr>
          <w:p w14:paraId="42DF0808"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c>
          <w:tcPr>
            <w:tcW w:w="1083" w:type="dxa"/>
            <w:tcBorders>
              <w:top w:val="nil"/>
              <w:left w:val="nil"/>
              <w:bottom w:val="nil"/>
              <w:right w:val="nil"/>
            </w:tcBorders>
            <w:shd w:val="clear" w:color="auto" w:fill="auto"/>
            <w:hideMark/>
          </w:tcPr>
          <w:p w14:paraId="0143EC22" w14:textId="77777777" w:rsidR="00472ABB" w:rsidRPr="00472ABB" w:rsidRDefault="00472ABB" w:rsidP="00472ABB">
            <w:pPr>
              <w:spacing w:before="0" w:after="0"/>
              <w:rPr>
                <w:rFonts w:ascii="Times New Roman" w:eastAsia="Times New Roman" w:hAnsi="Times New Roman" w:cs="Times New Roman"/>
                <w:sz w:val="20"/>
                <w:szCs w:val="20"/>
                <w:lang w:eastAsia="en-GB"/>
              </w:rPr>
            </w:pPr>
          </w:p>
        </w:tc>
      </w:tr>
    </w:tbl>
    <w:p w14:paraId="6E0A0729" w14:textId="5BDA10E8" w:rsidR="00B8462D" w:rsidRDefault="00B8462D" w:rsidP="00C70A7F">
      <w:pPr>
        <w:spacing w:before="0" w:after="200" w:line="276" w:lineRule="auto"/>
      </w:pPr>
    </w:p>
    <w:p w14:paraId="57C78B1E" w14:textId="77777777" w:rsidR="00B8462D" w:rsidRDefault="00B8462D">
      <w:pPr>
        <w:spacing w:before="0" w:after="200" w:line="276" w:lineRule="auto"/>
      </w:pPr>
      <w:r>
        <w:br w:type="page"/>
      </w:r>
    </w:p>
    <w:tbl>
      <w:tblPr>
        <w:tblW w:w="11057" w:type="dxa"/>
        <w:tblInd w:w="-709" w:type="dxa"/>
        <w:tblLook w:val="04A0" w:firstRow="1" w:lastRow="0" w:firstColumn="1" w:lastColumn="0" w:noHBand="0" w:noVBand="1"/>
      </w:tblPr>
      <w:tblGrid>
        <w:gridCol w:w="3544"/>
        <w:gridCol w:w="1135"/>
        <w:gridCol w:w="1375"/>
        <w:gridCol w:w="300"/>
        <w:gridCol w:w="1439"/>
        <w:gridCol w:w="300"/>
        <w:gridCol w:w="1181"/>
        <w:gridCol w:w="300"/>
        <w:gridCol w:w="1483"/>
      </w:tblGrid>
      <w:tr w:rsidR="00B17076" w:rsidRPr="00B17076" w14:paraId="1DF2EA57" w14:textId="77777777" w:rsidTr="0030431F">
        <w:trPr>
          <w:trHeight w:val="260"/>
        </w:trPr>
        <w:tc>
          <w:tcPr>
            <w:tcW w:w="11057" w:type="dxa"/>
            <w:gridSpan w:val="9"/>
            <w:tcBorders>
              <w:top w:val="nil"/>
              <w:left w:val="nil"/>
              <w:bottom w:val="nil"/>
            </w:tcBorders>
            <w:shd w:val="clear" w:color="auto" w:fill="auto"/>
            <w:noWrap/>
            <w:vAlign w:val="bottom"/>
            <w:hideMark/>
          </w:tcPr>
          <w:p w14:paraId="76E72E94" w14:textId="6F60C818" w:rsidR="00B17076" w:rsidRPr="00B17076" w:rsidRDefault="00B17076" w:rsidP="00B17076">
            <w:pPr>
              <w:spacing w:before="0" w:after="0"/>
              <w:rPr>
                <w:rFonts w:eastAsia="Times New Roman" w:cs="Arial"/>
                <w:i/>
                <w:iCs/>
                <w:sz w:val="20"/>
                <w:szCs w:val="20"/>
                <w:lang w:eastAsia="en-GB"/>
              </w:rPr>
            </w:pPr>
            <w:r w:rsidRPr="00B17076">
              <w:rPr>
                <w:rFonts w:eastAsia="Times New Roman" w:cs="Arial"/>
                <w:i/>
                <w:iCs/>
                <w:sz w:val="20"/>
                <w:szCs w:val="20"/>
                <w:lang w:eastAsia="en-GB"/>
              </w:rPr>
              <w:lastRenderedPageBreak/>
              <w:t>NHS Mid and South Essex Integrated Care Board - Statutory Accounts 2023-24</w:t>
            </w:r>
          </w:p>
        </w:tc>
      </w:tr>
      <w:tr w:rsidR="006A5E1F" w:rsidRPr="00B17076" w14:paraId="618C617B" w14:textId="77777777" w:rsidTr="0030431F">
        <w:trPr>
          <w:trHeight w:val="250"/>
        </w:trPr>
        <w:tc>
          <w:tcPr>
            <w:tcW w:w="3544" w:type="dxa"/>
            <w:tcBorders>
              <w:top w:val="nil"/>
              <w:left w:val="nil"/>
              <w:bottom w:val="nil"/>
              <w:right w:val="nil"/>
            </w:tcBorders>
            <w:shd w:val="clear" w:color="auto" w:fill="auto"/>
            <w:noWrap/>
            <w:vAlign w:val="bottom"/>
            <w:hideMark/>
          </w:tcPr>
          <w:p w14:paraId="0B14C7C7" w14:textId="77777777" w:rsidR="00B17076" w:rsidRPr="00B17076" w:rsidRDefault="00B17076" w:rsidP="00B17076">
            <w:pPr>
              <w:spacing w:before="0" w:after="0"/>
              <w:rPr>
                <w:rFonts w:ascii="Times New Roman" w:eastAsia="Times New Roman" w:hAnsi="Times New Roman" w:cs="Times New Roman"/>
                <w:sz w:val="20"/>
                <w:szCs w:val="20"/>
                <w:lang w:eastAsia="en-GB"/>
              </w:rPr>
            </w:pPr>
          </w:p>
        </w:tc>
        <w:tc>
          <w:tcPr>
            <w:tcW w:w="1135" w:type="dxa"/>
            <w:tcBorders>
              <w:top w:val="nil"/>
              <w:left w:val="nil"/>
              <w:bottom w:val="nil"/>
              <w:right w:val="nil"/>
            </w:tcBorders>
            <w:shd w:val="clear" w:color="auto" w:fill="auto"/>
            <w:noWrap/>
            <w:vAlign w:val="bottom"/>
            <w:hideMark/>
          </w:tcPr>
          <w:p w14:paraId="3740CB4D" w14:textId="77777777" w:rsidR="00B17076" w:rsidRPr="00B17076" w:rsidRDefault="00B17076" w:rsidP="00B17076">
            <w:pPr>
              <w:spacing w:before="0" w:after="0"/>
              <w:rPr>
                <w:rFonts w:ascii="Times New Roman" w:eastAsia="Times New Roman" w:hAnsi="Times New Roman" w:cs="Times New Roman"/>
                <w:sz w:val="20"/>
                <w:szCs w:val="20"/>
                <w:lang w:eastAsia="en-GB"/>
              </w:rPr>
            </w:pPr>
          </w:p>
        </w:tc>
        <w:tc>
          <w:tcPr>
            <w:tcW w:w="1375" w:type="dxa"/>
            <w:tcBorders>
              <w:top w:val="nil"/>
              <w:left w:val="nil"/>
              <w:bottom w:val="nil"/>
              <w:right w:val="nil"/>
            </w:tcBorders>
            <w:shd w:val="clear" w:color="000000" w:fill="FFFFFF"/>
            <w:noWrap/>
            <w:vAlign w:val="bottom"/>
            <w:hideMark/>
          </w:tcPr>
          <w:p w14:paraId="4BC410AE" w14:textId="77777777" w:rsidR="00B17076" w:rsidRPr="00B17076" w:rsidRDefault="00B17076" w:rsidP="00B17076">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300" w:type="dxa"/>
            <w:tcBorders>
              <w:top w:val="nil"/>
              <w:left w:val="nil"/>
              <w:bottom w:val="nil"/>
              <w:right w:val="nil"/>
            </w:tcBorders>
            <w:shd w:val="clear" w:color="000000" w:fill="FFFFFF"/>
            <w:noWrap/>
            <w:vAlign w:val="bottom"/>
            <w:hideMark/>
          </w:tcPr>
          <w:p w14:paraId="3BC0B688" w14:textId="77777777" w:rsidR="00B17076" w:rsidRPr="00B17076" w:rsidRDefault="00B17076" w:rsidP="00B17076">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1439" w:type="dxa"/>
            <w:tcBorders>
              <w:top w:val="nil"/>
              <w:left w:val="nil"/>
              <w:bottom w:val="nil"/>
              <w:right w:val="nil"/>
            </w:tcBorders>
            <w:shd w:val="clear" w:color="000000" w:fill="FFFFFF"/>
            <w:noWrap/>
            <w:vAlign w:val="bottom"/>
            <w:hideMark/>
          </w:tcPr>
          <w:p w14:paraId="6B2758A5" w14:textId="77777777" w:rsidR="00B17076" w:rsidRPr="00B17076" w:rsidRDefault="00B17076" w:rsidP="00B17076">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300" w:type="dxa"/>
            <w:tcBorders>
              <w:top w:val="nil"/>
              <w:left w:val="nil"/>
              <w:bottom w:val="nil"/>
              <w:right w:val="nil"/>
            </w:tcBorders>
            <w:shd w:val="clear" w:color="000000" w:fill="FFFFFF"/>
            <w:noWrap/>
            <w:vAlign w:val="bottom"/>
            <w:hideMark/>
          </w:tcPr>
          <w:p w14:paraId="5F809897" w14:textId="77777777" w:rsidR="00B17076" w:rsidRPr="00B17076" w:rsidRDefault="00B17076" w:rsidP="00B17076">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1181" w:type="dxa"/>
            <w:tcBorders>
              <w:top w:val="nil"/>
              <w:left w:val="nil"/>
              <w:bottom w:val="nil"/>
              <w:right w:val="nil"/>
            </w:tcBorders>
            <w:shd w:val="clear" w:color="auto" w:fill="auto"/>
            <w:noWrap/>
            <w:vAlign w:val="bottom"/>
            <w:hideMark/>
          </w:tcPr>
          <w:p w14:paraId="636AD35D" w14:textId="77777777" w:rsidR="00B17076" w:rsidRPr="00B17076" w:rsidRDefault="00B17076" w:rsidP="00B17076">
            <w:pPr>
              <w:spacing w:before="0" w:after="0"/>
              <w:rPr>
                <w:rFonts w:eastAsia="Times New Roman" w:cs="Arial"/>
                <w:sz w:val="20"/>
                <w:szCs w:val="20"/>
                <w:lang w:eastAsia="en-GB"/>
              </w:rPr>
            </w:pPr>
          </w:p>
        </w:tc>
        <w:tc>
          <w:tcPr>
            <w:tcW w:w="300" w:type="dxa"/>
            <w:tcBorders>
              <w:top w:val="nil"/>
              <w:left w:val="nil"/>
              <w:bottom w:val="nil"/>
              <w:right w:val="nil"/>
            </w:tcBorders>
            <w:shd w:val="clear" w:color="auto" w:fill="auto"/>
            <w:noWrap/>
            <w:vAlign w:val="bottom"/>
            <w:hideMark/>
          </w:tcPr>
          <w:p w14:paraId="143B6FF4" w14:textId="77777777" w:rsidR="00B17076" w:rsidRPr="00B17076" w:rsidRDefault="00B17076" w:rsidP="00B17076">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auto" w:fill="auto"/>
            <w:noWrap/>
            <w:vAlign w:val="bottom"/>
            <w:hideMark/>
          </w:tcPr>
          <w:p w14:paraId="47429CF6" w14:textId="77777777" w:rsidR="00B17076" w:rsidRPr="00B17076" w:rsidRDefault="00B17076" w:rsidP="00B17076">
            <w:pPr>
              <w:spacing w:before="0" w:after="0"/>
              <w:rPr>
                <w:rFonts w:ascii="Times New Roman" w:eastAsia="Times New Roman" w:hAnsi="Times New Roman" w:cs="Times New Roman"/>
                <w:sz w:val="20"/>
                <w:szCs w:val="20"/>
                <w:lang w:eastAsia="en-GB"/>
              </w:rPr>
            </w:pPr>
          </w:p>
        </w:tc>
      </w:tr>
      <w:tr w:rsidR="00B17076" w:rsidRPr="00B17076" w14:paraId="5484B553" w14:textId="77777777" w:rsidTr="0030431F">
        <w:trPr>
          <w:trHeight w:val="260"/>
        </w:trPr>
        <w:tc>
          <w:tcPr>
            <w:tcW w:w="11057" w:type="dxa"/>
            <w:gridSpan w:val="9"/>
            <w:tcBorders>
              <w:top w:val="nil"/>
              <w:left w:val="nil"/>
              <w:bottom w:val="nil"/>
              <w:right w:val="nil"/>
            </w:tcBorders>
            <w:shd w:val="clear" w:color="auto" w:fill="auto"/>
            <w:noWrap/>
            <w:vAlign w:val="bottom"/>
            <w:hideMark/>
          </w:tcPr>
          <w:p w14:paraId="69DCBE7D" w14:textId="76438304" w:rsidR="00B17076" w:rsidRPr="00B17076" w:rsidRDefault="00B17076" w:rsidP="00B17076">
            <w:pPr>
              <w:spacing w:before="0" w:after="0"/>
              <w:rPr>
                <w:rFonts w:eastAsia="Times New Roman" w:cs="Arial"/>
                <w:b/>
                <w:bCs/>
                <w:sz w:val="20"/>
                <w:szCs w:val="20"/>
                <w:lang w:eastAsia="en-GB"/>
              </w:rPr>
            </w:pPr>
            <w:r w:rsidRPr="00B17076">
              <w:rPr>
                <w:rFonts w:eastAsia="Times New Roman" w:cs="Arial"/>
                <w:b/>
                <w:bCs/>
                <w:sz w:val="20"/>
                <w:szCs w:val="20"/>
                <w:lang w:eastAsia="en-GB"/>
              </w:rPr>
              <w:t>20 Events After the End of the Reporting Period</w:t>
            </w:r>
          </w:p>
        </w:tc>
      </w:tr>
      <w:tr w:rsidR="00B17076" w:rsidRPr="00B17076" w14:paraId="658E93FC" w14:textId="77777777" w:rsidTr="00743DCF">
        <w:trPr>
          <w:trHeight w:val="282"/>
        </w:trPr>
        <w:tc>
          <w:tcPr>
            <w:tcW w:w="11057" w:type="dxa"/>
            <w:gridSpan w:val="9"/>
            <w:tcBorders>
              <w:top w:val="nil"/>
              <w:left w:val="nil"/>
            </w:tcBorders>
            <w:shd w:val="clear" w:color="000000" w:fill="FFFFFF"/>
            <w:vAlign w:val="center"/>
            <w:hideMark/>
          </w:tcPr>
          <w:p w14:paraId="7D23E82A" w14:textId="0E626AB9" w:rsidR="00B17076" w:rsidRPr="00B17076" w:rsidRDefault="00B17076" w:rsidP="00743DCF">
            <w:pPr>
              <w:spacing w:before="0"/>
              <w:rPr>
                <w:rFonts w:ascii="Times New Roman" w:eastAsia="Times New Roman" w:hAnsi="Times New Roman" w:cs="Times New Roman"/>
                <w:sz w:val="20"/>
                <w:szCs w:val="20"/>
                <w:lang w:eastAsia="en-GB"/>
              </w:rPr>
            </w:pPr>
            <w:r w:rsidRPr="00B17076">
              <w:rPr>
                <w:rFonts w:eastAsia="Times New Roman" w:cs="Arial"/>
                <w:sz w:val="20"/>
                <w:szCs w:val="20"/>
                <w:lang w:eastAsia="en-GB"/>
              </w:rPr>
              <w:t xml:space="preserve">There are no events after the end of the reporting period which will have a material effect on the </w:t>
            </w:r>
            <w:r w:rsidR="00AF310E">
              <w:rPr>
                <w:rFonts w:eastAsia="Times New Roman" w:cs="Arial"/>
                <w:sz w:val="20"/>
                <w:szCs w:val="20"/>
                <w:lang w:eastAsia="en-GB"/>
              </w:rPr>
              <w:t xml:space="preserve">ICB </w:t>
            </w:r>
            <w:r w:rsidRPr="00B17076">
              <w:rPr>
                <w:rFonts w:eastAsia="Times New Roman" w:cs="Arial"/>
                <w:sz w:val="20"/>
                <w:szCs w:val="20"/>
                <w:lang w:eastAsia="en-GB"/>
              </w:rPr>
              <w:t>financial statements.</w:t>
            </w:r>
          </w:p>
        </w:tc>
      </w:tr>
      <w:tr w:rsidR="006A5E1F" w:rsidRPr="00B17076" w14:paraId="55728238" w14:textId="77777777" w:rsidTr="0030431F">
        <w:trPr>
          <w:trHeight w:val="260"/>
        </w:trPr>
        <w:tc>
          <w:tcPr>
            <w:tcW w:w="3544" w:type="dxa"/>
            <w:tcBorders>
              <w:top w:val="nil"/>
              <w:left w:val="nil"/>
              <w:bottom w:val="nil"/>
              <w:right w:val="nil"/>
            </w:tcBorders>
            <w:shd w:val="clear" w:color="auto" w:fill="auto"/>
            <w:noWrap/>
            <w:vAlign w:val="bottom"/>
            <w:hideMark/>
          </w:tcPr>
          <w:p w14:paraId="39A8B310" w14:textId="77777777" w:rsidR="00B17076" w:rsidRPr="00B17076" w:rsidRDefault="00B17076" w:rsidP="00B17076">
            <w:pPr>
              <w:spacing w:before="0" w:after="0"/>
              <w:rPr>
                <w:rFonts w:eastAsia="Times New Roman" w:cs="Arial"/>
                <w:b/>
                <w:bCs/>
                <w:sz w:val="20"/>
                <w:szCs w:val="20"/>
                <w:lang w:eastAsia="en-GB"/>
              </w:rPr>
            </w:pPr>
            <w:r w:rsidRPr="00B17076">
              <w:rPr>
                <w:rFonts w:eastAsia="Times New Roman" w:cs="Arial"/>
                <w:b/>
                <w:bCs/>
                <w:sz w:val="20"/>
                <w:szCs w:val="20"/>
                <w:lang w:eastAsia="en-GB"/>
              </w:rPr>
              <w:t>21 Remote Contingent Liabilities</w:t>
            </w:r>
          </w:p>
        </w:tc>
        <w:tc>
          <w:tcPr>
            <w:tcW w:w="1135" w:type="dxa"/>
            <w:tcBorders>
              <w:top w:val="nil"/>
              <w:left w:val="nil"/>
              <w:bottom w:val="nil"/>
              <w:right w:val="nil"/>
            </w:tcBorders>
            <w:shd w:val="clear" w:color="auto" w:fill="auto"/>
            <w:noWrap/>
            <w:vAlign w:val="bottom"/>
            <w:hideMark/>
          </w:tcPr>
          <w:p w14:paraId="17EA436F" w14:textId="77777777" w:rsidR="00B17076" w:rsidRPr="00B17076" w:rsidRDefault="00B17076" w:rsidP="00B17076">
            <w:pPr>
              <w:spacing w:before="0" w:after="0"/>
              <w:rPr>
                <w:rFonts w:eastAsia="Times New Roman" w:cs="Arial"/>
                <w:b/>
                <w:bCs/>
                <w:sz w:val="20"/>
                <w:szCs w:val="20"/>
                <w:lang w:eastAsia="en-GB"/>
              </w:rPr>
            </w:pPr>
          </w:p>
        </w:tc>
        <w:tc>
          <w:tcPr>
            <w:tcW w:w="1375" w:type="dxa"/>
            <w:tcBorders>
              <w:top w:val="nil"/>
              <w:left w:val="nil"/>
              <w:bottom w:val="nil"/>
              <w:right w:val="nil"/>
            </w:tcBorders>
            <w:shd w:val="clear" w:color="000000" w:fill="FFFFFF"/>
            <w:noWrap/>
            <w:vAlign w:val="bottom"/>
            <w:hideMark/>
          </w:tcPr>
          <w:p w14:paraId="1129ABE7" w14:textId="77777777" w:rsidR="00B17076" w:rsidRPr="00B17076" w:rsidRDefault="00B17076" w:rsidP="00B17076">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300" w:type="dxa"/>
            <w:tcBorders>
              <w:top w:val="nil"/>
              <w:left w:val="nil"/>
              <w:bottom w:val="nil"/>
              <w:right w:val="nil"/>
            </w:tcBorders>
            <w:shd w:val="clear" w:color="000000" w:fill="FFFFFF"/>
            <w:noWrap/>
            <w:vAlign w:val="bottom"/>
            <w:hideMark/>
          </w:tcPr>
          <w:p w14:paraId="06B487B3" w14:textId="77777777" w:rsidR="00B17076" w:rsidRPr="00B17076" w:rsidRDefault="00B17076" w:rsidP="00B17076">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1439" w:type="dxa"/>
            <w:tcBorders>
              <w:top w:val="nil"/>
              <w:left w:val="nil"/>
              <w:bottom w:val="nil"/>
              <w:right w:val="nil"/>
            </w:tcBorders>
            <w:shd w:val="clear" w:color="000000" w:fill="FFFFFF"/>
            <w:noWrap/>
            <w:vAlign w:val="bottom"/>
            <w:hideMark/>
          </w:tcPr>
          <w:p w14:paraId="56C69C24" w14:textId="77777777" w:rsidR="00B17076" w:rsidRPr="00B17076" w:rsidRDefault="00B17076" w:rsidP="00B17076">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300" w:type="dxa"/>
            <w:tcBorders>
              <w:top w:val="nil"/>
              <w:left w:val="nil"/>
              <w:bottom w:val="nil"/>
              <w:right w:val="nil"/>
            </w:tcBorders>
            <w:shd w:val="clear" w:color="000000" w:fill="FFFFFF"/>
            <w:noWrap/>
            <w:vAlign w:val="bottom"/>
            <w:hideMark/>
          </w:tcPr>
          <w:p w14:paraId="1C61012C" w14:textId="77777777" w:rsidR="00B17076" w:rsidRPr="00B17076" w:rsidRDefault="00B17076" w:rsidP="00B17076">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1181" w:type="dxa"/>
            <w:tcBorders>
              <w:top w:val="nil"/>
              <w:left w:val="nil"/>
              <w:bottom w:val="nil"/>
              <w:right w:val="nil"/>
            </w:tcBorders>
            <w:shd w:val="clear" w:color="auto" w:fill="auto"/>
            <w:vAlign w:val="bottom"/>
            <w:hideMark/>
          </w:tcPr>
          <w:p w14:paraId="5076C4A2" w14:textId="77777777" w:rsidR="00B17076" w:rsidRPr="00B17076" w:rsidRDefault="00B17076" w:rsidP="00B17076">
            <w:pPr>
              <w:spacing w:before="0" w:after="0"/>
              <w:rPr>
                <w:rFonts w:eastAsia="Times New Roman" w:cs="Arial"/>
                <w:sz w:val="20"/>
                <w:szCs w:val="20"/>
                <w:lang w:eastAsia="en-GB"/>
              </w:rPr>
            </w:pPr>
          </w:p>
        </w:tc>
        <w:tc>
          <w:tcPr>
            <w:tcW w:w="300" w:type="dxa"/>
            <w:tcBorders>
              <w:top w:val="nil"/>
              <w:left w:val="nil"/>
              <w:bottom w:val="nil"/>
              <w:right w:val="nil"/>
            </w:tcBorders>
            <w:shd w:val="clear" w:color="auto" w:fill="auto"/>
            <w:vAlign w:val="bottom"/>
            <w:hideMark/>
          </w:tcPr>
          <w:p w14:paraId="776257E9" w14:textId="77777777" w:rsidR="00B17076" w:rsidRPr="00B17076" w:rsidRDefault="00B17076" w:rsidP="00B17076">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auto" w:fill="auto"/>
            <w:vAlign w:val="bottom"/>
            <w:hideMark/>
          </w:tcPr>
          <w:p w14:paraId="12D3766A" w14:textId="77777777" w:rsidR="00B17076" w:rsidRPr="00B17076" w:rsidRDefault="00B17076" w:rsidP="00B17076">
            <w:pPr>
              <w:spacing w:before="0" w:after="0"/>
              <w:rPr>
                <w:rFonts w:ascii="Times New Roman" w:eastAsia="Times New Roman" w:hAnsi="Times New Roman" w:cs="Times New Roman"/>
                <w:sz w:val="20"/>
                <w:szCs w:val="20"/>
                <w:lang w:eastAsia="en-GB"/>
              </w:rPr>
            </w:pPr>
          </w:p>
        </w:tc>
      </w:tr>
      <w:tr w:rsidR="00B17076" w:rsidRPr="00B17076" w14:paraId="1E74E24F" w14:textId="77777777" w:rsidTr="0030431F">
        <w:trPr>
          <w:trHeight w:val="260"/>
        </w:trPr>
        <w:tc>
          <w:tcPr>
            <w:tcW w:w="11057" w:type="dxa"/>
            <w:gridSpan w:val="9"/>
            <w:tcBorders>
              <w:top w:val="nil"/>
              <w:left w:val="nil"/>
              <w:bottom w:val="nil"/>
              <w:right w:val="nil"/>
            </w:tcBorders>
            <w:shd w:val="clear" w:color="auto" w:fill="auto"/>
            <w:noWrap/>
            <w:vAlign w:val="bottom"/>
            <w:hideMark/>
          </w:tcPr>
          <w:p w14:paraId="00C4F197" w14:textId="37F3FBAC" w:rsidR="00B17076" w:rsidRPr="00B17076" w:rsidRDefault="00B17076" w:rsidP="00743DCF">
            <w:pPr>
              <w:spacing w:before="0"/>
              <w:rPr>
                <w:rFonts w:eastAsia="Times New Roman" w:cs="Arial"/>
                <w:sz w:val="20"/>
                <w:szCs w:val="20"/>
                <w:lang w:eastAsia="en-GB"/>
              </w:rPr>
            </w:pPr>
            <w:r w:rsidRPr="00B17076">
              <w:rPr>
                <w:rFonts w:eastAsia="Times New Roman" w:cs="Arial"/>
                <w:sz w:val="20"/>
                <w:szCs w:val="20"/>
                <w:lang w:eastAsia="en-GB"/>
              </w:rPr>
              <w:t>The ICB didn’t have any Remote Contingent Liabilities at 31 Mar 2024, (31 Mar 2023 nil).</w:t>
            </w:r>
          </w:p>
        </w:tc>
      </w:tr>
      <w:tr w:rsidR="00120469" w:rsidRPr="00B17076" w14:paraId="66608370" w14:textId="77777777" w:rsidTr="00C64544">
        <w:trPr>
          <w:trHeight w:val="780"/>
        </w:trPr>
        <w:tc>
          <w:tcPr>
            <w:tcW w:w="3544" w:type="dxa"/>
            <w:tcBorders>
              <w:top w:val="nil"/>
              <w:left w:val="nil"/>
              <w:bottom w:val="nil"/>
              <w:right w:val="nil"/>
            </w:tcBorders>
            <w:shd w:val="clear" w:color="auto" w:fill="auto"/>
            <w:hideMark/>
          </w:tcPr>
          <w:p w14:paraId="24A7294E" w14:textId="12FDBEE2" w:rsidR="00120469" w:rsidRPr="00B17076" w:rsidRDefault="00120469" w:rsidP="00120469">
            <w:pPr>
              <w:spacing w:before="0" w:after="0"/>
              <w:rPr>
                <w:rFonts w:ascii="Times New Roman" w:eastAsia="Times New Roman" w:hAnsi="Times New Roman" w:cs="Times New Roman"/>
                <w:sz w:val="20"/>
                <w:szCs w:val="20"/>
                <w:lang w:eastAsia="en-GB"/>
              </w:rPr>
            </w:pPr>
            <w:r w:rsidRPr="00B17076">
              <w:rPr>
                <w:rFonts w:eastAsia="Times New Roman" w:cs="Arial"/>
                <w:b/>
                <w:bCs/>
                <w:sz w:val="20"/>
                <w:szCs w:val="20"/>
                <w:lang w:eastAsia="en-GB"/>
              </w:rPr>
              <w:t>22 Losses and Special Payments</w:t>
            </w:r>
          </w:p>
        </w:tc>
        <w:tc>
          <w:tcPr>
            <w:tcW w:w="1135" w:type="dxa"/>
            <w:tcBorders>
              <w:top w:val="nil"/>
              <w:left w:val="nil"/>
              <w:bottom w:val="nil"/>
              <w:right w:val="nil"/>
            </w:tcBorders>
            <w:shd w:val="clear" w:color="auto" w:fill="auto"/>
            <w:vAlign w:val="bottom"/>
            <w:hideMark/>
          </w:tcPr>
          <w:p w14:paraId="3BE86955"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375" w:type="dxa"/>
            <w:tcBorders>
              <w:top w:val="nil"/>
              <w:left w:val="nil"/>
              <w:bottom w:val="nil"/>
              <w:right w:val="nil"/>
            </w:tcBorders>
            <w:shd w:val="clear" w:color="auto" w:fill="auto"/>
            <w:vAlign w:val="bottom"/>
            <w:hideMark/>
          </w:tcPr>
          <w:p w14:paraId="5E1DAD1B" w14:textId="77777777" w:rsidR="00120469" w:rsidRPr="00B17076" w:rsidRDefault="00120469" w:rsidP="00120469">
            <w:pPr>
              <w:spacing w:before="0" w:after="0"/>
              <w:jc w:val="right"/>
              <w:rPr>
                <w:rFonts w:eastAsia="Times New Roman" w:cs="Arial"/>
                <w:b/>
                <w:bCs/>
                <w:sz w:val="20"/>
                <w:szCs w:val="20"/>
                <w:lang w:eastAsia="en-GB"/>
              </w:rPr>
            </w:pPr>
            <w:r w:rsidRPr="00B17076">
              <w:rPr>
                <w:rFonts w:eastAsia="Times New Roman" w:cs="Arial"/>
                <w:b/>
                <w:bCs/>
                <w:sz w:val="20"/>
                <w:szCs w:val="20"/>
                <w:lang w:eastAsia="en-GB"/>
              </w:rPr>
              <w:t>Total Number of Cases</w:t>
            </w:r>
          </w:p>
        </w:tc>
        <w:tc>
          <w:tcPr>
            <w:tcW w:w="300" w:type="dxa"/>
            <w:tcBorders>
              <w:top w:val="nil"/>
              <w:left w:val="nil"/>
              <w:bottom w:val="nil"/>
              <w:right w:val="nil"/>
            </w:tcBorders>
            <w:shd w:val="clear" w:color="auto" w:fill="auto"/>
            <w:vAlign w:val="bottom"/>
            <w:hideMark/>
          </w:tcPr>
          <w:p w14:paraId="3386CCBC" w14:textId="77777777" w:rsidR="00120469" w:rsidRPr="00B17076" w:rsidRDefault="00120469" w:rsidP="00120469">
            <w:pPr>
              <w:spacing w:before="0" w:after="0"/>
              <w:jc w:val="right"/>
              <w:rPr>
                <w:rFonts w:eastAsia="Times New Roman" w:cs="Arial"/>
                <w:b/>
                <w:bCs/>
                <w:sz w:val="20"/>
                <w:szCs w:val="20"/>
                <w:lang w:eastAsia="en-GB"/>
              </w:rPr>
            </w:pPr>
          </w:p>
        </w:tc>
        <w:tc>
          <w:tcPr>
            <w:tcW w:w="1439" w:type="dxa"/>
            <w:tcBorders>
              <w:top w:val="nil"/>
              <w:left w:val="nil"/>
              <w:bottom w:val="nil"/>
              <w:right w:val="nil"/>
            </w:tcBorders>
            <w:shd w:val="clear" w:color="auto" w:fill="auto"/>
            <w:vAlign w:val="bottom"/>
            <w:hideMark/>
          </w:tcPr>
          <w:p w14:paraId="55691FAA" w14:textId="77777777" w:rsidR="00120469" w:rsidRPr="00B17076" w:rsidRDefault="00120469" w:rsidP="00120469">
            <w:pPr>
              <w:spacing w:before="0" w:after="0"/>
              <w:jc w:val="right"/>
              <w:rPr>
                <w:rFonts w:eastAsia="Times New Roman" w:cs="Arial"/>
                <w:b/>
                <w:bCs/>
                <w:sz w:val="20"/>
                <w:szCs w:val="20"/>
                <w:lang w:eastAsia="en-GB"/>
              </w:rPr>
            </w:pPr>
            <w:r w:rsidRPr="00B17076">
              <w:rPr>
                <w:rFonts w:eastAsia="Times New Roman" w:cs="Arial"/>
                <w:b/>
                <w:bCs/>
                <w:sz w:val="20"/>
                <w:szCs w:val="20"/>
                <w:lang w:eastAsia="en-GB"/>
              </w:rPr>
              <w:t>Total Value of Cases</w:t>
            </w:r>
          </w:p>
        </w:tc>
        <w:tc>
          <w:tcPr>
            <w:tcW w:w="300" w:type="dxa"/>
            <w:tcBorders>
              <w:top w:val="nil"/>
              <w:left w:val="nil"/>
              <w:bottom w:val="nil"/>
              <w:right w:val="nil"/>
            </w:tcBorders>
            <w:shd w:val="clear" w:color="auto" w:fill="auto"/>
            <w:vAlign w:val="bottom"/>
            <w:hideMark/>
          </w:tcPr>
          <w:p w14:paraId="3CF08EA8" w14:textId="77777777" w:rsidR="00120469" w:rsidRPr="00B17076" w:rsidRDefault="00120469" w:rsidP="00120469">
            <w:pPr>
              <w:spacing w:before="0" w:after="0"/>
              <w:jc w:val="right"/>
              <w:rPr>
                <w:rFonts w:eastAsia="Times New Roman" w:cs="Arial"/>
                <w:b/>
                <w:bCs/>
                <w:sz w:val="20"/>
                <w:szCs w:val="20"/>
                <w:lang w:eastAsia="en-GB"/>
              </w:rPr>
            </w:pPr>
          </w:p>
        </w:tc>
        <w:tc>
          <w:tcPr>
            <w:tcW w:w="1181" w:type="dxa"/>
            <w:tcBorders>
              <w:top w:val="nil"/>
              <w:left w:val="nil"/>
              <w:bottom w:val="nil"/>
              <w:right w:val="nil"/>
            </w:tcBorders>
            <w:shd w:val="clear" w:color="auto" w:fill="auto"/>
            <w:vAlign w:val="bottom"/>
            <w:hideMark/>
          </w:tcPr>
          <w:p w14:paraId="739D8AF6"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Total Number of Cases</w:t>
            </w:r>
          </w:p>
        </w:tc>
        <w:tc>
          <w:tcPr>
            <w:tcW w:w="300" w:type="dxa"/>
            <w:tcBorders>
              <w:top w:val="nil"/>
              <w:left w:val="nil"/>
              <w:bottom w:val="nil"/>
              <w:right w:val="nil"/>
            </w:tcBorders>
            <w:shd w:val="clear" w:color="auto" w:fill="auto"/>
            <w:vAlign w:val="bottom"/>
            <w:hideMark/>
          </w:tcPr>
          <w:p w14:paraId="7DE8E797" w14:textId="77777777" w:rsidR="00120469" w:rsidRPr="00B17076" w:rsidRDefault="00120469" w:rsidP="00120469">
            <w:pPr>
              <w:spacing w:before="0" w:after="0"/>
              <w:jc w:val="right"/>
              <w:rPr>
                <w:rFonts w:eastAsia="Times New Roman" w:cs="Arial"/>
                <w:sz w:val="20"/>
                <w:szCs w:val="20"/>
                <w:lang w:eastAsia="en-GB"/>
              </w:rPr>
            </w:pPr>
          </w:p>
        </w:tc>
        <w:tc>
          <w:tcPr>
            <w:tcW w:w="1483" w:type="dxa"/>
            <w:tcBorders>
              <w:top w:val="nil"/>
              <w:left w:val="nil"/>
              <w:bottom w:val="nil"/>
              <w:right w:val="nil"/>
            </w:tcBorders>
            <w:shd w:val="clear" w:color="auto" w:fill="auto"/>
            <w:vAlign w:val="bottom"/>
            <w:hideMark/>
          </w:tcPr>
          <w:p w14:paraId="6B097F2B"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Total Value of Cases</w:t>
            </w:r>
          </w:p>
        </w:tc>
      </w:tr>
      <w:tr w:rsidR="00120469" w:rsidRPr="00B17076" w14:paraId="571FC16E" w14:textId="77777777" w:rsidTr="00120469">
        <w:trPr>
          <w:trHeight w:val="520"/>
        </w:trPr>
        <w:tc>
          <w:tcPr>
            <w:tcW w:w="3544" w:type="dxa"/>
            <w:tcBorders>
              <w:top w:val="nil"/>
              <w:left w:val="nil"/>
              <w:bottom w:val="nil"/>
              <w:right w:val="nil"/>
            </w:tcBorders>
            <w:shd w:val="clear" w:color="auto" w:fill="auto"/>
            <w:noWrap/>
          </w:tcPr>
          <w:p w14:paraId="1F9F5268" w14:textId="1E92CA7E" w:rsidR="00120469" w:rsidRPr="00B17076" w:rsidRDefault="00120469" w:rsidP="00120469">
            <w:pPr>
              <w:spacing w:before="0" w:after="0"/>
              <w:jc w:val="right"/>
              <w:rPr>
                <w:rFonts w:eastAsia="Times New Roman" w:cs="Arial"/>
                <w:sz w:val="20"/>
                <w:szCs w:val="20"/>
                <w:lang w:eastAsia="en-GB"/>
              </w:rPr>
            </w:pPr>
          </w:p>
        </w:tc>
        <w:tc>
          <w:tcPr>
            <w:tcW w:w="1135" w:type="dxa"/>
            <w:tcBorders>
              <w:top w:val="nil"/>
              <w:left w:val="nil"/>
              <w:bottom w:val="nil"/>
              <w:right w:val="nil"/>
            </w:tcBorders>
            <w:shd w:val="clear" w:color="auto" w:fill="auto"/>
            <w:noWrap/>
            <w:vAlign w:val="bottom"/>
            <w:hideMark/>
          </w:tcPr>
          <w:p w14:paraId="3E2916C7"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375" w:type="dxa"/>
            <w:tcBorders>
              <w:top w:val="nil"/>
              <w:left w:val="nil"/>
              <w:bottom w:val="nil"/>
              <w:right w:val="nil"/>
            </w:tcBorders>
            <w:shd w:val="clear" w:color="auto" w:fill="auto"/>
            <w:vAlign w:val="bottom"/>
            <w:hideMark/>
          </w:tcPr>
          <w:p w14:paraId="495BB692" w14:textId="77777777" w:rsidR="00120469" w:rsidRPr="00B17076" w:rsidRDefault="00120469" w:rsidP="00120469">
            <w:pPr>
              <w:spacing w:before="0" w:after="0"/>
              <w:jc w:val="right"/>
              <w:rPr>
                <w:rFonts w:eastAsia="Times New Roman" w:cs="Arial"/>
                <w:b/>
                <w:bCs/>
                <w:sz w:val="20"/>
                <w:szCs w:val="20"/>
                <w:lang w:eastAsia="en-GB"/>
              </w:rPr>
            </w:pPr>
            <w:r w:rsidRPr="00B17076">
              <w:rPr>
                <w:rFonts w:eastAsia="Times New Roman" w:cs="Arial"/>
                <w:b/>
                <w:bCs/>
                <w:sz w:val="20"/>
                <w:szCs w:val="20"/>
                <w:lang w:eastAsia="en-GB"/>
              </w:rPr>
              <w:t>1-Apr-23 to 31-Mar-24</w:t>
            </w:r>
          </w:p>
        </w:tc>
        <w:tc>
          <w:tcPr>
            <w:tcW w:w="300" w:type="dxa"/>
            <w:tcBorders>
              <w:top w:val="nil"/>
              <w:left w:val="nil"/>
              <w:bottom w:val="nil"/>
              <w:right w:val="nil"/>
            </w:tcBorders>
            <w:shd w:val="clear" w:color="auto" w:fill="auto"/>
            <w:noWrap/>
            <w:vAlign w:val="bottom"/>
            <w:hideMark/>
          </w:tcPr>
          <w:p w14:paraId="5E77D68E" w14:textId="77777777" w:rsidR="00120469" w:rsidRPr="00B17076" w:rsidRDefault="00120469" w:rsidP="00120469">
            <w:pPr>
              <w:spacing w:before="0" w:after="0"/>
              <w:jc w:val="right"/>
              <w:rPr>
                <w:rFonts w:eastAsia="Times New Roman" w:cs="Arial"/>
                <w:b/>
                <w:bCs/>
                <w:sz w:val="20"/>
                <w:szCs w:val="20"/>
                <w:lang w:eastAsia="en-GB"/>
              </w:rPr>
            </w:pPr>
          </w:p>
        </w:tc>
        <w:tc>
          <w:tcPr>
            <w:tcW w:w="1439" w:type="dxa"/>
            <w:tcBorders>
              <w:top w:val="nil"/>
              <w:left w:val="nil"/>
              <w:bottom w:val="nil"/>
              <w:right w:val="nil"/>
            </w:tcBorders>
            <w:shd w:val="clear" w:color="auto" w:fill="auto"/>
            <w:vAlign w:val="bottom"/>
            <w:hideMark/>
          </w:tcPr>
          <w:p w14:paraId="366EE56C" w14:textId="77777777" w:rsidR="00120469" w:rsidRPr="00B17076" w:rsidRDefault="00120469" w:rsidP="00120469">
            <w:pPr>
              <w:spacing w:before="0" w:after="0"/>
              <w:jc w:val="right"/>
              <w:rPr>
                <w:rFonts w:eastAsia="Times New Roman" w:cs="Arial"/>
                <w:b/>
                <w:bCs/>
                <w:sz w:val="20"/>
                <w:szCs w:val="20"/>
                <w:lang w:eastAsia="en-GB"/>
              </w:rPr>
            </w:pPr>
            <w:r w:rsidRPr="00B17076">
              <w:rPr>
                <w:rFonts w:eastAsia="Times New Roman" w:cs="Arial"/>
                <w:b/>
                <w:bCs/>
                <w:sz w:val="20"/>
                <w:szCs w:val="20"/>
                <w:lang w:eastAsia="en-GB"/>
              </w:rPr>
              <w:t>1-Apr-23 to 31-Mar-24</w:t>
            </w:r>
          </w:p>
        </w:tc>
        <w:tc>
          <w:tcPr>
            <w:tcW w:w="300" w:type="dxa"/>
            <w:tcBorders>
              <w:top w:val="nil"/>
              <w:left w:val="nil"/>
              <w:bottom w:val="nil"/>
              <w:right w:val="nil"/>
            </w:tcBorders>
            <w:shd w:val="clear" w:color="auto" w:fill="auto"/>
            <w:noWrap/>
            <w:vAlign w:val="bottom"/>
            <w:hideMark/>
          </w:tcPr>
          <w:p w14:paraId="57641FEC" w14:textId="77777777" w:rsidR="00120469" w:rsidRPr="00B17076" w:rsidRDefault="00120469" w:rsidP="00120469">
            <w:pPr>
              <w:spacing w:before="0" w:after="0"/>
              <w:jc w:val="right"/>
              <w:rPr>
                <w:rFonts w:eastAsia="Times New Roman" w:cs="Arial"/>
                <w:b/>
                <w:bCs/>
                <w:sz w:val="20"/>
                <w:szCs w:val="20"/>
                <w:lang w:eastAsia="en-GB"/>
              </w:rPr>
            </w:pPr>
          </w:p>
        </w:tc>
        <w:tc>
          <w:tcPr>
            <w:tcW w:w="1181" w:type="dxa"/>
            <w:tcBorders>
              <w:top w:val="nil"/>
              <w:left w:val="nil"/>
              <w:bottom w:val="nil"/>
              <w:right w:val="nil"/>
            </w:tcBorders>
            <w:shd w:val="clear" w:color="000000" w:fill="FFFFFF"/>
            <w:vAlign w:val="bottom"/>
            <w:hideMark/>
          </w:tcPr>
          <w:p w14:paraId="372989B6"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1-Jul-22 to 31-Mar-23</w:t>
            </w:r>
          </w:p>
        </w:tc>
        <w:tc>
          <w:tcPr>
            <w:tcW w:w="300" w:type="dxa"/>
            <w:tcBorders>
              <w:top w:val="nil"/>
              <w:left w:val="nil"/>
              <w:bottom w:val="nil"/>
              <w:right w:val="nil"/>
            </w:tcBorders>
            <w:shd w:val="clear" w:color="auto" w:fill="auto"/>
            <w:noWrap/>
            <w:vAlign w:val="bottom"/>
            <w:hideMark/>
          </w:tcPr>
          <w:p w14:paraId="4F94D0F3" w14:textId="77777777" w:rsidR="00120469" w:rsidRPr="00B17076" w:rsidRDefault="00120469" w:rsidP="00120469">
            <w:pPr>
              <w:spacing w:before="0" w:after="0"/>
              <w:jc w:val="right"/>
              <w:rPr>
                <w:rFonts w:eastAsia="Times New Roman" w:cs="Arial"/>
                <w:sz w:val="20"/>
                <w:szCs w:val="20"/>
                <w:lang w:eastAsia="en-GB"/>
              </w:rPr>
            </w:pPr>
          </w:p>
        </w:tc>
        <w:tc>
          <w:tcPr>
            <w:tcW w:w="1483" w:type="dxa"/>
            <w:tcBorders>
              <w:top w:val="nil"/>
              <w:left w:val="nil"/>
              <w:bottom w:val="nil"/>
              <w:right w:val="nil"/>
            </w:tcBorders>
            <w:shd w:val="clear" w:color="000000" w:fill="FFFFFF"/>
            <w:vAlign w:val="bottom"/>
            <w:hideMark/>
          </w:tcPr>
          <w:p w14:paraId="1B20DF35"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1-Jul-22 to 31-Mar-23</w:t>
            </w:r>
          </w:p>
        </w:tc>
      </w:tr>
      <w:tr w:rsidR="00120469" w:rsidRPr="00B17076" w14:paraId="5CF04288" w14:textId="77777777" w:rsidTr="0030431F">
        <w:trPr>
          <w:trHeight w:val="260"/>
        </w:trPr>
        <w:tc>
          <w:tcPr>
            <w:tcW w:w="3544" w:type="dxa"/>
            <w:tcBorders>
              <w:top w:val="nil"/>
              <w:left w:val="nil"/>
              <w:bottom w:val="nil"/>
              <w:right w:val="nil"/>
            </w:tcBorders>
            <w:shd w:val="clear" w:color="auto" w:fill="auto"/>
            <w:noWrap/>
            <w:vAlign w:val="bottom"/>
            <w:hideMark/>
          </w:tcPr>
          <w:p w14:paraId="784C763E" w14:textId="77777777" w:rsidR="00120469" w:rsidRPr="00B17076" w:rsidRDefault="00120469" w:rsidP="00120469">
            <w:pPr>
              <w:spacing w:before="0" w:after="0"/>
              <w:jc w:val="right"/>
              <w:rPr>
                <w:rFonts w:eastAsia="Times New Roman" w:cs="Arial"/>
                <w:sz w:val="20"/>
                <w:szCs w:val="20"/>
                <w:lang w:eastAsia="en-GB"/>
              </w:rPr>
            </w:pPr>
          </w:p>
        </w:tc>
        <w:tc>
          <w:tcPr>
            <w:tcW w:w="1135" w:type="dxa"/>
            <w:tcBorders>
              <w:top w:val="nil"/>
              <w:left w:val="nil"/>
              <w:bottom w:val="nil"/>
              <w:right w:val="nil"/>
            </w:tcBorders>
            <w:shd w:val="clear" w:color="auto" w:fill="auto"/>
            <w:noWrap/>
            <w:vAlign w:val="bottom"/>
            <w:hideMark/>
          </w:tcPr>
          <w:p w14:paraId="28612E33"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375" w:type="dxa"/>
            <w:tcBorders>
              <w:top w:val="nil"/>
              <w:left w:val="nil"/>
              <w:bottom w:val="nil"/>
              <w:right w:val="nil"/>
            </w:tcBorders>
            <w:shd w:val="clear" w:color="auto" w:fill="auto"/>
            <w:noWrap/>
            <w:vAlign w:val="bottom"/>
            <w:hideMark/>
          </w:tcPr>
          <w:p w14:paraId="33360FCD" w14:textId="77777777" w:rsidR="00120469" w:rsidRPr="00B17076" w:rsidRDefault="00120469" w:rsidP="00120469">
            <w:pPr>
              <w:spacing w:before="0" w:after="0"/>
              <w:jc w:val="right"/>
              <w:rPr>
                <w:rFonts w:eastAsia="Times New Roman" w:cs="Arial"/>
                <w:b/>
                <w:bCs/>
                <w:sz w:val="20"/>
                <w:szCs w:val="20"/>
                <w:lang w:eastAsia="en-GB"/>
              </w:rPr>
            </w:pPr>
            <w:r w:rsidRPr="00B17076">
              <w:rPr>
                <w:rFonts w:eastAsia="Times New Roman" w:cs="Arial"/>
                <w:b/>
                <w:bCs/>
                <w:sz w:val="20"/>
                <w:szCs w:val="20"/>
                <w:lang w:eastAsia="en-GB"/>
              </w:rPr>
              <w:t>Number</w:t>
            </w:r>
          </w:p>
        </w:tc>
        <w:tc>
          <w:tcPr>
            <w:tcW w:w="300" w:type="dxa"/>
            <w:tcBorders>
              <w:top w:val="nil"/>
              <w:left w:val="nil"/>
              <w:bottom w:val="nil"/>
              <w:right w:val="nil"/>
            </w:tcBorders>
            <w:shd w:val="clear" w:color="auto" w:fill="auto"/>
            <w:noWrap/>
            <w:vAlign w:val="bottom"/>
            <w:hideMark/>
          </w:tcPr>
          <w:p w14:paraId="3C090AEF" w14:textId="77777777" w:rsidR="00120469" w:rsidRPr="00B17076" w:rsidRDefault="00120469" w:rsidP="00120469">
            <w:pPr>
              <w:spacing w:before="0" w:after="0"/>
              <w:jc w:val="right"/>
              <w:rPr>
                <w:rFonts w:eastAsia="Times New Roman" w:cs="Arial"/>
                <w:b/>
                <w:bCs/>
                <w:sz w:val="20"/>
                <w:szCs w:val="20"/>
                <w:lang w:eastAsia="en-GB"/>
              </w:rPr>
            </w:pPr>
          </w:p>
        </w:tc>
        <w:tc>
          <w:tcPr>
            <w:tcW w:w="1439" w:type="dxa"/>
            <w:tcBorders>
              <w:top w:val="nil"/>
              <w:left w:val="nil"/>
              <w:bottom w:val="nil"/>
              <w:right w:val="nil"/>
            </w:tcBorders>
            <w:shd w:val="clear" w:color="auto" w:fill="auto"/>
            <w:noWrap/>
            <w:vAlign w:val="bottom"/>
            <w:hideMark/>
          </w:tcPr>
          <w:p w14:paraId="41F53609" w14:textId="77777777" w:rsidR="00120469" w:rsidRPr="00B17076" w:rsidRDefault="00120469" w:rsidP="00120469">
            <w:pPr>
              <w:spacing w:before="0" w:after="0"/>
              <w:jc w:val="right"/>
              <w:rPr>
                <w:rFonts w:eastAsia="Times New Roman" w:cs="Arial"/>
                <w:b/>
                <w:bCs/>
                <w:sz w:val="20"/>
                <w:szCs w:val="20"/>
                <w:lang w:eastAsia="en-GB"/>
              </w:rPr>
            </w:pPr>
            <w:r w:rsidRPr="00B17076">
              <w:rPr>
                <w:rFonts w:eastAsia="Times New Roman" w:cs="Arial"/>
                <w:b/>
                <w:bCs/>
                <w:sz w:val="20"/>
                <w:szCs w:val="20"/>
                <w:lang w:eastAsia="en-GB"/>
              </w:rPr>
              <w:t>£'000</w:t>
            </w:r>
          </w:p>
        </w:tc>
        <w:tc>
          <w:tcPr>
            <w:tcW w:w="300" w:type="dxa"/>
            <w:tcBorders>
              <w:top w:val="nil"/>
              <w:left w:val="nil"/>
              <w:bottom w:val="nil"/>
              <w:right w:val="nil"/>
            </w:tcBorders>
            <w:shd w:val="clear" w:color="auto" w:fill="auto"/>
            <w:noWrap/>
            <w:vAlign w:val="bottom"/>
            <w:hideMark/>
          </w:tcPr>
          <w:p w14:paraId="7726CE7C" w14:textId="77777777" w:rsidR="00120469" w:rsidRPr="00B17076" w:rsidRDefault="00120469" w:rsidP="00120469">
            <w:pPr>
              <w:spacing w:before="0" w:after="0"/>
              <w:jc w:val="right"/>
              <w:rPr>
                <w:rFonts w:eastAsia="Times New Roman" w:cs="Arial"/>
                <w:b/>
                <w:bCs/>
                <w:sz w:val="20"/>
                <w:szCs w:val="20"/>
                <w:lang w:eastAsia="en-GB"/>
              </w:rPr>
            </w:pPr>
          </w:p>
        </w:tc>
        <w:tc>
          <w:tcPr>
            <w:tcW w:w="1181" w:type="dxa"/>
            <w:tcBorders>
              <w:top w:val="nil"/>
              <w:left w:val="nil"/>
              <w:bottom w:val="nil"/>
              <w:right w:val="nil"/>
            </w:tcBorders>
            <w:shd w:val="clear" w:color="auto" w:fill="auto"/>
            <w:noWrap/>
            <w:vAlign w:val="bottom"/>
            <w:hideMark/>
          </w:tcPr>
          <w:p w14:paraId="26CC555F"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Number</w:t>
            </w:r>
          </w:p>
        </w:tc>
        <w:tc>
          <w:tcPr>
            <w:tcW w:w="300" w:type="dxa"/>
            <w:tcBorders>
              <w:top w:val="nil"/>
              <w:left w:val="nil"/>
              <w:bottom w:val="nil"/>
              <w:right w:val="nil"/>
            </w:tcBorders>
            <w:shd w:val="clear" w:color="auto" w:fill="auto"/>
            <w:noWrap/>
            <w:vAlign w:val="bottom"/>
            <w:hideMark/>
          </w:tcPr>
          <w:p w14:paraId="07F3EDC3" w14:textId="77777777" w:rsidR="00120469" w:rsidRPr="00B17076" w:rsidRDefault="00120469" w:rsidP="00120469">
            <w:pPr>
              <w:spacing w:before="0" w:after="0"/>
              <w:jc w:val="right"/>
              <w:rPr>
                <w:rFonts w:eastAsia="Times New Roman" w:cs="Arial"/>
                <w:sz w:val="20"/>
                <w:szCs w:val="20"/>
                <w:lang w:eastAsia="en-GB"/>
              </w:rPr>
            </w:pPr>
          </w:p>
        </w:tc>
        <w:tc>
          <w:tcPr>
            <w:tcW w:w="1483" w:type="dxa"/>
            <w:tcBorders>
              <w:top w:val="nil"/>
              <w:left w:val="nil"/>
              <w:bottom w:val="nil"/>
              <w:right w:val="nil"/>
            </w:tcBorders>
            <w:shd w:val="clear" w:color="auto" w:fill="auto"/>
            <w:noWrap/>
            <w:vAlign w:val="bottom"/>
            <w:hideMark/>
          </w:tcPr>
          <w:p w14:paraId="33F519EC"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£'000</w:t>
            </w:r>
          </w:p>
        </w:tc>
      </w:tr>
      <w:tr w:rsidR="00120469" w:rsidRPr="00B17076" w14:paraId="3DEC6A4D" w14:textId="77777777" w:rsidTr="0030431F">
        <w:trPr>
          <w:trHeight w:val="250"/>
        </w:trPr>
        <w:tc>
          <w:tcPr>
            <w:tcW w:w="3544" w:type="dxa"/>
            <w:tcBorders>
              <w:top w:val="nil"/>
              <w:left w:val="nil"/>
              <w:bottom w:val="nil"/>
              <w:right w:val="nil"/>
            </w:tcBorders>
            <w:shd w:val="clear" w:color="auto" w:fill="auto"/>
            <w:noWrap/>
            <w:vAlign w:val="bottom"/>
            <w:hideMark/>
          </w:tcPr>
          <w:p w14:paraId="0976E702" w14:textId="77777777"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Compensation payments</w:t>
            </w:r>
          </w:p>
        </w:tc>
        <w:tc>
          <w:tcPr>
            <w:tcW w:w="1135" w:type="dxa"/>
            <w:tcBorders>
              <w:top w:val="nil"/>
              <w:left w:val="nil"/>
              <w:bottom w:val="nil"/>
              <w:right w:val="nil"/>
            </w:tcBorders>
            <w:shd w:val="clear" w:color="auto" w:fill="auto"/>
            <w:noWrap/>
            <w:vAlign w:val="bottom"/>
            <w:hideMark/>
          </w:tcPr>
          <w:p w14:paraId="3188EB94" w14:textId="77777777" w:rsidR="00120469" w:rsidRPr="00B17076" w:rsidRDefault="00120469" w:rsidP="00120469">
            <w:pPr>
              <w:spacing w:before="0" w:after="0"/>
              <w:rPr>
                <w:rFonts w:eastAsia="Times New Roman" w:cs="Arial"/>
                <w:sz w:val="20"/>
                <w:szCs w:val="20"/>
                <w:lang w:eastAsia="en-GB"/>
              </w:rPr>
            </w:pPr>
          </w:p>
        </w:tc>
        <w:tc>
          <w:tcPr>
            <w:tcW w:w="1375" w:type="dxa"/>
            <w:tcBorders>
              <w:top w:val="nil"/>
              <w:left w:val="nil"/>
              <w:bottom w:val="nil"/>
              <w:right w:val="nil"/>
            </w:tcBorders>
            <w:shd w:val="clear" w:color="auto" w:fill="auto"/>
            <w:noWrap/>
            <w:vAlign w:val="bottom"/>
            <w:hideMark/>
          </w:tcPr>
          <w:p w14:paraId="6CC25AEA"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w:t>
            </w:r>
          </w:p>
        </w:tc>
        <w:tc>
          <w:tcPr>
            <w:tcW w:w="300" w:type="dxa"/>
            <w:tcBorders>
              <w:top w:val="nil"/>
              <w:left w:val="nil"/>
              <w:bottom w:val="nil"/>
              <w:right w:val="nil"/>
            </w:tcBorders>
            <w:shd w:val="clear" w:color="auto" w:fill="auto"/>
            <w:noWrap/>
            <w:vAlign w:val="bottom"/>
            <w:hideMark/>
          </w:tcPr>
          <w:p w14:paraId="7726AE27" w14:textId="77777777" w:rsidR="00120469" w:rsidRPr="00B17076" w:rsidRDefault="00120469" w:rsidP="00120469">
            <w:pPr>
              <w:spacing w:before="0" w:after="0"/>
              <w:jc w:val="right"/>
              <w:rPr>
                <w:rFonts w:eastAsia="Times New Roman" w:cs="Arial"/>
                <w:sz w:val="20"/>
                <w:szCs w:val="20"/>
                <w:lang w:eastAsia="en-GB"/>
              </w:rPr>
            </w:pPr>
          </w:p>
        </w:tc>
        <w:tc>
          <w:tcPr>
            <w:tcW w:w="1439" w:type="dxa"/>
            <w:tcBorders>
              <w:top w:val="nil"/>
              <w:left w:val="nil"/>
              <w:bottom w:val="nil"/>
              <w:right w:val="nil"/>
            </w:tcBorders>
            <w:shd w:val="clear" w:color="auto" w:fill="auto"/>
            <w:noWrap/>
            <w:vAlign w:val="bottom"/>
            <w:hideMark/>
          </w:tcPr>
          <w:p w14:paraId="21F404C8"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w:t>
            </w:r>
          </w:p>
        </w:tc>
        <w:tc>
          <w:tcPr>
            <w:tcW w:w="300" w:type="dxa"/>
            <w:tcBorders>
              <w:top w:val="nil"/>
              <w:left w:val="nil"/>
              <w:bottom w:val="nil"/>
              <w:right w:val="nil"/>
            </w:tcBorders>
            <w:shd w:val="clear" w:color="auto" w:fill="auto"/>
            <w:noWrap/>
            <w:vAlign w:val="bottom"/>
            <w:hideMark/>
          </w:tcPr>
          <w:p w14:paraId="296834D0" w14:textId="77777777" w:rsidR="00120469" w:rsidRPr="00B17076" w:rsidRDefault="00120469" w:rsidP="00120469">
            <w:pPr>
              <w:spacing w:before="0" w:after="0"/>
              <w:jc w:val="right"/>
              <w:rPr>
                <w:rFonts w:eastAsia="Times New Roman" w:cs="Arial"/>
                <w:sz w:val="20"/>
                <w:szCs w:val="20"/>
                <w:lang w:eastAsia="en-GB"/>
              </w:rPr>
            </w:pPr>
          </w:p>
        </w:tc>
        <w:tc>
          <w:tcPr>
            <w:tcW w:w="1181" w:type="dxa"/>
            <w:tcBorders>
              <w:top w:val="nil"/>
              <w:left w:val="nil"/>
              <w:bottom w:val="nil"/>
              <w:right w:val="nil"/>
            </w:tcBorders>
            <w:shd w:val="clear" w:color="auto" w:fill="auto"/>
            <w:noWrap/>
            <w:vAlign w:val="bottom"/>
            <w:hideMark/>
          </w:tcPr>
          <w:p w14:paraId="1DBEE655"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1</w:t>
            </w:r>
          </w:p>
        </w:tc>
        <w:tc>
          <w:tcPr>
            <w:tcW w:w="300" w:type="dxa"/>
            <w:tcBorders>
              <w:top w:val="nil"/>
              <w:left w:val="nil"/>
              <w:bottom w:val="nil"/>
              <w:right w:val="nil"/>
            </w:tcBorders>
            <w:shd w:val="clear" w:color="auto" w:fill="auto"/>
            <w:noWrap/>
            <w:vAlign w:val="bottom"/>
            <w:hideMark/>
          </w:tcPr>
          <w:p w14:paraId="3F970B64" w14:textId="77777777" w:rsidR="00120469" w:rsidRPr="00B17076" w:rsidRDefault="00120469" w:rsidP="00120469">
            <w:pPr>
              <w:spacing w:before="0" w:after="0"/>
              <w:jc w:val="right"/>
              <w:rPr>
                <w:rFonts w:eastAsia="Times New Roman" w:cs="Arial"/>
                <w:sz w:val="20"/>
                <w:szCs w:val="20"/>
                <w:lang w:eastAsia="en-GB"/>
              </w:rPr>
            </w:pPr>
          </w:p>
        </w:tc>
        <w:tc>
          <w:tcPr>
            <w:tcW w:w="1483" w:type="dxa"/>
            <w:tcBorders>
              <w:top w:val="nil"/>
              <w:left w:val="nil"/>
              <w:bottom w:val="nil"/>
              <w:right w:val="nil"/>
            </w:tcBorders>
            <w:shd w:val="clear" w:color="auto" w:fill="auto"/>
            <w:noWrap/>
            <w:vAlign w:val="bottom"/>
            <w:hideMark/>
          </w:tcPr>
          <w:p w14:paraId="209CE43B"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1</w:t>
            </w:r>
          </w:p>
        </w:tc>
      </w:tr>
      <w:tr w:rsidR="00120469" w:rsidRPr="00B17076" w14:paraId="53CE8C9D" w14:textId="77777777" w:rsidTr="0030431F">
        <w:trPr>
          <w:trHeight w:val="250"/>
        </w:trPr>
        <w:tc>
          <w:tcPr>
            <w:tcW w:w="3544" w:type="dxa"/>
            <w:tcBorders>
              <w:top w:val="nil"/>
              <w:left w:val="nil"/>
              <w:bottom w:val="nil"/>
              <w:right w:val="nil"/>
            </w:tcBorders>
            <w:shd w:val="clear" w:color="auto" w:fill="auto"/>
            <w:noWrap/>
            <w:vAlign w:val="bottom"/>
            <w:hideMark/>
          </w:tcPr>
          <w:p w14:paraId="31B6CEA9" w14:textId="77777777"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Extra Contractual Payments</w:t>
            </w:r>
          </w:p>
        </w:tc>
        <w:tc>
          <w:tcPr>
            <w:tcW w:w="1135" w:type="dxa"/>
            <w:tcBorders>
              <w:top w:val="nil"/>
              <w:left w:val="nil"/>
              <w:bottom w:val="nil"/>
              <w:right w:val="nil"/>
            </w:tcBorders>
            <w:shd w:val="clear" w:color="auto" w:fill="auto"/>
            <w:noWrap/>
            <w:vAlign w:val="bottom"/>
            <w:hideMark/>
          </w:tcPr>
          <w:p w14:paraId="4D22F632" w14:textId="77777777" w:rsidR="00120469" w:rsidRPr="00B17076" w:rsidRDefault="00120469" w:rsidP="00120469">
            <w:pPr>
              <w:spacing w:before="0" w:after="0"/>
              <w:rPr>
                <w:rFonts w:eastAsia="Times New Roman" w:cs="Arial"/>
                <w:sz w:val="20"/>
                <w:szCs w:val="20"/>
                <w:lang w:eastAsia="en-GB"/>
              </w:rPr>
            </w:pPr>
          </w:p>
        </w:tc>
        <w:tc>
          <w:tcPr>
            <w:tcW w:w="1375" w:type="dxa"/>
            <w:tcBorders>
              <w:top w:val="nil"/>
              <w:left w:val="nil"/>
              <w:bottom w:val="nil"/>
              <w:right w:val="nil"/>
            </w:tcBorders>
            <w:shd w:val="clear" w:color="auto" w:fill="auto"/>
            <w:noWrap/>
            <w:vAlign w:val="bottom"/>
            <w:hideMark/>
          </w:tcPr>
          <w:p w14:paraId="514BBCF8"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w:t>
            </w:r>
          </w:p>
        </w:tc>
        <w:tc>
          <w:tcPr>
            <w:tcW w:w="300" w:type="dxa"/>
            <w:tcBorders>
              <w:top w:val="nil"/>
              <w:left w:val="nil"/>
              <w:bottom w:val="nil"/>
              <w:right w:val="nil"/>
            </w:tcBorders>
            <w:shd w:val="clear" w:color="auto" w:fill="auto"/>
            <w:noWrap/>
            <w:vAlign w:val="bottom"/>
            <w:hideMark/>
          </w:tcPr>
          <w:p w14:paraId="619D6A02" w14:textId="77777777" w:rsidR="00120469" w:rsidRPr="00B17076" w:rsidRDefault="00120469" w:rsidP="00120469">
            <w:pPr>
              <w:spacing w:before="0" w:after="0"/>
              <w:jc w:val="right"/>
              <w:rPr>
                <w:rFonts w:eastAsia="Times New Roman" w:cs="Arial"/>
                <w:sz w:val="20"/>
                <w:szCs w:val="20"/>
                <w:lang w:eastAsia="en-GB"/>
              </w:rPr>
            </w:pPr>
          </w:p>
        </w:tc>
        <w:tc>
          <w:tcPr>
            <w:tcW w:w="1439" w:type="dxa"/>
            <w:tcBorders>
              <w:top w:val="nil"/>
              <w:left w:val="nil"/>
              <w:bottom w:val="nil"/>
              <w:right w:val="nil"/>
            </w:tcBorders>
            <w:shd w:val="clear" w:color="auto" w:fill="auto"/>
            <w:noWrap/>
            <w:vAlign w:val="bottom"/>
            <w:hideMark/>
          </w:tcPr>
          <w:p w14:paraId="6EF8A87D"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w:t>
            </w:r>
          </w:p>
        </w:tc>
        <w:tc>
          <w:tcPr>
            <w:tcW w:w="300" w:type="dxa"/>
            <w:tcBorders>
              <w:top w:val="nil"/>
              <w:left w:val="nil"/>
              <w:bottom w:val="nil"/>
              <w:right w:val="nil"/>
            </w:tcBorders>
            <w:shd w:val="clear" w:color="auto" w:fill="auto"/>
            <w:noWrap/>
            <w:vAlign w:val="bottom"/>
            <w:hideMark/>
          </w:tcPr>
          <w:p w14:paraId="5464B47A" w14:textId="77777777" w:rsidR="00120469" w:rsidRPr="00B17076" w:rsidRDefault="00120469" w:rsidP="00120469">
            <w:pPr>
              <w:spacing w:before="0" w:after="0"/>
              <w:jc w:val="right"/>
              <w:rPr>
                <w:rFonts w:eastAsia="Times New Roman" w:cs="Arial"/>
                <w:sz w:val="20"/>
                <w:szCs w:val="20"/>
                <w:lang w:eastAsia="en-GB"/>
              </w:rPr>
            </w:pPr>
          </w:p>
        </w:tc>
        <w:tc>
          <w:tcPr>
            <w:tcW w:w="1181" w:type="dxa"/>
            <w:tcBorders>
              <w:top w:val="nil"/>
              <w:left w:val="nil"/>
              <w:bottom w:val="nil"/>
              <w:right w:val="nil"/>
            </w:tcBorders>
            <w:shd w:val="clear" w:color="auto" w:fill="auto"/>
            <w:noWrap/>
            <w:vAlign w:val="bottom"/>
            <w:hideMark/>
          </w:tcPr>
          <w:p w14:paraId="366C89E8"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1</w:t>
            </w:r>
          </w:p>
        </w:tc>
        <w:tc>
          <w:tcPr>
            <w:tcW w:w="300" w:type="dxa"/>
            <w:tcBorders>
              <w:top w:val="nil"/>
              <w:left w:val="nil"/>
              <w:bottom w:val="nil"/>
              <w:right w:val="nil"/>
            </w:tcBorders>
            <w:shd w:val="clear" w:color="auto" w:fill="auto"/>
            <w:noWrap/>
            <w:vAlign w:val="bottom"/>
            <w:hideMark/>
          </w:tcPr>
          <w:p w14:paraId="7CF35E19" w14:textId="77777777" w:rsidR="00120469" w:rsidRPr="00B17076" w:rsidRDefault="00120469" w:rsidP="00120469">
            <w:pPr>
              <w:spacing w:before="0" w:after="0"/>
              <w:jc w:val="right"/>
              <w:rPr>
                <w:rFonts w:eastAsia="Times New Roman" w:cs="Arial"/>
                <w:sz w:val="20"/>
                <w:szCs w:val="20"/>
                <w:lang w:eastAsia="en-GB"/>
              </w:rPr>
            </w:pPr>
          </w:p>
        </w:tc>
        <w:tc>
          <w:tcPr>
            <w:tcW w:w="1483" w:type="dxa"/>
            <w:tcBorders>
              <w:top w:val="nil"/>
              <w:left w:val="nil"/>
              <w:bottom w:val="nil"/>
              <w:right w:val="nil"/>
            </w:tcBorders>
            <w:shd w:val="clear" w:color="auto" w:fill="auto"/>
            <w:noWrap/>
            <w:vAlign w:val="bottom"/>
            <w:hideMark/>
          </w:tcPr>
          <w:p w14:paraId="1F6DD69A"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83</w:t>
            </w:r>
          </w:p>
        </w:tc>
      </w:tr>
      <w:tr w:rsidR="00120469" w:rsidRPr="00B17076" w14:paraId="645EE8DF" w14:textId="77777777" w:rsidTr="0030431F">
        <w:trPr>
          <w:trHeight w:val="260"/>
        </w:trPr>
        <w:tc>
          <w:tcPr>
            <w:tcW w:w="3544" w:type="dxa"/>
            <w:tcBorders>
              <w:top w:val="nil"/>
              <w:left w:val="nil"/>
              <w:bottom w:val="nil"/>
              <w:right w:val="nil"/>
            </w:tcBorders>
            <w:shd w:val="clear" w:color="auto" w:fill="auto"/>
            <w:noWrap/>
            <w:vAlign w:val="bottom"/>
            <w:hideMark/>
          </w:tcPr>
          <w:p w14:paraId="35F5457E" w14:textId="77777777"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Total</w:t>
            </w:r>
          </w:p>
        </w:tc>
        <w:tc>
          <w:tcPr>
            <w:tcW w:w="1135" w:type="dxa"/>
            <w:tcBorders>
              <w:top w:val="nil"/>
              <w:left w:val="nil"/>
              <w:bottom w:val="nil"/>
              <w:right w:val="nil"/>
            </w:tcBorders>
            <w:shd w:val="clear" w:color="auto" w:fill="auto"/>
            <w:noWrap/>
            <w:vAlign w:val="bottom"/>
            <w:hideMark/>
          </w:tcPr>
          <w:p w14:paraId="1D77C02D" w14:textId="77777777" w:rsidR="00120469" w:rsidRPr="00B17076" w:rsidRDefault="00120469" w:rsidP="00120469">
            <w:pPr>
              <w:spacing w:before="0" w:after="0"/>
              <w:rPr>
                <w:rFonts w:eastAsia="Times New Roman" w:cs="Arial"/>
                <w:sz w:val="20"/>
                <w:szCs w:val="20"/>
                <w:lang w:eastAsia="en-GB"/>
              </w:rPr>
            </w:pPr>
          </w:p>
        </w:tc>
        <w:tc>
          <w:tcPr>
            <w:tcW w:w="1375" w:type="dxa"/>
            <w:tcBorders>
              <w:top w:val="single" w:sz="4" w:space="0" w:color="auto"/>
              <w:left w:val="nil"/>
              <w:bottom w:val="single" w:sz="4" w:space="0" w:color="auto"/>
              <w:right w:val="nil"/>
            </w:tcBorders>
            <w:shd w:val="clear" w:color="000000" w:fill="FFFFFF"/>
            <w:noWrap/>
            <w:vAlign w:val="bottom"/>
            <w:hideMark/>
          </w:tcPr>
          <w:p w14:paraId="16144A2E" w14:textId="77777777" w:rsidR="00120469" w:rsidRPr="00B17076" w:rsidRDefault="00120469" w:rsidP="00120469">
            <w:pPr>
              <w:spacing w:before="0" w:after="0"/>
              <w:jc w:val="right"/>
              <w:rPr>
                <w:rFonts w:eastAsia="Times New Roman" w:cs="Arial"/>
                <w:b/>
                <w:bCs/>
                <w:sz w:val="20"/>
                <w:szCs w:val="20"/>
                <w:lang w:eastAsia="en-GB"/>
              </w:rPr>
            </w:pPr>
            <w:r w:rsidRPr="00B17076">
              <w:rPr>
                <w:rFonts w:eastAsia="Times New Roman" w:cs="Arial"/>
                <w:b/>
                <w:bCs/>
                <w:sz w:val="20"/>
                <w:szCs w:val="20"/>
                <w:lang w:eastAsia="en-GB"/>
              </w:rPr>
              <w:t>-</w:t>
            </w:r>
          </w:p>
        </w:tc>
        <w:tc>
          <w:tcPr>
            <w:tcW w:w="300" w:type="dxa"/>
            <w:tcBorders>
              <w:top w:val="nil"/>
              <w:left w:val="nil"/>
              <w:bottom w:val="nil"/>
              <w:right w:val="nil"/>
            </w:tcBorders>
            <w:shd w:val="clear" w:color="000000" w:fill="FFFFFF"/>
            <w:noWrap/>
            <w:vAlign w:val="bottom"/>
            <w:hideMark/>
          </w:tcPr>
          <w:p w14:paraId="236E734C" w14:textId="77777777"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1439" w:type="dxa"/>
            <w:tcBorders>
              <w:top w:val="single" w:sz="4" w:space="0" w:color="auto"/>
              <w:left w:val="nil"/>
              <w:bottom w:val="single" w:sz="4" w:space="0" w:color="auto"/>
              <w:right w:val="nil"/>
            </w:tcBorders>
            <w:shd w:val="clear" w:color="000000" w:fill="FFFFFF"/>
            <w:noWrap/>
            <w:vAlign w:val="bottom"/>
            <w:hideMark/>
          </w:tcPr>
          <w:p w14:paraId="5F49E101" w14:textId="77777777" w:rsidR="00120469" w:rsidRPr="00B17076" w:rsidRDefault="00120469" w:rsidP="00120469">
            <w:pPr>
              <w:spacing w:before="0" w:after="0"/>
              <w:jc w:val="right"/>
              <w:rPr>
                <w:rFonts w:eastAsia="Times New Roman" w:cs="Arial"/>
                <w:b/>
                <w:bCs/>
                <w:sz w:val="20"/>
                <w:szCs w:val="20"/>
                <w:lang w:eastAsia="en-GB"/>
              </w:rPr>
            </w:pPr>
            <w:r w:rsidRPr="00B17076">
              <w:rPr>
                <w:rFonts w:eastAsia="Times New Roman" w:cs="Arial"/>
                <w:b/>
                <w:bCs/>
                <w:sz w:val="20"/>
                <w:szCs w:val="20"/>
                <w:lang w:eastAsia="en-GB"/>
              </w:rPr>
              <w:t>-</w:t>
            </w:r>
          </w:p>
        </w:tc>
        <w:tc>
          <w:tcPr>
            <w:tcW w:w="300" w:type="dxa"/>
            <w:tcBorders>
              <w:top w:val="nil"/>
              <w:left w:val="nil"/>
              <w:bottom w:val="nil"/>
              <w:right w:val="nil"/>
            </w:tcBorders>
            <w:shd w:val="clear" w:color="000000" w:fill="FFFFFF"/>
            <w:noWrap/>
            <w:vAlign w:val="bottom"/>
            <w:hideMark/>
          </w:tcPr>
          <w:p w14:paraId="3049DE9F" w14:textId="77777777"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1181" w:type="dxa"/>
            <w:tcBorders>
              <w:top w:val="single" w:sz="4" w:space="0" w:color="auto"/>
              <w:left w:val="nil"/>
              <w:bottom w:val="single" w:sz="4" w:space="0" w:color="auto"/>
              <w:right w:val="nil"/>
            </w:tcBorders>
            <w:shd w:val="clear" w:color="000000" w:fill="FFFFFF"/>
            <w:noWrap/>
            <w:vAlign w:val="bottom"/>
            <w:hideMark/>
          </w:tcPr>
          <w:p w14:paraId="1CEE4BE3" w14:textId="77777777" w:rsidR="00120469" w:rsidRPr="00B17076" w:rsidRDefault="00120469" w:rsidP="00120469">
            <w:pPr>
              <w:spacing w:before="0" w:after="0"/>
              <w:jc w:val="right"/>
              <w:rPr>
                <w:rFonts w:eastAsia="Times New Roman" w:cs="Arial"/>
                <w:b/>
                <w:bCs/>
                <w:sz w:val="20"/>
                <w:szCs w:val="20"/>
                <w:lang w:eastAsia="en-GB"/>
              </w:rPr>
            </w:pPr>
            <w:r w:rsidRPr="00B17076">
              <w:rPr>
                <w:rFonts w:eastAsia="Times New Roman" w:cs="Arial"/>
                <w:b/>
                <w:bCs/>
                <w:sz w:val="20"/>
                <w:szCs w:val="20"/>
                <w:lang w:eastAsia="en-GB"/>
              </w:rPr>
              <w:t>2</w:t>
            </w:r>
          </w:p>
        </w:tc>
        <w:tc>
          <w:tcPr>
            <w:tcW w:w="300" w:type="dxa"/>
            <w:tcBorders>
              <w:top w:val="nil"/>
              <w:left w:val="nil"/>
              <w:bottom w:val="nil"/>
              <w:right w:val="nil"/>
            </w:tcBorders>
            <w:shd w:val="clear" w:color="auto" w:fill="auto"/>
            <w:vAlign w:val="bottom"/>
            <w:hideMark/>
          </w:tcPr>
          <w:p w14:paraId="7CE1F9EF" w14:textId="77777777" w:rsidR="00120469" w:rsidRPr="00B17076" w:rsidRDefault="00120469" w:rsidP="00120469">
            <w:pPr>
              <w:spacing w:before="0" w:after="0"/>
              <w:jc w:val="right"/>
              <w:rPr>
                <w:rFonts w:eastAsia="Times New Roman" w:cs="Arial"/>
                <w:b/>
                <w:bCs/>
                <w:sz w:val="20"/>
                <w:szCs w:val="20"/>
                <w:lang w:eastAsia="en-GB"/>
              </w:rPr>
            </w:pPr>
          </w:p>
        </w:tc>
        <w:tc>
          <w:tcPr>
            <w:tcW w:w="1483" w:type="dxa"/>
            <w:tcBorders>
              <w:top w:val="single" w:sz="4" w:space="0" w:color="auto"/>
              <w:left w:val="nil"/>
              <w:bottom w:val="single" w:sz="4" w:space="0" w:color="auto"/>
              <w:right w:val="nil"/>
            </w:tcBorders>
            <w:shd w:val="clear" w:color="000000" w:fill="FFFFFF"/>
            <w:noWrap/>
            <w:vAlign w:val="bottom"/>
            <w:hideMark/>
          </w:tcPr>
          <w:p w14:paraId="043E480E" w14:textId="77777777" w:rsidR="00120469" w:rsidRPr="00B17076" w:rsidRDefault="00120469" w:rsidP="00120469">
            <w:pPr>
              <w:spacing w:before="0" w:after="0"/>
              <w:jc w:val="right"/>
              <w:rPr>
                <w:rFonts w:eastAsia="Times New Roman" w:cs="Arial"/>
                <w:b/>
                <w:bCs/>
                <w:sz w:val="20"/>
                <w:szCs w:val="20"/>
                <w:lang w:eastAsia="en-GB"/>
              </w:rPr>
            </w:pPr>
            <w:r w:rsidRPr="00B17076">
              <w:rPr>
                <w:rFonts w:eastAsia="Times New Roman" w:cs="Arial"/>
                <w:b/>
                <w:bCs/>
                <w:sz w:val="20"/>
                <w:szCs w:val="20"/>
                <w:lang w:eastAsia="en-GB"/>
              </w:rPr>
              <w:t>84</w:t>
            </w:r>
          </w:p>
        </w:tc>
      </w:tr>
      <w:tr w:rsidR="00120469" w:rsidRPr="00B17076" w14:paraId="6BF2ECCF" w14:textId="77777777" w:rsidTr="0030431F">
        <w:trPr>
          <w:trHeight w:val="260"/>
        </w:trPr>
        <w:tc>
          <w:tcPr>
            <w:tcW w:w="3544" w:type="dxa"/>
            <w:tcBorders>
              <w:top w:val="nil"/>
              <w:left w:val="nil"/>
              <w:bottom w:val="nil"/>
              <w:right w:val="nil"/>
            </w:tcBorders>
            <w:shd w:val="clear" w:color="auto" w:fill="auto"/>
            <w:noWrap/>
            <w:vAlign w:val="bottom"/>
            <w:hideMark/>
          </w:tcPr>
          <w:p w14:paraId="28189E29" w14:textId="77777777" w:rsidR="00120469" w:rsidRPr="00B17076" w:rsidRDefault="00120469" w:rsidP="00120469">
            <w:pPr>
              <w:spacing w:before="0" w:after="0"/>
              <w:jc w:val="right"/>
              <w:rPr>
                <w:rFonts w:eastAsia="Times New Roman" w:cs="Arial"/>
                <w:b/>
                <w:bCs/>
                <w:sz w:val="20"/>
                <w:szCs w:val="20"/>
                <w:lang w:eastAsia="en-GB"/>
              </w:rPr>
            </w:pPr>
          </w:p>
        </w:tc>
        <w:tc>
          <w:tcPr>
            <w:tcW w:w="1135" w:type="dxa"/>
            <w:tcBorders>
              <w:top w:val="nil"/>
              <w:left w:val="nil"/>
              <w:bottom w:val="nil"/>
              <w:right w:val="nil"/>
            </w:tcBorders>
            <w:shd w:val="clear" w:color="auto" w:fill="auto"/>
            <w:noWrap/>
            <w:vAlign w:val="bottom"/>
            <w:hideMark/>
          </w:tcPr>
          <w:p w14:paraId="53785AFE"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375" w:type="dxa"/>
            <w:tcBorders>
              <w:top w:val="nil"/>
              <w:left w:val="nil"/>
              <w:bottom w:val="nil"/>
              <w:right w:val="nil"/>
            </w:tcBorders>
            <w:shd w:val="clear" w:color="000000" w:fill="FFFFFF"/>
            <w:noWrap/>
            <w:vAlign w:val="bottom"/>
            <w:hideMark/>
          </w:tcPr>
          <w:p w14:paraId="4B47A2C8" w14:textId="77777777"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300" w:type="dxa"/>
            <w:tcBorders>
              <w:top w:val="nil"/>
              <w:left w:val="nil"/>
              <w:bottom w:val="nil"/>
              <w:right w:val="nil"/>
            </w:tcBorders>
            <w:shd w:val="clear" w:color="000000" w:fill="FFFFFF"/>
            <w:noWrap/>
            <w:vAlign w:val="bottom"/>
            <w:hideMark/>
          </w:tcPr>
          <w:p w14:paraId="163CAAB3" w14:textId="77777777"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1439" w:type="dxa"/>
            <w:tcBorders>
              <w:top w:val="nil"/>
              <w:left w:val="nil"/>
              <w:bottom w:val="nil"/>
              <w:right w:val="nil"/>
            </w:tcBorders>
            <w:shd w:val="clear" w:color="000000" w:fill="FFFFFF"/>
            <w:noWrap/>
            <w:vAlign w:val="bottom"/>
            <w:hideMark/>
          </w:tcPr>
          <w:p w14:paraId="306D58EA" w14:textId="77777777"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300" w:type="dxa"/>
            <w:tcBorders>
              <w:top w:val="nil"/>
              <w:left w:val="nil"/>
              <w:bottom w:val="nil"/>
              <w:right w:val="nil"/>
            </w:tcBorders>
            <w:shd w:val="clear" w:color="000000" w:fill="FFFFFF"/>
            <w:noWrap/>
            <w:vAlign w:val="bottom"/>
            <w:hideMark/>
          </w:tcPr>
          <w:p w14:paraId="6DF8D236" w14:textId="77777777"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1181" w:type="dxa"/>
            <w:tcBorders>
              <w:top w:val="nil"/>
              <w:left w:val="nil"/>
              <w:bottom w:val="nil"/>
              <w:right w:val="nil"/>
            </w:tcBorders>
            <w:shd w:val="clear" w:color="auto" w:fill="auto"/>
            <w:vAlign w:val="bottom"/>
            <w:hideMark/>
          </w:tcPr>
          <w:p w14:paraId="7DA54D36" w14:textId="77777777" w:rsidR="00120469" w:rsidRPr="00B17076" w:rsidRDefault="00120469" w:rsidP="00120469">
            <w:pPr>
              <w:spacing w:before="0" w:after="0"/>
              <w:rPr>
                <w:rFonts w:eastAsia="Times New Roman" w:cs="Arial"/>
                <w:sz w:val="20"/>
                <w:szCs w:val="20"/>
                <w:lang w:eastAsia="en-GB"/>
              </w:rPr>
            </w:pPr>
          </w:p>
        </w:tc>
        <w:tc>
          <w:tcPr>
            <w:tcW w:w="300" w:type="dxa"/>
            <w:tcBorders>
              <w:top w:val="nil"/>
              <w:left w:val="nil"/>
              <w:bottom w:val="nil"/>
              <w:right w:val="nil"/>
            </w:tcBorders>
            <w:shd w:val="clear" w:color="auto" w:fill="auto"/>
            <w:vAlign w:val="bottom"/>
            <w:hideMark/>
          </w:tcPr>
          <w:p w14:paraId="49900A86"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auto" w:fill="auto"/>
            <w:vAlign w:val="bottom"/>
            <w:hideMark/>
          </w:tcPr>
          <w:p w14:paraId="35F0A4E6"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r>
      <w:tr w:rsidR="00120469" w:rsidRPr="00B17076" w14:paraId="0E5AB3BB" w14:textId="77777777" w:rsidTr="0030431F">
        <w:trPr>
          <w:trHeight w:val="260"/>
        </w:trPr>
        <w:tc>
          <w:tcPr>
            <w:tcW w:w="3544" w:type="dxa"/>
            <w:tcBorders>
              <w:top w:val="nil"/>
              <w:left w:val="nil"/>
              <w:bottom w:val="nil"/>
              <w:right w:val="nil"/>
            </w:tcBorders>
            <w:shd w:val="clear" w:color="auto" w:fill="auto"/>
            <w:noWrap/>
            <w:vAlign w:val="bottom"/>
            <w:hideMark/>
          </w:tcPr>
          <w:p w14:paraId="3E0B28D5" w14:textId="77777777" w:rsidR="00120469" w:rsidRPr="00B17076" w:rsidRDefault="00120469" w:rsidP="00120469">
            <w:pPr>
              <w:spacing w:before="0" w:after="0"/>
              <w:rPr>
                <w:rFonts w:eastAsia="Times New Roman" w:cs="Arial"/>
                <w:b/>
                <w:bCs/>
                <w:sz w:val="20"/>
                <w:szCs w:val="20"/>
                <w:lang w:eastAsia="en-GB"/>
              </w:rPr>
            </w:pPr>
            <w:r w:rsidRPr="00B17076">
              <w:rPr>
                <w:rFonts w:eastAsia="Times New Roman" w:cs="Arial"/>
                <w:b/>
                <w:bCs/>
                <w:sz w:val="20"/>
                <w:szCs w:val="20"/>
                <w:lang w:eastAsia="en-GB"/>
              </w:rPr>
              <w:t>23 Gifts</w:t>
            </w:r>
          </w:p>
        </w:tc>
        <w:tc>
          <w:tcPr>
            <w:tcW w:w="1135" w:type="dxa"/>
            <w:tcBorders>
              <w:top w:val="nil"/>
              <w:left w:val="nil"/>
              <w:bottom w:val="nil"/>
              <w:right w:val="nil"/>
            </w:tcBorders>
            <w:shd w:val="clear" w:color="auto" w:fill="auto"/>
            <w:noWrap/>
            <w:vAlign w:val="bottom"/>
            <w:hideMark/>
          </w:tcPr>
          <w:p w14:paraId="4D2A59CE" w14:textId="77777777" w:rsidR="00120469" w:rsidRPr="00B17076" w:rsidRDefault="00120469" w:rsidP="00120469">
            <w:pPr>
              <w:spacing w:before="0" w:after="0"/>
              <w:rPr>
                <w:rFonts w:eastAsia="Times New Roman" w:cs="Arial"/>
                <w:b/>
                <w:bCs/>
                <w:sz w:val="20"/>
                <w:szCs w:val="20"/>
                <w:lang w:eastAsia="en-GB"/>
              </w:rPr>
            </w:pPr>
          </w:p>
        </w:tc>
        <w:tc>
          <w:tcPr>
            <w:tcW w:w="1375" w:type="dxa"/>
            <w:tcBorders>
              <w:top w:val="nil"/>
              <w:left w:val="nil"/>
              <w:bottom w:val="nil"/>
              <w:right w:val="nil"/>
            </w:tcBorders>
            <w:shd w:val="clear" w:color="000000" w:fill="FFFFFF"/>
            <w:noWrap/>
            <w:vAlign w:val="bottom"/>
            <w:hideMark/>
          </w:tcPr>
          <w:p w14:paraId="6CC41949" w14:textId="77777777"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300" w:type="dxa"/>
            <w:tcBorders>
              <w:top w:val="nil"/>
              <w:left w:val="nil"/>
              <w:bottom w:val="nil"/>
              <w:right w:val="nil"/>
            </w:tcBorders>
            <w:shd w:val="clear" w:color="000000" w:fill="FFFFFF"/>
            <w:noWrap/>
            <w:vAlign w:val="bottom"/>
            <w:hideMark/>
          </w:tcPr>
          <w:p w14:paraId="3A0B037A" w14:textId="77777777"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1439" w:type="dxa"/>
            <w:tcBorders>
              <w:top w:val="nil"/>
              <w:left w:val="nil"/>
              <w:bottom w:val="nil"/>
              <w:right w:val="nil"/>
            </w:tcBorders>
            <w:shd w:val="clear" w:color="000000" w:fill="FFFFFF"/>
            <w:noWrap/>
            <w:vAlign w:val="bottom"/>
            <w:hideMark/>
          </w:tcPr>
          <w:p w14:paraId="53911FD5" w14:textId="77777777"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300" w:type="dxa"/>
            <w:tcBorders>
              <w:top w:val="nil"/>
              <w:left w:val="nil"/>
              <w:bottom w:val="nil"/>
              <w:right w:val="nil"/>
            </w:tcBorders>
            <w:shd w:val="clear" w:color="000000" w:fill="FFFFFF"/>
            <w:noWrap/>
            <w:vAlign w:val="bottom"/>
            <w:hideMark/>
          </w:tcPr>
          <w:p w14:paraId="017F1748" w14:textId="77777777"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1181" w:type="dxa"/>
            <w:tcBorders>
              <w:top w:val="nil"/>
              <w:left w:val="nil"/>
              <w:bottom w:val="nil"/>
              <w:right w:val="nil"/>
            </w:tcBorders>
            <w:shd w:val="clear" w:color="auto" w:fill="auto"/>
            <w:vAlign w:val="bottom"/>
            <w:hideMark/>
          </w:tcPr>
          <w:p w14:paraId="03ACE406" w14:textId="77777777" w:rsidR="00120469" w:rsidRPr="00B17076" w:rsidRDefault="00120469" w:rsidP="00120469">
            <w:pPr>
              <w:spacing w:before="0" w:after="0"/>
              <w:rPr>
                <w:rFonts w:eastAsia="Times New Roman" w:cs="Arial"/>
                <w:sz w:val="20"/>
                <w:szCs w:val="20"/>
                <w:lang w:eastAsia="en-GB"/>
              </w:rPr>
            </w:pPr>
          </w:p>
        </w:tc>
        <w:tc>
          <w:tcPr>
            <w:tcW w:w="300" w:type="dxa"/>
            <w:tcBorders>
              <w:top w:val="nil"/>
              <w:left w:val="nil"/>
              <w:bottom w:val="nil"/>
              <w:right w:val="nil"/>
            </w:tcBorders>
            <w:shd w:val="clear" w:color="auto" w:fill="auto"/>
            <w:vAlign w:val="bottom"/>
            <w:hideMark/>
          </w:tcPr>
          <w:p w14:paraId="1AB47CDF"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auto" w:fill="auto"/>
            <w:vAlign w:val="bottom"/>
            <w:hideMark/>
          </w:tcPr>
          <w:p w14:paraId="192728F3"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r>
      <w:tr w:rsidR="00120469" w:rsidRPr="00B17076" w14:paraId="2AD6D833" w14:textId="77777777" w:rsidTr="0030431F">
        <w:trPr>
          <w:trHeight w:val="260"/>
        </w:trPr>
        <w:tc>
          <w:tcPr>
            <w:tcW w:w="11057" w:type="dxa"/>
            <w:gridSpan w:val="9"/>
            <w:tcBorders>
              <w:top w:val="nil"/>
              <w:left w:val="nil"/>
              <w:bottom w:val="nil"/>
            </w:tcBorders>
            <w:shd w:val="clear" w:color="auto" w:fill="auto"/>
            <w:noWrap/>
            <w:vAlign w:val="bottom"/>
            <w:hideMark/>
          </w:tcPr>
          <w:p w14:paraId="44E89CDE" w14:textId="6A792134" w:rsidR="00120469" w:rsidRPr="00B17076" w:rsidRDefault="00120469" w:rsidP="00743DCF">
            <w:pPr>
              <w:spacing w:before="0"/>
              <w:rPr>
                <w:rFonts w:eastAsia="Times New Roman" w:cs="Arial"/>
                <w:sz w:val="20"/>
                <w:szCs w:val="20"/>
                <w:lang w:eastAsia="en-GB"/>
              </w:rPr>
            </w:pPr>
            <w:r w:rsidRPr="00B17076">
              <w:rPr>
                <w:rFonts w:eastAsia="Times New Roman" w:cs="Arial"/>
                <w:sz w:val="20"/>
                <w:szCs w:val="20"/>
                <w:lang w:eastAsia="en-GB"/>
              </w:rPr>
              <w:t>The ICB didn’t have any Gifts, in the current year or prior period.</w:t>
            </w:r>
          </w:p>
        </w:tc>
      </w:tr>
      <w:tr w:rsidR="00120469" w:rsidRPr="00B17076" w14:paraId="5E112651" w14:textId="77777777" w:rsidTr="0030431F">
        <w:trPr>
          <w:trHeight w:val="260"/>
        </w:trPr>
        <w:tc>
          <w:tcPr>
            <w:tcW w:w="3544" w:type="dxa"/>
            <w:tcBorders>
              <w:top w:val="nil"/>
              <w:left w:val="nil"/>
              <w:bottom w:val="nil"/>
              <w:right w:val="nil"/>
            </w:tcBorders>
            <w:shd w:val="clear" w:color="auto" w:fill="auto"/>
            <w:noWrap/>
            <w:vAlign w:val="bottom"/>
            <w:hideMark/>
          </w:tcPr>
          <w:p w14:paraId="357BC90E" w14:textId="77777777" w:rsidR="00120469" w:rsidRPr="00B17076" w:rsidRDefault="00120469" w:rsidP="00120469">
            <w:pPr>
              <w:spacing w:before="0" w:after="0"/>
              <w:rPr>
                <w:rFonts w:eastAsia="Times New Roman" w:cs="Arial"/>
                <w:b/>
                <w:bCs/>
                <w:sz w:val="20"/>
                <w:szCs w:val="20"/>
                <w:lang w:eastAsia="en-GB"/>
              </w:rPr>
            </w:pPr>
            <w:r w:rsidRPr="00B17076">
              <w:rPr>
                <w:rFonts w:eastAsia="Times New Roman" w:cs="Arial"/>
                <w:b/>
                <w:bCs/>
                <w:sz w:val="20"/>
                <w:szCs w:val="20"/>
                <w:lang w:eastAsia="en-GB"/>
              </w:rPr>
              <w:t>24 Fees and charges</w:t>
            </w:r>
          </w:p>
        </w:tc>
        <w:tc>
          <w:tcPr>
            <w:tcW w:w="1135" w:type="dxa"/>
            <w:tcBorders>
              <w:top w:val="nil"/>
              <w:left w:val="nil"/>
              <w:bottom w:val="nil"/>
              <w:right w:val="nil"/>
            </w:tcBorders>
            <w:shd w:val="clear" w:color="auto" w:fill="auto"/>
            <w:noWrap/>
            <w:vAlign w:val="bottom"/>
            <w:hideMark/>
          </w:tcPr>
          <w:p w14:paraId="68DCEE42" w14:textId="77777777" w:rsidR="00120469" w:rsidRPr="00B17076" w:rsidRDefault="00120469" w:rsidP="00120469">
            <w:pPr>
              <w:spacing w:before="0" w:after="0"/>
              <w:rPr>
                <w:rFonts w:eastAsia="Times New Roman" w:cs="Arial"/>
                <w:b/>
                <w:bCs/>
                <w:sz w:val="20"/>
                <w:szCs w:val="20"/>
                <w:lang w:eastAsia="en-GB"/>
              </w:rPr>
            </w:pPr>
          </w:p>
        </w:tc>
        <w:tc>
          <w:tcPr>
            <w:tcW w:w="1375" w:type="dxa"/>
            <w:tcBorders>
              <w:top w:val="nil"/>
              <w:left w:val="nil"/>
              <w:bottom w:val="nil"/>
              <w:right w:val="nil"/>
            </w:tcBorders>
            <w:shd w:val="clear" w:color="000000" w:fill="FFFFFF"/>
            <w:noWrap/>
            <w:vAlign w:val="bottom"/>
            <w:hideMark/>
          </w:tcPr>
          <w:p w14:paraId="7EAD4173" w14:textId="77777777"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300" w:type="dxa"/>
            <w:tcBorders>
              <w:top w:val="nil"/>
              <w:left w:val="nil"/>
              <w:bottom w:val="nil"/>
              <w:right w:val="nil"/>
            </w:tcBorders>
            <w:shd w:val="clear" w:color="000000" w:fill="FFFFFF"/>
            <w:noWrap/>
            <w:vAlign w:val="bottom"/>
            <w:hideMark/>
          </w:tcPr>
          <w:p w14:paraId="57B4D30F" w14:textId="77777777"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1439" w:type="dxa"/>
            <w:tcBorders>
              <w:top w:val="nil"/>
              <w:left w:val="nil"/>
              <w:bottom w:val="nil"/>
              <w:right w:val="nil"/>
            </w:tcBorders>
            <w:shd w:val="clear" w:color="000000" w:fill="FFFFFF"/>
            <w:noWrap/>
            <w:vAlign w:val="bottom"/>
            <w:hideMark/>
          </w:tcPr>
          <w:p w14:paraId="4F11D112" w14:textId="77777777"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300" w:type="dxa"/>
            <w:tcBorders>
              <w:top w:val="nil"/>
              <w:left w:val="nil"/>
              <w:bottom w:val="nil"/>
              <w:right w:val="nil"/>
            </w:tcBorders>
            <w:shd w:val="clear" w:color="000000" w:fill="FFFFFF"/>
            <w:noWrap/>
            <w:vAlign w:val="bottom"/>
            <w:hideMark/>
          </w:tcPr>
          <w:p w14:paraId="798E8B95" w14:textId="77777777"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 </w:t>
            </w:r>
          </w:p>
        </w:tc>
        <w:tc>
          <w:tcPr>
            <w:tcW w:w="1181" w:type="dxa"/>
            <w:tcBorders>
              <w:top w:val="nil"/>
              <w:left w:val="nil"/>
              <w:bottom w:val="nil"/>
              <w:right w:val="nil"/>
            </w:tcBorders>
            <w:shd w:val="clear" w:color="auto" w:fill="auto"/>
            <w:vAlign w:val="bottom"/>
            <w:hideMark/>
          </w:tcPr>
          <w:p w14:paraId="6C8DD07B" w14:textId="77777777" w:rsidR="00120469" w:rsidRPr="00B17076" w:rsidRDefault="00120469" w:rsidP="00120469">
            <w:pPr>
              <w:spacing w:before="0" w:after="0"/>
              <w:rPr>
                <w:rFonts w:eastAsia="Times New Roman" w:cs="Arial"/>
                <w:sz w:val="20"/>
                <w:szCs w:val="20"/>
                <w:lang w:eastAsia="en-GB"/>
              </w:rPr>
            </w:pPr>
          </w:p>
        </w:tc>
        <w:tc>
          <w:tcPr>
            <w:tcW w:w="300" w:type="dxa"/>
            <w:tcBorders>
              <w:top w:val="nil"/>
              <w:left w:val="nil"/>
              <w:bottom w:val="nil"/>
              <w:right w:val="nil"/>
            </w:tcBorders>
            <w:shd w:val="clear" w:color="auto" w:fill="auto"/>
            <w:vAlign w:val="bottom"/>
            <w:hideMark/>
          </w:tcPr>
          <w:p w14:paraId="1783FA8B"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auto" w:fill="auto"/>
            <w:vAlign w:val="bottom"/>
            <w:hideMark/>
          </w:tcPr>
          <w:p w14:paraId="3D2F63B7"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r>
      <w:tr w:rsidR="00120469" w:rsidRPr="00B17076" w14:paraId="6F1647ED" w14:textId="77777777" w:rsidTr="0030431F">
        <w:trPr>
          <w:trHeight w:val="260"/>
        </w:trPr>
        <w:tc>
          <w:tcPr>
            <w:tcW w:w="11057" w:type="dxa"/>
            <w:gridSpan w:val="9"/>
            <w:tcBorders>
              <w:top w:val="nil"/>
              <w:left w:val="nil"/>
              <w:bottom w:val="nil"/>
            </w:tcBorders>
            <w:shd w:val="clear" w:color="auto" w:fill="auto"/>
            <w:noWrap/>
            <w:vAlign w:val="bottom"/>
            <w:hideMark/>
          </w:tcPr>
          <w:p w14:paraId="6B59CCE4" w14:textId="74238D8C" w:rsidR="00120469" w:rsidRPr="00B17076" w:rsidRDefault="00120469" w:rsidP="00743DCF">
            <w:pPr>
              <w:spacing w:before="0"/>
              <w:rPr>
                <w:rFonts w:eastAsia="Times New Roman" w:cs="Arial"/>
                <w:sz w:val="20"/>
                <w:szCs w:val="20"/>
                <w:lang w:eastAsia="en-GB"/>
              </w:rPr>
            </w:pPr>
            <w:r w:rsidRPr="00B17076">
              <w:rPr>
                <w:rFonts w:eastAsia="Times New Roman" w:cs="Arial"/>
                <w:sz w:val="20"/>
                <w:szCs w:val="20"/>
                <w:lang w:eastAsia="en-GB"/>
              </w:rPr>
              <w:t>The ICB didn’t have any Fees and charges, in the current year or prior period.</w:t>
            </w:r>
          </w:p>
        </w:tc>
      </w:tr>
      <w:tr w:rsidR="00120469" w:rsidRPr="00B17076" w14:paraId="3B55D1E1" w14:textId="77777777" w:rsidTr="0030431F">
        <w:trPr>
          <w:trHeight w:val="260"/>
        </w:trPr>
        <w:tc>
          <w:tcPr>
            <w:tcW w:w="3544" w:type="dxa"/>
            <w:tcBorders>
              <w:top w:val="nil"/>
              <w:left w:val="nil"/>
              <w:bottom w:val="nil"/>
              <w:right w:val="nil"/>
            </w:tcBorders>
            <w:shd w:val="clear" w:color="auto" w:fill="auto"/>
            <w:noWrap/>
            <w:vAlign w:val="bottom"/>
            <w:hideMark/>
          </w:tcPr>
          <w:p w14:paraId="66AE5BF9" w14:textId="77777777" w:rsidR="00120469" w:rsidRPr="00B17076" w:rsidRDefault="00120469" w:rsidP="00120469">
            <w:pPr>
              <w:spacing w:before="0" w:after="0"/>
              <w:rPr>
                <w:rFonts w:eastAsia="Times New Roman" w:cs="Arial"/>
                <w:b/>
                <w:bCs/>
                <w:sz w:val="20"/>
                <w:szCs w:val="20"/>
                <w:lang w:eastAsia="en-GB"/>
              </w:rPr>
            </w:pPr>
            <w:r w:rsidRPr="00B17076">
              <w:rPr>
                <w:rFonts w:eastAsia="Times New Roman" w:cs="Arial"/>
                <w:b/>
                <w:bCs/>
                <w:sz w:val="20"/>
                <w:szCs w:val="20"/>
                <w:lang w:eastAsia="en-GB"/>
              </w:rPr>
              <w:t>25 Financial Performance Targets</w:t>
            </w:r>
          </w:p>
        </w:tc>
        <w:tc>
          <w:tcPr>
            <w:tcW w:w="1135" w:type="dxa"/>
            <w:tcBorders>
              <w:top w:val="nil"/>
              <w:left w:val="nil"/>
              <w:bottom w:val="nil"/>
              <w:right w:val="nil"/>
            </w:tcBorders>
            <w:shd w:val="clear" w:color="auto" w:fill="auto"/>
            <w:noWrap/>
            <w:vAlign w:val="bottom"/>
            <w:hideMark/>
          </w:tcPr>
          <w:p w14:paraId="4A0B52FF" w14:textId="77777777" w:rsidR="00120469" w:rsidRPr="00B17076" w:rsidRDefault="00120469" w:rsidP="00120469">
            <w:pPr>
              <w:spacing w:before="0" w:after="0"/>
              <w:rPr>
                <w:rFonts w:eastAsia="Times New Roman" w:cs="Arial"/>
                <w:b/>
                <w:bCs/>
                <w:sz w:val="20"/>
                <w:szCs w:val="20"/>
                <w:lang w:eastAsia="en-GB"/>
              </w:rPr>
            </w:pPr>
          </w:p>
        </w:tc>
        <w:tc>
          <w:tcPr>
            <w:tcW w:w="1375" w:type="dxa"/>
            <w:tcBorders>
              <w:top w:val="nil"/>
              <w:left w:val="nil"/>
              <w:bottom w:val="nil"/>
              <w:right w:val="nil"/>
            </w:tcBorders>
            <w:shd w:val="clear" w:color="000000" w:fill="FFFFFF"/>
            <w:noWrap/>
            <w:vAlign w:val="bottom"/>
            <w:hideMark/>
          </w:tcPr>
          <w:p w14:paraId="2F7BDDEC" w14:textId="77777777" w:rsidR="00120469" w:rsidRPr="00B17076" w:rsidRDefault="00120469" w:rsidP="00120469">
            <w:pPr>
              <w:spacing w:before="0" w:after="0"/>
              <w:rPr>
                <w:rFonts w:eastAsia="Times New Roman" w:cs="Arial"/>
                <w:b/>
                <w:bCs/>
                <w:sz w:val="20"/>
                <w:szCs w:val="20"/>
                <w:lang w:eastAsia="en-GB"/>
              </w:rPr>
            </w:pPr>
            <w:r w:rsidRPr="00B17076">
              <w:rPr>
                <w:rFonts w:eastAsia="Times New Roman" w:cs="Arial"/>
                <w:b/>
                <w:bCs/>
                <w:sz w:val="20"/>
                <w:szCs w:val="20"/>
                <w:lang w:eastAsia="en-GB"/>
              </w:rPr>
              <w:t> </w:t>
            </w:r>
          </w:p>
        </w:tc>
        <w:tc>
          <w:tcPr>
            <w:tcW w:w="300" w:type="dxa"/>
            <w:tcBorders>
              <w:top w:val="nil"/>
              <w:left w:val="nil"/>
              <w:bottom w:val="nil"/>
              <w:right w:val="nil"/>
            </w:tcBorders>
            <w:shd w:val="clear" w:color="000000" w:fill="FFFFFF"/>
            <w:noWrap/>
            <w:vAlign w:val="bottom"/>
            <w:hideMark/>
          </w:tcPr>
          <w:p w14:paraId="3DFD860B" w14:textId="77777777" w:rsidR="00120469" w:rsidRPr="00B17076" w:rsidRDefault="00120469" w:rsidP="00120469">
            <w:pPr>
              <w:spacing w:before="0" w:after="0"/>
              <w:rPr>
                <w:rFonts w:eastAsia="Times New Roman" w:cs="Arial"/>
                <w:b/>
                <w:bCs/>
                <w:sz w:val="20"/>
                <w:szCs w:val="20"/>
                <w:lang w:eastAsia="en-GB"/>
              </w:rPr>
            </w:pPr>
            <w:r w:rsidRPr="00B17076">
              <w:rPr>
                <w:rFonts w:eastAsia="Times New Roman" w:cs="Arial"/>
                <w:b/>
                <w:bCs/>
                <w:sz w:val="20"/>
                <w:szCs w:val="20"/>
                <w:lang w:eastAsia="en-GB"/>
              </w:rPr>
              <w:t> </w:t>
            </w:r>
          </w:p>
        </w:tc>
        <w:tc>
          <w:tcPr>
            <w:tcW w:w="1439" w:type="dxa"/>
            <w:tcBorders>
              <w:top w:val="nil"/>
              <w:left w:val="nil"/>
              <w:bottom w:val="nil"/>
              <w:right w:val="nil"/>
            </w:tcBorders>
            <w:shd w:val="clear" w:color="000000" w:fill="FFFFFF"/>
            <w:noWrap/>
            <w:vAlign w:val="bottom"/>
            <w:hideMark/>
          </w:tcPr>
          <w:p w14:paraId="420C2FA2" w14:textId="77777777" w:rsidR="00120469" w:rsidRPr="00B17076" w:rsidRDefault="00120469" w:rsidP="00120469">
            <w:pPr>
              <w:spacing w:before="0" w:after="0"/>
              <w:rPr>
                <w:rFonts w:eastAsia="Times New Roman" w:cs="Arial"/>
                <w:b/>
                <w:bCs/>
                <w:sz w:val="20"/>
                <w:szCs w:val="20"/>
                <w:lang w:eastAsia="en-GB"/>
              </w:rPr>
            </w:pPr>
            <w:r w:rsidRPr="00B17076">
              <w:rPr>
                <w:rFonts w:eastAsia="Times New Roman" w:cs="Arial"/>
                <w:b/>
                <w:bCs/>
                <w:sz w:val="20"/>
                <w:szCs w:val="20"/>
                <w:lang w:eastAsia="en-GB"/>
              </w:rPr>
              <w:t> </w:t>
            </w:r>
          </w:p>
        </w:tc>
        <w:tc>
          <w:tcPr>
            <w:tcW w:w="300" w:type="dxa"/>
            <w:tcBorders>
              <w:top w:val="nil"/>
              <w:left w:val="nil"/>
              <w:bottom w:val="nil"/>
              <w:right w:val="nil"/>
            </w:tcBorders>
            <w:shd w:val="clear" w:color="000000" w:fill="FFFFFF"/>
            <w:noWrap/>
            <w:vAlign w:val="bottom"/>
            <w:hideMark/>
          </w:tcPr>
          <w:p w14:paraId="688C394F" w14:textId="77777777" w:rsidR="00120469" w:rsidRPr="00B17076" w:rsidRDefault="00120469" w:rsidP="00120469">
            <w:pPr>
              <w:spacing w:before="0" w:after="0"/>
              <w:rPr>
                <w:rFonts w:eastAsia="Times New Roman" w:cs="Arial"/>
                <w:b/>
                <w:bCs/>
                <w:sz w:val="20"/>
                <w:szCs w:val="20"/>
                <w:lang w:eastAsia="en-GB"/>
              </w:rPr>
            </w:pPr>
            <w:r w:rsidRPr="00B17076">
              <w:rPr>
                <w:rFonts w:eastAsia="Times New Roman" w:cs="Arial"/>
                <w:b/>
                <w:bCs/>
                <w:sz w:val="20"/>
                <w:szCs w:val="20"/>
                <w:lang w:eastAsia="en-GB"/>
              </w:rPr>
              <w:t> </w:t>
            </w:r>
          </w:p>
        </w:tc>
        <w:tc>
          <w:tcPr>
            <w:tcW w:w="1181" w:type="dxa"/>
            <w:tcBorders>
              <w:top w:val="nil"/>
              <w:left w:val="nil"/>
              <w:bottom w:val="nil"/>
              <w:right w:val="nil"/>
            </w:tcBorders>
            <w:shd w:val="clear" w:color="auto" w:fill="auto"/>
            <w:noWrap/>
            <w:vAlign w:val="bottom"/>
            <w:hideMark/>
          </w:tcPr>
          <w:p w14:paraId="667F7545" w14:textId="77777777" w:rsidR="00120469" w:rsidRPr="00B17076" w:rsidRDefault="00120469" w:rsidP="00120469">
            <w:pPr>
              <w:spacing w:before="0" w:after="0"/>
              <w:rPr>
                <w:rFonts w:eastAsia="Times New Roman" w:cs="Arial"/>
                <w:b/>
                <w:bCs/>
                <w:sz w:val="20"/>
                <w:szCs w:val="20"/>
                <w:lang w:eastAsia="en-GB"/>
              </w:rPr>
            </w:pPr>
          </w:p>
        </w:tc>
        <w:tc>
          <w:tcPr>
            <w:tcW w:w="300" w:type="dxa"/>
            <w:tcBorders>
              <w:top w:val="nil"/>
              <w:left w:val="nil"/>
              <w:bottom w:val="nil"/>
              <w:right w:val="nil"/>
            </w:tcBorders>
            <w:shd w:val="clear" w:color="auto" w:fill="auto"/>
            <w:noWrap/>
            <w:vAlign w:val="bottom"/>
            <w:hideMark/>
          </w:tcPr>
          <w:p w14:paraId="42C2D5A5"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auto" w:fill="auto"/>
            <w:noWrap/>
            <w:vAlign w:val="bottom"/>
            <w:hideMark/>
          </w:tcPr>
          <w:p w14:paraId="478B0544"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r>
      <w:tr w:rsidR="00120469" w:rsidRPr="00B17076" w14:paraId="202C84CB" w14:textId="77777777" w:rsidTr="0030431F">
        <w:trPr>
          <w:trHeight w:val="80"/>
        </w:trPr>
        <w:tc>
          <w:tcPr>
            <w:tcW w:w="11057" w:type="dxa"/>
            <w:gridSpan w:val="9"/>
            <w:tcBorders>
              <w:top w:val="nil"/>
              <w:left w:val="nil"/>
              <w:right w:val="nil"/>
            </w:tcBorders>
            <w:shd w:val="clear" w:color="auto" w:fill="auto"/>
            <w:noWrap/>
            <w:vAlign w:val="bottom"/>
            <w:hideMark/>
          </w:tcPr>
          <w:p w14:paraId="7E206240" w14:textId="09815ECA" w:rsidR="00120469"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ICBs have a number of financial duties under the NHS Act 2006 (as amended).</w:t>
            </w:r>
            <w:r w:rsidR="00942B87">
              <w:rPr>
                <w:rFonts w:eastAsia="Times New Roman" w:cs="Arial"/>
                <w:sz w:val="20"/>
                <w:szCs w:val="20"/>
                <w:lang w:eastAsia="en-GB"/>
              </w:rPr>
              <w:t xml:space="preserve"> </w:t>
            </w:r>
            <w:r w:rsidR="00942B87" w:rsidRPr="00B17076">
              <w:rPr>
                <w:rFonts w:eastAsia="Times New Roman" w:cs="Arial"/>
                <w:sz w:val="20"/>
                <w:szCs w:val="20"/>
                <w:lang w:eastAsia="en-GB"/>
              </w:rPr>
              <w:t>NHS ICB performance against those duties was as follows:</w:t>
            </w:r>
          </w:p>
          <w:p w14:paraId="1E7F9965" w14:textId="4A7342D1" w:rsidR="00120469" w:rsidRPr="00B17076" w:rsidRDefault="00120469" w:rsidP="00120469">
            <w:pPr>
              <w:spacing w:before="0" w:after="0"/>
              <w:rPr>
                <w:rFonts w:eastAsia="Times New Roman" w:cs="Arial"/>
                <w:sz w:val="20"/>
                <w:szCs w:val="20"/>
                <w:lang w:eastAsia="en-GB"/>
              </w:rPr>
            </w:pPr>
          </w:p>
        </w:tc>
      </w:tr>
      <w:tr w:rsidR="00120469" w:rsidRPr="00B17076" w14:paraId="3FBCA5AB" w14:textId="77777777" w:rsidTr="0030431F">
        <w:trPr>
          <w:trHeight w:val="520"/>
        </w:trPr>
        <w:tc>
          <w:tcPr>
            <w:tcW w:w="3544" w:type="dxa"/>
            <w:tcBorders>
              <w:top w:val="nil"/>
              <w:left w:val="nil"/>
              <w:bottom w:val="nil"/>
              <w:right w:val="nil"/>
            </w:tcBorders>
            <w:shd w:val="clear" w:color="auto" w:fill="auto"/>
            <w:noWrap/>
            <w:vAlign w:val="bottom"/>
            <w:hideMark/>
          </w:tcPr>
          <w:p w14:paraId="63DF5BE1"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135" w:type="dxa"/>
            <w:tcBorders>
              <w:top w:val="nil"/>
              <w:left w:val="nil"/>
              <w:bottom w:val="nil"/>
              <w:right w:val="nil"/>
            </w:tcBorders>
            <w:shd w:val="clear" w:color="auto" w:fill="auto"/>
            <w:noWrap/>
            <w:vAlign w:val="bottom"/>
            <w:hideMark/>
          </w:tcPr>
          <w:p w14:paraId="0AD4BD94"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375" w:type="dxa"/>
            <w:tcBorders>
              <w:top w:val="nil"/>
              <w:left w:val="nil"/>
              <w:bottom w:val="nil"/>
              <w:right w:val="nil"/>
            </w:tcBorders>
            <w:shd w:val="clear" w:color="000000" w:fill="FFFFFF"/>
            <w:vAlign w:val="bottom"/>
            <w:hideMark/>
          </w:tcPr>
          <w:p w14:paraId="1E798D64" w14:textId="77777777" w:rsidR="00120469" w:rsidRPr="00B17076" w:rsidRDefault="00120469" w:rsidP="00120469">
            <w:pPr>
              <w:spacing w:before="0" w:after="0"/>
              <w:jc w:val="right"/>
              <w:rPr>
                <w:rFonts w:eastAsia="Times New Roman" w:cs="Arial"/>
                <w:b/>
                <w:bCs/>
                <w:sz w:val="20"/>
                <w:szCs w:val="20"/>
                <w:lang w:eastAsia="en-GB"/>
              </w:rPr>
            </w:pPr>
            <w:r w:rsidRPr="00B17076">
              <w:rPr>
                <w:rFonts w:eastAsia="Times New Roman" w:cs="Arial"/>
                <w:b/>
                <w:bCs/>
                <w:sz w:val="20"/>
                <w:szCs w:val="20"/>
                <w:lang w:eastAsia="en-GB"/>
              </w:rPr>
              <w:t>1-Apr-23 to 31-Mar-24</w:t>
            </w:r>
          </w:p>
        </w:tc>
        <w:tc>
          <w:tcPr>
            <w:tcW w:w="300" w:type="dxa"/>
            <w:tcBorders>
              <w:top w:val="nil"/>
              <w:left w:val="nil"/>
              <w:bottom w:val="nil"/>
              <w:right w:val="nil"/>
            </w:tcBorders>
            <w:shd w:val="clear" w:color="000000" w:fill="FFFFFF"/>
            <w:vAlign w:val="bottom"/>
            <w:hideMark/>
          </w:tcPr>
          <w:p w14:paraId="3831F8C4"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w:t>
            </w:r>
          </w:p>
        </w:tc>
        <w:tc>
          <w:tcPr>
            <w:tcW w:w="1439" w:type="dxa"/>
            <w:tcBorders>
              <w:top w:val="nil"/>
              <w:left w:val="nil"/>
              <w:bottom w:val="nil"/>
              <w:right w:val="nil"/>
            </w:tcBorders>
            <w:shd w:val="clear" w:color="000000" w:fill="FFFFFF"/>
            <w:vAlign w:val="bottom"/>
            <w:hideMark/>
          </w:tcPr>
          <w:p w14:paraId="70213CF5" w14:textId="77777777" w:rsidR="00120469" w:rsidRPr="00B17076" w:rsidRDefault="00120469" w:rsidP="00120469">
            <w:pPr>
              <w:spacing w:before="0" w:after="0"/>
              <w:jc w:val="right"/>
              <w:rPr>
                <w:rFonts w:eastAsia="Times New Roman" w:cs="Arial"/>
                <w:b/>
                <w:bCs/>
                <w:sz w:val="20"/>
                <w:szCs w:val="20"/>
                <w:lang w:eastAsia="en-GB"/>
              </w:rPr>
            </w:pPr>
            <w:r w:rsidRPr="00B17076">
              <w:rPr>
                <w:rFonts w:eastAsia="Times New Roman" w:cs="Arial"/>
                <w:b/>
                <w:bCs/>
                <w:sz w:val="20"/>
                <w:szCs w:val="20"/>
                <w:lang w:eastAsia="en-GB"/>
              </w:rPr>
              <w:t xml:space="preserve">  1-Apr-23 to 31-Mar-24</w:t>
            </w:r>
          </w:p>
        </w:tc>
        <w:tc>
          <w:tcPr>
            <w:tcW w:w="300" w:type="dxa"/>
            <w:tcBorders>
              <w:top w:val="nil"/>
              <w:left w:val="nil"/>
              <w:bottom w:val="nil"/>
              <w:right w:val="nil"/>
            </w:tcBorders>
            <w:shd w:val="clear" w:color="000000" w:fill="FFFFFF"/>
            <w:vAlign w:val="bottom"/>
            <w:hideMark/>
          </w:tcPr>
          <w:p w14:paraId="462C8754"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w:t>
            </w:r>
          </w:p>
        </w:tc>
        <w:tc>
          <w:tcPr>
            <w:tcW w:w="1181" w:type="dxa"/>
            <w:tcBorders>
              <w:top w:val="nil"/>
              <w:left w:val="nil"/>
              <w:bottom w:val="nil"/>
              <w:right w:val="nil"/>
            </w:tcBorders>
            <w:shd w:val="clear" w:color="000000" w:fill="FFFFFF"/>
            <w:vAlign w:val="bottom"/>
            <w:hideMark/>
          </w:tcPr>
          <w:p w14:paraId="355072F7"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w:t>
            </w:r>
          </w:p>
        </w:tc>
        <w:tc>
          <w:tcPr>
            <w:tcW w:w="300" w:type="dxa"/>
            <w:tcBorders>
              <w:top w:val="nil"/>
              <w:left w:val="nil"/>
              <w:bottom w:val="nil"/>
              <w:right w:val="nil"/>
            </w:tcBorders>
            <w:shd w:val="clear" w:color="auto" w:fill="auto"/>
            <w:noWrap/>
            <w:vAlign w:val="bottom"/>
            <w:hideMark/>
          </w:tcPr>
          <w:p w14:paraId="6A573236" w14:textId="77777777" w:rsidR="00120469" w:rsidRPr="00B17076" w:rsidRDefault="00120469" w:rsidP="00120469">
            <w:pPr>
              <w:spacing w:before="0" w:after="0"/>
              <w:jc w:val="right"/>
              <w:rPr>
                <w:rFonts w:eastAsia="Times New Roman" w:cs="Arial"/>
                <w:sz w:val="20"/>
                <w:szCs w:val="20"/>
                <w:lang w:eastAsia="en-GB"/>
              </w:rPr>
            </w:pPr>
          </w:p>
        </w:tc>
        <w:tc>
          <w:tcPr>
            <w:tcW w:w="1483" w:type="dxa"/>
            <w:tcBorders>
              <w:top w:val="nil"/>
              <w:left w:val="nil"/>
              <w:bottom w:val="nil"/>
              <w:right w:val="nil"/>
            </w:tcBorders>
            <w:shd w:val="clear" w:color="auto" w:fill="auto"/>
            <w:noWrap/>
            <w:vAlign w:val="bottom"/>
            <w:hideMark/>
          </w:tcPr>
          <w:p w14:paraId="2E2E4292"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r>
      <w:tr w:rsidR="00120469" w:rsidRPr="00B17076" w14:paraId="4E3C513E" w14:textId="77777777" w:rsidTr="0030431F">
        <w:trPr>
          <w:trHeight w:val="260"/>
        </w:trPr>
        <w:tc>
          <w:tcPr>
            <w:tcW w:w="3544" w:type="dxa"/>
            <w:tcBorders>
              <w:top w:val="nil"/>
              <w:left w:val="nil"/>
              <w:bottom w:val="nil"/>
              <w:right w:val="nil"/>
            </w:tcBorders>
            <w:shd w:val="clear" w:color="auto" w:fill="auto"/>
            <w:vAlign w:val="bottom"/>
            <w:hideMark/>
          </w:tcPr>
          <w:p w14:paraId="432C67AA"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135" w:type="dxa"/>
            <w:tcBorders>
              <w:top w:val="nil"/>
              <w:left w:val="nil"/>
              <w:bottom w:val="nil"/>
              <w:right w:val="nil"/>
            </w:tcBorders>
            <w:shd w:val="clear" w:color="auto" w:fill="auto"/>
            <w:vAlign w:val="bottom"/>
            <w:hideMark/>
          </w:tcPr>
          <w:p w14:paraId="1991B6BB"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375" w:type="dxa"/>
            <w:tcBorders>
              <w:top w:val="nil"/>
              <w:left w:val="nil"/>
              <w:bottom w:val="nil"/>
              <w:right w:val="nil"/>
            </w:tcBorders>
            <w:shd w:val="clear" w:color="000000" w:fill="FFFFFF"/>
            <w:vAlign w:val="bottom"/>
            <w:hideMark/>
          </w:tcPr>
          <w:p w14:paraId="061BF2D6" w14:textId="77777777" w:rsidR="00120469" w:rsidRPr="00B17076" w:rsidRDefault="00120469" w:rsidP="00120469">
            <w:pPr>
              <w:spacing w:before="0" w:after="0"/>
              <w:jc w:val="right"/>
              <w:rPr>
                <w:rFonts w:eastAsia="Times New Roman" w:cs="Arial"/>
                <w:b/>
                <w:bCs/>
                <w:sz w:val="20"/>
                <w:szCs w:val="20"/>
                <w:lang w:eastAsia="en-GB"/>
              </w:rPr>
            </w:pPr>
            <w:r w:rsidRPr="00B17076">
              <w:rPr>
                <w:rFonts w:eastAsia="Times New Roman" w:cs="Arial"/>
                <w:b/>
                <w:bCs/>
                <w:sz w:val="20"/>
                <w:szCs w:val="20"/>
                <w:lang w:eastAsia="en-GB"/>
              </w:rPr>
              <w:t>Target</w:t>
            </w:r>
          </w:p>
        </w:tc>
        <w:tc>
          <w:tcPr>
            <w:tcW w:w="300" w:type="dxa"/>
            <w:tcBorders>
              <w:top w:val="nil"/>
              <w:left w:val="nil"/>
              <w:bottom w:val="nil"/>
              <w:right w:val="nil"/>
            </w:tcBorders>
            <w:shd w:val="clear" w:color="000000" w:fill="FFFFFF"/>
            <w:vAlign w:val="bottom"/>
            <w:hideMark/>
          </w:tcPr>
          <w:p w14:paraId="793FB97B"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w:t>
            </w:r>
          </w:p>
        </w:tc>
        <w:tc>
          <w:tcPr>
            <w:tcW w:w="1439" w:type="dxa"/>
            <w:tcBorders>
              <w:top w:val="nil"/>
              <w:left w:val="nil"/>
              <w:bottom w:val="nil"/>
              <w:right w:val="nil"/>
            </w:tcBorders>
            <w:shd w:val="clear" w:color="000000" w:fill="FFFFFF"/>
            <w:vAlign w:val="bottom"/>
            <w:hideMark/>
          </w:tcPr>
          <w:p w14:paraId="1CBB974D" w14:textId="77777777" w:rsidR="00120469" w:rsidRPr="00B17076" w:rsidRDefault="00120469" w:rsidP="00120469">
            <w:pPr>
              <w:spacing w:before="0" w:after="0"/>
              <w:jc w:val="right"/>
              <w:rPr>
                <w:rFonts w:eastAsia="Times New Roman" w:cs="Arial"/>
                <w:b/>
                <w:bCs/>
                <w:sz w:val="20"/>
                <w:szCs w:val="20"/>
                <w:lang w:eastAsia="en-GB"/>
              </w:rPr>
            </w:pPr>
            <w:r w:rsidRPr="00B17076">
              <w:rPr>
                <w:rFonts w:eastAsia="Times New Roman" w:cs="Arial"/>
                <w:b/>
                <w:bCs/>
                <w:sz w:val="20"/>
                <w:szCs w:val="20"/>
                <w:lang w:eastAsia="en-GB"/>
              </w:rPr>
              <w:t>Performance</w:t>
            </w:r>
          </w:p>
        </w:tc>
        <w:tc>
          <w:tcPr>
            <w:tcW w:w="300" w:type="dxa"/>
            <w:tcBorders>
              <w:top w:val="nil"/>
              <w:left w:val="nil"/>
              <w:bottom w:val="nil"/>
              <w:right w:val="nil"/>
            </w:tcBorders>
            <w:shd w:val="clear" w:color="000000" w:fill="FFFFFF"/>
            <w:vAlign w:val="bottom"/>
            <w:hideMark/>
          </w:tcPr>
          <w:p w14:paraId="63A822F0"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w:t>
            </w:r>
          </w:p>
        </w:tc>
        <w:tc>
          <w:tcPr>
            <w:tcW w:w="1181" w:type="dxa"/>
            <w:tcBorders>
              <w:top w:val="nil"/>
              <w:left w:val="nil"/>
              <w:bottom w:val="nil"/>
              <w:right w:val="nil"/>
            </w:tcBorders>
            <w:shd w:val="clear" w:color="auto" w:fill="auto"/>
            <w:noWrap/>
            <w:vAlign w:val="bottom"/>
            <w:hideMark/>
          </w:tcPr>
          <w:p w14:paraId="44513358" w14:textId="77777777" w:rsidR="00120469" w:rsidRPr="00B17076" w:rsidRDefault="00120469" w:rsidP="00120469">
            <w:pPr>
              <w:spacing w:before="0" w:after="0"/>
              <w:jc w:val="right"/>
              <w:rPr>
                <w:rFonts w:eastAsia="Times New Roman" w:cs="Arial"/>
                <w:sz w:val="20"/>
                <w:szCs w:val="20"/>
                <w:lang w:eastAsia="en-GB"/>
              </w:rPr>
            </w:pPr>
          </w:p>
        </w:tc>
        <w:tc>
          <w:tcPr>
            <w:tcW w:w="300" w:type="dxa"/>
            <w:tcBorders>
              <w:top w:val="nil"/>
              <w:left w:val="nil"/>
              <w:bottom w:val="nil"/>
              <w:right w:val="nil"/>
            </w:tcBorders>
            <w:shd w:val="clear" w:color="auto" w:fill="auto"/>
            <w:noWrap/>
            <w:vAlign w:val="bottom"/>
            <w:hideMark/>
          </w:tcPr>
          <w:p w14:paraId="7A2B8EDB"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auto" w:fill="auto"/>
            <w:noWrap/>
            <w:vAlign w:val="bottom"/>
            <w:hideMark/>
          </w:tcPr>
          <w:p w14:paraId="74146A3B"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r>
      <w:tr w:rsidR="00120469" w:rsidRPr="00B17076" w14:paraId="746CD220" w14:textId="77777777" w:rsidTr="0030431F">
        <w:trPr>
          <w:trHeight w:val="260"/>
        </w:trPr>
        <w:tc>
          <w:tcPr>
            <w:tcW w:w="3544" w:type="dxa"/>
            <w:tcBorders>
              <w:top w:val="nil"/>
              <w:left w:val="nil"/>
              <w:bottom w:val="nil"/>
              <w:right w:val="nil"/>
            </w:tcBorders>
            <w:shd w:val="clear" w:color="auto" w:fill="auto"/>
            <w:vAlign w:val="bottom"/>
            <w:hideMark/>
          </w:tcPr>
          <w:p w14:paraId="7B05A271"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135" w:type="dxa"/>
            <w:tcBorders>
              <w:top w:val="nil"/>
              <w:left w:val="nil"/>
              <w:bottom w:val="nil"/>
              <w:right w:val="nil"/>
            </w:tcBorders>
            <w:shd w:val="clear" w:color="auto" w:fill="auto"/>
            <w:vAlign w:val="bottom"/>
            <w:hideMark/>
          </w:tcPr>
          <w:p w14:paraId="2235D0F9"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375" w:type="dxa"/>
            <w:tcBorders>
              <w:top w:val="nil"/>
              <w:left w:val="nil"/>
              <w:bottom w:val="nil"/>
              <w:right w:val="nil"/>
            </w:tcBorders>
            <w:shd w:val="clear" w:color="000000" w:fill="FFFFFF"/>
            <w:vAlign w:val="bottom"/>
            <w:hideMark/>
          </w:tcPr>
          <w:p w14:paraId="059EA71E" w14:textId="77777777" w:rsidR="00120469" w:rsidRPr="00B17076" w:rsidRDefault="00120469" w:rsidP="00120469">
            <w:pPr>
              <w:spacing w:before="0" w:after="0"/>
              <w:jc w:val="right"/>
              <w:rPr>
                <w:rFonts w:eastAsia="Times New Roman" w:cs="Arial"/>
                <w:b/>
                <w:bCs/>
                <w:sz w:val="20"/>
                <w:szCs w:val="20"/>
                <w:lang w:eastAsia="en-GB"/>
              </w:rPr>
            </w:pPr>
            <w:r w:rsidRPr="00B17076">
              <w:rPr>
                <w:rFonts w:eastAsia="Times New Roman" w:cs="Arial"/>
                <w:b/>
                <w:bCs/>
                <w:sz w:val="20"/>
                <w:szCs w:val="20"/>
                <w:lang w:eastAsia="en-GB"/>
              </w:rPr>
              <w:t>(1 Year)</w:t>
            </w:r>
          </w:p>
        </w:tc>
        <w:tc>
          <w:tcPr>
            <w:tcW w:w="300" w:type="dxa"/>
            <w:tcBorders>
              <w:top w:val="nil"/>
              <w:left w:val="nil"/>
              <w:bottom w:val="nil"/>
              <w:right w:val="nil"/>
            </w:tcBorders>
            <w:shd w:val="clear" w:color="000000" w:fill="FFFFFF"/>
            <w:vAlign w:val="bottom"/>
            <w:hideMark/>
          </w:tcPr>
          <w:p w14:paraId="327DE864"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w:t>
            </w:r>
          </w:p>
        </w:tc>
        <w:tc>
          <w:tcPr>
            <w:tcW w:w="1439" w:type="dxa"/>
            <w:tcBorders>
              <w:top w:val="nil"/>
              <w:left w:val="nil"/>
              <w:bottom w:val="nil"/>
              <w:right w:val="nil"/>
            </w:tcBorders>
            <w:shd w:val="clear" w:color="000000" w:fill="FFFFFF"/>
            <w:vAlign w:val="bottom"/>
            <w:hideMark/>
          </w:tcPr>
          <w:p w14:paraId="23490A8A" w14:textId="77777777" w:rsidR="00120469" w:rsidRPr="00B17076" w:rsidRDefault="00120469" w:rsidP="00120469">
            <w:pPr>
              <w:spacing w:before="0" w:after="0"/>
              <w:jc w:val="right"/>
              <w:rPr>
                <w:rFonts w:eastAsia="Times New Roman" w:cs="Arial"/>
                <w:b/>
                <w:bCs/>
                <w:sz w:val="20"/>
                <w:szCs w:val="20"/>
                <w:lang w:eastAsia="en-GB"/>
              </w:rPr>
            </w:pPr>
            <w:r w:rsidRPr="00B17076">
              <w:rPr>
                <w:rFonts w:eastAsia="Times New Roman" w:cs="Arial"/>
                <w:b/>
                <w:bCs/>
                <w:sz w:val="20"/>
                <w:szCs w:val="20"/>
                <w:lang w:eastAsia="en-GB"/>
              </w:rPr>
              <w:t>(1 Year)</w:t>
            </w:r>
          </w:p>
        </w:tc>
        <w:tc>
          <w:tcPr>
            <w:tcW w:w="300" w:type="dxa"/>
            <w:tcBorders>
              <w:top w:val="nil"/>
              <w:left w:val="nil"/>
              <w:bottom w:val="nil"/>
              <w:right w:val="nil"/>
            </w:tcBorders>
            <w:shd w:val="clear" w:color="000000" w:fill="FFFFFF"/>
            <w:vAlign w:val="bottom"/>
            <w:hideMark/>
          </w:tcPr>
          <w:p w14:paraId="44260B2D"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w:t>
            </w:r>
          </w:p>
        </w:tc>
        <w:tc>
          <w:tcPr>
            <w:tcW w:w="1481" w:type="dxa"/>
            <w:gridSpan w:val="2"/>
            <w:vMerge w:val="restart"/>
            <w:tcBorders>
              <w:top w:val="nil"/>
              <w:left w:val="nil"/>
              <w:bottom w:val="nil"/>
              <w:right w:val="nil"/>
            </w:tcBorders>
            <w:shd w:val="clear" w:color="auto" w:fill="auto"/>
            <w:vAlign w:val="center"/>
            <w:hideMark/>
          </w:tcPr>
          <w:p w14:paraId="02879C49" w14:textId="77777777" w:rsidR="00120469" w:rsidRPr="00B17076" w:rsidRDefault="00120469" w:rsidP="00120469">
            <w:pPr>
              <w:spacing w:before="0" w:after="0"/>
              <w:jc w:val="right"/>
              <w:rPr>
                <w:rFonts w:eastAsia="Times New Roman" w:cs="Arial"/>
                <w:b/>
                <w:bCs/>
                <w:sz w:val="20"/>
                <w:szCs w:val="20"/>
                <w:lang w:eastAsia="en-GB"/>
              </w:rPr>
            </w:pPr>
            <w:r w:rsidRPr="00B17076">
              <w:rPr>
                <w:rFonts w:eastAsia="Times New Roman" w:cs="Arial"/>
                <w:b/>
                <w:bCs/>
                <w:sz w:val="20"/>
                <w:szCs w:val="20"/>
                <w:lang w:eastAsia="en-GB"/>
              </w:rPr>
              <w:t>Duty achieved?</w:t>
            </w:r>
          </w:p>
        </w:tc>
        <w:tc>
          <w:tcPr>
            <w:tcW w:w="1483" w:type="dxa"/>
            <w:tcBorders>
              <w:top w:val="nil"/>
              <w:left w:val="nil"/>
              <w:bottom w:val="nil"/>
              <w:right w:val="nil"/>
            </w:tcBorders>
            <w:shd w:val="clear" w:color="auto" w:fill="auto"/>
            <w:noWrap/>
            <w:vAlign w:val="bottom"/>
            <w:hideMark/>
          </w:tcPr>
          <w:p w14:paraId="27835551" w14:textId="77777777" w:rsidR="00120469" w:rsidRPr="00B17076" w:rsidRDefault="00120469" w:rsidP="00120469">
            <w:pPr>
              <w:spacing w:before="0" w:after="0"/>
              <w:jc w:val="right"/>
              <w:rPr>
                <w:rFonts w:eastAsia="Times New Roman" w:cs="Arial"/>
                <w:b/>
                <w:bCs/>
                <w:sz w:val="20"/>
                <w:szCs w:val="20"/>
                <w:lang w:eastAsia="en-GB"/>
              </w:rPr>
            </w:pPr>
          </w:p>
        </w:tc>
      </w:tr>
      <w:tr w:rsidR="00120469" w:rsidRPr="00B17076" w14:paraId="56B9AE34" w14:textId="77777777" w:rsidTr="0030431F">
        <w:trPr>
          <w:trHeight w:val="260"/>
        </w:trPr>
        <w:tc>
          <w:tcPr>
            <w:tcW w:w="3544" w:type="dxa"/>
            <w:tcBorders>
              <w:top w:val="nil"/>
              <w:left w:val="nil"/>
              <w:bottom w:val="nil"/>
              <w:right w:val="nil"/>
            </w:tcBorders>
            <w:shd w:val="clear" w:color="auto" w:fill="auto"/>
            <w:vAlign w:val="bottom"/>
            <w:hideMark/>
          </w:tcPr>
          <w:p w14:paraId="0DC61455"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135" w:type="dxa"/>
            <w:tcBorders>
              <w:top w:val="nil"/>
              <w:left w:val="nil"/>
              <w:bottom w:val="nil"/>
              <w:right w:val="nil"/>
            </w:tcBorders>
            <w:shd w:val="clear" w:color="auto" w:fill="auto"/>
            <w:vAlign w:val="bottom"/>
            <w:hideMark/>
          </w:tcPr>
          <w:p w14:paraId="0306BA5A"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375" w:type="dxa"/>
            <w:tcBorders>
              <w:top w:val="nil"/>
              <w:left w:val="nil"/>
              <w:bottom w:val="nil"/>
              <w:right w:val="nil"/>
            </w:tcBorders>
            <w:shd w:val="clear" w:color="000000" w:fill="FFFFFF"/>
            <w:noWrap/>
            <w:vAlign w:val="bottom"/>
            <w:hideMark/>
          </w:tcPr>
          <w:p w14:paraId="3427CE63" w14:textId="77777777" w:rsidR="00120469" w:rsidRPr="00B17076" w:rsidRDefault="00120469" w:rsidP="00120469">
            <w:pPr>
              <w:spacing w:before="0" w:after="0"/>
              <w:jc w:val="right"/>
              <w:rPr>
                <w:rFonts w:eastAsia="Times New Roman" w:cs="Arial"/>
                <w:b/>
                <w:bCs/>
                <w:sz w:val="20"/>
                <w:szCs w:val="20"/>
                <w:lang w:eastAsia="en-GB"/>
              </w:rPr>
            </w:pPr>
            <w:r w:rsidRPr="00B17076">
              <w:rPr>
                <w:rFonts w:eastAsia="Times New Roman" w:cs="Arial"/>
                <w:b/>
                <w:bCs/>
                <w:sz w:val="20"/>
                <w:szCs w:val="20"/>
                <w:lang w:eastAsia="en-GB"/>
              </w:rPr>
              <w:t>£'000</w:t>
            </w:r>
          </w:p>
        </w:tc>
        <w:tc>
          <w:tcPr>
            <w:tcW w:w="300" w:type="dxa"/>
            <w:tcBorders>
              <w:top w:val="nil"/>
              <w:left w:val="nil"/>
              <w:bottom w:val="nil"/>
              <w:right w:val="nil"/>
            </w:tcBorders>
            <w:shd w:val="clear" w:color="auto" w:fill="auto"/>
            <w:noWrap/>
            <w:vAlign w:val="bottom"/>
            <w:hideMark/>
          </w:tcPr>
          <w:p w14:paraId="76256E93" w14:textId="77777777" w:rsidR="00120469" w:rsidRPr="00B17076" w:rsidRDefault="00120469" w:rsidP="00120469">
            <w:pPr>
              <w:spacing w:before="0" w:after="0"/>
              <w:jc w:val="right"/>
              <w:rPr>
                <w:rFonts w:eastAsia="Times New Roman" w:cs="Arial"/>
                <w:b/>
                <w:bCs/>
                <w:sz w:val="20"/>
                <w:szCs w:val="20"/>
                <w:lang w:eastAsia="en-GB"/>
              </w:rPr>
            </w:pPr>
          </w:p>
        </w:tc>
        <w:tc>
          <w:tcPr>
            <w:tcW w:w="1439" w:type="dxa"/>
            <w:tcBorders>
              <w:top w:val="nil"/>
              <w:left w:val="nil"/>
              <w:bottom w:val="nil"/>
              <w:right w:val="nil"/>
            </w:tcBorders>
            <w:shd w:val="clear" w:color="000000" w:fill="FFFFFF"/>
            <w:noWrap/>
            <w:vAlign w:val="bottom"/>
            <w:hideMark/>
          </w:tcPr>
          <w:p w14:paraId="1510009B" w14:textId="77777777" w:rsidR="00120469" w:rsidRPr="00B17076" w:rsidRDefault="00120469" w:rsidP="00120469">
            <w:pPr>
              <w:spacing w:before="0" w:after="0"/>
              <w:jc w:val="right"/>
              <w:rPr>
                <w:rFonts w:eastAsia="Times New Roman" w:cs="Arial"/>
                <w:b/>
                <w:bCs/>
                <w:sz w:val="20"/>
                <w:szCs w:val="20"/>
                <w:lang w:eastAsia="en-GB"/>
              </w:rPr>
            </w:pPr>
            <w:r w:rsidRPr="00B17076">
              <w:rPr>
                <w:rFonts w:eastAsia="Times New Roman" w:cs="Arial"/>
                <w:b/>
                <w:bCs/>
                <w:sz w:val="20"/>
                <w:szCs w:val="20"/>
                <w:lang w:eastAsia="en-GB"/>
              </w:rPr>
              <w:t>£'000</w:t>
            </w:r>
          </w:p>
        </w:tc>
        <w:tc>
          <w:tcPr>
            <w:tcW w:w="300" w:type="dxa"/>
            <w:tcBorders>
              <w:top w:val="nil"/>
              <w:left w:val="nil"/>
              <w:bottom w:val="nil"/>
              <w:right w:val="nil"/>
            </w:tcBorders>
            <w:shd w:val="clear" w:color="000000" w:fill="FFFFFF"/>
            <w:vAlign w:val="bottom"/>
            <w:hideMark/>
          </w:tcPr>
          <w:p w14:paraId="21F3EFE2"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w:t>
            </w:r>
          </w:p>
        </w:tc>
        <w:tc>
          <w:tcPr>
            <w:tcW w:w="1481" w:type="dxa"/>
            <w:gridSpan w:val="2"/>
            <w:vMerge/>
            <w:tcBorders>
              <w:top w:val="nil"/>
              <w:left w:val="nil"/>
              <w:bottom w:val="nil"/>
              <w:right w:val="nil"/>
            </w:tcBorders>
            <w:vAlign w:val="center"/>
            <w:hideMark/>
          </w:tcPr>
          <w:p w14:paraId="26468612" w14:textId="77777777" w:rsidR="00120469" w:rsidRPr="00B17076" w:rsidRDefault="00120469" w:rsidP="00120469">
            <w:pPr>
              <w:spacing w:before="0" w:after="0"/>
              <w:rPr>
                <w:rFonts w:eastAsia="Times New Roman" w:cs="Arial"/>
                <w:b/>
                <w:bCs/>
                <w:sz w:val="20"/>
                <w:szCs w:val="20"/>
                <w:lang w:eastAsia="en-GB"/>
              </w:rPr>
            </w:pPr>
          </w:p>
        </w:tc>
        <w:tc>
          <w:tcPr>
            <w:tcW w:w="1483" w:type="dxa"/>
            <w:tcBorders>
              <w:top w:val="nil"/>
              <w:left w:val="nil"/>
              <w:bottom w:val="nil"/>
              <w:right w:val="nil"/>
            </w:tcBorders>
            <w:shd w:val="clear" w:color="auto" w:fill="auto"/>
            <w:noWrap/>
            <w:vAlign w:val="bottom"/>
            <w:hideMark/>
          </w:tcPr>
          <w:p w14:paraId="7A9239A0" w14:textId="77777777" w:rsidR="00120469" w:rsidRPr="00B17076" w:rsidRDefault="00120469" w:rsidP="00120469">
            <w:pPr>
              <w:spacing w:before="0" w:after="0"/>
              <w:jc w:val="right"/>
              <w:rPr>
                <w:rFonts w:eastAsia="Times New Roman" w:cs="Arial"/>
                <w:sz w:val="20"/>
                <w:szCs w:val="20"/>
                <w:lang w:eastAsia="en-GB"/>
              </w:rPr>
            </w:pPr>
          </w:p>
        </w:tc>
      </w:tr>
      <w:tr w:rsidR="00120469" w:rsidRPr="00B17076" w14:paraId="4F34B5E2" w14:textId="77777777" w:rsidTr="0030431F">
        <w:trPr>
          <w:trHeight w:val="120"/>
        </w:trPr>
        <w:tc>
          <w:tcPr>
            <w:tcW w:w="3544" w:type="dxa"/>
            <w:tcBorders>
              <w:top w:val="nil"/>
              <w:left w:val="nil"/>
              <w:bottom w:val="nil"/>
              <w:right w:val="nil"/>
            </w:tcBorders>
            <w:shd w:val="clear" w:color="auto" w:fill="auto"/>
            <w:vAlign w:val="bottom"/>
            <w:hideMark/>
          </w:tcPr>
          <w:p w14:paraId="2C5CDD21"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135" w:type="dxa"/>
            <w:tcBorders>
              <w:top w:val="nil"/>
              <w:left w:val="nil"/>
              <w:bottom w:val="nil"/>
              <w:right w:val="nil"/>
            </w:tcBorders>
            <w:shd w:val="clear" w:color="auto" w:fill="auto"/>
            <w:vAlign w:val="bottom"/>
            <w:hideMark/>
          </w:tcPr>
          <w:p w14:paraId="019C0579"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375" w:type="dxa"/>
            <w:tcBorders>
              <w:top w:val="nil"/>
              <w:left w:val="nil"/>
              <w:bottom w:val="nil"/>
              <w:right w:val="nil"/>
            </w:tcBorders>
            <w:shd w:val="clear" w:color="000000" w:fill="FFFFFF"/>
            <w:noWrap/>
            <w:vAlign w:val="bottom"/>
            <w:hideMark/>
          </w:tcPr>
          <w:p w14:paraId="598A9533" w14:textId="77777777" w:rsidR="00120469" w:rsidRPr="00B17076" w:rsidRDefault="00120469" w:rsidP="00120469">
            <w:pPr>
              <w:spacing w:before="0" w:after="0"/>
              <w:jc w:val="right"/>
              <w:rPr>
                <w:rFonts w:eastAsia="Times New Roman" w:cs="Arial"/>
                <w:b/>
                <w:bCs/>
                <w:sz w:val="20"/>
                <w:szCs w:val="20"/>
                <w:lang w:eastAsia="en-GB"/>
              </w:rPr>
            </w:pPr>
            <w:r w:rsidRPr="00B17076">
              <w:rPr>
                <w:rFonts w:eastAsia="Times New Roman" w:cs="Arial"/>
                <w:b/>
                <w:bCs/>
                <w:sz w:val="20"/>
                <w:szCs w:val="20"/>
                <w:lang w:eastAsia="en-GB"/>
              </w:rPr>
              <w:t> </w:t>
            </w:r>
          </w:p>
        </w:tc>
        <w:tc>
          <w:tcPr>
            <w:tcW w:w="300" w:type="dxa"/>
            <w:tcBorders>
              <w:top w:val="nil"/>
              <w:left w:val="nil"/>
              <w:bottom w:val="nil"/>
              <w:right w:val="nil"/>
            </w:tcBorders>
            <w:shd w:val="clear" w:color="auto" w:fill="auto"/>
            <w:noWrap/>
            <w:vAlign w:val="bottom"/>
            <w:hideMark/>
          </w:tcPr>
          <w:p w14:paraId="348A9FBE" w14:textId="77777777" w:rsidR="00120469" w:rsidRPr="00B17076" w:rsidRDefault="00120469" w:rsidP="00120469">
            <w:pPr>
              <w:spacing w:before="0" w:after="0"/>
              <w:jc w:val="right"/>
              <w:rPr>
                <w:rFonts w:eastAsia="Times New Roman" w:cs="Arial"/>
                <w:b/>
                <w:bCs/>
                <w:sz w:val="20"/>
                <w:szCs w:val="20"/>
                <w:lang w:eastAsia="en-GB"/>
              </w:rPr>
            </w:pPr>
          </w:p>
        </w:tc>
        <w:tc>
          <w:tcPr>
            <w:tcW w:w="1439" w:type="dxa"/>
            <w:tcBorders>
              <w:top w:val="nil"/>
              <w:left w:val="nil"/>
              <w:bottom w:val="nil"/>
              <w:right w:val="nil"/>
            </w:tcBorders>
            <w:shd w:val="clear" w:color="000000" w:fill="FFFFFF"/>
            <w:noWrap/>
            <w:vAlign w:val="bottom"/>
            <w:hideMark/>
          </w:tcPr>
          <w:p w14:paraId="451F15A3" w14:textId="77777777" w:rsidR="00120469" w:rsidRPr="00B17076" w:rsidRDefault="00120469" w:rsidP="00120469">
            <w:pPr>
              <w:spacing w:before="0" w:after="0"/>
              <w:jc w:val="right"/>
              <w:rPr>
                <w:rFonts w:eastAsia="Times New Roman" w:cs="Arial"/>
                <w:b/>
                <w:bCs/>
                <w:sz w:val="20"/>
                <w:szCs w:val="20"/>
                <w:lang w:eastAsia="en-GB"/>
              </w:rPr>
            </w:pPr>
            <w:r w:rsidRPr="00B17076">
              <w:rPr>
                <w:rFonts w:eastAsia="Times New Roman" w:cs="Arial"/>
                <w:b/>
                <w:bCs/>
                <w:sz w:val="20"/>
                <w:szCs w:val="20"/>
                <w:lang w:eastAsia="en-GB"/>
              </w:rPr>
              <w:t> </w:t>
            </w:r>
          </w:p>
        </w:tc>
        <w:tc>
          <w:tcPr>
            <w:tcW w:w="300" w:type="dxa"/>
            <w:tcBorders>
              <w:top w:val="nil"/>
              <w:left w:val="nil"/>
              <w:bottom w:val="nil"/>
              <w:right w:val="nil"/>
            </w:tcBorders>
            <w:shd w:val="clear" w:color="000000" w:fill="FFFFFF"/>
            <w:vAlign w:val="bottom"/>
            <w:hideMark/>
          </w:tcPr>
          <w:p w14:paraId="548DF158"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w:t>
            </w:r>
          </w:p>
        </w:tc>
        <w:tc>
          <w:tcPr>
            <w:tcW w:w="1181" w:type="dxa"/>
            <w:tcBorders>
              <w:top w:val="nil"/>
              <w:left w:val="nil"/>
              <w:bottom w:val="nil"/>
              <w:right w:val="nil"/>
            </w:tcBorders>
            <w:shd w:val="clear" w:color="auto" w:fill="auto"/>
            <w:noWrap/>
            <w:vAlign w:val="bottom"/>
            <w:hideMark/>
          </w:tcPr>
          <w:p w14:paraId="6470A2B8" w14:textId="77777777" w:rsidR="00120469" w:rsidRPr="00B17076" w:rsidRDefault="00120469" w:rsidP="00120469">
            <w:pPr>
              <w:spacing w:before="0" w:after="0"/>
              <w:jc w:val="right"/>
              <w:rPr>
                <w:rFonts w:eastAsia="Times New Roman" w:cs="Arial"/>
                <w:sz w:val="20"/>
                <w:szCs w:val="20"/>
                <w:lang w:eastAsia="en-GB"/>
              </w:rPr>
            </w:pPr>
          </w:p>
        </w:tc>
        <w:tc>
          <w:tcPr>
            <w:tcW w:w="300" w:type="dxa"/>
            <w:tcBorders>
              <w:top w:val="nil"/>
              <w:left w:val="nil"/>
              <w:bottom w:val="nil"/>
              <w:right w:val="nil"/>
            </w:tcBorders>
            <w:shd w:val="clear" w:color="auto" w:fill="auto"/>
            <w:noWrap/>
            <w:vAlign w:val="bottom"/>
            <w:hideMark/>
          </w:tcPr>
          <w:p w14:paraId="501F604F" w14:textId="77777777" w:rsidR="00120469" w:rsidRPr="00B17076" w:rsidRDefault="00120469" w:rsidP="00120469">
            <w:pPr>
              <w:spacing w:before="0" w:after="0"/>
              <w:jc w:val="right"/>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auto" w:fill="auto"/>
            <w:noWrap/>
            <w:vAlign w:val="bottom"/>
            <w:hideMark/>
          </w:tcPr>
          <w:p w14:paraId="5EBE8D04" w14:textId="77777777" w:rsidR="00120469" w:rsidRPr="00B17076" w:rsidRDefault="00120469" w:rsidP="00120469">
            <w:pPr>
              <w:spacing w:before="0" w:after="0"/>
              <w:jc w:val="right"/>
              <w:rPr>
                <w:rFonts w:ascii="Times New Roman" w:eastAsia="Times New Roman" w:hAnsi="Times New Roman" w:cs="Times New Roman"/>
                <w:sz w:val="20"/>
                <w:szCs w:val="20"/>
                <w:lang w:eastAsia="en-GB"/>
              </w:rPr>
            </w:pPr>
          </w:p>
        </w:tc>
      </w:tr>
      <w:tr w:rsidR="00120469" w:rsidRPr="00B17076" w14:paraId="1FF33696" w14:textId="77777777" w:rsidTr="0030431F">
        <w:trPr>
          <w:trHeight w:val="250"/>
        </w:trPr>
        <w:tc>
          <w:tcPr>
            <w:tcW w:w="3544" w:type="dxa"/>
            <w:tcBorders>
              <w:top w:val="nil"/>
              <w:left w:val="nil"/>
              <w:bottom w:val="nil"/>
              <w:right w:val="nil"/>
            </w:tcBorders>
            <w:shd w:val="clear" w:color="auto" w:fill="auto"/>
            <w:vAlign w:val="center"/>
            <w:hideMark/>
          </w:tcPr>
          <w:p w14:paraId="34327A5E" w14:textId="77777777"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Expenditure not to exceed income</w:t>
            </w:r>
          </w:p>
        </w:tc>
        <w:tc>
          <w:tcPr>
            <w:tcW w:w="1135" w:type="dxa"/>
            <w:tcBorders>
              <w:top w:val="nil"/>
              <w:left w:val="nil"/>
              <w:bottom w:val="nil"/>
              <w:right w:val="nil"/>
            </w:tcBorders>
            <w:shd w:val="clear" w:color="auto" w:fill="auto"/>
            <w:vAlign w:val="center"/>
            <w:hideMark/>
          </w:tcPr>
          <w:p w14:paraId="0F8D24C5" w14:textId="77777777" w:rsidR="00120469" w:rsidRPr="00B17076" w:rsidRDefault="00120469" w:rsidP="00120469">
            <w:pPr>
              <w:spacing w:before="0" w:after="0"/>
              <w:rPr>
                <w:rFonts w:eastAsia="Times New Roman" w:cs="Arial"/>
                <w:sz w:val="20"/>
                <w:szCs w:val="20"/>
                <w:lang w:eastAsia="en-GB"/>
              </w:rPr>
            </w:pPr>
          </w:p>
        </w:tc>
        <w:tc>
          <w:tcPr>
            <w:tcW w:w="1375" w:type="dxa"/>
            <w:tcBorders>
              <w:top w:val="nil"/>
              <w:left w:val="nil"/>
              <w:bottom w:val="nil"/>
              <w:right w:val="nil"/>
            </w:tcBorders>
            <w:shd w:val="clear" w:color="auto" w:fill="auto"/>
            <w:noWrap/>
            <w:vAlign w:val="center"/>
            <w:hideMark/>
          </w:tcPr>
          <w:p w14:paraId="34C84B05"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2,756,859</w:t>
            </w:r>
          </w:p>
        </w:tc>
        <w:tc>
          <w:tcPr>
            <w:tcW w:w="300" w:type="dxa"/>
            <w:tcBorders>
              <w:top w:val="nil"/>
              <w:left w:val="nil"/>
              <w:bottom w:val="nil"/>
              <w:right w:val="nil"/>
            </w:tcBorders>
            <w:shd w:val="clear" w:color="auto" w:fill="auto"/>
            <w:noWrap/>
            <w:vAlign w:val="center"/>
            <w:hideMark/>
          </w:tcPr>
          <w:p w14:paraId="02F2D42A" w14:textId="77777777" w:rsidR="00120469" w:rsidRPr="00B17076" w:rsidRDefault="00120469" w:rsidP="00120469">
            <w:pPr>
              <w:spacing w:before="0" w:after="0"/>
              <w:jc w:val="right"/>
              <w:rPr>
                <w:rFonts w:eastAsia="Times New Roman" w:cs="Arial"/>
                <w:sz w:val="20"/>
                <w:szCs w:val="20"/>
                <w:lang w:eastAsia="en-GB"/>
              </w:rPr>
            </w:pPr>
          </w:p>
        </w:tc>
        <w:tc>
          <w:tcPr>
            <w:tcW w:w="1439" w:type="dxa"/>
            <w:tcBorders>
              <w:top w:val="nil"/>
              <w:left w:val="nil"/>
              <w:bottom w:val="nil"/>
              <w:right w:val="nil"/>
            </w:tcBorders>
            <w:shd w:val="clear" w:color="auto" w:fill="auto"/>
            <w:noWrap/>
            <w:vAlign w:val="center"/>
            <w:hideMark/>
          </w:tcPr>
          <w:p w14:paraId="38C1FE77"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2,734,586</w:t>
            </w:r>
          </w:p>
        </w:tc>
        <w:tc>
          <w:tcPr>
            <w:tcW w:w="300" w:type="dxa"/>
            <w:tcBorders>
              <w:top w:val="nil"/>
              <w:left w:val="nil"/>
              <w:bottom w:val="nil"/>
              <w:right w:val="nil"/>
            </w:tcBorders>
            <w:shd w:val="clear" w:color="auto" w:fill="auto"/>
            <w:noWrap/>
            <w:vAlign w:val="center"/>
            <w:hideMark/>
          </w:tcPr>
          <w:p w14:paraId="054BDF59" w14:textId="77777777" w:rsidR="00120469" w:rsidRPr="00B17076" w:rsidRDefault="00120469" w:rsidP="00120469">
            <w:pPr>
              <w:spacing w:before="0" w:after="0"/>
              <w:jc w:val="right"/>
              <w:rPr>
                <w:rFonts w:eastAsia="Times New Roman" w:cs="Arial"/>
                <w:sz w:val="20"/>
                <w:szCs w:val="20"/>
                <w:lang w:eastAsia="en-GB"/>
              </w:rPr>
            </w:pPr>
          </w:p>
        </w:tc>
        <w:tc>
          <w:tcPr>
            <w:tcW w:w="1481" w:type="dxa"/>
            <w:gridSpan w:val="2"/>
            <w:tcBorders>
              <w:top w:val="nil"/>
              <w:left w:val="nil"/>
              <w:bottom w:val="nil"/>
              <w:right w:val="nil"/>
            </w:tcBorders>
            <w:shd w:val="clear" w:color="auto" w:fill="auto"/>
            <w:noWrap/>
            <w:vAlign w:val="center"/>
            <w:hideMark/>
          </w:tcPr>
          <w:p w14:paraId="4AC401B8"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Yes</w:t>
            </w:r>
          </w:p>
        </w:tc>
        <w:tc>
          <w:tcPr>
            <w:tcW w:w="1483" w:type="dxa"/>
            <w:tcBorders>
              <w:top w:val="nil"/>
              <w:left w:val="nil"/>
              <w:bottom w:val="nil"/>
              <w:right w:val="nil"/>
            </w:tcBorders>
            <w:shd w:val="clear" w:color="auto" w:fill="auto"/>
            <w:noWrap/>
            <w:vAlign w:val="center"/>
            <w:hideMark/>
          </w:tcPr>
          <w:p w14:paraId="5C82C603" w14:textId="77777777" w:rsidR="00120469" w:rsidRPr="00B17076" w:rsidRDefault="00120469" w:rsidP="00120469">
            <w:pPr>
              <w:spacing w:before="0" w:after="0"/>
              <w:jc w:val="right"/>
              <w:rPr>
                <w:rFonts w:eastAsia="Times New Roman" w:cs="Arial"/>
                <w:sz w:val="20"/>
                <w:szCs w:val="20"/>
                <w:lang w:eastAsia="en-GB"/>
              </w:rPr>
            </w:pPr>
          </w:p>
        </w:tc>
      </w:tr>
      <w:tr w:rsidR="00120469" w:rsidRPr="00B17076" w14:paraId="5E6A7901" w14:textId="77777777" w:rsidTr="0030431F">
        <w:trPr>
          <w:trHeight w:val="120"/>
        </w:trPr>
        <w:tc>
          <w:tcPr>
            <w:tcW w:w="3544" w:type="dxa"/>
            <w:tcBorders>
              <w:top w:val="nil"/>
              <w:left w:val="nil"/>
              <w:bottom w:val="nil"/>
              <w:right w:val="nil"/>
            </w:tcBorders>
            <w:shd w:val="clear" w:color="auto" w:fill="auto"/>
            <w:vAlign w:val="center"/>
            <w:hideMark/>
          </w:tcPr>
          <w:p w14:paraId="5081D5A2"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135" w:type="dxa"/>
            <w:tcBorders>
              <w:top w:val="nil"/>
              <w:left w:val="nil"/>
              <w:bottom w:val="nil"/>
              <w:right w:val="nil"/>
            </w:tcBorders>
            <w:shd w:val="clear" w:color="auto" w:fill="auto"/>
            <w:vAlign w:val="center"/>
            <w:hideMark/>
          </w:tcPr>
          <w:p w14:paraId="1FED8A16"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375" w:type="dxa"/>
            <w:tcBorders>
              <w:top w:val="nil"/>
              <w:left w:val="nil"/>
              <w:bottom w:val="nil"/>
              <w:right w:val="nil"/>
            </w:tcBorders>
            <w:shd w:val="clear" w:color="auto" w:fill="auto"/>
            <w:noWrap/>
            <w:vAlign w:val="center"/>
            <w:hideMark/>
          </w:tcPr>
          <w:p w14:paraId="76D7267C"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300" w:type="dxa"/>
            <w:tcBorders>
              <w:top w:val="nil"/>
              <w:left w:val="nil"/>
              <w:bottom w:val="nil"/>
              <w:right w:val="nil"/>
            </w:tcBorders>
            <w:shd w:val="clear" w:color="auto" w:fill="auto"/>
            <w:noWrap/>
            <w:vAlign w:val="center"/>
            <w:hideMark/>
          </w:tcPr>
          <w:p w14:paraId="36EC619A"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439" w:type="dxa"/>
            <w:tcBorders>
              <w:top w:val="nil"/>
              <w:left w:val="nil"/>
              <w:bottom w:val="nil"/>
              <w:right w:val="nil"/>
            </w:tcBorders>
            <w:shd w:val="clear" w:color="auto" w:fill="auto"/>
            <w:noWrap/>
            <w:vAlign w:val="center"/>
            <w:hideMark/>
          </w:tcPr>
          <w:p w14:paraId="256922D8"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300" w:type="dxa"/>
            <w:tcBorders>
              <w:top w:val="nil"/>
              <w:left w:val="nil"/>
              <w:bottom w:val="nil"/>
              <w:right w:val="nil"/>
            </w:tcBorders>
            <w:shd w:val="clear" w:color="auto" w:fill="auto"/>
            <w:noWrap/>
            <w:vAlign w:val="center"/>
            <w:hideMark/>
          </w:tcPr>
          <w:p w14:paraId="4D6A8066"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181" w:type="dxa"/>
            <w:tcBorders>
              <w:top w:val="nil"/>
              <w:left w:val="nil"/>
              <w:bottom w:val="nil"/>
              <w:right w:val="nil"/>
            </w:tcBorders>
            <w:shd w:val="clear" w:color="auto" w:fill="auto"/>
            <w:noWrap/>
            <w:vAlign w:val="center"/>
            <w:hideMark/>
          </w:tcPr>
          <w:p w14:paraId="09CCB149"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300" w:type="dxa"/>
            <w:tcBorders>
              <w:top w:val="nil"/>
              <w:left w:val="nil"/>
              <w:bottom w:val="nil"/>
              <w:right w:val="nil"/>
            </w:tcBorders>
            <w:shd w:val="clear" w:color="auto" w:fill="auto"/>
            <w:noWrap/>
            <w:vAlign w:val="center"/>
            <w:hideMark/>
          </w:tcPr>
          <w:p w14:paraId="0CB9E409" w14:textId="77777777" w:rsidR="00120469" w:rsidRPr="00B17076" w:rsidRDefault="00120469" w:rsidP="00120469">
            <w:pPr>
              <w:spacing w:before="0" w:after="0"/>
              <w:jc w:val="right"/>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auto" w:fill="auto"/>
            <w:noWrap/>
            <w:vAlign w:val="bottom"/>
            <w:hideMark/>
          </w:tcPr>
          <w:p w14:paraId="526DEEAE" w14:textId="77777777" w:rsidR="00120469" w:rsidRPr="00B17076" w:rsidRDefault="00120469" w:rsidP="00120469">
            <w:pPr>
              <w:spacing w:before="0" w:after="0"/>
              <w:jc w:val="right"/>
              <w:rPr>
                <w:rFonts w:ascii="Times New Roman" w:eastAsia="Times New Roman" w:hAnsi="Times New Roman" w:cs="Times New Roman"/>
                <w:sz w:val="20"/>
                <w:szCs w:val="20"/>
                <w:lang w:eastAsia="en-GB"/>
              </w:rPr>
            </w:pPr>
          </w:p>
        </w:tc>
      </w:tr>
      <w:tr w:rsidR="00120469" w:rsidRPr="00B17076" w14:paraId="6DC07151" w14:textId="77777777" w:rsidTr="0030431F">
        <w:trPr>
          <w:trHeight w:val="500"/>
        </w:trPr>
        <w:tc>
          <w:tcPr>
            <w:tcW w:w="4679" w:type="dxa"/>
            <w:gridSpan w:val="2"/>
            <w:tcBorders>
              <w:top w:val="nil"/>
              <w:left w:val="nil"/>
              <w:bottom w:val="nil"/>
              <w:right w:val="nil"/>
            </w:tcBorders>
            <w:shd w:val="clear" w:color="auto" w:fill="auto"/>
            <w:vAlign w:val="center"/>
            <w:hideMark/>
          </w:tcPr>
          <w:p w14:paraId="60C71D0B" w14:textId="02CE8C60"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Revenue resource use does not exceed the amount specified in Directions</w:t>
            </w:r>
          </w:p>
        </w:tc>
        <w:tc>
          <w:tcPr>
            <w:tcW w:w="1375" w:type="dxa"/>
            <w:tcBorders>
              <w:top w:val="nil"/>
              <w:left w:val="nil"/>
              <w:bottom w:val="nil"/>
              <w:right w:val="nil"/>
            </w:tcBorders>
            <w:shd w:val="clear" w:color="auto" w:fill="auto"/>
            <w:noWrap/>
            <w:vAlign w:val="center"/>
            <w:hideMark/>
          </w:tcPr>
          <w:p w14:paraId="51B21E44"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2,708,228</w:t>
            </w:r>
          </w:p>
        </w:tc>
        <w:tc>
          <w:tcPr>
            <w:tcW w:w="300" w:type="dxa"/>
            <w:tcBorders>
              <w:top w:val="nil"/>
              <w:left w:val="nil"/>
              <w:bottom w:val="nil"/>
              <w:right w:val="nil"/>
            </w:tcBorders>
            <w:shd w:val="clear" w:color="auto" w:fill="auto"/>
            <w:noWrap/>
            <w:vAlign w:val="center"/>
            <w:hideMark/>
          </w:tcPr>
          <w:p w14:paraId="393FE66D" w14:textId="77777777" w:rsidR="00120469" w:rsidRPr="00B17076" w:rsidRDefault="00120469" w:rsidP="00120469">
            <w:pPr>
              <w:spacing w:before="0" w:after="0"/>
              <w:jc w:val="right"/>
              <w:rPr>
                <w:rFonts w:eastAsia="Times New Roman" w:cs="Arial"/>
                <w:sz w:val="20"/>
                <w:szCs w:val="20"/>
                <w:lang w:eastAsia="en-GB"/>
              </w:rPr>
            </w:pPr>
          </w:p>
        </w:tc>
        <w:tc>
          <w:tcPr>
            <w:tcW w:w="1439" w:type="dxa"/>
            <w:tcBorders>
              <w:top w:val="nil"/>
              <w:left w:val="nil"/>
              <w:bottom w:val="nil"/>
              <w:right w:val="nil"/>
            </w:tcBorders>
            <w:shd w:val="clear" w:color="auto" w:fill="auto"/>
            <w:noWrap/>
            <w:vAlign w:val="center"/>
            <w:hideMark/>
          </w:tcPr>
          <w:p w14:paraId="6377C7A0"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2,685,955</w:t>
            </w:r>
          </w:p>
        </w:tc>
        <w:tc>
          <w:tcPr>
            <w:tcW w:w="300" w:type="dxa"/>
            <w:tcBorders>
              <w:top w:val="nil"/>
              <w:left w:val="nil"/>
              <w:bottom w:val="nil"/>
              <w:right w:val="nil"/>
            </w:tcBorders>
            <w:shd w:val="clear" w:color="auto" w:fill="auto"/>
            <w:noWrap/>
            <w:vAlign w:val="center"/>
            <w:hideMark/>
          </w:tcPr>
          <w:p w14:paraId="053231C6" w14:textId="77777777" w:rsidR="00120469" w:rsidRPr="00B17076" w:rsidRDefault="00120469" w:rsidP="00120469">
            <w:pPr>
              <w:spacing w:before="0" w:after="0"/>
              <w:jc w:val="right"/>
              <w:rPr>
                <w:rFonts w:eastAsia="Times New Roman" w:cs="Arial"/>
                <w:sz w:val="20"/>
                <w:szCs w:val="20"/>
                <w:lang w:eastAsia="en-GB"/>
              </w:rPr>
            </w:pPr>
          </w:p>
        </w:tc>
        <w:tc>
          <w:tcPr>
            <w:tcW w:w="1481" w:type="dxa"/>
            <w:gridSpan w:val="2"/>
            <w:tcBorders>
              <w:top w:val="nil"/>
              <w:left w:val="nil"/>
              <w:bottom w:val="nil"/>
              <w:right w:val="nil"/>
            </w:tcBorders>
            <w:shd w:val="clear" w:color="auto" w:fill="auto"/>
            <w:noWrap/>
            <w:vAlign w:val="center"/>
            <w:hideMark/>
          </w:tcPr>
          <w:p w14:paraId="71AC3AF0"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Yes</w:t>
            </w:r>
          </w:p>
        </w:tc>
        <w:tc>
          <w:tcPr>
            <w:tcW w:w="1483" w:type="dxa"/>
            <w:tcBorders>
              <w:top w:val="nil"/>
              <w:left w:val="nil"/>
              <w:bottom w:val="nil"/>
              <w:right w:val="nil"/>
            </w:tcBorders>
            <w:shd w:val="clear" w:color="auto" w:fill="auto"/>
            <w:noWrap/>
            <w:vAlign w:val="center"/>
            <w:hideMark/>
          </w:tcPr>
          <w:p w14:paraId="775E0A5C" w14:textId="77777777" w:rsidR="00120469" w:rsidRPr="00B17076" w:rsidRDefault="00120469" w:rsidP="00120469">
            <w:pPr>
              <w:spacing w:before="0" w:after="0"/>
              <w:jc w:val="right"/>
              <w:rPr>
                <w:rFonts w:eastAsia="Times New Roman" w:cs="Arial"/>
                <w:sz w:val="20"/>
                <w:szCs w:val="20"/>
                <w:lang w:eastAsia="en-GB"/>
              </w:rPr>
            </w:pPr>
          </w:p>
        </w:tc>
      </w:tr>
      <w:tr w:rsidR="00120469" w:rsidRPr="00B17076" w14:paraId="4E81F797" w14:textId="77777777" w:rsidTr="0030431F">
        <w:trPr>
          <w:trHeight w:val="570"/>
        </w:trPr>
        <w:tc>
          <w:tcPr>
            <w:tcW w:w="4679" w:type="dxa"/>
            <w:gridSpan w:val="2"/>
            <w:tcBorders>
              <w:top w:val="nil"/>
              <w:left w:val="nil"/>
              <w:bottom w:val="nil"/>
              <w:right w:val="nil"/>
            </w:tcBorders>
            <w:shd w:val="clear" w:color="auto" w:fill="auto"/>
            <w:vAlign w:val="center"/>
            <w:hideMark/>
          </w:tcPr>
          <w:p w14:paraId="61CB88ED" w14:textId="2A8FD53D"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Revenue administration resource use does not exceed the amount specified in Directions</w:t>
            </w:r>
          </w:p>
        </w:tc>
        <w:tc>
          <w:tcPr>
            <w:tcW w:w="1375" w:type="dxa"/>
            <w:tcBorders>
              <w:top w:val="nil"/>
              <w:left w:val="nil"/>
              <w:bottom w:val="nil"/>
              <w:right w:val="nil"/>
            </w:tcBorders>
            <w:shd w:val="clear" w:color="auto" w:fill="auto"/>
            <w:noWrap/>
            <w:vAlign w:val="center"/>
            <w:hideMark/>
          </w:tcPr>
          <w:p w14:paraId="5850CE41"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25,442</w:t>
            </w:r>
          </w:p>
        </w:tc>
        <w:tc>
          <w:tcPr>
            <w:tcW w:w="300" w:type="dxa"/>
            <w:tcBorders>
              <w:top w:val="nil"/>
              <w:left w:val="nil"/>
              <w:bottom w:val="nil"/>
              <w:right w:val="nil"/>
            </w:tcBorders>
            <w:shd w:val="clear" w:color="auto" w:fill="auto"/>
            <w:noWrap/>
            <w:vAlign w:val="center"/>
            <w:hideMark/>
          </w:tcPr>
          <w:p w14:paraId="2F056B81" w14:textId="77777777" w:rsidR="00120469" w:rsidRPr="00B17076" w:rsidRDefault="00120469" w:rsidP="00120469">
            <w:pPr>
              <w:spacing w:before="0" w:after="0"/>
              <w:jc w:val="right"/>
              <w:rPr>
                <w:rFonts w:eastAsia="Times New Roman" w:cs="Arial"/>
                <w:sz w:val="20"/>
                <w:szCs w:val="20"/>
                <w:lang w:eastAsia="en-GB"/>
              </w:rPr>
            </w:pPr>
          </w:p>
        </w:tc>
        <w:tc>
          <w:tcPr>
            <w:tcW w:w="1439" w:type="dxa"/>
            <w:tcBorders>
              <w:top w:val="nil"/>
              <w:left w:val="nil"/>
              <w:bottom w:val="nil"/>
              <w:right w:val="nil"/>
            </w:tcBorders>
            <w:shd w:val="clear" w:color="auto" w:fill="auto"/>
            <w:noWrap/>
            <w:vAlign w:val="center"/>
            <w:hideMark/>
          </w:tcPr>
          <w:p w14:paraId="7DFA102C"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24,129</w:t>
            </w:r>
          </w:p>
        </w:tc>
        <w:tc>
          <w:tcPr>
            <w:tcW w:w="300" w:type="dxa"/>
            <w:tcBorders>
              <w:top w:val="nil"/>
              <w:left w:val="nil"/>
              <w:bottom w:val="nil"/>
              <w:right w:val="nil"/>
            </w:tcBorders>
            <w:shd w:val="clear" w:color="auto" w:fill="auto"/>
            <w:noWrap/>
            <w:vAlign w:val="center"/>
            <w:hideMark/>
          </w:tcPr>
          <w:p w14:paraId="7D4B5FCB" w14:textId="77777777" w:rsidR="00120469" w:rsidRPr="00B17076" w:rsidRDefault="00120469" w:rsidP="00120469">
            <w:pPr>
              <w:spacing w:before="0" w:after="0"/>
              <w:jc w:val="right"/>
              <w:rPr>
                <w:rFonts w:eastAsia="Times New Roman" w:cs="Arial"/>
                <w:sz w:val="20"/>
                <w:szCs w:val="20"/>
                <w:lang w:eastAsia="en-GB"/>
              </w:rPr>
            </w:pPr>
          </w:p>
        </w:tc>
        <w:tc>
          <w:tcPr>
            <w:tcW w:w="1481" w:type="dxa"/>
            <w:gridSpan w:val="2"/>
            <w:tcBorders>
              <w:top w:val="nil"/>
              <w:left w:val="nil"/>
              <w:bottom w:val="nil"/>
              <w:right w:val="nil"/>
            </w:tcBorders>
            <w:shd w:val="clear" w:color="auto" w:fill="auto"/>
            <w:noWrap/>
            <w:vAlign w:val="center"/>
            <w:hideMark/>
          </w:tcPr>
          <w:p w14:paraId="4FA6D9AB"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Yes</w:t>
            </w:r>
          </w:p>
        </w:tc>
        <w:tc>
          <w:tcPr>
            <w:tcW w:w="1483" w:type="dxa"/>
            <w:tcBorders>
              <w:top w:val="nil"/>
              <w:left w:val="nil"/>
              <w:bottom w:val="nil"/>
              <w:right w:val="nil"/>
            </w:tcBorders>
            <w:shd w:val="clear" w:color="auto" w:fill="auto"/>
            <w:noWrap/>
            <w:vAlign w:val="center"/>
            <w:hideMark/>
          </w:tcPr>
          <w:p w14:paraId="4EF956C1" w14:textId="77777777" w:rsidR="00120469" w:rsidRPr="00B17076" w:rsidRDefault="00120469" w:rsidP="00120469">
            <w:pPr>
              <w:spacing w:before="0" w:after="0"/>
              <w:jc w:val="right"/>
              <w:rPr>
                <w:rFonts w:eastAsia="Times New Roman" w:cs="Arial"/>
                <w:sz w:val="20"/>
                <w:szCs w:val="20"/>
                <w:lang w:eastAsia="en-GB"/>
              </w:rPr>
            </w:pPr>
          </w:p>
        </w:tc>
      </w:tr>
      <w:tr w:rsidR="00120469" w:rsidRPr="00B17076" w14:paraId="19B7A629" w14:textId="77777777" w:rsidTr="0030431F">
        <w:trPr>
          <w:trHeight w:val="250"/>
        </w:trPr>
        <w:tc>
          <w:tcPr>
            <w:tcW w:w="3544" w:type="dxa"/>
            <w:tcBorders>
              <w:top w:val="nil"/>
              <w:left w:val="nil"/>
              <w:bottom w:val="nil"/>
              <w:right w:val="nil"/>
            </w:tcBorders>
            <w:shd w:val="clear" w:color="auto" w:fill="auto"/>
            <w:noWrap/>
            <w:vAlign w:val="bottom"/>
            <w:hideMark/>
          </w:tcPr>
          <w:p w14:paraId="6B042EA6"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135" w:type="dxa"/>
            <w:tcBorders>
              <w:top w:val="nil"/>
              <w:left w:val="nil"/>
              <w:bottom w:val="nil"/>
              <w:right w:val="nil"/>
            </w:tcBorders>
            <w:shd w:val="clear" w:color="auto" w:fill="auto"/>
            <w:noWrap/>
            <w:vAlign w:val="bottom"/>
            <w:hideMark/>
          </w:tcPr>
          <w:p w14:paraId="1A7E8B7F"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375" w:type="dxa"/>
            <w:tcBorders>
              <w:top w:val="nil"/>
              <w:left w:val="nil"/>
              <w:bottom w:val="nil"/>
              <w:right w:val="nil"/>
            </w:tcBorders>
            <w:shd w:val="clear" w:color="auto" w:fill="auto"/>
            <w:noWrap/>
            <w:vAlign w:val="bottom"/>
            <w:hideMark/>
          </w:tcPr>
          <w:p w14:paraId="03BA3DEA"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300" w:type="dxa"/>
            <w:tcBorders>
              <w:top w:val="nil"/>
              <w:left w:val="nil"/>
              <w:bottom w:val="nil"/>
              <w:right w:val="nil"/>
            </w:tcBorders>
            <w:shd w:val="clear" w:color="auto" w:fill="auto"/>
            <w:noWrap/>
            <w:vAlign w:val="bottom"/>
            <w:hideMark/>
          </w:tcPr>
          <w:p w14:paraId="1AE5E505"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439" w:type="dxa"/>
            <w:tcBorders>
              <w:top w:val="nil"/>
              <w:left w:val="nil"/>
              <w:bottom w:val="nil"/>
              <w:right w:val="nil"/>
            </w:tcBorders>
            <w:shd w:val="clear" w:color="auto" w:fill="auto"/>
            <w:noWrap/>
            <w:vAlign w:val="bottom"/>
            <w:hideMark/>
          </w:tcPr>
          <w:p w14:paraId="008FAE56"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300" w:type="dxa"/>
            <w:tcBorders>
              <w:top w:val="nil"/>
              <w:left w:val="nil"/>
              <w:bottom w:val="nil"/>
              <w:right w:val="nil"/>
            </w:tcBorders>
            <w:shd w:val="clear" w:color="auto" w:fill="auto"/>
            <w:noWrap/>
            <w:vAlign w:val="bottom"/>
            <w:hideMark/>
          </w:tcPr>
          <w:p w14:paraId="231FD197"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181" w:type="dxa"/>
            <w:tcBorders>
              <w:top w:val="nil"/>
              <w:left w:val="nil"/>
              <w:bottom w:val="nil"/>
              <w:right w:val="nil"/>
            </w:tcBorders>
            <w:shd w:val="clear" w:color="auto" w:fill="auto"/>
            <w:noWrap/>
            <w:vAlign w:val="bottom"/>
            <w:hideMark/>
          </w:tcPr>
          <w:p w14:paraId="16B8581D"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300" w:type="dxa"/>
            <w:tcBorders>
              <w:top w:val="nil"/>
              <w:left w:val="nil"/>
              <w:bottom w:val="nil"/>
              <w:right w:val="nil"/>
            </w:tcBorders>
            <w:shd w:val="clear" w:color="auto" w:fill="auto"/>
            <w:noWrap/>
            <w:vAlign w:val="bottom"/>
            <w:hideMark/>
          </w:tcPr>
          <w:p w14:paraId="39190FBD"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auto" w:fill="auto"/>
            <w:noWrap/>
            <w:vAlign w:val="bottom"/>
            <w:hideMark/>
          </w:tcPr>
          <w:p w14:paraId="117D9486"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r>
      <w:tr w:rsidR="00120469" w:rsidRPr="00B17076" w14:paraId="52F193A1" w14:textId="77777777" w:rsidTr="0030431F">
        <w:trPr>
          <w:trHeight w:val="500"/>
        </w:trPr>
        <w:tc>
          <w:tcPr>
            <w:tcW w:w="3544" w:type="dxa"/>
            <w:tcBorders>
              <w:top w:val="nil"/>
              <w:left w:val="nil"/>
              <w:bottom w:val="nil"/>
              <w:right w:val="nil"/>
            </w:tcBorders>
            <w:shd w:val="clear" w:color="auto" w:fill="auto"/>
            <w:noWrap/>
            <w:vAlign w:val="bottom"/>
            <w:hideMark/>
          </w:tcPr>
          <w:p w14:paraId="21CA863A"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135" w:type="dxa"/>
            <w:tcBorders>
              <w:top w:val="nil"/>
              <w:left w:val="nil"/>
              <w:bottom w:val="nil"/>
              <w:right w:val="nil"/>
            </w:tcBorders>
            <w:shd w:val="clear" w:color="auto" w:fill="auto"/>
            <w:noWrap/>
            <w:vAlign w:val="bottom"/>
            <w:hideMark/>
          </w:tcPr>
          <w:p w14:paraId="718C2041"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375" w:type="dxa"/>
            <w:tcBorders>
              <w:top w:val="nil"/>
              <w:left w:val="nil"/>
              <w:bottom w:val="nil"/>
              <w:right w:val="nil"/>
            </w:tcBorders>
            <w:shd w:val="clear" w:color="000000" w:fill="FFFFFF"/>
            <w:vAlign w:val="bottom"/>
            <w:hideMark/>
          </w:tcPr>
          <w:p w14:paraId="27BE5EDE"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1-Jul-22 to 31-Mar-23</w:t>
            </w:r>
          </w:p>
        </w:tc>
        <w:tc>
          <w:tcPr>
            <w:tcW w:w="300" w:type="dxa"/>
            <w:tcBorders>
              <w:top w:val="nil"/>
              <w:left w:val="nil"/>
              <w:bottom w:val="nil"/>
              <w:right w:val="nil"/>
            </w:tcBorders>
            <w:shd w:val="clear" w:color="auto" w:fill="auto"/>
            <w:vAlign w:val="bottom"/>
            <w:hideMark/>
          </w:tcPr>
          <w:p w14:paraId="4D4A2ADD" w14:textId="77777777" w:rsidR="00120469" w:rsidRPr="00B17076" w:rsidRDefault="00120469" w:rsidP="00120469">
            <w:pPr>
              <w:spacing w:before="0" w:after="0"/>
              <w:jc w:val="right"/>
              <w:rPr>
                <w:rFonts w:eastAsia="Times New Roman" w:cs="Arial"/>
                <w:sz w:val="20"/>
                <w:szCs w:val="20"/>
                <w:lang w:eastAsia="en-GB"/>
              </w:rPr>
            </w:pPr>
          </w:p>
        </w:tc>
        <w:tc>
          <w:tcPr>
            <w:tcW w:w="1439" w:type="dxa"/>
            <w:tcBorders>
              <w:top w:val="nil"/>
              <w:left w:val="nil"/>
              <w:bottom w:val="nil"/>
              <w:right w:val="nil"/>
            </w:tcBorders>
            <w:shd w:val="clear" w:color="000000" w:fill="FFFFFF"/>
            <w:vAlign w:val="bottom"/>
            <w:hideMark/>
          </w:tcPr>
          <w:p w14:paraId="315B2D50"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xml:space="preserve">    1-Jul-22 to 31-Mar-23</w:t>
            </w:r>
          </w:p>
        </w:tc>
        <w:tc>
          <w:tcPr>
            <w:tcW w:w="300" w:type="dxa"/>
            <w:tcBorders>
              <w:top w:val="nil"/>
              <w:left w:val="nil"/>
              <w:bottom w:val="nil"/>
              <w:right w:val="nil"/>
            </w:tcBorders>
            <w:shd w:val="clear" w:color="000000" w:fill="FFFFFF"/>
            <w:vAlign w:val="bottom"/>
            <w:hideMark/>
          </w:tcPr>
          <w:p w14:paraId="11E6256A"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w:t>
            </w:r>
          </w:p>
        </w:tc>
        <w:tc>
          <w:tcPr>
            <w:tcW w:w="1181" w:type="dxa"/>
            <w:tcBorders>
              <w:top w:val="nil"/>
              <w:left w:val="nil"/>
              <w:bottom w:val="nil"/>
              <w:right w:val="nil"/>
            </w:tcBorders>
            <w:shd w:val="clear" w:color="000000" w:fill="FFFFFF"/>
            <w:vAlign w:val="center"/>
            <w:hideMark/>
          </w:tcPr>
          <w:p w14:paraId="453614B2"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w:t>
            </w:r>
          </w:p>
        </w:tc>
        <w:tc>
          <w:tcPr>
            <w:tcW w:w="300" w:type="dxa"/>
            <w:tcBorders>
              <w:top w:val="nil"/>
              <w:left w:val="nil"/>
              <w:bottom w:val="nil"/>
              <w:right w:val="nil"/>
            </w:tcBorders>
            <w:shd w:val="clear" w:color="auto" w:fill="auto"/>
            <w:noWrap/>
            <w:vAlign w:val="center"/>
            <w:hideMark/>
          </w:tcPr>
          <w:p w14:paraId="46C4CB8D" w14:textId="77777777" w:rsidR="00120469" w:rsidRPr="00B17076" w:rsidRDefault="00120469" w:rsidP="00120469">
            <w:pPr>
              <w:spacing w:before="0" w:after="0"/>
              <w:jc w:val="right"/>
              <w:rPr>
                <w:rFonts w:eastAsia="Times New Roman" w:cs="Arial"/>
                <w:sz w:val="20"/>
                <w:szCs w:val="20"/>
                <w:lang w:eastAsia="en-GB"/>
              </w:rPr>
            </w:pPr>
          </w:p>
        </w:tc>
        <w:tc>
          <w:tcPr>
            <w:tcW w:w="1483" w:type="dxa"/>
            <w:tcBorders>
              <w:top w:val="nil"/>
              <w:left w:val="nil"/>
              <w:bottom w:val="nil"/>
              <w:right w:val="nil"/>
            </w:tcBorders>
            <w:shd w:val="clear" w:color="auto" w:fill="auto"/>
            <w:noWrap/>
            <w:vAlign w:val="bottom"/>
            <w:hideMark/>
          </w:tcPr>
          <w:p w14:paraId="06C1C6BA" w14:textId="77777777" w:rsidR="00120469" w:rsidRPr="00B17076" w:rsidRDefault="00120469" w:rsidP="00120469">
            <w:pPr>
              <w:spacing w:before="0" w:after="0"/>
              <w:jc w:val="right"/>
              <w:rPr>
                <w:rFonts w:ascii="Times New Roman" w:eastAsia="Times New Roman" w:hAnsi="Times New Roman" w:cs="Times New Roman"/>
                <w:sz w:val="20"/>
                <w:szCs w:val="20"/>
                <w:lang w:eastAsia="en-GB"/>
              </w:rPr>
            </w:pPr>
          </w:p>
        </w:tc>
      </w:tr>
      <w:tr w:rsidR="00120469" w:rsidRPr="00B17076" w14:paraId="4C0DD648" w14:textId="77777777" w:rsidTr="0030431F">
        <w:trPr>
          <w:trHeight w:val="250"/>
        </w:trPr>
        <w:tc>
          <w:tcPr>
            <w:tcW w:w="3544" w:type="dxa"/>
            <w:tcBorders>
              <w:top w:val="nil"/>
              <w:left w:val="nil"/>
              <w:bottom w:val="nil"/>
              <w:right w:val="nil"/>
            </w:tcBorders>
            <w:shd w:val="clear" w:color="auto" w:fill="auto"/>
            <w:vAlign w:val="bottom"/>
            <w:hideMark/>
          </w:tcPr>
          <w:p w14:paraId="18B95AF6"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135" w:type="dxa"/>
            <w:tcBorders>
              <w:top w:val="nil"/>
              <w:left w:val="nil"/>
              <w:bottom w:val="nil"/>
              <w:right w:val="nil"/>
            </w:tcBorders>
            <w:shd w:val="clear" w:color="auto" w:fill="auto"/>
            <w:vAlign w:val="bottom"/>
            <w:hideMark/>
          </w:tcPr>
          <w:p w14:paraId="19E3502F"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375" w:type="dxa"/>
            <w:tcBorders>
              <w:top w:val="nil"/>
              <w:left w:val="nil"/>
              <w:bottom w:val="nil"/>
              <w:right w:val="nil"/>
            </w:tcBorders>
            <w:shd w:val="clear" w:color="000000" w:fill="FFFFFF"/>
            <w:vAlign w:val="bottom"/>
            <w:hideMark/>
          </w:tcPr>
          <w:p w14:paraId="4087D31F"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Target</w:t>
            </w:r>
          </w:p>
        </w:tc>
        <w:tc>
          <w:tcPr>
            <w:tcW w:w="300" w:type="dxa"/>
            <w:tcBorders>
              <w:top w:val="nil"/>
              <w:left w:val="nil"/>
              <w:bottom w:val="nil"/>
              <w:right w:val="nil"/>
            </w:tcBorders>
            <w:shd w:val="clear" w:color="000000" w:fill="FFFFFF"/>
            <w:vAlign w:val="bottom"/>
            <w:hideMark/>
          </w:tcPr>
          <w:p w14:paraId="35BB2102"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w:t>
            </w:r>
          </w:p>
        </w:tc>
        <w:tc>
          <w:tcPr>
            <w:tcW w:w="1439" w:type="dxa"/>
            <w:tcBorders>
              <w:top w:val="nil"/>
              <w:left w:val="nil"/>
              <w:bottom w:val="nil"/>
              <w:right w:val="nil"/>
            </w:tcBorders>
            <w:shd w:val="clear" w:color="000000" w:fill="FFFFFF"/>
            <w:vAlign w:val="bottom"/>
            <w:hideMark/>
          </w:tcPr>
          <w:p w14:paraId="66EE0DE9"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Performance</w:t>
            </w:r>
          </w:p>
        </w:tc>
        <w:tc>
          <w:tcPr>
            <w:tcW w:w="300" w:type="dxa"/>
            <w:tcBorders>
              <w:top w:val="nil"/>
              <w:left w:val="nil"/>
              <w:bottom w:val="nil"/>
              <w:right w:val="nil"/>
            </w:tcBorders>
            <w:shd w:val="clear" w:color="000000" w:fill="FFFFFF"/>
            <w:vAlign w:val="bottom"/>
            <w:hideMark/>
          </w:tcPr>
          <w:p w14:paraId="559888B9"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w:t>
            </w:r>
          </w:p>
        </w:tc>
        <w:tc>
          <w:tcPr>
            <w:tcW w:w="1181" w:type="dxa"/>
            <w:tcBorders>
              <w:top w:val="nil"/>
              <w:left w:val="nil"/>
              <w:bottom w:val="nil"/>
              <w:right w:val="nil"/>
            </w:tcBorders>
            <w:shd w:val="clear" w:color="auto" w:fill="auto"/>
            <w:noWrap/>
            <w:vAlign w:val="center"/>
            <w:hideMark/>
          </w:tcPr>
          <w:p w14:paraId="57C1FC52" w14:textId="77777777" w:rsidR="00120469" w:rsidRPr="00B17076" w:rsidRDefault="00120469" w:rsidP="00120469">
            <w:pPr>
              <w:spacing w:before="0" w:after="0"/>
              <w:jc w:val="right"/>
              <w:rPr>
                <w:rFonts w:eastAsia="Times New Roman" w:cs="Arial"/>
                <w:sz w:val="20"/>
                <w:szCs w:val="20"/>
                <w:lang w:eastAsia="en-GB"/>
              </w:rPr>
            </w:pPr>
          </w:p>
        </w:tc>
        <w:tc>
          <w:tcPr>
            <w:tcW w:w="300" w:type="dxa"/>
            <w:tcBorders>
              <w:top w:val="nil"/>
              <w:left w:val="nil"/>
              <w:bottom w:val="nil"/>
              <w:right w:val="nil"/>
            </w:tcBorders>
            <w:shd w:val="clear" w:color="auto" w:fill="auto"/>
            <w:noWrap/>
            <w:vAlign w:val="center"/>
            <w:hideMark/>
          </w:tcPr>
          <w:p w14:paraId="47F9AAD5" w14:textId="77777777" w:rsidR="00120469" w:rsidRPr="00B17076" w:rsidRDefault="00120469" w:rsidP="00120469">
            <w:pPr>
              <w:spacing w:before="0" w:after="0"/>
              <w:jc w:val="right"/>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auto" w:fill="auto"/>
            <w:noWrap/>
            <w:vAlign w:val="bottom"/>
            <w:hideMark/>
          </w:tcPr>
          <w:p w14:paraId="501B8D70" w14:textId="77777777" w:rsidR="00120469" w:rsidRPr="00B17076" w:rsidRDefault="00120469" w:rsidP="00120469">
            <w:pPr>
              <w:spacing w:before="0" w:after="0"/>
              <w:jc w:val="right"/>
              <w:rPr>
                <w:rFonts w:ascii="Times New Roman" w:eastAsia="Times New Roman" w:hAnsi="Times New Roman" w:cs="Times New Roman"/>
                <w:sz w:val="20"/>
                <w:szCs w:val="20"/>
                <w:lang w:eastAsia="en-GB"/>
              </w:rPr>
            </w:pPr>
          </w:p>
        </w:tc>
      </w:tr>
      <w:tr w:rsidR="00120469" w:rsidRPr="00B17076" w14:paraId="602DC450" w14:textId="77777777" w:rsidTr="0030431F">
        <w:trPr>
          <w:trHeight w:val="250"/>
        </w:trPr>
        <w:tc>
          <w:tcPr>
            <w:tcW w:w="3544" w:type="dxa"/>
            <w:tcBorders>
              <w:top w:val="nil"/>
              <w:left w:val="nil"/>
              <w:bottom w:val="nil"/>
              <w:right w:val="nil"/>
            </w:tcBorders>
            <w:shd w:val="clear" w:color="auto" w:fill="auto"/>
            <w:vAlign w:val="bottom"/>
            <w:hideMark/>
          </w:tcPr>
          <w:p w14:paraId="49E264C4"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135" w:type="dxa"/>
            <w:tcBorders>
              <w:top w:val="nil"/>
              <w:left w:val="nil"/>
              <w:bottom w:val="nil"/>
              <w:right w:val="nil"/>
            </w:tcBorders>
            <w:shd w:val="clear" w:color="auto" w:fill="auto"/>
            <w:vAlign w:val="bottom"/>
            <w:hideMark/>
          </w:tcPr>
          <w:p w14:paraId="0D40A087"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375" w:type="dxa"/>
            <w:tcBorders>
              <w:top w:val="nil"/>
              <w:left w:val="nil"/>
              <w:bottom w:val="nil"/>
              <w:right w:val="nil"/>
            </w:tcBorders>
            <w:shd w:val="clear" w:color="000000" w:fill="FFFFFF"/>
            <w:vAlign w:val="bottom"/>
            <w:hideMark/>
          </w:tcPr>
          <w:p w14:paraId="035B0F0C"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(9 Months)</w:t>
            </w:r>
          </w:p>
        </w:tc>
        <w:tc>
          <w:tcPr>
            <w:tcW w:w="300" w:type="dxa"/>
            <w:tcBorders>
              <w:top w:val="nil"/>
              <w:left w:val="nil"/>
              <w:bottom w:val="nil"/>
              <w:right w:val="nil"/>
            </w:tcBorders>
            <w:shd w:val="clear" w:color="000000" w:fill="FFFFFF"/>
            <w:vAlign w:val="bottom"/>
            <w:hideMark/>
          </w:tcPr>
          <w:p w14:paraId="575CF515"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w:t>
            </w:r>
          </w:p>
        </w:tc>
        <w:tc>
          <w:tcPr>
            <w:tcW w:w="1439" w:type="dxa"/>
            <w:tcBorders>
              <w:top w:val="nil"/>
              <w:left w:val="nil"/>
              <w:bottom w:val="nil"/>
              <w:right w:val="nil"/>
            </w:tcBorders>
            <w:shd w:val="clear" w:color="000000" w:fill="FFFFFF"/>
            <w:vAlign w:val="bottom"/>
            <w:hideMark/>
          </w:tcPr>
          <w:p w14:paraId="24330989"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(9 Months)</w:t>
            </w:r>
          </w:p>
        </w:tc>
        <w:tc>
          <w:tcPr>
            <w:tcW w:w="300" w:type="dxa"/>
            <w:tcBorders>
              <w:top w:val="nil"/>
              <w:left w:val="nil"/>
              <w:bottom w:val="nil"/>
              <w:right w:val="nil"/>
            </w:tcBorders>
            <w:shd w:val="clear" w:color="000000" w:fill="FFFFFF"/>
            <w:vAlign w:val="bottom"/>
            <w:hideMark/>
          </w:tcPr>
          <w:p w14:paraId="55019D9E"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w:t>
            </w:r>
          </w:p>
        </w:tc>
        <w:tc>
          <w:tcPr>
            <w:tcW w:w="1481" w:type="dxa"/>
            <w:gridSpan w:val="2"/>
            <w:vMerge w:val="restart"/>
            <w:tcBorders>
              <w:top w:val="nil"/>
              <w:left w:val="nil"/>
              <w:bottom w:val="nil"/>
              <w:right w:val="nil"/>
            </w:tcBorders>
            <w:shd w:val="clear" w:color="auto" w:fill="auto"/>
            <w:vAlign w:val="center"/>
            <w:hideMark/>
          </w:tcPr>
          <w:p w14:paraId="3A088FDD"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xml:space="preserve">       Duty achieved?</w:t>
            </w:r>
          </w:p>
        </w:tc>
        <w:tc>
          <w:tcPr>
            <w:tcW w:w="1483" w:type="dxa"/>
            <w:tcBorders>
              <w:top w:val="nil"/>
              <w:left w:val="nil"/>
              <w:bottom w:val="nil"/>
              <w:right w:val="nil"/>
            </w:tcBorders>
            <w:shd w:val="clear" w:color="auto" w:fill="auto"/>
            <w:noWrap/>
            <w:vAlign w:val="bottom"/>
            <w:hideMark/>
          </w:tcPr>
          <w:p w14:paraId="7583E67A" w14:textId="77777777" w:rsidR="00120469" w:rsidRPr="00B17076" w:rsidRDefault="00120469" w:rsidP="00120469">
            <w:pPr>
              <w:spacing w:before="0" w:after="0"/>
              <w:jc w:val="right"/>
              <w:rPr>
                <w:rFonts w:eastAsia="Times New Roman" w:cs="Arial"/>
                <w:sz w:val="20"/>
                <w:szCs w:val="20"/>
                <w:lang w:eastAsia="en-GB"/>
              </w:rPr>
            </w:pPr>
          </w:p>
        </w:tc>
      </w:tr>
      <w:tr w:rsidR="00120469" w:rsidRPr="00B17076" w14:paraId="47CADCC9" w14:textId="77777777" w:rsidTr="0030431F">
        <w:trPr>
          <w:trHeight w:val="250"/>
        </w:trPr>
        <w:tc>
          <w:tcPr>
            <w:tcW w:w="3544" w:type="dxa"/>
            <w:tcBorders>
              <w:top w:val="nil"/>
              <w:left w:val="nil"/>
              <w:bottom w:val="nil"/>
              <w:right w:val="nil"/>
            </w:tcBorders>
            <w:shd w:val="clear" w:color="auto" w:fill="auto"/>
            <w:vAlign w:val="bottom"/>
            <w:hideMark/>
          </w:tcPr>
          <w:p w14:paraId="56D123C7"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135" w:type="dxa"/>
            <w:tcBorders>
              <w:top w:val="nil"/>
              <w:left w:val="nil"/>
              <w:bottom w:val="nil"/>
              <w:right w:val="nil"/>
            </w:tcBorders>
            <w:shd w:val="clear" w:color="auto" w:fill="auto"/>
            <w:vAlign w:val="bottom"/>
            <w:hideMark/>
          </w:tcPr>
          <w:p w14:paraId="305666A8"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375" w:type="dxa"/>
            <w:tcBorders>
              <w:top w:val="nil"/>
              <w:left w:val="nil"/>
              <w:bottom w:val="nil"/>
              <w:right w:val="nil"/>
            </w:tcBorders>
            <w:shd w:val="clear" w:color="000000" w:fill="FFFFFF"/>
            <w:vAlign w:val="bottom"/>
            <w:hideMark/>
          </w:tcPr>
          <w:p w14:paraId="7DACFAF1"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£'000</w:t>
            </w:r>
          </w:p>
        </w:tc>
        <w:tc>
          <w:tcPr>
            <w:tcW w:w="300" w:type="dxa"/>
            <w:tcBorders>
              <w:top w:val="nil"/>
              <w:left w:val="nil"/>
              <w:bottom w:val="nil"/>
              <w:right w:val="nil"/>
            </w:tcBorders>
            <w:shd w:val="clear" w:color="000000" w:fill="FFFFFF"/>
            <w:vAlign w:val="bottom"/>
            <w:hideMark/>
          </w:tcPr>
          <w:p w14:paraId="7023ED6D"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w:t>
            </w:r>
          </w:p>
        </w:tc>
        <w:tc>
          <w:tcPr>
            <w:tcW w:w="1439" w:type="dxa"/>
            <w:tcBorders>
              <w:top w:val="nil"/>
              <w:left w:val="nil"/>
              <w:bottom w:val="nil"/>
              <w:right w:val="nil"/>
            </w:tcBorders>
            <w:shd w:val="clear" w:color="000000" w:fill="FFFFFF"/>
            <w:vAlign w:val="bottom"/>
            <w:hideMark/>
          </w:tcPr>
          <w:p w14:paraId="2D5874CC"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£'000</w:t>
            </w:r>
          </w:p>
        </w:tc>
        <w:tc>
          <w:tcPr>
            <w:tcW w:w="300" w:type="dxa"/>
            <w:tcBorders>
              <w:top w:val="nil"/>
              <w:left w:val="nil"/>
              <w:bottom w:val="nil"/>
              <w:right w:val="nil"/>
            </w:tcBorders>
            <w:shd w:val="clear" w:color="000000" w:fill="FFFFFF"/>
            <w:vAlign w:val="bottom"/>
            <w:hideMark/>
          </w:tcPr>
          <w:p w14:paraId="358575E0"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w:t>
            </w:r>
          </w:p>
        </w:tc>
        <w:tc>
          <w:tcPr>
            <w:tcW w:w="1481" w:type="dxa"/>
            <w:gridSpan w:val="2"/>
            <w:vMerge/>
            <w:tcBorders>
              <w:top w:val="nil"/>
              <w:left w:val="nil"/>
              <w:bottom w:val="nil"/>
              <w:right w:val="nil"/>
            </w:tcBorders>
            <w:vAlign w:val="center"/>
            <w:hideMark/>
          </w:tcPr>
          <w:p w14:paraId="5C07DBF4" w14:textId="77777777" w:rsidR="00120469" w:rsidRPr="00B17076" w:rsidRDefault="00120469" w:rsidP="00120469">
            <w:pPr>
              <w:spacing w:before="0" w:after="0"/>
              <w:rPr>
                <w:rFonts w:eastAsia="Times New Roman" w:cs="Arial"/>
                <w:sz w:val="20"/>
                <w:szCs w:val="20"/>
                <w:lang w:eastAsia="en-GB"/>
              </w:rPr>
            </w:pPr>
          </w:p>
        </w:tc>
        <w:tc>
          <w:tcPr>
            <w:tcW w:w="1483" w:type="dxa"/>
            <w:tcBorders>
              <w:top w:val="nil"/>
              <w:left w:val="nil"/>
              <w:bottom w:val="nil"/>
              <w:right w:val="nil"/>
            </w:tcBorders>
            <w:shd w:val="clear" w:color="auto" w:fill="auto"/>
            <w:noWrap/>
            <w:vAlign w:val="bottom"/>
            <w:hideMark/>
          </w:tcPr>
          <w:p w14:paraId="348E07B8" w14:textId="77777777" w:rsidR="00120469" w:rsidRPr="00B17076" w:rsidRDefault="00120469" w:rsidP="00120469">
            <w:pPr>
              <w:spacing w:before="0" w:after="0"/>
              <w:jc w:val="right"/>
              <w:rPr>
                <w:rFonts w:eastAsia="Times New Roman" w:cs="Arial"/>
                <w:sz w:val="20"/>
                <w:szCs w:val="20"/>
                <w:lang w:eastAsia="en-GB"/>
              </w:rPr>
            </w:pPr>
          </w:p>
        </w:tc>
      </w:tr>
      <w:tr w:rsidR="00120469" w:rsidRPr="00B17076" w14:paraId="27E42D7C" w14:textId="77777777" w:rsidTr="0030431F">
        <w:trPr>
          <w:trHeight w:val="120"/>
        </w:trPr>
        <w:tc>
          <w:tcPr>
            <w:tcW w:w="3544" w:type="dxa"/>
            <w:tcBorders>
              <w:top w:val="nil"/>
              <w:left w:val="nil"/>
              <w:bottom w:val="nil"/>
              <w:right w:val="nil"/>
            </w:tcBorders>
            <w:shd w:val="clear" w:color="auto" w:fill="auto"/>
            <w:vAlign w:val="bottom"/>
            <w:hideMark/>
          </w:tcPr>
          <w:p w14:paraId="4C84D4AC"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135" w:type="dxa"/>
            <w:tcBorders>
              <w:top w:val="nil"/>
              <w:left w:val="nil"/>
              <w:bottom w:val="nil"/>
              <w:right w:val="nil"/>
            </w:tcBorders>
            <w:shd w:val="clear" w:color="auto" w:fill="auto"/>
            <w:vAlign w:val="bottom"/>
            <w:hideMark/>
          </w:tcPr>
          <w:p w14:paraId="1EDFB988"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375" w:type="dxa"/>
            <w:tcBorders>
              <w:top w:val="nil"/>
              <w:left w:val="nil"/>
              <w:bottom w:val="nil"/>
              <w:right w:val="nil"/>
            </w:tcBorders>
            <w:shd w:val="clear" w:color="000000" w:fill="FFFFFF"/>
            <w:vAlign w:val="bottom"/>
            <w:hideMark/>
          </w:tcPr>
          <w:p w14:paraId="07DD513B"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w:t>
            </w:r>
          </w:p>
        </w:tc>
        <w:tc>
          <w:tcPr>
            <w:tcW w:w="300" w:type="dxa"/>
            <w:tcBorders>
              <w:top w:val="nil"/>
              <w:left w:val="nil"/>
              <w:bottom w:val="nil"/>
              <w:right w:val="nil"/>
            </w:tcBorders>
            <w:shd w:val="clear" w:color="000000" w:fill="FFFFFF"/>
            <w:vAlign w:val="bottom"/>
            <w:hideMark/>
          </w:tcPr>
          <w:p w14:paraId="5081E819"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w:t>
            </w:r>
          </w:p>
        </w:tc>
        <w:tc>
          <w:tcPr>
            <w:tcW w:w="1439" w:type="dxa"/>
            <w:tcBorders>
              <w:top w:val="nil"/>
              <w:left w:val="nil"/>
              <w:bottom w:val="nil"/>
              <w:right w:val="nil"/>
            </w:tcBorders>
            <w:shd w:val="clear" w:color="000000" w:fill="FFFFFF"/>
            <w:vAlign w:val="bottom"/>
            <w:hideMark/>
          </w:tcPr>
          <w:p w14:paraId="22B1F29B"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w:t>
            </w:r>
          </w:p>
        </w:tc>
        <w:tc>
          <w:tcPr>
            <w:tcW w:w="300" w:type="dxa"/>
            <w:tcBorders>
              <w:top w:val="nil"/>
              <w:left w:val="nil"/>
              <w:bottom w:val="nil"/>
              <w:right w:val="nil"/>
            </w:tcBorders>
            <w:shd w:val="clear" w:color="000000" w:fill="FFFFFF"/>
            <w:vAlign w:val="bottom"/>
            <w:hideMark/>
          </w:tcPr>
          <w:p w14:paraId="1FB4F0E3"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 </w:t>
            </w:r>
          </w:p>
        </w:tc>
        <w:tc>
          <w:tcPr>
            <w:tcW w:w="1181" w:type="dxa"/>
            <w:tcBorders>
              <w:top w:val="nil"/>
              <w:left w:val="nil"/>
              <w:bottom w:val="nil"/>
              <w:right w:val="nil"/>
            </w:tcBorders>
            <w:shd w:val="clear" w:color="auto" w:fill="auto"/>
            <w:noWrap/>
            <w:vAlign w:val="center"/>
            <w:hideMark/>
          </w:tcPr>
          <w:p w14:paraId="7B8A005D" w14:textId="77777777" w:rsidR="00120469" w:rsidRPr="00B17076" w:rsidRDefault="00120469" w:rsidP="00120469">
            <w:pPr>
              <w:spacing w:before="0" w:after="0"/>
              <w:jc w:val="right"/>
              <w:rPr>
                <w:rFonts w:eastAsia="Times New Roman" w:cs="Arial"/>
                <w:sz w:val="20"/>
                <w:szCs w:val="20"/>
                <w:lang w:eastAsia="en-GB"/>
              </w:rPr>
            </w:pPr>
          </w:p>
        </w:tc>
        <w:tc>
          <w:tcPr>
            <w:tcW w:w="300" w:type="dxa"/>
            <w:tcBorders>
              <w:top w:val="nil"/>
              <w:left w:val="nil"/>
              <w:bottom w:val="nil"/>
              <w:right w:val="nil"/>
            </w:tcBorders>
            <w:shd w:val="clear" w:color="auto" w:fill="auto"/>
            <w:noWrap/>
            <w:vAlign w:val="center"/>
            <w:hideMark/>
          </w:tcPr>
          <w:p w14:paraId="783CF00F" w14:textId="77777777" w:rsidR="00120469" w:rsidRPr="00B17076" w:rsidRDefault="00120469" w:rsidP="00120469">
            <w:pPr>
              <w:spacing w:before="0" w:after="0"/>
              <w:jc w:val="right"/>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auto" w:fill="auto"/>
            <w:noWrap/>
            <w:vAlign w:val="bottom"/>
            <w:hideMark/>
          </w:tcPr>
          <w:p w14:paraId="54D26E74" w14:textId="77777777" w:rsidR="00120469" w:rsidRPr="00B17076" w:rsidRDefault="00120469" w:rsidP="00120469">
            <w:pPr>
              <w:spacing w:before="0" w:after="0"/>
              <w:jc w:val="right"/>
              <w:rPr>
                <w:rFonts w:ascii="Times New Roman" w:eastAsia="Times New Roman" w:hAnsi="Times New Roman" w:cs="Times New Roman"/>
                <w:sz w:val="20"/>
                <w:szCs w:val="20"/>
                <w:lang w:eastAsia="en-GB"/>
              </w:rPr>
            </w:pPr>
          </w:p>
        </w:tc>
      </w:tr>
      <w:tr w:rsidR="00120469" w:rsidRPr="00B17076" w14:paraId="0737DAC6" w14:textId="77777777" w:rsidTr="0030431F">
        <w:trPr>
          <w:trHeight w:val="250"/>
        </w:trPr>
        <w:tc>
          <w:tcPr>
            <w:tcW w:w="3544" w:type="dxa"/>
            <w:tcBorders>
              <w:top w:val="nil"/>
              <w:left w:val="nil"/>
              <w:bottom w:val="nil"/>
              <w:right w:val="nil"/>
            </w:tcBorders>
            <w:shd w:val="clear" w:color="auto" w:fill="auto"/>
            <w:noWrap/>
            <w:vAlign w:val="bottom"/>
            <w:hideMark/>
          </w:tcPr>
          <w:p w14:paraId="77B1C39D" w14:textId="77777777"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Expenditure not to exceed income</w:t>
            </w:r>
          </w:p>
        </w:tc>
        <w:tc>
          <w:tcPr>
            <w:tcW w:w="1135" w:type="dxa"/>
            <w:tcBorders>
              <w:top w:val="nil"/>
              <w:left w:val="nil"/>
              <w:bottom w:val="nil"/>
              <w:right w:val="nil"/>
            </w:tcBorders>
            <w:shd w:val="clear" w:color="auto" w:fill="auto"/>
            <w:noWrap/>
            <w:vAlign w:val="bottom"/>
            <w:hideMark/>
          </w:tcPr>
          <w:p w14:paraId="79AA4881" w14:textId="77777777" w:rsidR="00120469" w:rsidRPr="00B17076" w:rsidRDefault="00120469" w:rsidP="00120469">
            <w:pPr>
              <w:spacing w:before="0" w:after="0"/>
              <w:rPr>
                <w:rFonts w:eastAsia="Times New Roman" w:cs="Arial"/>
                <w:sz w:val="20"/>
                <w:szCs w:val="20"/>
                <w:lang w:eastAsia="en-GB"/>
              </w:rPr>
            </w:pPr>
          </w:p>
        </w:tc>
        <w:tc>
          <w:tcPr>
            <w:tcW w:w="1375" w:type="dxa"/>
            <w:tcBorders>
              <w:top w:val="nil"/>
              <w:left w:val="nil"/>
              <w:bottom w:val="nil"/>
              <w:right w:val="nil"/>
            </w:tcBorders>
            <w:shd w:val="clear" w:color="auto" w:fill="auto"/>
            <w:noWrap/>
            <w:vAlign w:val="bottom"/>
            <w:hideMark/>
          </w:tcPr>
          <w:p w14:paraId="14AC816A"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1,901,009</w:t>
            </w:r>
          </w:p>
        </w:tc>
        <w:tc>
          <w:tcPr>
            <w:tcW w:w="300" w:type="dxa"/>
            <w:tcBorders>
              <w:top w:val="nil"/>
              <w:left w:val="nil"/>
              <w:bottom w:val="nil"/>
              <w:right w:val="nil"/>
            </w:tcBorders>
            <w:shd w:val="clear" w:color="auto" w:fill="auto"/>
            <w:noWrap/>
            <w:vAlign w:val="bottom"/>
            <w:hideMark/>
          </w:tcPr>
          <w:p w14:paraId="38ED7F6C" w14:textId="77777777" w:rsidR="00120469" w:rsidRPr="00B17076" w:rsidRDefault="00120469" w:rsidP="00120469">
            <w:pPr>
              <w:spacing w:before="0" w:after="0"/>
              <w:jc w:val="right"/>
              <w:rPr>
                <w:rFonts w:eastAsia="Times New Roman" w:cs="Arial"/>
                <w:sz w:val="20"/>
                <w:szCs w:val="20"/>
                <w:lang w:eastAsia="en-GB"/>
              </w:rPr>
            </w:pPr>
          </w:p>
        </w:tc>
        <w:tc>
          <w:tcPr>
            <w:tcW w:w="1439" w:type="dxa"/>
            <w:tcBorders>
              <w:top w:val="nil"/>
              <w:left w:val="nil"/>
              <w:bottom w:val="nil"/>
              <w:right w:val="nil"/>
            </w:tcBorders>
            <w:shd w:val="clear" w:color="auto" w:fill="auto"/>
            <w:noWrap/>
            <w:vAlign w:val="bottom"/>
            <w:hideMark/>
          </w:tcPr>
          <w:p w14:paraId="0A3E29C1"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1,884,136</w:t>
            </w:r>
          </w:p>
        </w:tc>
        <w:tc>
          <w:tcPr>
            <w:tcW w:w="300" w:type="dxa"/>
            <w:tcBorders>
              <w:top w:val="nil"/>
              <w:left w:val="nil"/>
              <w:bottom w:val="nil"/>
              <w:right w:val="nil"/>
            </w:tcBorders>
            <w:shd w:val="clear" w:color="auto" w:fill="auto"/>
            <w:noWrap/>
            <w:vAlign w:val="bottom"/>
            <w:hideMark/>
          </w:tcPr>
          <w:p w14:paraId="0DD48A96" w14:textId="77777777" w:rsidR="00120469" w:rsidRPr="00B17076" w:rsidRDefault="00120469" w:rsidP="00120469">
            <w:pPr>
              <w:spacing w:before="0" w:after="0"/>
              <w:jc w:val="right"/>
              <w:rPr>
                <w:rFonts w:eastAsia="Times New Roman" w:cs="Arial"/>
                <w:sz w:val="20"/>
                <w:szCs w:val="20"/>
                <w:lang w:eastAsia="en-GB"/>
              </w:rPr>
            </w:pPr>
          </w:p>
        </w:tc>
        <w:tc>
          <w:tcPr>
            <w:tcW w:w="1481" w:type="dxa"/>
            <w:gridSpan w:val="2"/>
            <w:tcBorders>
              <w:top w:val="nil"/>
              <w:left w:val="nil"/>
              <w:bottom w:val="nil"/>
              <w:right w:val="nil"/>
            </w:tcBorders>
            <w:shd w:val="clear" w:color="auto" w:fill="auto"/>
            <w:noWrap/>
            <w:vAlign w:val="center"/>
            <w:hideMark/>
          </w:tcPr>
          <w:p w14:paraId="2DD55C2F"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Yes</w:t>
            </w:r>
          </w:p>
        </w:tc>
        <w:tc>
          <w:tcPr>
            <w:tcW w:w="1483" w:type="dxa"/>
            <w:tcBorders>
              <w:top w:val="nil"/>
              <w:left w:val="nil"/>
              <w:bottom w:val="nil"/>
              <w:right w:val="nil"/>
            </w:tcBorders>
            <w:shd w:val="clear" w:color="auto" w:fill="auto"/>
            <w:noWrap/>
            <w:vAlign w:val="bottom"/>
            <w:hideMark/>
          </w:tcPr>
          <w:p w14:paraId="6D3E39AF" w14:textId="77777777" w:rsidR="00120469" w:rsidRPr="00B17076" w:rsidRDefault="00120469" w:rsidP="00120469">
            <w:pPr>
              <w:spacing w:before="0" w:after="0"/>
              <w:jc w:val="right"/>
              <w:rPr>
                <w:rFonts w:eastAsia="Times New Roman" w:cs="Arial"/>
                <w:sz w:val="20"/>
                <w:szCs w:val="20"/>
                <w:lang w:eastAsia="en-GB"/>
              </w:rPr>
            </w:pPr>
          </w:p>
        </w:tc>
      </w:tr>
      <w:tr w:rsidR="00120469" w:rsidRPr="00B17076" w14:paraId="0ABD8A0C" w14:textId="77777777" w:rsidTr="0030431F">
        <w:trPr>
          <w:trHeight w:val="120"/>
        </w:trPr>
        <w:tc>
          <w:tcPr>
            <w:tcW w:w="3544" w:type="dxa"/>
            <w:tcBorders>
              <w:top w:val="nil"/>
              <w:left w:val="nil"/>
              <w:bottom w:val="nil"/>
              <w:right w:val="nil"/>
            </w:tcBorders>
            <w:shd w:val="clear" w:color="auto" w:fill="auto"/>
            <w:vAlign w:val="bottom"/>
            <w:hideMark/>
          </w:tcPr>
          <w:p w14:paraId="04D09C80"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135" w:type="dxa"/>
            <w:tcBorders>
              <w:top w:val="nil"/>
              <w:left w:val="nil"/>
              <w:bottom w:val="nil"/>
              <w:right w:val="nil"/>
            </w:tcBorders>
            <w:shd w:val="clear" w:color="auto" w:fill="auto"/>
            <w:vAlign w:val="bottom"/>
            <w:hideMark/>
          </w:tcPr>
          <w:p w14:paraId="52108150"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375" w:type="dxa"/>
            <w:tcBorders>
              <w:top w:val="nil"/>
              <w:left w:val="nil"/>
              <w:bottom w:val="nil"/>
              <w:right w:val="nil"/>
            </w:tcBorders>
            <w:shd w:val="clear" w:color="auto" w:fill="auto"/>
            <w:noWrap/>
            <w:vAlign w:val="bottom"/>
            <w:hideMark/>
          </w:tcPr>
          <w:p w14:paraId="5E3DB759"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300" w:type="dxa"/>
            <w:tcBorders>
              <w:top w:val="nil"/>
              <w:left w:val="nil"/>
              <w:bottom w:val="nil"/>
              <w:right w:val="nil"/>
            </w:tcBorders>
            <w:shd w:val="clear" w:color="auto" w:fill="auto"/>
            <w:noWrap/>
            <w:vAlign w:val="bottom"/>
            <w:hideMark/>
          </w:tcPr>
          <w:p w14:paraId="00AFB0A5"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439" w:type="dxa"/>
            <w:tcBorders>
              <w:top w:val="nil"/>
              <w:left w:val="nil"/>
              <w:bottom w:val="nil"/>
              <w:right w:val="nil"/>
            </w:tcBorders>
            <w:shd w:val="clear" w:color="auto" w:fill="auto"/>
            <w:noWrap/>
            <w:vAlign w:val="bottom"/>
            <w:hideMark/>
          </w:tcPr>
          <w:p w14:paraId="6F185F36"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300" w:type="dxa"/>
            <w:tcBorders>
              <w:top w:val="nil"/>
              <w:left w:val="nil"/>
              <w:bottom w:val="nil"/>
              <w:right w:val="nil"/>
            </w:tcBorders>
            <w:shd w:val="clear" w:color="auto" w:fill="auto"/>
            <w:noWrap/>
            <w:vAlign w:val="bottom"/>
            <w:hideMark/>
          </w:tcPr>
          <w:p w14:paraId="1509A071"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181" w:type="dxa"/>
            <w:tcBorders>
              <w:top w:val="nil"/>
              <w:left w:val="nil"/>
              <w:bottom w:val="nil"/>
              <w:right w:val="nil"/>
            </w:tcBorders>
            <w:shd w:val="clear" w:color="auto" w:fill="auto"/>
            <w:noWrap/>
            <w:vAlign w:val="center"/>
            <w:hideMark/>
          </w:tcPr>
          <w:p w14:paraId="2D5CDDCD"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300" w:type="dxa"/>
            <w:tcBorders>
              <w:top w:val="nil"/>
              <w:left w:val="nil"/>
              <w:bottom w:val="nil"/>
              <w:right w:val="nil"/>
            </w:tcBorders>
            <w:shd w:val="clear" w:color="auto" w:fill="auto"/>
            <w:noWrap/>
            <w:vAlign w:val="center"/>
            <w:hideMark/>
          </w:tcPr>
          <w:p w14:paraId="5EB5D7A3" w14:textId="77777777" w:rsidR="00120469" w:rsidRPr="00B17076" w:rsidRDefault="00120469" w:rsidP="00120469">
            <w:pPr>
              <w:spacing w:before="0" w:after="0"/>
              <w:jc w:val="right"/>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auto" w:fill="auto"/>
            <w:noWrap/>
            <w:vAlign w:val="bottom"/>
            <w:hideMark/>
          </w:tcPr>
          <w:p w14:paraId="011E8413" w14:textId="77777777" w:rsidR="00120469" w:rsidRPr="00B17076" w:rsidRDefault="00120469" w:rsidP="00120469">
            <w:pPr>
              <w:spacing w:before="0" w:after="0"/>
              <w:jc w:val="right"/>
              <w:rPr>
                <w:rFonts w:ascii="Times New Roman" w:eastAsia="Times New Roman" w:hAnsi="Times New Roman" w:cs="Times New Roman"/>
                <w:sz w:val="20"/>
                <w:szCs w:val="20"/>
                <w:lang w:eastAsia="en-GB"/>
              </w:rPr>
            </w:pPr>
          </w:p>
        </w:tc>
      </w:tr>
      <w:tr w:rsidR="00120469" w:rsidRPr="00B17076" w14:paraId="1DA4D9E8" w14:textId="77777777" w:rsidTr="0030431F">
        <w:trPr>
          <w:trHeight w:val="500"/>
        </w:trPr>
        <w:tc>
          <w:tcPr>
            <w:tcW w:w="4679" w:type="dxa"/>
            <w:gridSpan w:val="2"/>
            <w:tcBorders>
              <w:top w:val="nil"/>
              <w:left w:val="nil"/>
              <w:bottom w:val="nil"/>
              <w:right w:val="nil"/>
            </w:tcBorders>
            <w:shd w:val="clear" w:color="auto" w:fill="auto"/>
            <w:vAlign w:val="center"/>
            <w:hideMark/>
          </w:tcPr>
          <w:p w14:paraId="6B405D6E" w14:textId="33B92EFE"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Revenue resource use does not exceed the amount specified in Directions</w:t>
            </w:r>
          </w:p>
        </w:tc>
        <w:tc>
          <w:tcPr>
            <w:tcW w:w="1375" w:type="dxa"/>
            <w:tcBorders>
              <w:top w:val="nil"/>
              <w:left w:val="nil"/>
              <w:bottom w:val="nil"/>
              <w:right w:val="nil"/>
            </w:tcBorders>
            <w:shd w:val="clear" w:color="auto" w:fill="auto"/>
            <w:noWrap/>
            <w:vAlign w:val="center"/>
            <w:hideMark/>
          </w:tcPr>
          <w:p w14:paraId="1F4D2BCD"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1,890,623</w:t>
            </w:r>
          </w:p>
        </w:tc>
        <w:tc>
          <w:tcPr>
            <w:tcW w:w="300" w:type="dxa"/>
            <w:tcBorders>
              <w:top w:val="nil"/>
              <w:left w:val="nil"/>
              <w:bottom w:val="nil"/>
              <w:right w:val="nil"/>
            </w:tcBorders>
            <w:shd w:val="clear" w:color="auto" w:fill="auto"/>
            <w:noWrap/>
            <w:vAlign w:val="center"/>
            <w:hideMark/>
          </w:tcPr>
          <w:p w14:paraId="6E9629D1" w14:textId="77777777" w:rsidR="00120469" w:rsidRPr="00B17076" w:rsidRDefault="00120469" w:rsidP="00120469">
            <w:pPr>
              <w:spacing w:before="0" w:after="0"/>
              <w:jc w:val="right"/>
              <w:rPr>
                <w:rFonts w:eastAsia="Times New Roman" w:cs="Arial"/>
                <w:sz w:val="20"/>
                <w:szCs w:val="20"/>
                <w:lang w:eastAsia="en-GB"/>
              </w:rPr>
            </w:pPr>
          </w:p>
        </w:tc>
        <w:tc>
          <w:tcPr>
            <w:tcW w:w="1439" w:type="dxa"/>
            <w:tcBorders>
              <w:top w:val="nil"/>
              <w:left w:val="nil"/>
              <w:bottom w:val="nil"/>
              <w:right w:val="nil"/>
            </w:tcBorders>
            <w:shd w:val="clear" w:color="auto" w:fill="auto"/>
            <w:noWrap/>
            <w:vAlign w:val="center"/>
            <w:hideMark/>
          </w:tcPr>
          <w:p w14:paraId="11CF28AC"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1,873,750</w:t>
            </w:r>
          </w:p>
        </w:tc>
        <w:tc>
          <w:tcPr>
            <w:tcW w:w="300" w:type="dxa"/>
            <w:tcBorders>
              <w:top w:val="nil"/>
              <w:left w:val="nil"/>
              <w:bottom w:val="nil"/>
              <w:right w:val="nil"/>
            </w:tcBorders>
            <w:shd w:val="clear" w:color="auto" w:fill="auto"/>
            <w:noWrap/>
            <w:vAlign w:val="center"/>
            <w:hideMark/>
          </w:tcPr>
          <w:p w14:paraId="5357F7C5" w14:textId="77777777" w:rsidR="00120469" w:rsidRPr="00B17076" w:rsidRDefault="00120469" w:rsidP="00120469">
            <w:pPr>
              <w:spacing w:before="0" w:after="0"/>
              <w:jc w:val="right"/>
              <w:rPr>
                <w:rFonts w:eastAsia="Times New Roman" w:cs="Arial"/>
                <w:sz w:val="20"/>
                <w:szCs w:val="20"/>
                <w:lang w:eastAsia="en-GB"/>
              </w:rPr>
            </w:pPr>
          </w:p>
        </w:tc>
        <w:tc>
          <w:tcPr>
            <w:tcW w:w="1481" w:type="dxa"/>
            <w:gridSpan w:val="2"/>
            <w:tcBorders>
              <w:top w:val="nil"/>
              <w:left w:val="nil"/>
              <w:bottom w:val="nil"/>
              <w:right w:val="nil"/>
            </w:tcBorders>
            <w:shd w:val="clear" w:color="auto" w:fill="auto"/>
            <w:noWrap/>
            <w:vAlign w:val="center"/>
            <w:hideMark/>
          </w:tcPr>
          <w:p w14:paraId="70C91DA0"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Yes</w:t>
            </w:r>
          </w:p>
        </w:tc>
        <w:tc>
          <w:tcPr>
            <w:tcW w:w="1483" w:type="dxa"/>
            <w:tcBorders>
              <w:top w:val="nil"/>
              <w:left w:val="nil"/>
              <w:bottom w:val="nil"/>
              <w:right w:val="nil"/>
            </w:tcBorders>
            <w:shd w:val="clear" w:color="auto" w:fill="auto"/>
            <w:noWrap/>
            <w:vAlign w:val="center"/>
            <w:hideMark/>
          </w:tcPr>
          <w:p w14:paraId="6E8273E4" w14:textId="77777777" w:rsidR="00120469" w:rsidRPr="00B17076" w:rsidRDefault="00120469" w:rsidP="00120469">
            <w:pPr>
              <w:spacing w:before="0" w:after="0"/>
              <w:jc w:val="right"/>
              <w:rPr>
                <w:rFonts w:eastAsia="Times New Roman" w:cs="Arial"/>
                <w:sz w:val="20"/>
                <w:szCs w:val="20"/>
                <w:lang w:eastAsia="en-GB"/>
              </w:rPr>
            </w:pPr>
          </w:p>
        </w:tc>
      </w:tr>
      <w:tr w:rsidR="00120469" w:rsidRPr="00B17076" w14:paraId="707326D5" w14:textId="77777777" w:rsidTr="0030431F">
        <w:trPr>
          <w:trHeight w:val="120"/>
        </w:trPr>
        <w:tc>
          <w:tcPr>
            <w:tcW w:w="3544" w:type="dxa"/>
            <w:tcBorders>
              <w:top w:val="nil"/>
              <w:left w:val="nil"/>
              <w:bottom w:val="nil"/>
              <w:right w:val="nil"/>
            </w:tcBorders>
            <w:shd w:val="clear" w:color="auto" w:fill="auto"/>
            <w:vAlign w:val="bottom"/>
            <w:hideMark/>
          </w:tcPr>
          <w:p w14:paraId="5848584B"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135" w:type="dxa"/>
            <w:tcBorders>
              <w:top w:val="nil"/>
              <w:left w:val="nil"/>
              <w:bottom w:val="nil"/>
              <w:right w:val="nil"/>
            </w:tcBorders>
            <w:shd w:val="clear" w:color="auto" w:fill="auto"/>
            <w:vAlign w:val="bottom"/>
            <w:hideMark/>
          </w:tcPr>
          <w:p w14:paraId="6A702C3B"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375" w:type="dxa"/>
            <w:tcBorders>
              <w:top w:val="nil"/>
              <w:left w:val="nil"/>
              <w:bottom w:val="nil"/>
              <w:right w:val="nil"/>
            </w:tcBorders>
            <w:shd w:val="clear" w:color="auto" w:fill="auto"/>
            <w:noWrap/>
            <w:vAlign w:val="bottom"/>
            <w:hideMark/>
          </w:tcPr>
          <w:p w14:paraId="6C5DBE5B"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300" w:type="dxa"/>
            <w:tcBorders>
              <w:top w:val="nil"/>
              <w:left w:val="nil"/>
              <w:bottom w:val="nil"/>
              <w:right w:val="nil"/>
            </w:tcBorders>
            <w:shd w:val="clear" w:color="auto" w:fill="auto"/>
            <w:noWrap/>
            <w:vAlign w:val="bottom"/>
            <w:hideMark/>
          </w:tcPr>
          <w:p w14:paraId="635C8A9D"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439" w:type="dxa"/>
            <w:tcBorders>
              <w:top w:val="nil"/>
              <w:left w:val="nil"/>
              <w:bottom w:val="nil"/>
              <w:right w:val="nil"/>
            </w:tcBorders>
            <w:shd w:val="clear" w:color="auto" w:fill="auto"/>
            <w:noWrap/>
            <w:vAlign w:val="bottom"/>
            <w:hideMark/>
          </w:tcPr>
          <w:p w14:paraId="703E960E"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300" w:type="dxa"/>
            <w:tcBorders>
              <w:top w:val="nil"/>
              <w:left w:val="nil"/>
              <w:bottom w:val="nil"/>
              <w:right w:val="nil"/>
            </w:tcBorders>
            <w:shd w:val="clear" w:color="auto" w:fill="auto"/>
            <w:noWrap/>
            <w:vAlign w:val="bottom"/>
            <w:hideMark/>
          </w:tcPr>
          <w:p w14:paraId="2C0F7BF1"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1181" w:type="dxa"/>
            <w:tcBorders>
              <w:top w:val="nil"/>
              <w:left w:val="nil"/>
              <w:bottom w:val="nil"/>
              <w:right w:val="nil"/>
            </w:tcBorders>
            <w:shd w:val="clear" w:color="auto" w:fill="auto"/>
            <w:noWrap/>
            <w:vAlign w:val="center"/>
            <w:hideMark/>
          </w:tcPr>
          <w:p w14:paraId="691292E8" w14:textId="77777777" w:rsidR="00120469" w:rsidRPr="00B17076" w:rsidRDefault="00120469" w:rsidP="00120469">
            <w:pPr>
              <w:spacing w:before="0" w:after="0"/>
              <w:rPr>
                <w:rFonts w:ascii="Times New Roman" w:eastAsia="Times New Roman" w:hAnsi="Times New Roman" w:cs="Times New Roman"/>
                <w:sz w:val="20"/>
                <w:szCs w:val="20"/>
                <w:lang w:eastAsia="en-GB"/>
              </w:rPr>
            </w:pPr>
          </w:p>
        </w:tc>
        <w:tc>
          <w:tcPr>
            <w:tcW w:w="300" w:type="dxa"/>
            <w:tcBorders>
              <w:top w:val="nil"/>
              <w:left w:val="nil"/>
              <w:bottom w:val="nil"/>
              <w:right w:val="nil"/>
            </w:tcBorders>
            <w:shd w:val="clear" w:color="auto" w:fill="auto"/>
            <w:noWrap/>
            <w:vAlign w:val="center"/>
            <w:hideMark/>
          </w:tcPr>
          <w:p w14:paraId="089ABDA1" w14:textId="77777777" w:rsidR="00120469" w:rsidRPr="00B17076" w:rsidRDefault="00120469" w:rsidP="00120469">
            <w:pPr>
              <w:spacing w:before="0" w:after="0"/>
              <w:jc w:val="right"/>
              <w:rPr>
                <w:rFonts w:ascii="Times New Roman" w:eastAsia="Times New Roman" w:hAnsi="Times New Roman" w:cs="Times New Roman"/>
                <w:sz w:val="20"/>
                <w:szCs w:val="20"/>
                <w:lang w:eastAsia="en-GB"/>
              </w:rPr>
            </w:pPr>
          </w:p>
        </w:tc>
        <w:tc>
          <w:tcPr>
            <w:tcW w:w="1483" w:type="dxa"/>
            <w:tcBorders>
              <w:top w:val="nil"/>
              <w:left w:val="nil"/>
              <w:bottom w:val="nil"/>
              <w:right w:val="nil"/>
            </w:tcBorders>
            <w:shd w:val="clear" w:color="auto" w:fill="auto"/>
            <w:noWrap/>
            <w:vAlign w:val="bottom"/>
            <w:hideMark/>
          </w:tcPr>
          <w:p w14:paraId="336979D1" w14:textId="77777777" w:rsidR="00120469" w:rsidRPr="00B17076" w:rsidRDefault="00120469" w:rsidP="00120469">
            <w:pPr>
              <w:spacing w:before="0" w:after="0"/>
              <w:jc w:val="right"/>
              <w:rPr>
                <w:rFonts w:ascii="Times New Roman" w:eastAsia="Times New Roman" w:hAnsi="Times New Roman" w:cs="Times New Roman"/>
                <w:sz w:val="20"/>
                <w:szCs w:val="20"/>
                <w:lang w:eastAsia="en-GB"/>
              </w:rPr>
            </w:pPr>
          </w:p>
        </w:tc>
      </w:tr>
      <w:tr w:rsidR="00120469" w:rsidRPr="00B17076" w14:paraId="23177DB4" w14:textId="77777777" w:rsidTr="0030431F">
        <w:trPr>
          <w:trHeight w:val="500"/>
        </w:trPr>
        <w:tc>
          <w:tcPr>
            <w:tcW w:w="4679" w:type="dxa"/>
            <w:gridSpan w:val="2"/>
            <w:tcBorders>
              <w:top w:val="nil"/>
              <w:left w:val="nil"/>
              <w:bottom w:val="nil"/>
              <w:right w:val="nil"/>
            </w:tcBorders>
            <w:shd w:val="clear" w:color="auto" w:fill="auto"/>
            <w:vAlign w:val="center"/>
            <w:hideMark/>
          </w:tcPr>
          <w:p w14:paraId="49ED7BFC" w14:textId="0CFE9994" w:rsidR="00120469" w:rsidRPr="00B17076" w:rsidRDefault="00120469" w:rsidP="00120469">
            <w:pPr>
              <w:spacing w:before="0" w:after="0"/>
              <w:rPr>
                <w:rFonts w:eastAsia="Times New Roman" w:cs="Arial"/>
                <w:sz w:val="20"/>
                <w:szCs w:val="20"/>
                <w:lang w:eastAsia="en-GB"/>
              </w:rPr>
            </w:pPr>
            <w:r w:rsidRPr="00B17076">
              <w:rPr>
                <w:rFonts w:eastAsia="Times New Roman" w:cs="Arial"/>
                <w:sz w:val="20"/>
                <w:szCs w:val="20"/>
                <w:lang w:eastAsia="en-GB"/>
              </w:rPr>
              <w:t>Revenue administration resource use does not exceed the amount specified in Directions</w:t>
            </w:r>
          </w:p>
        </w:tc>
        <w:tc>
          <w:tcPr>
            <w:tcW w:w="1375" w:type="dxa"/>
            <w:tcBorders>
              <w:top w:val="nil"/>
              <w:left w:val="nil"/>
              <w:bottom w:val="nil"/>
              <w:right w:val="nil"/>
            </w:tcBorders>
            <w:shd w:val="clear" w:color="auto" w:fill="auto"/>
            <w:noWrap/>
            <w:vAlign w:val="center"/>
            <w:hideMark/>
          </w:tcPr>
          <w:p w14:paraId="36BA3FB9"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20,580</w:t>
            </w:r>
          </w:p>
        </w:tc>
        <w:tc>
          <w:tcPr>
            <w:tcW w:w="300" w:type="dxa"/>
            <w:tcBorders>
              <w:top w:val="nil"/>
              <w:left w:val="nil"/>
              <w:bottom w:val="nil"/>
              <w:right w:val="nil"/>
            </w:tcBorders>
            <w:shd w:val="clear" w:color="auto" w:fill="auto"/>
            <w:noWrap/>
            <w:vAlign w:val="center"/>
            <w:hideMark/>
          </w:tcPr>
          <w:p w14:paraId="222B797F" w14:textId="77777777" w:rsidR="00120469" w:rsidRPr="00B17076" w:rsidRDefault="00120469" w:rsidP="00120469">
            <w:pPr>
              <w:spacing w:before="0" w:after="0"/>
              <w:jc w:val="right"/>
              <w:rPr>
                <w:rFonts w:eastAsia="Times New Roman" w:cs="Arial"/>
                <w:sz w:val="20"/>
                <w:szCs w:val="20"/>
                <w:lang w:eastAsia="en-GB"/>
              </w:rPr>
            </w:pPr>
          </w:p>
        </w:tc>
        <w:tc>
          <w:tcPr>
            <w:tcW w:w="1439" w:type="dxa"/>
            <w:tcBorders>
              <w:top w:val="nil"/>
              <w:left w:val="nil"/>
              <w:bottom w:val="nil"/>
              <w:right w:val="nil"/>
            </w:tcBorders>
            <w:shd w:val="clear" w:color="auto" w:fill="auto"/>
            <w:noWrap/>
            <w:vAlign w:val="center"/>
            <w:hideMark/>
          </w:tcPr>
          <w:p w14:paraId="78E0B614"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20,579</w:t>
            </w:r>
          </w:p>
        </w:tc>
        <w:tc>
          <w:tcPr>
            <w:tcW w:w="300" w:type="dxa"/>
            <w:tcBorders>
              <w:top w:val="nil"/>
              <w:left w:val="nil"/>
              <w:bottom w:val="nil"/>
              <w:right w:val="nil"/>
            </w:tcBorders>
            <w:shd w:val="clear" w:color="auto" w:fill="auto"/>
            <w:noWrap/>
            <w:vAlign w:val="center"/>
            <w:hideMark/>
          </w:tcPr>
          <w:p w14:paraId="5FB61F44" w14:textId="77777777" w:rsidR="00120469" w:rsidRPr="00B17076" w:rsidRDefault="00120469" w:rsidP="00120469">
            <w:pPr>
              <w:spacing w:before="0" w:after="0"/>
              <w:jc w:val="right"/>
              <w:rPr>
                <w:rFonts w:eastAsia="Times New Roman" w:cs="Arial"/>
                <w:sz w:val="20"/>
                <w:szCs w:val="20"/>
                <w:lang w:eastAsia="en-GB"/>
              </w:rPr>
            </w:pPr>
          </w:p>
        </w:tc>
        <w:tc>
          <w:tcPr>
            <w:tcW w:w="1481" w:type="dxa"/>
            <w:gridSpan w:val="2"/>
            <w:tcBorders>
              <w:top w:val="nil"/>
              <w:left w:val="nil"/>
              <w:bottom w:val="nil"/>
              <w:right w:val="nil"/>
            </w:tcBorders>
            <w:shd w:val="clear" w:color="auto" w:fill="auto"/>
            <w:noWrap/>
            <w:vAlign w:val="center"/>
            <w:hideMark/>
          </w:tcPr>
          <w:p w14:paraId="68DA533C" w14:textId="77777777" w:rsidR="00120469" w:rsidRPr="00B17076" w:rsidRDefault="00120469" w:rsidP="00120469">
            <w:pPr>
              <w:spacing w:before="0" w:after="0"/>
              <w:jc w:val="right"/>
              <w:rPr>
                <w:rFonts w:eastAsia="Times New Roman" w:cs="Arial"/>
                <w:sz w:val="20"/>
                <w:szCs w:val="20"/>
                <w:lang w:eastAsia="en-GB"/>
              </w:rPr>
            </w:pPr>
            <w:r w:rsidRPr="00B17076">
              <w:rPr>
                <w:rFonts w:eastAsia="Times New Roman" w:cs="Arial"/>
                <w:sz w:val="20"/>
                <w:szCs w:val="20"/>
                <w:lang w:eastAsia="en-GB"/>
              </w:rPr>
              <w:t>Yes</w:t>
            </w:r>
          </w:p>
        </w:tc>
        <w:tc>
          <w:tcPr>
            <w:tcW w:w="1483" w:type="dxa"/>
            <w:tcBorders>
              <w:top w:val="nil"/>
              <w:left w:val="nil"/>
              <w:bottom w:val="nil"/>
              <w:right w:val="nil"/>
            </w:tcBorders>
            <w:shd w:val="clear" w:color="auto" w:fill="auto"/>
            <w:noWrap/>
            <w:vAlign w:val="center"/>
            <w:hideMark/>
          </w:tcPr>
          <w:p w14:paraId="1AB81557" w14:textId="77777777" w:rsidR="00120469" w:rsidRPr="00B17076" w:rsidRDefault="00120469" w:rsidP="00120469">
            <w:pPr>
              <w:spacing w:before="0" w:after="0"/>
              <w:jc w:val="right"/>
              <w:rPr>
                <w:rFonts w:eastAsia="Times New Roman" w:cs="Arial"/>
                <w:sz w:val="20"/>
                <w:szCs w:val="20"/>
                <w:lang w:eastAsia="en-GB"/>
              </w:rPr>
            </w:pPr>
          </w:p>
        </w:tc>
      </w:tr>
    </w:tbl>
    <w:p w14:paraId="37232F4B" w14:textId="5410061D" w:rsidR="008D1D52" w:rsidRDefault="008D1D52" w:rsidP="00C70A7F">
      <w:pPr>
        <w:spacing w:before="0" w:after="200" w:line="276" w:lineRule="auto"/>
        <w:rPr>
          <w:sz w:val="16"/>
          <w:szCs w:val="16"/>
        </w:rPr>
      </w:pPr>
    </w:p>
    <w:p w14:paraId="05C77249" w14:textId="77777777" w:rsidR="008D1D52" w:rsidRDefault="008D1D52">
      <w:pPr>
        <w:spacing w:before="0" w:after="200" w:line="276" w:lineRule="auto"/>
        <w:rPr>
          <w:sz w:val="16"/>
          <w:szCs w:val="16"/>
        </w:rPr>
      </w:pPr>
      <w:r>
        <w:rPr>
          <w:sz w:val="16"/>
          <w:szCs w:val="16"/>
        </w:rPr>
        <w:lastRenderedPageBreak/>
        <w:br w:type="page"/>
      </w:r>
    </w:p>
    <w:p w14:paraId="4F7815A3" w14:textId="77777777" w:rsidR="008D1D52" w:rsidRPr="00F40138" w:rsidRDefault="008D1D52" w:rsidP="008D1D52">
      <w:pPr>
        <w:spacing w:after="160"/>
        <w:jc w:val="both"/>
        <w:rPr>
          <w:rFonts w:cs="Arial"/>
          <w:b/>
          <w:color w:val="000000" w:themeColor="text1"/>
          <w:szCs w:val="24"/>
        </w:rPr>
      </w:pPr>
      <w:r w:rsidRPr="00F40138">
        <w:rPr>
          <w:rFonts w:cs="Arial"/>
          <w:b/>
          <w:color w:val="000000" w:themeColor="text1"/>
          <w:szCs w:val="24"/>
        </w:rPr>
        <w:lastRenderedPageBreak/>
        <w:t xml:space="preserve">INDEPENDENT AUDITOR’S REPORT TO THE MEMBERS OF THE BOARD OF NHS MID &amp; SOUTH ESSEX INTEGRATED CARE BOARD </w:t>
      </w:r>
    </w:p>
    <w:p w14:paraId="4CE2F41E" w14:textId="77777777" w:rsidR="008D1D52" w:rsidRPr="00F40138" w:rsidRDefault="008D1D52" w:rsidP="008D1D52">
      <w:pPr>
        <w:spacing w:after="160"/>
        <w:jc w:val="both"/>
        <w:rPr>
          <w:rFonts w:cs="Arial"/>
          <w:b/>
          <w:bCs/>
          <w:szCs w:val="24"/>
        </w:rPr>
      </w:pPr>
      <w:r w:rsidRPr="00F40138">
        <w:rPr>
          <w:rFonts w:cs="Arial"/>
          <w:b/>
          <w:bCs/>
          <w:szCs w:val="24"/>
        </w:rPr>
        <w:t>REPORT ON THE AUDIT OF THE FINANCIAL STATEMENTS</w:t>
      </w:r>
    </w:p>
    <w:p w14:paraId="39BBFDF0" w14:textId="77777777" w:rsidR="008D1D52" w:rsidRPr="00F40138" w:rsidRDefault="008D1D52" w:rsidP="008D1D52">
      <w:pPr>
        <w:autoSpaceDE w:val="0"/>
        <w:autoSpaceDN w:val="0"/>
        <w:adjustRightInd w:val="0"/>
        <w:spacing w:after="160"/>
        <w:jc w:val="both"/>
        <w:rPr>
          <w:rFonts w:cs="Arial"/>
          <w:b/>
          <w:szCs w:val="24"/>
        </w:rPr>
      </w:pPr>
      <w:r w:rsidRPr="00F40138">
        <w:rPr>
          <w:rFonts w:cs="Arial"/>
          <w:b/>
          <w:szCs w:val="24"/>
        </w:rPr>
        <w:t xml:space="preserve">Opinion </w:t>
      </w:r>
    </w:p>
    <w:p w14:paraId="7C09AE42" w14:textId="77777777" w:rsidR="008D1D52" w:rsidRPr="00F40138" w:rsidRDefault="008D1D52" w:rsidP="008D1D52">
      <w:pPr>
        <w:spacing w:after="160"/>
        <w:jc w:val="both"/>
        <w:rPr>
          <w:rFonts w:cs="Arial"/>
          <w:color w:val="000000" w:themeColor="text1"/>
          <w:szCs w:val="24"/>
        </w:rPr>
      </w:pPr>
      <w:r w:rsidRPr="00F40138">
        <w:rPr>
          <w:rFonts w:cs="Arial"/>
          <w:color w:val="000000" w:themeColor="text1"/>
          <w:szCs w:val="24"/>
        </w:rPr>
        <w:t>We have audited the financial statements of NHS Mid &amp; South Essex Integrated Care Board (“the ICB”) for the year ended 31 March 2024 which comprise the Statement of Comprehensive Net Expenditure, Statement of Financial Position, Statement of Changes in Taxpayers’ Equity and Statement of Cash Flows, and the related notes, including the accounting policies in note 1.</w:t>
      </w:r>
    </w:p>
    <w:p w14:paraId="1A6F2486" w14:textId="77777777" w:rsidR="008D1D52" w:rsidRPr="00F40138" w:rsidRDefault="008D1D52" w:rsidP="008D1D52">
      <w:pPr>
        <w:spacing w:after="160"/>
        <w:jc w:val="both"/>
        <w:rPr>
          <w:rFonts w:cs="Arial"/>
          <w:szCs w:val="24"/>
        </w:rPr>
      </w:pPr>
      <w:r w:rsidRPr="00F40138">
        <w:rPr>
          <w:rFonts w:cs="Arial"/>
          <w:szCs w:val="24"/>
        </w:rPr>
        <w:t>In our opinion the financial statements:</w:t>
      </w:r>
    </w:p>
    <w:p w14:paraId="34D8D69D" w14:textId="77777777" w:rsidR="008D1D52" w:rsidRPr="00F40138" w:rsidRDefault="008D1D52" w:rsidP="008D1D52">
      <w:pPr>
        <w:pStyle w:val="ListParagraph"/>
        <w:numPr>
          <w:ilvl w:val="0"/>
          <w:numId w:val="40"/>
        </w:numPr>
        <w:spacing w:after="160"/>
        <w:contextualSpacing w:val="0"/>
        <w:jc w:val="both"/>
        <w:rPr>
          <w:rFonts w:cs="Arial"/>
          <w:szCs w:val="24"/>
        </w:rPr>
      </w:pPr>
      <w:r w:rsidRPr="00F40138">
        <w:rPr>
          <w:rFonts w:cs="Arial"/>
          <w:szCs w:val="24"/>
        </w:rPr>
        <w:t>give a true and fair view of the financial position of the ICB as at 31 March 2024</w:t>
      </w:r>
      <w:r w:rsidRPr="00F40138">
        <w:rPr>
          <w:rFonts w:cs="Arial"/>
          <w:color w:val="FF0000"/>
          <w:szCs w:val="24"/>
        </w:rPr>
        <w:t xml:space="preserve"> </w:t>
      </w:r>
      <w:r w:rsidRPr="00F40138">
        <w:rPr>
          <w:rFonts w:cs="Arial"/>
          <w:szCs w:val="24"/>
        </w:rPr>
        <w:t>and of its income and expenditure for the year then ended; and</w:t>
      </w:r>
    </w:p>
    <w:p w14:paraId="7DAE05C5" w14:textId="77777777" w:rsidR="008D1D52" w:rsidRPr="00F40138" w:rsidRDefault="008D1D52" w:rsidP="008D1D52">
      <w:pPr>
        <w:pStyle w:val="ListParagraph"/>
        <w:numPr>
          <w:ilvl w:val="0"/>
          <w:numId w:val="40"/>
        </w:numPr>
        <w:spacing w:after="160"/>
        <w:contextualSpacing w:val="0"/>
        <w:jc w:val="both"/>
        <w:rPr>
          <w:rFonts w:cs="Arial"/>
          <w:szCs w:val="24"/>
        </w:rPr>
      </w:pPr>
      <w:r w:rsidRPr="00F40138">
        <w:rPr>
          <w:rFonts w:cs="Arial"/>
          <w:szCs w:val="24"/>
        </w:rPr>
        <w:t xml:space="preserve">have been properly prepared in accordance with the accounting policies directed by NHS England with the consent of the Secretary of State on 22 April 2024 as being relevant to ICBs in England and included in the </w:t>
      </w:r>
      <w:bookmarkStart w:id="246" w:name="_Hlk124403406"/>
      <w:r w:rsidRPr="00F40138">
        <w:rPr>
          <w:rFonts w:cs="Arial"/>
          <w:szCs w:val="24"/>
        </w:rPr>
        <w:t>Department of Health and Social Care Group Accounting Manual 2023/24; and</w:t>
      </w:r>
    </w:p>
    <w:p w14:paraId="18205460" w14:textId="77777777" w:rsidR="008D1D52" w:rsidRPr="00F40138" w:rsidRDefault="008D1D52" w:rsidP="008D1D52">
      <w:pPr>
        <w:pStyle w:val="ListParagraph"/>
        <w:numPr>
          <w:ilvl w:val="0"/>
          <w:numId w:val="40"/>
        </w:numPr>
        <w:spacing w:after="160"/>
        <w:contextualSpacing w:val="0"/>
        <w:jc w:val="both"/>
        <w:rPr>
          <w:rFonts w:cs="Arial"/>
          <w:szCs w:val="24"/>
        </w:rPr>
      </w:pPr>
      <w:r w:rsidRPr="00F40138">
        <w:rPr>
          <w:rFonts w:cs="Arial"/>
          <w:szCs w:val="24"/>
        </w:rPr>
        <w:t>have been prepared in accordance with the requirements of the National Health Service Act 2006 (as amended).</w:t>
      </w:r>
    </w:p>
    <w:bookmarkEnd w:id="246"/>
    <w:p w14:paraId="2B519974" w14:textId="77777777" w:rsidR="008D1D52" w:rsidRPr="00F40138" w:rsidRDefault="008D1D52" w:rsidP="008D1D52">
      <w:pPr>
        <w:spacing w:after="160"/>
        <w:jc w:val="both"/>
        <w:rPr>
          <w:rFonts w:cs="Arial"/>
          <w:b/>
          <w:szCs w:val="24"/>
        </w:rPr>
      </w:pPr>
      <w:r w:rsidRPr="00F40138">
        <w:rPr>
          <w:rFonts w:cs="Arial"/>
          <w:b/>
          <w:szCs w:val="24"/>
        </w:rPr>
        <w:t>Basis for opinion</w:t>
      </w:r>
    </w:p>
    <w:p w14:paraId="7478C1EB" w14:textId="77777777" w:rsidR="008D1D52" w:rsidRPr="00F40138" w:rsidRDefault="008D1D52" w:rsidP="008D1D52">
      <w:pPr>
        <w:spacing w:after="160"/>
        <w:jc w:val="both"/>
        <w:rPr>
          <w:rFonts w:cs="Arial"/>
          <w:szCs w:val="24"/>
        </w:rPr>
      </w:pPr>
      <w:r w:rsidRPr="00F40138">
        <w:rPr>
          <w:rFonts w:cs="Arial"/>
          <w:szCs w:val="24"/>
        </w:rPr>
        <w:t>We conducted our audit in accordance with International Standards on Auditing (UK) (“ISAs (UK)”) and applicable law.  Our responsibilities are described below.  We have fulfilled our ethical responsibilities under, and are independent of the ICB in accordance with, UK ethical requirements including the FRC Ethical Standard.  We believe that the audit evidence we have obtained is a sufficient and appropriate basis for our opinion.</w:t>
      </w:r>
    </w:p>
    <w:p w14:paraId="57B438D9" w14:textId="77777777" w:rsidR="008D1D52" w:rsidRPr="00F40138" w:rsidRDefault="008D1D52" w:rsidP="008D1D52">
      <w:pPr>
        <w:spacing w:after="160"/>
        <w:jc w:val="both"/>
        <w:rPr>
          <w:rFonts w:cs="Arial"/>
          <w:b/>
          <w:szCs w:val="24"/>
        </w:rPr>
      </w:pPr>
      <w:r w:rsidRPr="00F40138">
        <w:rPr>
          <w:rFonts w:cs="Arial"/>
          <w:b/>
          <w:szCs w:val="24"/>
        </w:rPr>
        <w:t>Going concern</w:t>
      </w:r>
    </w:p>
    <w:p w14:paraId="37F5CD00" w14:textId="77777777" w:rsidR="008D1D52" w:rsidRPr="00F40138" w:rsidRDefault="008D1D52" w:rsidP="008D1D52">
      <w:pPr>
        <w:jc w:val="both"/>
        <w:rPr>
          <w:rFonts w:cs="Arial"/>
          <w:szCs w:val="24"/>
        </w:rPr>
      </w:pPr>
      <w:r w:rsidRPr="00F40138">
        <w:rPr>
          <w:rFonts w:cs="Arial"/>
          <w:szCs w:val="24"/>
        </w:rPr>
        <w:t xml:space="preserve">The Accountable Officer of the ICB (“the Accountable Officer”) has prepared the financial statements on the going concern basis, as they have not been informed by the relevant national body of the intention to either cease the ICB’s services or dissolve the ICB without the transfer of its services to another public sector entity. They have also concluded that there are no material uncertainties that could have cast significant doubt over its ability to continue as a going concern for at least a year from the date of approval of the financial statements (“the going concern period”).  </w:t>
      </w:r>
    </w:p>
    <w:p w14:paraId="31E93957" w14:textId="77777777" w:rsidR="008D1D52" w:rsidRPr="00F40138" w:rsidRDefault="008D1D52" w:rsidP="008D1D52">
      <w:pPr>
        <w:spacing w:after="120"/>
        <w:jc w:val="both"/>
        <w:rPr>
          <w:rFonts w:cs="Arial"/>
          <w:szCs w:val="24"/>
        </w:rPr>
      </w:pPr>
      <w:r w:rsidRPr="00F40138">
        <w:rPr>
          <w:rFonts w:cs="Arial"/>
          <w:szCs w:val="24"/>
        </w:rPr>
        <w:t>In our evaluation of the Accountable Officer’s conclusions, we considered the inherent risks associated with the continuity of services provided by the ICB over the going concern period.</w:t>
      </w:r>
      <w:r w:rsidRPr="00F40138">
        <w:rPr>
          <w:rStyle w:val="FootnoteReference"/>
          <w:rFonts w:cs="Arial"/>
          <w:szCs w:val="24"/>
        </w:rPr>
        <w:t xml:space="preserve"> </w:t>
      </w:r>
    </w:p>
    <w:p w14:paraId="5B498975" w14:textId="77777777" w:rsidR="008D1D52" w:rsidRPr="00F40138" w:rsidRDefault="008D1D52" w:rsidP="008D1D52">
      <w:pPr>
        <w:spacing w:after="120"/>
        <w:jc w:val="both"/>
        <w:rPr>
          <w:rFonts w:cs="Arial"/>
          <w:szCs w:val="24"/>
        </w:rPr>
      </w:pPr>
      <w:r w:rsidRPr="00F40138">
        <w:rPr>
          <w:rFonts w:cs="Arial"/>
          <w:szCs w:val="24"/>
        </w:rPr>
        <w:t>Our conclusions based on this work:</w:t>
      </w:r>
    </w:p>
    <w:p w14:paraId="2F2B38F4" w14:textId="77777777" w:rsidR="008D1D52" w:rsidRPr="00F40138" w:rsidRDefault="008D1D52" w:rsidP="008D1D52">
      <w:pPr>
        <w:numPr>
          <w:ilvl w:val="0"/>
          <w:numId w:val="41"/>
        </w:numPr>
        <w:spacing w:before="0" w:after="120"/>
        <w:jc w:val="both"/>
        <w:rPr>
          <w:rFonts w:cs="Arial"/>
          <w:szCs w:val="24"/>
        </w:rPr>
      </w:pPr>
      <w:r w:rsidRPr="00F40138">
        <w:rPr>
          <w:rFonts w:cs="Arial"/>
          <w:szCs w:val="24"/>
        </w:rPr>
        <w:lastRenderedPageBreak/>
        <w:t>we consider that the Accountable Officer’s use of the going concern basis of accounting in the preparation of the financial statements is appropriate; and</w:t>
      </w:r>
    </w:p>
    <w:p w14:paraId="2834AE40" w14:textId="77777777" w:rsidR="008D1D52" w:rsidRPr="00F40138" w:rsidRDefault="008D1D52" w:rsidP="008D1D52">
      <w:pPr>
        <w:numPr>
          <w:ilvl w:val="0"/>
          <w:numId w:val="41"/>
        </w:numPr>
        <w:spacing w:before="0" w:after="120"/>
        <w:jc w:val="both"/>
        <w:rPr>
          <w:rFonts w:cs="Arial"/>
          <w:szCs w:val="24"/>
        </w:rPr>
      </w:pPr>
      <w:r w:rsidRPr="00F40138">
        <w:rPr>
          <w:rFonts w:cs="Arial"/>
          <w:szCs w:val="24"/>
        </w:rPr>
        <w:t>we have not identified, and concur with the Accountable Officer’s assessment that there is not, a material uncertainty related to events or conditions that, individually or collectively, may cast significant doubt on the ICB’s ability to continue as a going concern for the going concern period.</w:t>
      </w:r>
    </w:p>
    <w:p w14:paraId="0D575FF9" w14:textId="1CFE4E8B" w:rsidR="008D1D52" w:rsidRPr="00F40138" w:rsidRDefault="008D1D52" w:rsidP="00F40138">
      <w:pPr>
        <w:jc w:val="both"/>
        <w:rPr>
          <w:rFonts w:cs="Arial"/>
          <w:szCs w:val="24"/>
        </w:rPr>
      </w:pPr>
      <w:r w:rsidRPr="00F40138">
        <w:rPr>
          <w:rFonts w:cs="Arial"/>
          <w:szCs w:val="24"/>
        </w:rPr>
        <w:t xml:space="preserve">However, as we cannot predict all future events or conditions and as subsequent events may result in outcomes that are inconsistent with judgements that were reasonable at the time they were made, the above conclusions are not a guarantee that the ICB will continue in operation.  </w:t>
      </w:r>
    </w:p>
    <w:p w14:paraId="6C098941" w14:textId="77777777" w:rsidR="008D1D52" w:rsidRPr="00F40138" w:rsidRDefault="008D1D52" w:rsidP="008D1D52">
      <w:pPr>
        <w:rPr>
          <w:rFonts w:cs="Arial"/>
          <w:b/>
          <w:szCs w:val="24"/>
        </w:rPr>
      </w:pPr>
      <w:r w:rsidRPr="00F40138">
        <w:rPr>
          <w:rFonts w:cs="Arial"/>
          <w:b/>
          <w:szCs w:val="24"/>
        </w:rPr>
        <w:t>Fraud and breaches of laws and regulations – ability to detect</w:t>
      </w:r>
    </w:p>
    <w:p w14:paraId="63C5C436" w14:textId="77777777" w:rsidR="008D1D52" w:rsidRPr="00F40138" w:rsidRDefault="008D1D52" w:rsidP="008D1D52">
      <w:pPr>
        <w:spacing w:after="160"/>
        <w:jc w:val="both"/>
        <w:rPr>
          <w:rFonts w:cs="Arial"/>
          <w:bCs/>
          <w:i/>
          <w:iCs/>
          <w:szCs w:val="24"/>
        </w:rPr>
      </w:pPr>
      <w:r w:rsidRPr="00F40138">
        <w:rPr>
          <w:rFonts w:cs="Arial"/>
          <w:bCs/>
          <w:i/>
          <w:iCs/>
          <w:szCs w:val="24"/>
        </w:rPr>
        <w:t>Identifying and responding to risks of material misstatement due to fraud</w:t>
      </w:r>
    </w:p>
    <w:p w14:paraId="35052C6D" w14:textId="77777777" w:rsidR="008D1D52" w:rsidRPr="00F40138" w:rsidRDefault="008D1D52" w:rsidP="008D1D52">
      <w:pPr>
        <w:jc w:val="both"/>
        <w:rPr>
          <w:rFonts w:cs="Arial"/>
          <w:szCs w:val="24"/>
        </w:rPr>
      </w:pPr>
      <w:r w:rsidRPr="00F40138">
        <w:rPr>
          <w:rFonts w:cs="Arial"/>
          <w:szCs w:val="24"/>
        </w:rPr>
        <w:t>To identify risks of material misstatement due to fraud (“fraud risks”) we assessed events or conditions that could indicate an incentive or pressure to commit fraud or provide an opportunity to commit fraud. Our risk assessment procedures included:</w:t>
      </w:r>
    </w:p>
    <w:p w14:paraId="0E65CE92" w14:textId="77777777" w:rsidR="008D1D52" w:rsidRPr="00F40138" w:rsidRDefault="008D1D52" w:rsidP="008D1D52">
      <w:pPr>
        <w:numPr>
          <w:ilvl w:val="0"/>
          <w:numId w:val="43"/>
        </w:numPr>
        <w:spacing w:before="0" w:after="120"/>
        <w:ind w:left="360"/>
        <w:jc w:val="both"/>
        <w:rPr>
          <w:rFonts w:cs="Arial"/>
          <w:color w:val="000000" w:themeColor="text1"/>
          <w:szCs w:val="24"/>
        </w:rPr>
      </w:pPr>
      <w:r w:rsidRPr="00F40138">
        <w:rPr>
          <w:rFonts w:cs="Arial"/>
          <w:color w:val="000000" w:themeColor="text1"/>
          <w:szCs w:val="24"/>
        </w:rPr>
        <w:t>Enquiring of management, the Audit Committee and internal audit and inspection of policy documentation as to the ICB’s high-level policies and procedures to prevent and detect fraud, including the internal audit function, as well as whether they have knowledge of any actual, suspected, or alleged fraud.</w:t>
      </w:r>
    </w:p>
    <w:p w14:paraId="72B281BD" w14:textId="77777777" w:rsidR="008D1D52" w:rsidRPr="00F40138" w:rsidRDefault="008D1D52" w:rsidP="008D1D52">
      <w:pPr>
        <w:numPr>
          <w:ilvl w:val="0"/>
          <w:numId w:val="43"/>
        </w:numPr>
        <w:spacing w:before="0" w:after="120"/>
        <w:ind w:left="360"/>
        <w:jc w:val="both"/>
        <w:rPr>
          <w:rFonts w:cs="Arial"/>
          <w:szCs w:val="24"/>
        </w:rPr>
      </w:pPr>
      <w:r w:rsidRPr="00F40138">
        <w:rPr>
          <w:rFonts w:cs="Arial"/>
          <w:szCs w:val="24"/>
        </w:rPr>
        <w:t>Reading Board and Audit Committee minutes.</w:t>
      </w:r>
    </w:p>
    <w:p w14:paraId="45283389" w14:textId="77777777" w:rsidR="008D1D52" w:rsidRPr="00F40138" w:rsidRDefault="008D1D52" w:rsidP="008D1D52">
      <w:pPr>
        <w:numPr>
          <w:ilvl w:val="0"/>
          <w:numId w:val="43"/>
        </w:numPr>
        <w:spacing w:before="0" w:after="120"/>
        <w:ind w:left="360"/>
        <w:jc w:val="both"/>
        <w:rPr>
          <w:rFonts w:cs="Arial"/>
          <w:szCs w:val="24"/>
        </w:rPr>
      </w:pPr>
      <w:r w:rsidRPr="00F40138">
        <w:rPr>
          <w:rFonts w:cs="Arial"/>
          <w:szCs w:val="24"/>
        </w:rPr>
        <w:t>Using analytical procedures to identify any unusual or unexpected relationships.</w:t>
      </w:r>
    </w:p>
    <w:p w14:paraId="324DDC9F" w14:textId="77777777" w:rsidR="008D1D52" w:rsidRPr="00F40138" w:rsidRDefault="008D1D52" w:rsidP="008D1D52">
      <w:pPr>
        <w:spacing w:after="160"/>
        <w:jc w:val="both"/>
        <w:rPr>
          <w:rFonts w:cs="Arial"/>
          <w:szCs w:val="24"/>
        </w:rPr>
      </w:pPr>
      <w:r w:rsidRPr="00F40138">
        <w:rPr>
          <w:rFonts w:cs="Arial"/>
          <w:szCs w:val="24"/>
        </w:rPr>
        <w:t>We communicated identified fraud risks throughout the audit team and remained alert to any indications of fraud throughout the audit.</w:t>
      </w:r>
    </w:p>
    <w:p w14:paraId="70158F09" w14:textId="77777777" w:rsidR="008D1D52" w:rsidRPr="00F40138" w:rsidRDefault="008D1D52" w:rsidP="008D1D52">
      <w:pPr>
        <w:jc w:val="both"/>
        <w:rPr>
          <w:rFonts w:cs="Arial"/>
          <w:color w:val="FF0000"/>
          <w:szCs w:val="24"/>
        </w:rPr>
      </w:pPr>
      <w:r w:rsidRPr="00F40138">
        <w:rPr>
          <w:rFonts w:cs="Arial"/>
          <w:color w:val="000000" w:themeColor="text1"/>
          <w:szCs w:val="24"/>
        </w:rPr>
        <w:t>As required by auditing standards, and taking into account possible pressures to meet delegated statutory resource limits, we performed procedures to address the risk of management override of controls, in particular the risk that ICB management may be in a position to make inappropriate accounting entries.</w:t>
      </w:r>
    </w:p>
    <w:p w14:paraId="284E8648" w14:textId="77777777" w:rsidR="008D1D52" w:rsidRPr="00F40138" w:rsidRDefault="008D1D52" w:rsidP="008D1D52">
      <w:pPr>
        <w:jc w:val="both"/>
        <w:rPr>
          <w:rFonts w:cs="Arial"/>
          <w:szCs w:val="24"/>
        </w:rPr>
      </w:pPr>
      <w:r w:rsidRPr="00F40138">
        <w:rPr>
          <w:rFonts w:cs="Arial"/>
          <w:szCs w:val="24"/>
        </w:rPr>
        <w:t>On this audit we did not identify a fraud risk related to revenue recognition because of the nature of funding provided to the ICB, which is transferred from NHS England and recognised through the Statement of Changes in Taxpayers’ Equity. We therefore assessed that there was limited opportunity for the ICB to manipulate the income that was reported. The new revenue streams of Dentistry and Pharmaceutical income are similarly transferred directly by NHS England and therefore has a limited opportunity for manipulation and as such we have not identified a significant risk in relation to these revenue streams.</w:t>
      </w:r>
    </w:p>
    <w:p w14:paraId="21CDB6F9" w14:textId="4290E4A9" w:rsidR="008D1D52" w:rsidRPr="00F40138" w:rsidRDefault="008D1D52" w:rsidP="008D1D52">
      <w:pPr>
        <w:jc w:val="both"/>
        <w:rPr>
          <w:rFonts w:cs="Arial"/>
          <w:szCs w:val="24"/>
        </w:rPr>
      </w:pPr>
      <w:r w:rsidRPr="00F40138">
        <w:rPr>
          <w:rFonts w:cs="Arial"/>
          <w:szCs w:val="24"/>
        </w:rPr>
        <w:t xml:space="preserve">We also identified a fraud risk relating to the liabilities and related expenses for purchases not being completely identified and recorded in response to the requirement for the system to meet their agreed plan for the year ended 31 March 2024, creating an incentive </w:t>
      </w:r>
      <w:r w:rsidRPr="00F40138">
        <w:rPr>
          <w:rFonts w:cs="Arial"/>
          <w:szCs w:val="24"/>
        </w:rPr>
        <w:lastRenderedPageBreak/>
        <w:t>for management to understate the level of non-pay expenditure compared to that which has been incurred and the opportunity to manipulate the period-end balance sheet expenditure items such as accruals in order to achieve this.</w:t>
      </w:r>
    </w:p>
    <w:p w14:paraId="5DFBD2C3" w14:textId="34C59B74" w:rsidR="008D1D52" w:rsidRPr="00F40138" w:rsidRDefault="008D1D52" w:rsidP="008D1D52">
      <w:pPr>
        <w:jc w:val="both"/>
        <w:rPr>
          <w:rFonts w:cs="Arial"/>
          <w:szCs w:val="24"/>
        </w:rPr>
      </w:pPr>
      <w:r w:rsidRPr="00F40138">
        <w:rPr>
          <w:rFonts w:cs="Arial"/>
          <w:szCs w:val="24"/>
        </w:rPr>
        <w:t>We also identified a fraud risk relating to the liabilities and related expenses for purchases not being accurately recorded, or not existing, or the entity not having a present obligation. This is in response to the incentive for management to bring forwards expenditure from 2024-25 to mitigate financial pressures in future periods through the opportunity to manipulate the period-end balance sheet expenditure items such as accruals in order to achieve this.</w:t>
      </w:r>
    </w:p>
    <w:p w14:paraId="20D158EF" w14:textId="77777777" w:rsidR="008D1D52" w:rsidRPr="00F40138" w:rsidRDefault="008D1D52" w:rsidP="008D1D52">
      <w:pPr>
        <w:spacing w:after="160"/>
        <w:jc w:val="both"/>
        <w:rPr>
          <w:rFonts w:cs="Arial"/>
          <w:szCs w:val="24"/>
        </w:rPr>
      </w:pPr>
      <w:r w:rsidRPr="00F40138">
        <w:rPr>
          <w:rFonts w:cs="Arial"/>
          <w:szCs w:val="24"/>
        </w:rPr>
        <w:t>We performed procedures including:</w:t>
      </w:r>
    </w:p>
    <w:p w14:paraId="1A4D975A" w14:textId="77777777" w:rsidR="008D1D52" w:rsidRPr="00F40138" w:rsidRDefault="008D1D52" w:rsidP="008D1D52">
      <w:pPr>
        <w:pStyle w:val="ListParagraph"/>
        <w:numPr>
          <w:ilvl w:val="0"/>
          <w:numId w:val="44"/>
        </w:numPr>
        <w:spacing w:after="160"/>
        <w:ind w:left="284" w:hanging="284"/>
        <w:contextualSpacing w:val="0"/>
        <w:jc w:val="both"/>
        <w:rPr>
          <w:rFonts w:cs="Arial"/>
          <w:bCs/>
          <w:color w:val="000000" w:themeColor="text1"/>
          <w:szCs w:val="24"/>
        </w:rPr>
      </w:pPr>
      <w:r w:rsidRPr="00F40138">
        <w:rPr>
          <w:rFonts w:cs="Arial"/>
          <w:bCs/>
          <w:color w:val="000000" w:themeColor="text1"/>
          <w:szCs w:val="24"/>
        </w:rPr>
        <w:t>Identifying journal entries and other adjustments to test based on risk criteria and comparing the identified entries to supporting documentation. These included unusual entries to Cash and Cash Equivalents, Revenue and Expenditure.</w:t>
      </w:r>
    </w:p>
    <w:p w14:paraId="2DB418F6" w14:textId="77777777" w:rsidR="008D1D52" w:rsidRPr="00F40138" w:rsidRDefault="008D1D52" w:rsidP="008D1D52">
      <w:pPr>
        <w:pStyle w:val="ListParagraph"/>
        <w:numPr>
          <w:ilvl w:val="0"/>
          <w:numId w:val="44"/>
        </w:numPr>
        <w:spacing w:after="160"/>
        <w:ind w:left="284" w:hanging="284"/>
        <w:contextualSpacing w:val="0"/>
        <w:jc w:val="both"/>
        <w:rPr>
          <w:rFonts w:cs="Arial"/>
          <w:bCs/>
          <w:color w:val="000000" w:themeColor="text1"/>
          <w:szCs w:val="24"/>
        </w:rPr>
      </w:pPr>
      <w:r w:rsidRPr="00F40138">
        <w:rPr>
          <w:rFonts w:cs="Arial"/>
          <w:bCs/>
          <w:color w:val="000000" w:themeColor="text1"/>
          <w:szCs w:val="24"/>
        </w:rPr>
        <w:t>Selecting a sample of year end accruals and inspect evidence of the actual amount paid after year end and other supporting information in order to assess whether the accrual exists and has been accurately recorded.</w:t>
      </w:r>
    </w:p>
    <w:p w14:paraId="712E50DC" w14:textId="77777777" w:rsidR="008D1D52" w:rsidRPr="00F40138" w:rsidRDefault="008D1D52" w:rsidP="008D1D52">
      <w:pPr>
        <w:spacing w:after="160"/>
        <w:jc w:val="both"/>
        <w:rPr>
          <w:rFonts w:cs="Arial"/>
          <w:bCs/>
          <w:i/>
          <w:iCs/>
          <w:szCs w:val="24"/>
        </w:rPr>
      </w:pPr>
      <w:r w:rsidRPr="00F40138">
        <w:rPr>
          <w:rFonts w:cs="Arial"/>
          <w:bCs/>
          <w:i/>
          <w:iCs/>
          <w:szCs w:val="24"/>
        </w:rPr>
        <w:t>Identifying and responding to risks of material misstatement related to compliance with laws and regulations</w:t>
      </w:r>
    </w:p>
    <w:p w14:paraId="18E0EA4E" w14:textId="77777777" w:rsidR="008D1D52" w:rsidRPr="00F40138" w:rsidRDefault="008D1D52" w:rsidP="008D1D52">
      <w:pPr>
        <w:jc w:val="both"/>
        <w:rPr>
          <w:rFonts w:cs="Arial"/>
          <w:color w:val="000000" w:themeColor="text1"/>
          <w:szCs w:val="24"/>
        </w:rPr>
      </w:pPr>
      <w:r w:rsidRPr="00F40138">
        <w:rPr>
          <w:rFonts w:cs="Arial"/>
          <w:color w:val="000000" w:themeColor="text1"/>
          <w:szCs w:val="24"/>
        </w:rPr>
        <w:t xml:space="preserve">We identified areas of laws and regulations that could reasonably be expected to have a material effect on the financial statements from our general sector experience and through discussion with the Board and other management (as required by auditing standards), and from inspection of the ICB’s regulatory and legal correspondence and discussed with the directors and other management the policies and procedures regarding compliance with laws and regulations.  </w:t>
      </w:r>
    </w:p>
    <w:p w14:paraId="3FEDCD63" w14:textId="77777777" w:rsidR="008D1D52" w:rsidRPr="00F40138" w:rsidRDefault="008D1D52" w:rsidP="008D1D52">
      <w:pPr>
        <w:spacing w:after="120"/>
        <w:jc w:val="both"/>
        <w:rPr>
          <w:rFonts w:cs="Arial"/>
          <w:szCs w:val="24"/>
        </w:rPr>
      </w:pPr>
      <w:r w:rsidRPr="00F40138">
        <w:rPr>
          <w:rFonts w:cs="Arial"/>
          <w:szCs w:val="24"/>
        </w:rPr>
        <w:t>We communicated identified laws and regulations throughout our team and remained alert to any indications of non-compliance throughout the audit.</w:t>
      </w:r>
    </w:p>
    <w:p w14:paraId="20ED1D6B" w14:textId="77777777" w:rsidR="008D1D52" w:rsidRPr="00F40138" w:rsidRDefault="008D1D52" w:rsidP="008D1D52">
      <w:pPr>
        <w:jc w:val="both"/>
        <w:rPr>
          <w:rFonts w:cs="Arial"/>
          <w:szCs w:val="24"/>
        </w:rPr>
      </w:pPr>
      <w:r w:rsidRPr="00F40138">
        <w:rPr>
          <w:rFonts w:cs="Arial"/>
          <w:color w:val="000000" w:themeColor="text1"/>
          <w:szCs w:val="24"/>
        </w:rPr>
        <w:t>Firstly,</w:t>
      </w:r>
      <w:r w:rsidRPr="00F40138">
        <w:rPr>
          <w:rFonts w:cs="Arial"/>
          <w:szCs w:val="24"/>
        </w:rPr>
        <w:t xml:space="preserve"> the ICB is subject to laws and regulations that directly affect the financial statements including the financial reporting aspects of NHS legislation. We assessed the extent of compliance with these laws and regulations as part of our procedures on the related financial statement items. </w:t>
      </w:r>
    </w:p>
    <w:p w14:paraId="450CCD3C" w14:textId="77777777" w:rsidR="008D1D52" w:rsidRPr="00F40138" w:rsidRDefault="008D1D52" w:rsidP="008D1D52">
      <w:pPr>
        <w:jc w:val="both"/>
        <w:rPr>
          <w:rFonts w:cs="Arial"/>
          <w:color w:val="000000" w:themeColor="text1"/>
          <w:szCs w:val="24"/>
        </w:rPr>
      </w:pPr>
      <w:r w:rsidRPr="00F40138">
        <w:rPr>
          <w:rFonts w:cs="Arial"/>
          <w:color w:val="000000" w:themeColor="text1"/>
          <w:szCs w:val="24"/>
        </w:rPr>
        <w:t>Secondly, the ICB is subject to many other laws and regulations where the consequences of non-compliance could have a material effect on amounts or disclosures in the financial statements, for instance through the imposition of fines or litigation.  We identified the following areas as those most likely to have such an effect: health and safety, data protection laws, anti-bribery, employment law, recognising the nature of the ICB’s activities and its legal form.  Auditing standards limit the required audit procedures to identify non-compliance with these laws and regulations to enquiry of the directors and other management and inspection of regulatory and legal correspondence, if any. Therefore if a breach of operational regulations is not disclosed to us or evident from relevant correspondence, an audit will not detect that breach.</w:t>
      </w:r>
    </w:p>
    <w:p w14:paraId="4E9DA0CA" w14:textId="77777777" w:rsidR="008D1D52" w:rsidRPr="00F40138" w:rsidRDefault="008D1D52" w:rsidP="008D1D52">
      <w:pPr>
        <w:spacing w:after="160"/>
        <w:jc w:val="both"/>
        <w:rPr>
          <w:rFonts w:cs="Arial"/>
          <w:i/>
          <w:szCs w:val="24"/>
        </w:rPr>
      </w:pPr>
      <w:r w:rsidRPr="00F40138">
        <w:rPr>
          <w:rFonts w:cs="Arial"/>
          <w:i/>
          <w:szCs w:val="24"/>
        </w:rPr>
        <w:lastRenderedPageBreak/>
        <w:t>Context of the ability of the audit to detect fraud or breaches of law or regulation</w:t>
      </w:r>
    </w:p>
    <w:p w14:paraId="102E49F1" w14:textId="77777777" w:rsidR="008D1D52" w:rsidRPr="00F40138" w:rsidRDefault="008D1D52" w:rsidP="008D1D52">
      <w:pPr>
        <w:spacing w:after="120"/>
        <w:jc w:val="both"/>
        <w:rPr>
          <w:rFonts w:cs="Arial"/>
          <w:iCs/>
          <w:szCs w:val="24"/>
        </w:rPr>
      </w:pPr>
      <w:r w:rsidRPr="00F40138">
        <w:rPr>
          <w:rFonts w:cs="Arial"/>
          <w:iCs/>
          <w:szCs w:val="24"/>
        </w:rPr>
        <w:t xml:space="preserve">Owing to the inherent limitations of an audit, there is an unavoidable risk that we may not have detected some material misstatements in the financial statements, even though we have properly planned and performed our audit in accordance with auditing standards. For example, the further removed non-compliance with laws and regulations is from the events and transactions reflected in the financial statements, the less likely the inherently limited procedures required by auditing standards would identify it.  </w:t>
      </w:r>
    </w:p>
    <w:p w14:paraId="5AD74CE2" w14:textId="77777777" w:rsidR="008D1D52" w:rsidRPr="00F40138" w:rsidRDefault="008D1D52" w:rsidP="008D1D52">
      <w:pPr>
        <w:spacing w:after="160"/>
        <w:jc w:val="both"/>
        <w:rPr>
          <w:rFonts w:cs="Arial"/>
          <w:bCs/>
          <w:iCs/>
          <w:color w:val="FF0000"/>
          <w:szCs w:val="24"/>
        </w:rPr>
      </w:pPr>
      <w:r w:rsidRPr="00F40138">
        <w:rPr>
          <w:rFonts w:cs="Arial"/>
          <w:iCs/>
          <w:szCs w:val="24"/>
        </w:rPr>
        <w:t>In addition, as with any audit, there remained a higher risk of non-detection of fraud, as fraud may involve collusion, forgery, intentional omissions, misrepresentations, or the override of internal controls. Our audit procedures are designed to detect material misstatement. We are not responsible for preventing non-compliance or fraud and cannot be expected to detect non-compliance with all laws and regulations.</w:t>
      </w:r>
    </w:p>
    <w:p w14:paraId="10AD6BFF" w14:textId="77777777" w:rsidR="008D1D52" w:rsidRPr="00F40138" w:rsidRDefault="008D1D52" w:rsidP="008D1D52">
      <w:pPr>
        <w:spacing w:after="160"/>
        <w:jc w:val="both"/>
        <w:rPr>
          <w:rFonts w:cs="Arial"/>
          <w:b/>
          <w:szCs w:val="24"/>
        </w:rPr>
      </w:pPr>
      <w:r w:rsidRPr="00F40138">
        <w:rPr>
          <w:rFonts w:cs="Arial"/>
          <w:b/>
          <w:szCs w:val="24"/>
        </w:rPr>
        <w:t>Other information in the Annual Report</w:t>
      </w:r>
    </w:p>
    <w:p w14:paraId="6814CCB5" w14:textId="77777777" w:rsidR="008D1D52" w:rsidRPr="00F40138" w:rsidRDefault="008D1D52" w:rsidP="008D1D52">
      <w:pPr>
        <w:spacing w:after="120"/>
        <w:jc w:val="both"/>
        <w:rPr>
          <w:rFonts w:cs="Arial"/>
          <w:szCs w:val="24"/>
        </w:rPr>
      </w:pPr>
      <w:r w:rsidRPr="00F40138">
        <w:rPr>
          <w:rFonts w:cs="Arial"/>
          <w:szCs w:val="24"/>
        </w:rPr>
        <w:t>The Accountable Officer is responsible for the other information, which comprises the information included in the Annual Report, other than the financial statements and our auditor’s report thereon.  Our opinion on the financial statements does not cover the other information and, accordingly, we do not express an audit opinion or, except as explicitly stated below, any form of assurance conclusion thereon.</w:t>
      </w:r>
    </w:p>
    <w:p w14:paraId="00FE2901" w14:textId="77777777" w:rsidR="008D1D52" w:rsidRPr="00F40138" w:rsidRDefault="008D1D52" w:rsidP="008D1D52">
      <w:pPr>
        <w:spacing w:after="120"/>
        <w:jc w:val="both"/>
        <w:rPr>
          <w:rFonts w:cs="Arial"/>
          <w:szCs w:val="24"/>
        </w:rPr>
      </w:pPr>
      <w:r w:rsidRPr="00F40138">
        <w:rPr>
          <w:rFonts w:cs="Arial"/>
          <w:szCs w:val="24"/>
        </w:rPr>
        <w:t>Our responsibility is to read the other information and, in doing so, consider whether, based on our financial statements audit work, the information therein is materially misstated or inconsistent with the financial statements or our audit knowledge.  Based solely on that work:</w:t>
      </w:r>
    </w:p>
    <w:p w14:paraId="3177B865" w14:textId="77777777" w:rsidR="008D1D52" w:rsidRPr="00F40138" w:rsidRDefault="008D1D52" w:rsidP="008D1D52">
      <w:pPr>
        <w:pStyle w:val="ListParagraph"/>
        <w:numPr>
          <w:ilvl w:val="0"/>
          <w:numId w:val="42"/>
        </w:numPr>
        <w:spacing w:after="120"/>
        <w:ind w:left="284" w:hanging="284"/>
        <w:contextualSpacing w:val="0"/>
        <w:jc w:val="both"/>
        <w:rPr>
          <w:rFonts w:cs="Arial"/>
          <w:szCs w:val="24"/>
        </w:rPr>
      </w:pPr>
      <w:r w:rsidRPr="00F40138">
        <w:rPr>
          <w:rFonts w:cs="Arial"/>
          <w:szCs w:val="24"/>
        </w:rPr>
        <w:t>we have not identified material misstatements in the other information; and</w:t>
      </w:r>
    </w:p>
    <w:p w14:paraId="58E9DAE6" w14:textId="77777777" w:rsidR="008D1D52" w:rsidRPr="00F40138" w:rsidRDefault="008D1D52" w:rsidP="008D1D52">
      <w:pPr>
        <w:pStyle w:val="ListParagraph"/>
        <w:numPr>
          <w:ilvl w:val="0"/>
          <w:numId w:val="42"/>
        </w:numPr>
        <w:spacing w:after="120"/>
        <w:ind w:left="284" w:hanging="284"/>
        <w:contextualSpacing w:val="0"/>
        <w:jc w:val="both"/>
        <w:rPr>
          <w:rFonts w:cs="Arial"/>
          <w:b/>
          <w:i/>
          <w:szCs w:val="24"/>
        </w:rPr>
      </w:pPr>
      <w:r w:rsidRPr="00F40138">
        <w:rPr>
          <w:rFonts w:cs="Arial"/>
          <w:szCs w:val="24"/>
        </w:rPr>
        <w:t>in our opinion the other information included in the Annual Report for the financial year is consistent with the financial statements.</w:t>
      </w:r>
    </w:p>
    <w:p w14:paraId="1E7F9797" w14:textId="77777777" w:rsidR="008D1D52" w:rsidRPr="00F40138" w:rsidRDefault="008D1D52" w:rsidP="008D1D52">
      <w:pPr>
        <w:autoSpaceDE w:val="0"/>
        <w:autoSpaceDN w:val="0"/>
        <w:adjustRightInd w:val="0"/>
        <w:spacing w:after="160"/>
        <w:jc w:val="both"/>
        <w:rPr>
          <w:rFonts w:cs="Arial"/>
          <w:b/>
          <w:i/>
          <w:szCs w:val="24"/>
        </w:rPr>
      </w:pPr>
      <w:r w:rsidRPr="00F40138">
        <w:rPr>
          <w:rFonts w:cs="Arial"/>
          <w:b/>
          <w:i/>
          <w:szCs w:val="24"/>
        </w:rPr>
        <w:t xml:space="preserve">Annual Governance Statement </w:t>
      </w:r>
    </w:p>
    <w:p w14:paraId="1FE7388D" w14:textId="77777777" w:rsidR="008D1D52" w:rsidRPr="00F40138" w:rsidRDefault="008D1D52" w:rsidP="008D1D52">
      <w:pPr>
        <w:autoSpaceDE w:val="0"/>
        <w:autoSpaceDN w:val="0"/>
        <w:adjustRightInd w:val="0"/>
        <w:spacing w:after="160"/>
        <w:jc w:val="both"/>
        <w:rPr>
          <w:rFonts w:cs="Arial"/>
          <w:szCs w:val="24"/>
        </w:rPr>
      </w:pPr>
      <w:r w:rsidRPr="00F40138">
        <w:rPr>
          <w:rFonts w:cs="Arial"/>
          <w:szCs w:val="24"/>
        </w:rPr>
        <w:t>We are required by the Code of Audit Practice published by the National Audit Office in April 2020 on behalf of the Comptroller and Auditor General (the “Code of Audit Practice”) to report to you if the Annual Governance Statement has not been prepared in accordance with the requirements of the Department of Health and Social Care Group Accounting Manual 2023/24.  We have nothing to report in this respect.</w:t>
      </w:r>
    </w:p>
    <w:p w14:paraId="047131A6" w14:textId="77777777" w:rsidR="008D1D52" w:rsidRPr="00F40138" w:rsidRDefault="008D1D52" w:rsidP="008D1D52">
      <w:pPr>
        <w:autoSpaceDE w:val="0"/>
        <w:autoSpaceDN w:val="0"/>
        <w:adjustRightInd w:val="0"/>
        <w:spacing w:after="160"/>
        <w:jc w:val="both"/>
        <w:rPr>
          <w:rFonts w:cs="Arial"/>
          <w:b/>
          <w:i/>
          <w:iCs/>
          <w:szCs w:val="24"/>
        </w:rPr>
      </w:pPr>
      <w:r w:rsidRPr="00F40138">
        <w:rPr>
          <w:rFonts w:cs="Arial"/>
          <w:b/>
          <w:i/>
          <w:iCs/>
          <w:szCs w:val="24"/>
        </w:rPr>
        <w:t xml:space="preserve">Remuneration and Staff Reports </w:t>
      </w:r>
    </w:p>
    <w:p w14:paraId="058A582B" w14:textId="77777777" w:rsidR="008D1D52" w:rsidRPr="00F40138" w:rsidRDefault="008D1D52" w:rsidP="008D1D52">
      <w:pPr>
        <w:autoSpaceDE w:val="0"/>
        <w:autoSpaceDN w:val="0"/>
        <w:adjustRightInd w:val="0"/>
        <w:spacing w:after="160"/>
        <w:jc w:val="both"/>
        <w:rPr>
          <w:rFonts w:cs="Arial"/>
          <w:szCs w:val="24"/>
        </w:rPr>
      </w:pPr>
      <w:r w:rsidRPr="00F40138">
        <w:rPr>
          <w:rFonts w:cs="Arial"/>
          <w:szCs w:val="24"/>
        </w:rPr>
        <w:t xml:space="preserve">In our opinion </w:t>
      </w:r>
      <w:r w:rsidRPr="00F40138">
        <w:rPr>
          <w:rFonts w:cs="Arial"/>
          <w:iCs/>
          <w:szCs w:val="24"/>
        </w:rPr>
        <w:t xml:space="preserve">the parts of the Remuneration and Staff Reports </w:t>
      </w:r>
      <w:r w:rsidRPr="00F40138">
        <w:rPr>
          <w:rFonts w:cs="Arial"/>
          <w:szCs w:val="24"/>
        </w:rPr>
        <w:t xml:space="preserve">subject to audit </w:t>
      </w:r>
      <w:r w:rsidRPr="00F40138">
        <w:rPr>
          <w:rFonts w:cs="Arial"/>
          <w:iCs/>
          <w:szCs w:val="24"/>
        </w:rPr>
        <w:t xml:space="preserve">have been </w:t>
      </w:r>
      <w:r w:rsidRPr="00F40138">
        <w:rPr>
          <w:rFonts w:cs="Arial"/>
          <w:szCs w:val="24"/>
        </w:rPr>
        <w:t>properly prepared, in all material respects, in accordance with the Department of Health and Social Care Group Accounting Manual 2023/24.</w:t>
      </w:r>
    </w:p>
    <w:p w14:paraId="68941BB7" w14:textId="77777777" w:rsidR="00D147F2" w:rsidRDefault="00D147F2">
      <w:pPr>
        <w:spacing w:before="0" w:after="200" w:line="276" w:lineRule="auto"/>
        <w:rPr>
          <w:rFonts w:cs="Arial"/>
          <w:b/>
          <w:szCs w:val="24"/>
        </w:rPr>
      </w:pPr>
      <w:r>
        <w:rPr>
          <w:rFonts w:cs="Arial"/>
          <w:b/>
          <w:szCs w:val="24"/>
        </w:rPr>
        <w:br w:type="page"/>
      </w:r>
    </w:p>
    <w:p w14:paraId="27651934" w14:textId="1BE984B0" w:rsidR="008D1D52" w:rsidRPr="00F40138" w:rsidRDefault="008D1D52" w:rsidP="008D1D52">
      <w:pPr>
        <w:spacing w:after="160"/>
        <w:jc w:val="both"/>
        <w:rPr>
          <w:rFonts w:cs="Arial"/>
          <w:b/>
          <w:szCs w:val="24"/>
        </w:rPr>
      </w:pPr>
      <w:r w:rsidRPr="00F40138">
        <w:rPr>
          <w:rFonts w:cs="Arial"/>
          <w:b/>
          <w:szCs w:val="24"/>
        </w:rPr>
        <w:lastRenderedPageBreak/>
        <w:t>Accountable Officer’s responsibilities</w:t>
      </w:r>
    </w:p>
    <w:p w14:paraId="6C84A07A" w14:textId="1B427BB7" w:rsidR="008D1D52" w:rsidRPr="00F40138" w:rsidRDefault="008D1D52" w:rsidP="008D1D52">
      <w:pPr>
        <w:spacing w:after="160"/>
        <w:jc w:val="both"/>
        <w:rPr>
          <w:rFonts w:cs="Arial"/>
          <w:szCs w:val="24"/>
        </w:rPr>
      </w:pPr>
      <w:r w:rsidRPr="00F40138">
        <w:rPr>
          <w:rFonts w:cs="Arial"/>
          <w:szCs w:val="24"/>
        </w:rPr>
        <w:t xml:space="preserve">As explained more fully in the statement set out on page </w:t>
      </w:r>
      <w:r w:rsidR="00EE5B50" w:rsidRPr="00F40138">
        <w:rPr>
          <w:rFonts w:cs="Arial"/>
          <w:szCs w:val="24"/>
        </w:rPr>
        <w:t>47</w:t>
      </w:r>
      <w:r w:rsidRPr="00F40138">
        <w:rPr>
          <w:rFonts w:cs="Arial"/>
          <w:szCs w:val="24"/>
        </w:rPr>
        <w:t xml:space="preserve">, the Accountable Officer of the ICB is responsible for the preparation of financial statements that give a true and fair view.  They are also responsible for such internal control as they determine is necessary to enable the preparation of financial statements that are free from material misstatement, whether due to fraud or error; assessing the ICB’s ability to continue as a going concern, disclosing, as applicable, matters related to going concern; and using the going concern basis of accounting unless they have been informed by the relevant national body of the intention to either cease the services provided by the ICB or dissolve the ICB without the transfer of its services to another public sector entity. </w:t>
      </w:r>
    </w:p>
    <w:p w14:paraId="370D5830" w14:textId="77777777" w:rsidR="008D1D52" w:rsidRPr="00F40138" w:rsidRDefault="008D1D52" w:rsidP="008D1D52">
      <w:pPr>
        <w:spacing w:after="160"/>
        <w:jc w:val="both"/>
        <w:rPr>
          <w:rFonts w:cs="Arial"/>
          <w:b/>
          <w:szCs w:val="24"/>
        </w:rPr>
      </w:pPr>
      <w:r w:rsidRPr="00F40138">
        <w:rPr>
          <w:rFonts w:cs="Arial"/>
          <w:b/>
          <w:szCs w:val="24"/>
        </w:rPr>
        <w:t xml:space="preserve">Auditor’s responsibilities </w:t>
      </w:r>
    </w:p>
    <w:p w14:paraId="15FD0A9F" w14:textId="77777777" w:rsidR="008D1D52" w:rsidRPr="00F40138" w:rsidRDefault="008D1D52" w:rsidP="008D1D52">
      <w:pPr>
        <w:spacing w:after="160"/>
        <w:jc w:val="both"/>
        <w:rPr>
          <w:rFonts w:cs="Arial"/>
          <w:szCs w:val="24"/>
        </w:rPr>
      </w:pPr>
      <w:r w:rsidRPr="00F40138">
        <w:rPr>
          <w:rFonts w:cs="Arial"/>
          <w:szCs w:val="24"/>
        </w:rPr>
        <w:t xml:space="preserve">Our objectives are to obtain reasonable assurance about whether the financial statements as a whole are free from material misstatement, whether due to fraud or error, and to issue our opinion in an auditor’s report.  Reasonable assurance is a high level of assurance, but does not guarantee that an audit conducted in accordance with ISAs (UK) will always detect a material misstatement when it exists.  Misstatements can arise from fraud or error and are considered material if, individually or in aggregate, they could reasonably be expected to influence the economic decisions of users taken on the basis of the financial statements.  </w:t>
      </w:r>
    </w:p>
    <w:p w14:paraId="278D3FCB" w14:textId="77777777" w:rsidR="008D1D52" w:rsidRPr="00F40138" w:rsidRDefault="008D1D52" w:rsidP="008D1D52">
      <w:pPr>
        <w:spacing w:after="160"/>
        <w:jc w:val="both"/>
        <w:rPr>
          <w:rFonts w:cs="Arial"/>
          <w:szCs w:val="24"/>
        </w:rPr>
      </w:pPr>
      <w:r w:rsidRPr="00F40138">
        <w:rPr>
          <w:rFonts w:cs="Arial"/>
          <w:szCs w:val="24"/>
        </w:rPr>
        <w:t xml:space="preserve">A fuller description of our responsibilities is provided on the FRC’s website at </w:t>
      </w:r>
      <w:hyperlink r:id="rId63" w:history="1">
        <w:r w:rsidRPr="00F40138">
          <w:rPr>
            <w:rStyle w:val="Hyperlink"/>
            <w:rFonts w:cs="Arial"/>
            <w:szCs w:val="24"/>
          </w:rPr>
          <w:t>www.frc.org.uk/auditorsresponsibilities</w:t>
        </w:r>
      </w:hyperlink>
      <w:r w:rsidRPr="00F40138">
        <w:rPr>
          <w:rStyle w:val="Hyperlink"/>
          <w:rFonts w:cs="Arial"/>
          <w:szCs w:val="24"/>
        </w:rPr>
        <w:t>.</w:t>
      </w:r>
    </w:p>
    <w:p w14:paraId="70D513E7" w14:textId="77777777" w:rsidR="008D1D52" w:rsidRPr="00F40138" w:rsidRDefault="008D1D52" w:rsidP="008D1D52">
      <w:pPr>
        <w:spacing w:after="160"/>
        <w:jc w:val="both"/>
        <w:rPr>
          <w:rFonts w:cs="Arial"/>
          <w:b/>
          <w:bCs/>
          <w:szCs w:val="24"/>
        </w:rPr>
      </w:pPr>
      <w:r w:rsidRPr="00F40138">
        <w:rPr>
          <w:rFonts w:cs="Arial"/>
          <w:b/>
          <w:bCs/>
          <w:szCs w:val="24"/>
        </w:rPr>
        <w:t>REPORT ON OTHER LEGAL AND REGULATORY MATTERS</w:t>
      </w:r>
    </w:p>
    <w:p w14:paraId="396977DC" w14:textId="77777777" w:rsidR="008D1D52" w:rsidRPr="00F40138" w:rsidRDefault="008D1D52" w:rsidP="008D1D52">
      <w:pPr>
        <w:autoSpaceDE w:val="0"/>
        <w:autoSpaceDN w:val="0"/>
        <w:adjustRightInd w:val="0"/>
        <w:spacing w:after="160"/>
        <w:jc w:val="both"/>
        <w:rPr>
          <w:rFonts w:cs="Arial"/>
          <w:b/>
          <w:bCs/>
          <w:szCs w:val="24"/>
        </w:rPr>
      </w:pPr>
      <w:r w:rsidRPr="00F40138">
        <w:rPr>
          <w:rFonts w:cs="Arial"/>
          <w:b/>
          <w:bCs/>
          <w:szCs w:val="24"/>
        </w:rPr>
        <w:t xml:space="preserve">Opinion on regularity </w:t>
      </w:r>
    </w:p>
    <w:p w14:paraId="1E27FEFA" w14:textId="77777777" w:rsidR="008D1D52" w:rsidRPr="00F40138" w:rsidRDefault="008D1D52" w:rsidP="008D1D52">
      <w:pPr>
        <w:spacing w:after="160"/>
        <w:jc w:val="both"/>
        <w:rPr>
          <w:rFonts w:cs="Arial"/>
          <w:szCs w:val="24"/>
        </w:rPr>
      </w:pPr>
      <w:r w:rsidRPr="00F40138">
        <w:rPr>
          <w:rFonts w:cs="Arial"/>
          <w:szCs w:val="24"/>
        </w:rPr>
        <w:t>The Accountable Officer is responsible for ensuring the regularity of expenditure and income.</w:t>
      </w:r>
    </w:p>
    <w:p w14:paraId="7F6D7E4E" w14:textId="77777777" w:rsidR="008D1D52" w:rsidRPr="00F40138" w:rsidRDefault="008D1D52" w:rsidP="008D1D52">
      <w:pPr>
        <w:spacing w:after="120"/>
        <w:jc w:val="both"/>
        <w:rPr>
          <w:rFonts w:cs="Arial"/>
          <w:szCs w:val="24"/>
        </w:rPr>
      </w:pPr>
      <w:r w:rsidRPr="00F40138">
        <w:rPr>
          <w:rFonts w:cs="Arial"/>
          <w:szCs w:val="24"/>
        </w:rPr>
        <w:t xml:space="preserve">We are required to report on the following matters under Section 21(4) and (5) of the Local Audit and Accountability Act 2014.  </w:t>
      </w:r>
    </w:p>
    <w:p w14:paraId="26936D19" w14:textId="77777777" w:rsidR="008D1D52" w:rsidRPr="00F40138" w:rsidRDefault="008D1D52" w:rsidP="008D1D52">
      <w:pPr>
        <w:autoSpaceDE w:val="0"/>
        <w:autoSpaceDN w:val="0"/>
        <w:adjustRightInd w:val="0"/>
        <w:spacing w:after="160"/>
        <w:jc w:val="both"/>
        <w:rPr>
          <w:rFonts w:cs="Arial"/>
          <w:i/>
          <w:iCs/>
          <w:color w:val="FF0000"/>
          <w:szCs w:val="24"/>
        </w:rPr>
      </w:pPr>
      <w:r w:rsidRPr="00F40138">
        <w:rPr>
          <w:rFonts w:cs="Arial"/>
          <w:szCs w:val="24"/>
        </w:rPr>
        <w:t xml:space="preserve">In our opinion, in all material respects, the expenditure and income recorded in the financial statements have been applied to the purposes intended by Parliament and the financial transactions conform to the authorities which govern them. </w:t>
      </w:r>
    </w:p>
    <w:p w14:paraId="00CD2E2E" w14:textId="77777777" w:rsidR="008D1D52" w:rsidRPr="00F40138" w:rsidRDefault="008D1D52" w:rsidP="008D1D52">
      <w:pPr>
        <w:autoSpaceDE w:val="0"/>
        <w:autoSpaceDN w:val="0"/>
        <w:adjustRightInd w:val="0"/>
        <w:spacing w:after="160"/>
        <w:jc w:val="both"/>
        <w:rPr>
          <w:rFonts w:cs="Arial"/>
          <w:b/>
          <w:bCs/>
          <w:szCs w:val="24"/>
        </w:rPr>
      </w:pPr>
      <w:r w:rsidRPr="00F40138">
        <w:rPr>
          <w:rFonts w:cs="Arial"/>
          <w:b/>
          <w:bCs/>
          <w:szCs w:val="24"/>
        </w:rPr>
        <w:t>Basis for opinion on regularity</w:t>
      </w:r>
    </w:p>
    <w:p w14:paraId="5A7142DF" w14:textId="77777777" w:rsidR="008D1D52" w:rsidRPr="00F40138" w:rsidRDefault="008D1D52" w:rsidP="008D1D52">
      <w:pPr>
        <w:spacing w:after="120"/>
        <w:jc w:val="both"/>
        <w:rPr>
          <w:rFonts w:cs="Arial"/>
          <w:color w:val="000000" w:themeColor="text1"/>
          <w:szCs w:val="24"/>
        </w:rPr>
      </w:pPr>
      <w:r w:rsidRPr="00F40138">
        <w:rPr>
          <w:rFonts w:cs="Arial"/>
          <w:color w:val="000000" w:themeColor="text1"/>
          <w:szCs w:val="24"/>
        </w:rPr>
        <w:t xml:space="preserve">We conducted our work on regularity in accordance with Statement of Recommended Practice - Practice Note 10: </w:t>
      </w:r>
      <w:r w:rsidRPr="00F40138">
        <w:rPr>
          <w:rFonts w:cs="Arial"/>
          <w:i/>
          <w:iCs/>
          <w:color w:val="000000" w:themeColor="text1"/>
          <w:szCs w:val="24"/>
        </w:rPr>
        <w:t>Audit of financial statements and regularity of public sector bodies in the United Kingdom (Revised 2022)</w:t>
      </w:r>
      <w:r w:rsidRPr="00F40138">
        <w:rPr>
          <w:rFonts w:cs="Arial"/>
          <w:color w:val="000000" w:themeColor="text1"/>
          <w:szCs w:val="24"/>
        </w:rPr>
        <w:t xml:space="preserve"> issued by the FRC.  We planned and performed procedures to obtain sufficient appropriate evidence to give an opinion over whether the expenditure and income recorded in the financial statements have been applied to the purposes intended by Parliament and the financial transactions conform to the authorities which govern them. The procedures selected depend on our judgement, </w:t>
      </w:r>
      <w:r w:rsidRPr="00F40138">
        <w:rPr>
          <w:rFonts w:cs="Arial"/>
          <w:color w:val="000000" w:themeColor="text1"/>
          <w:szCs w:val="24"/>
        </w:rPr>
        <w:lastRenderedPageBreak/>
        <w:t>including the assessment of the risks of material irregular transactions.  We are required to obtain sufficient appropriate evidence on which to base our opinion.</w:t>
      </w:r>
    </w:p>
    <w:p w14:paraId="461F4CA3" w14:textId="77777777" w:rsidR="008D1D52" w:rsidRPr="00F40138" w:rsidRDefault="008D1D52" w:rsidP="008D1D52">
      <w:pPr>
        <w:autoSpaceDE w:val="0"/>
        <w:autoSpaceDN w:val="0"/>
        <w:adjustRightInd w:val="0"/>
        <w:spacing w:after="160"/>
        <w:jc w:val="both"/>
        <w:rPr>
          <w:rFonts w:cs="Arial"/>
          <w:b/>
          <w:bCs/>
          <w:szCs w:val="24"/>
        </w:rPr>
      </w:pPr>
      <w:r w:rsidRPr="00F40138">
        <w:rPr>
          <w:rFonts w:cs="Arial"/>
          <w:b/>
          <w:bCs/>
          <w:szCs w:val="24"/>
        </w:rPr>
        <w:t xml:space="preserve">Report on the ICB’s arrangements for securing economy, efficiency and effectiveness in its use of resources </w:t>
      </w:r>
    </w:p>
    <w:p w14:paraId="39CBF689" w14:textId="77777777" w:rsidR="008D1D52" w:rsidRPr="00F40138" w:rsidRDefault="008D1D52" w:rsidP="008D1D52">
      <w:pPr>
        <w:spacing w:after="160"/>
        <w:jc w:val="both"/>
        <w:rPr>
          <w:rFonts w:cs="Arial"/>
          <w:szCs w:val="24"/>
        </w:rPr>
      </w:pPr>
      <w:r w:rsidRPr="00F40138">
        <w:rPr>
          <w:rFonts w:cs="Arial"/>
          <w:szCs w:val="24"/>
        </w:rPr>
        <w:t xml:space="preserve">Under the Code of Audit Practice, we are required to report if we identify any significant weaknesses in the arrangements that have been made by the ICB to secure economy, efficiency and effectiveness in its use of resources. </w:t>
      </w:r>
    </w:p>
    <w:p w14:paraId="60BDC022" w14:textId="77777777" w:rsidR="008D1D52" w:rsidRPr="00F40138" w:rsidRDefault="008D1D52" w:rsidP="008D1D52">
      <w:pPr>
        <w:spacing w:after="160"/>
        <w:jc w:val="both"/>
        <w:rPr>
          <w:rFonts w:cs="Arial"/>
          <w:szCs w:val="24"/>
        </w:rPr>
      </w:pPr>
      <w:r w:rsidRPr="00F40138">
        <w:rPr>
          <w:rFonts w:cs="Arial"/>
          <w:szCs w:val="24"/>
        </w:rPr>
        <w:t>We have nothing to report in this respect.</w:t>
      </w:r>
    </w:p>
    <w:p w14:paraId="6A80B470" w14:textId="77777777" w:rsidR="008D1D52" w:rsidRPr="00F40138" w:rsidRDefault="008D1D52" w:rsidP="008D1D52">
      <w:pPr>
        <w:spacing w:after="160"/>
        <w:jc w:val="both"/>
        <w:rPr>
          <w:rFonts w:cs="Arial"/>
          <w:b/>
          <w:i/>
          <w:szCs w:val="24"/>
        </w:rPr>
      </w:pPr>
      <w:bookmarkStart w:id="247" w:name="_Hlk128463095"/>
      <w:r w:rsidRPr="00F40138">
        <w:rPr>
          <w:rFonts w:cs="Arial"/>
          <w:b/>
          <w:i/>
          <w:szCs w:val="24"/>
        </w:rPr>
        <w:t xml:space="preserve">Respective responsibilities in respect of our review of arrangements for securing economy, efficiency and effectiveness in the use of resources  </w:t>
      </w:r>
    </w:p>
    <w:bookmarkEnd w:id="247"/>
    <w:p w14:paraId="66970F97" w14:textId="705A7D5B" w:rsidR="008D1D52" w:rsidRPr="00F40138" w:rsidRDefault="008D1D52" w:rsidP="008D1D52">
      <w:pPr>
        <w:spacing w:after="160"/>
        <w:jc w:val="both"/>
        <w:rPr>
          <w:rFonts w:cs="Arial"/>
          <w:szCs w:val="24"/>
        </w:rPr>
      </w:pPr>
      <w:r w:rsidRPr="00F40138">
        <w:rPr>
          <w:rFonts w:cs="Arial"/>
          <w:szCs w:val="24"/>
        </w:rPr>
        <w:t xml:space="preserve">As explained more fully in the statement set out on page </w:t>
      </w:r>
      <w:r w:rsidR="009B728A" w:rsidRPr="00F40138">
        <w:rPr>
          <w:rFonts w:cs="Arial"/>
          <w:szCs w:val="24"/>
        </w:rPr>
        <w:t>47</w:t>
      </w:r>
      <w:r w:rsidRPr="00F40138">
        <w:rPr>
          <w:rFonts w:cs="Arial"/>
          <w:szCs w:val="24"/>
        </w:rPr>
        <w:t>, t</w:t>
      </w:r>
      <w:r w:rsidRPr="00F40138">
        <w:rPr>
          <w:rFonts w:cs="Arial"/>
          <w:iCs/>
          <w:szCs w:val="24"/>
        </w:rPr>
        <w:t>he Accountable Officer is responsible for ensuring that the ICB exercises its functions effectively, efficiently and economically.  We are required under section 21(1)(c) of the Local Audit and Accountability Act 2014 to be satisfied that the ICB has made proper arrangements for securing economy, efficiency and effectiveness in its use of resources.</w:t>
      </w:r>
    </w:p>
    <w:p w14:paraId="4C3E0B11" w14:textId="77777777" w:rsidR="008D1D52" w:rsidRPr="00F40138" w:rsidRDefault="008D1D52" w:rsidP="008D1D52">
      <w:pPr>
        <w:spacing w:after="160"/>
        <w:jc w:val="both"/>
        <w:rPr>
          <w:rFonts w:cs="Arial"/>
          <w:szCs w:val="24"/>
        </w:rPr>
      </w:pPr>
      <w:r w:rsidRPr="00F40138">
        <w:rPr>
          <w:rFonts w:cs="Arial"/>
          <w:szCs w:val="24"/>
        </w:rPr>
        <w:t>We are not required to consider, nor have we considered, whether all aspects of the ICB’s arrangements for securing economy, efficiency and effectiveness in its use of resources are operating effectively.</w:t>
      </w:r>
    </w:p>
    <w:p w14:paraId="033B64A5" w14:textId="77777777" w:rsidR="008D1D52" w:rsidRPr="00F40138" w:rsidRDefault="008D1D52" w:rsidP="008D1D52">
      <w:pPr>
        <w:autoSpaceDE w:val="0"/>
        <w:autoSpaceDN w:val="0"/>
        <w:adjustRightInd w:val="0"/>
        <w:spacing w:after="160"/>
        <w:jc w:val="both"/>
        <w:rPr>
          <w:rFonts w:cs="Arial"/>
          <w:szCs w:val="24"/>
        </w:rPr>
      </w:pPr>
      <w:r w:rsidRPr="00F40138">
        <w:rPr>
          <w:rFonts w:cs="Arial"/>
          <w:szCs w:val="24"/>
        </w:rPr>
        <w:t xml:space="preserve">We planned our work and undertook our review in accordance with the Code of Audit Practice and related statutory guidance, </w:t>
      </w:r>
      <w:bookmarkStart w:id="248" w:name="_Hlk69726109"/>
      <w:r w:rsidRPr="00F40138">
        <w:rPr>
          <w:rFonts w:cs="Arial"/>
          <w:szCs w:val="24"/>
        </w:rPr>
        <w:t xml:space="preserve">having regard to whether the ICB had proper arrangements in place to ensure financial sustainability, proper governance and to use information about costs and performance to improve the way it manages and delivers its services. Based on our risk assessment, we undertook such work as we considered necessary. </w:t>
      </w:r>
    </w:p>
    <w:bookmarkEnd w:id="248"/>
    <w:p w14:paraId="1890BCC6" w14:textId="77777777" w:rsidR="008D1D52" w:rsidRPr="00F40138" w:rsidRDefault="008D1D52" w:rsidP="008D1D52">
      <w:pPr>
        <w:rPr>
          <w:rFonts w:cs="Arial"/>
          <w:b/>
          <w:bCs/>
          <w:szCs w:val="24"/>
        </w:rPr>
      </w:pPr>
      <w:r w:rsidRPr="00F40138">
        <w:rPr>
          <w:rFonts w:cs="Arial"/>
          <w:b/>
          <w:bCs/>
          <w:szCs w:val="24"/>
        </w:rPr>
        <w:t>Statutory reporting matters</w:t>
      </w:r>
    </w:p>
    <w:p w14:paraId="2F0FDAAB" w14:textId="5890D3D9" w:rsidR="008D1D52" w:rsidRPr="00F40138" w:rsidRDefault="008D1D52" w:rsidP="008D1D52">
      <w:pPr>
        <w:rPr>
          <w:rFonts w:cs="Arial"/>
          <w:szCs w:val="24"/>
        </w:rPr>
      </w:pPr>
      <w:r w:rsidRPr="00F40138">
        <w:rPr>
          <w:rFonts w:cs="Arial"/>
          <w:szCs w:val="24"/>
        </w:rPr>
        <w:t>We are required by Schedule 2 to the Code of Audit Practice to report to you if we refer a matter to the Secretary of State and NHS England under section 30 of the Local Audit and Accountability Act 2014 because we have reason to believe that the ICB, or an officer of the ICB, is about to make, or has made, a decision which involves or would involve the body incurring unlawful expenditure, or is about to take, or has begun to take a course of action which, if followed to its conclusion, would be unlawful and likely to cause a loss or deficiency.</w:t>
      </w:r>
    </w:p>
    <w:p w14:paraId="0E44A66B" w14:textId="77777777" w:rsidR="008D1D52" w:rsidRPr="00F40138" w:rsidRDefault="008D1D52" w:rsidP="008D1D52">
      <w:pPr>
        <w:autoSpaceDE w:val="0"/>
        <w:autoSpaceDN w:val="0"/>
        <w:adjustRightInd w:val="0"/>
        <w:spacing w:after="160"/>
        <w:jc w:val="both"/>
        <w:rPr>
          <w:rFonts w:cs="Arial"/>
          <w:szCs w:val="24"/>
        </w:rPr>
      </w:pPr>
      <w:r w:rsidRPr="00F40138">
        <w:rPr>
          <w:rFonts w:cs="Arial"/>
          <w:szCs w:val="24"/>
        </w:rPr>
        <w:t>We have nothing to report in this respect.</w:t>
      </w:r>
    </w:p>
    <w:p w14:paraId="7AB1179B" w14:textId="77777777" w:rsidR="008D1D52" w:rsidRPr="00F40138" w:rsidRDefault="008D1D52" w:rsidP="008D1D52">
      <w:pPr>
        <w:autoSpaceDE w:val="0"/>
        <w:autoSpaceDN w:val="0"/>
        <w:adjustRightInd w:val="0"/>
        <w:spacing w:after="160"/>
        <w:jc w:val="both"/>
        <w:rPr>
          <w:rFonts w:cs="Arial"/>
          <w:b/>
          <w:caps/>
          <w:szCs w:val="24"/>
        </w:rPr>
      </w:pPr>
      <w:r w:rsidRPr="00F40138">
        <w:rPr>
          <w:rFonts w:cs="Arial"/>
          <w:b/>
          <w:caps/>
          <w:szCs w:val="24"/>
        </w:rPr>
        <w:t>The purpose of our audit work and to whom we owe our responsibilities</w:t>
      </w:r>
    </w:p>
    <w:p w14:paraId="76E3931C" w14:textId="77777777" w:rsidR="008D1D52" w:rsidRPr="00F40138" w:rsidRDefault="008D1D52" w:rsidP="008D1D52">
      <w:pPr>
        <w:spacing w:after="160"/>
        <w:jc w:val="both"/>
        <w:rPr>
          <w:rFonts w:cs="Arial"/>
          <w:szCs w:val="24"/>
        </w:rPr>
      </w:pPr>
      <w:r w:rsidRPr="00F40138">
        <w:rPr>
          <w:rFonts w:cs="Arial"/>
          <w:szCs w:val="24"/>
        </w:rPr>
        <w:t xml:space="preserve">This report is made solely to the Members of the Board of NHS Mid &amp; South Essex Integrated Care Board, as a body, in accordance with Part 5 of the Local Audit and </w:t>
      </w:r>
      <w:r w:rsidRPr="00F40138">
        <w:rPr>
          <w:rFonts w:cs="Arial"/>
          <w:szCs w:val="24"/>
        </w:rPr>
        <w:lastRenderedPageBreak/>
        <w:t>Accountability Act 2014.  Our audit work has been undertaken so that we might state to the Members of the Board of the ICB, as a body, those matters we are required to state to them in an auditor’s report and for no other purpose.  To the fullest extent permitted by law, we do not accept or assume responsibility to anyone other than the Members of the Board of the ICB, as a body, for our audit work, for this report or for the opinions we have formed.</w:t>
      </w:r>
    </w:p>
    <w:p w14:paraId="138F987A" w14:textId="77777777" w:rsidR="008D1D52" w:rsidRPr="00F40138" w:rsidRDefault="008D1D52" w:rsidP="008D1D52">
      <w:pPr>
        <w:autoSpaceDE w:val="0"/>
        <w:autoSpaceDN w:val="0"/>
        <w:adjustRightInd w:val="0"/>
        <w:spacing w:after="160"/>
        <w:jc w:val="both"/>
        <w:rPr>
          <w:rFonts w:cs="Arial"/>
          <w:b/>
          <w:caps/>
          <w:szCs w:val="24"/>
        </w:rPr>
      </w:pPr>
      <w:r w:rsidRPr="00F40138">
        <w:rPr>
          <w:rFonts w:cs="Arial"/>
          <w:b/>
          <w:caps/>
          <w:szCs w:val="24"/>
        </w:rPr>
        <w:t>Certificate of completion of the audit</w:t>
      </w:r>
    </w:p>
    <w:p w14:paraId="06D94B2D" w14:textId="77777777" w:rsidR="008D1D52" w:rsidRPr="00F40138" w:rsidRDefault="008D1D52" w:rsidP="008D1D52">
      <w:pPr>
        <w:autoSpaceDE w:val="0"/>
        <w:autoSpaceDN w:val="0"/>
        <w:adjustRightInd w:val="0"/>
        <w:spacing w:after="160"/>
        <w:jc w:val="both"/>
        <w:rPr>
          <w:rFonts w:cs="Arial"/>
          <w:szCs w:val="24"/>
        </w:rPr>
      </w:pPr>
      <w:r w:rsidRPr="00F40138">
        <w:rPr>
          <w:rFonts w:cs="Arial"/>
          <w:color w:val="000000" w:themeColor="text1"/>
          <w:szCs w:val="24"/>
        </w:rPr>
        <w:t>We certify that we have completed the audit of the accounts of NHS Mid &amp; South Essex ICB for the year ended 31 March 2024 in accordance with the requirements of the Local Audit and Accountability Act 2014 and the Code of Audit Practice.</w:t>
      </w:r>
      <w:bookmarkStart w:id="249" w:name="_Hlk69830663"/>
      <w:bookmarkStart w:id="250" w:name="_Hlk69811572"/>
    </w:p>
    <w:bookmarkEnd w:id="249"/>
    <w:bookmarkEnd w:id="250"/>
    <w:p w14:paraId="5925C26E" w14:textId="77777777" w:rsidR="008D1D52" w:rsidRPr="00F40138" w:rsidRDefault="008D1D52" w:rsidP="008D1D52">
      <w:pPr>
        <w:pStyle w:val="BodyText2"/>
        <w:jc w:val="both"/>
        <w:rPr>
          <w:rFonts w:cs="Arial"/>
          <w:color w:val="FF0000"/>
          <w:szCs w:val="24"/>
          <w:lang w:eastAsia="en-GB"/>
        </w:rPr>
      </w:pPr>
    </w:p>
    <w:p w14:paraId="18A0E1EF" w14:textId="77777777" w:rsidR="008D1D52" w:rsidRPr="00F40138" w:rsidRDefault="008D1D52" w:rsidP="008D1D52">
      <w:pPr>
        <w:pStyle w:val="BodyText2"/>
        <w:jc w:val="both"/>
        <w:rPr>
          <w:rFonts w:cs="Arial"/>
          <w:color w:val="FF0000"/>
          <w:szCs w:val="24"/>
          <w:lang w:eastAsia="en-GB"/>
        </w:rPr>
      </w:pPr>
    </w:p>
    <w:p w14:paraId="6F085DD8" w14:textId="77777777" w:rsidR="008D1D52" w:rsidRPr="00F40138" w:rsidRDefault="008D1D52" w:rsidP="008D1D52">
      <w:pPr>
        <w:rPr>
          <w:rFonts w:cs="Arial"/>
          <w:szCs w:val="24"/>
        </w:rPr>
      </w:pPr>
    </w:p>
    <w:p w14:paraId="2F05275F" w14:textId="77777777" w:rsidR="008D1D52" w:rsidRPr="00F40138" w:rsidRDefault="008D1D52" w:rsidP="008D1D52">
      <w:pPr>
        <w:pStyle w:val="Default"/>
        <w:spacing w:before="0"/>
        <w:contextualSpacing/>
        <w:jc w:val="both"/>
        <w:rPr>
          <w:iCs/>
          <w:color w:val="auto"/>
        </w:rPr>
      </w:pPr>
      <w:r w:rsidRPr="00F40138">
        <w:rPr>
          <w:iCs/>
          <w:color w:val="auto"/>
        </w:rPr>
        <w:t>Emma Larcombe</w:t>
      </w:r>
    </w:p>
    <w:p w14:paraId="73C443BF" w14:textId="77777777" w:rsidR="008D1D52" w:rsidRPr="00F40138" w:rsidRDefault="008D1D52" w:rsidP="008D1D52">
      <w:pPr>
        <w:pStyle w:val="Default"/>
        <w:spacing w:before="0"/>
        <w:contextualSpacing/>
        <w:jc w:val="both"/>
        <w:rPr>
          <w:b/>
        </w:rPr>
      </w:pPr>
      <w:r w:rsidRPr="00F40138">
        <w:rPr>
          <w:b/>
          <w:iCs/>
        </w:rPr>
        <w:t xml:space="preserve">for and on behalf of KPMG LLP </w:t>
      </w:r>
    </w:p>
    <w:p w14:paraId="4B67E73A" w14:textId="77777777" w:rsidR="008D1D52" w:rsidRPr="00F40138" w:rsidRDefault="008D1D52" w:rsidP="008D1D52">
      <w:pPr>
        <w:pStyle w:val="Default"/>
        <w:spacing w:before="0"/>
        <w:contextualSpacing/>
        <w:jc w:val="both"/>
        <w:rPr>
          <w:i/>
          <w:color w:val="auto"/>
        </w:rPr>
      </w:pPr>
      <w:r w:rsidRPr="00F40138">
        <w:rPr>
          <w:i/>
          <w:color w:val="auto"/>
        </w:rPr>
        <w:t>Chartered Accountants</w:t>
      </w:r>
    </w:p>
    <w:p w14:paraId="6C1E8B30" w14:textId="77777777" w:rsidR="008D1D52" w:rsidRPr="00F40138" w:rsidRDefault="008D1D52" w:rsidP="008D1D52">
      <w:pPr>
        <w:spacing w:before="0" w:after="0"/>
        <w:contextualSpacing/>
        <w:rPr>
          <w:rFonts w:cs="Arial"/>
          <w:szCs w:val="24"/>
        </w:rPr>
      </w:pPr>
      <w:r w:rsidRPr="00F40138">
        <w:rPr>
          <w:rFonts w:cs="Arial"/>
          <w:szCs w:val="24"/>
        </w:rPr>
        <w:t>c/o Fora</w:t>
      </w:r>
    </w:p>
    <w:p w14:paraId="6ACE9896" w14:textId="77777777" w:rsidR="008D1D52" w:rsidRPr="00F40138" w:rsidRDefault="008D1D52" w:rsidP="008D1D52">
      <w:pPr>
        <w:spacing w:before="0" w:after="0"/>
        <w:contextualSpacing/>
        <w:rPr>
          <w:rFonts w:cs="Arial"/>
          <w:szCs w:val="24"/>
        </w:rPr>
      </w:pPr>
      <w:r w:rsidRPr="00F40138">
        <w:rPr>
          <w:rFonts w:cs="Arial"/>
          <w:szCs w:val="24"/>
        </w:rPr>
        <w:t xml:space="preserve">20 Station Road, </w:t>
      </w:r>
    </w:p>
    <w:p w14:paraId="12C09EEB" w14:textId="77777777" w:rsidR="008D1D52" w:rsidRPr="00F40138" w:rsidRDefault="008D1D52" w:rsidP="008D1D52">
      <w:pPr>
        <w:spacing w:before="0" w:after="0"/>
        <w:contextualSpacing/>
        <w:rPr>
          <w:rFonts w:cs="Arial"/>
          <w:szCs w:val="24"/>
        </w:rPr>
      </w:pPr>
      <w:r w:rsidRPr="00F40138">
        <w:rPr>
          <w:rFonts w:cs="Arial"/>
          <w:szCs w:val="24"/>
        </w:rPr>
        <w:t xml:space="preserve">Cambridge, </w:t>
      </w:r>
    </w:p>
    <w:p w14:paraId="029D4A8F" w14:textId="77777777" w:rsidR="008D1D52" w:rsidRPr="00F40138" w:rsidRDefault="008D1D52" w:rsidP="008D1D52">
      <w:pPr>
        <w:spacing w:before="0" w:after="0"/>
        <w:contextualSpacing/>
        <w:rPr>
          <w:rFonts w:cs="Arial"/>
          <w:szCs w:val="24"/>
        </w:rPr>
      </w:pPr>
      <w:r w:rsidRPr="00F40138">
        <w:rPr>
          <w:rFonts w:cs="Arial"/>
          <w:szCs w:val="24"/>
        </w:rPr>
        <w:t>CB1 2JD</w:t>
      </w:r>
    </w:p>
    <w:p w14:paraId="6741F15D" w14:textId="77777777" w:rsidR="008D1D52" w:rsidRPr="00F40138" w:rsidRDefault="008D1D52" w:rsidP="008D1D52">
      <w:pPr>
        <w:rPr>
          <w:rFonts w:cs="Arial"/>
          <w:szCs w:val="24"/>
        </w:rPr>
      </w:pPr>
    </w:p>
    <w:p w14:paraId="67D57D70" w14:textId="77777777" w:rsidR="008D1D52" w:rsidRPr="00F40138" w:rsidRDefault="008D1D52" w:rsidP="008D1D52">
      <w:pPr>
        <w:pStyle w:val="Default"/>
        <w:jc w:val="both"/>
        <w:rPr>
          <w:color w:val="auto"/>
        </w:rPr>
      </w:pPr>
      <w:r w:rsidRPr="00F40138">
        <w:rPr>
          <w:color w:val="auto"/>
        </w:rPr>
        <w:t>24 June 2024</w:t>
      </w:r>
    </w:p>
    <w:p w14:paraId="35CB51DB" w14:textId="77777777" w:rsidR="008D1D52" w:rsidRDefault="008D1D52" w:rsidP="00C70A7F">
      <w:pPr>
        <w:spacing w:before="0" w:after="200" w:line="276" w:lineRule="auto"/>
        <w:rPr>
          <w:sz w:val="16"/>
          <w:szCs w:val="16"/>
        </w:rPr>
      </w:pPr>
    </w:p>
    <w:sectPr w:rsidR="008D1D52" w:rsidSect="00942B87">
      <w:footerReference w:type="default" r:id="rId64"/>
      <w:pgSz w:w="12240" w:h="15840"/>
      <w:pgMar w:top="993" w:right="1440" w:bottom="1560" w:left="1440" w:header="567" w:footer="576"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2FA9C3" w14:textId="77777777" w:rsidR="00D65113" w:rsidRDefault="00D65113" w:rsidP="00E404BB">
      <w:r>
        <w:separator/>
      </w:r>
    </w:p>
  </w:endnote>
  <w:endnote w:type="continuationSeparator" w:id="0">
    <w:p w14:paraId="6557CAE0" w14:textId="77777777" w:rsidR="00D65113" w:rsidRDefault="00D65113" w:rsidP="00E404BB">
      <w:r>
        <w:continuationSeparator/>
      </w:r>
    </w:p>
  </w:endnote>
  <w:endnote w:type="continuationNotice" w:id="1">
    <w:p w14:paraId="7792E0C3" w14:textId="77777777" w:rsidR="00D65113" w:rsidRDefault="00D65113" w:rsidP="00E404B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Segoe UI Light">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370211"/>
      <w:docPartObj>
        <w:docPartGallery w:val="Page Numbers (Bottom of Page)"/>
        <w:docPartUnique/>
      </w:docPartObj>
    </w:sdtPr>
    <w:sdtEndPr/>
    <w:sdtContent>
      <w:sdt>
        <w:sdtPr>
          <w:id w:val="-1769616900"/>
          <w:docPartObj>
            <w:docPartGallery w:val="Page Numbers (Top of Page)"/>
            <w:docPartUnique/>
          </w:docPartObj>
        </w:sdtPr>
        <w:sdtEndPr/>
        <w:sdtContent>
          <w:p w14:paraId="70CC8C21" w14:textId="3B98EE69" w:rsidR="001C0486" w:rsidRDefault="001C0486" w:rsidP="00B86F12">
            <w:pPr>
              <w:pStyle w:val="Footer"/>
              <w:tabs>
                <w:tab w:val="clear" w:pos="9026"/>
              </w:tabs>
              <w:jc w:val="right"/>
            </w:pPr>
            <w:r>
              <w:rPr>
                <w:b/>
                <w:bCs/>
                <w:szCs w:val="24"/>
              </w:rPr>
              <w:fldChar w:fldCharType="begin"/>
            </w:r>
            <w:r>
              <w:rPr>
                <w:b/>
                <w:bCs/>
              </w:rPr>
              <w:instrText xml:space="preserve"> PAGE </w:instrText>
            </w:r>
            <w:r>
              <w:rPr>
                <w:b/>
                <w:bCs/>
                <w:szCs w:val="24"/>
              </w:rPr>
              <w:fldChar w:fldCharType="separate"/>
            </w:r>
            <w:r>
              <w:rPr>
                <w:b/>
                <w:bCs/>
                <w:noProof/>
              </w:rPr>
              <w:t>2</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Pr>
                <w:b/>
                <w:bCs/>
                <w:noProof/>
              </w:rPr>
              <w:t>2</w:t>
            </w:r>
            <w:r>
              <w:rPr>
                <w:b/>
                <w:bCs/>
                <w:szCs w:val="24"/>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9740218"/>
      <w:docPartObj>
        <w:docPartGallery w:val="Page Numbers (Bottom of Page)"/>
        <w:docPartUnique/>
      </w:docPartObj>
    </w:sdtPr>
    <w:sdtEndPr/>
    <w:sdtContent>
      <w:sdt>
        <w:sdtPr>
          <w:id w:val="363729624"/>
          <w:docPartObj>
            <w:docPartGallery w:val="Page Numbers (Top of Page)"/>
            <w:docPartUnique/>
          </w:docPartObj>
        </w:sdtPr>
        <w:sdtEndPr/>
        <w:sdtContent>
          <w:p w14:paraId="2124EEDD" w14:textId="15F299CD" w:rsidR="001C0486" w:rsidRDefault="001C0486">
            <w:pPr>
              <w:pStyle w:val="Footer"/>
              <w:jc w:val="right"/>
            </w:pPr>
            <w:r>
              <w:rPr>
                <w:b/>
                <w:bCs/>
                <w:szCs w:val="24"/>
              </w:rPr>
              <w:fldChar w:fldCharType="begin"/>
            </w:r>
            <w:r>
              <w:rPr>
                <w:b/>
                <w:bCs/>
              </w:rPr>
              <w:instrText xml:space="preserve"> PAGE </w:instrText>
            </w:r>
            <w:r>
              <w:rPr>
                <w:b/>
                <w:bCs/>
                <w:szCs w:val="24"/>
              </w:rPr>
              <w:fldChar w:fldCharType="separate"/>
            </w:r>
            <w:r>
              <w:rPr>
                <w:b/>
                <w:bCs/>
                <w:noProof/>
              </w:rPr>
              <w:t>2</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Pr>
                <w:b/>
                <w:bCs/>
                <w:noProof/>
              </w:rPr>
              <w:t>2</w:t>
            </w:r>
            <w:r>
              <w:rPr>
                <w:b/>
                <w:bCs/>
                <w:szCs w:val="24"/>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7150306"/>
      <w:docPartObj>
        <w:docPartGallery w:val="Page Numbers (Bottom of Page)"/>
        <w:docPartUnique/>
      </w:docPartObj>
    </w:sdtPr>
    <w:sdtEndPr/>
    <w:sdtContent>
      <w:sdt>
        <w:sdtPr>
          <w:id w:val="1431158183"/>
          <w:docPartObj>
            <w:docPartGallery w:val="Page Numbers (Top of Page)"/>
            <w:docPartUnique/>
          </w:docPartObj>
        </w:sdtPr>
        <w:sdtEndPr/>
        <w:sdtContent>
          <w:p w14:paraId="07EEF99D" w14:textId="77777777" w:rsidR="007E328B" w:rsidRDefault="007E328B">
            <w:pPr>
              <w:pStyle w:val="Footer"/>
              <w:jc w:val="right"/>
            </w:pPr>
            <w:r>
              <w:rPr>
                <w:b/>
                <w:bCs/>
                <w:szCs w:val="24"/>
              </w:rPr>
              <w:fldChar w:fldCharType="begin"/>
            </w:r>
            <w:r>
              <w:rPr>
                <w:b/>
                <w:bCs/>
              </w:rPr>
              <w:instrText xml:space="preserve"> PAGE </w:instrText>
            </w:r>
            <w:r>
              <w:rPr>
                <w:b/>
                <w:bCs/>
                <w:szCs w:val="24"/>
              </w:rPr>
              <w:fldChar w:fldCharType="separate"/>
            </w:r>
            <w:r>
              <w:rPr>
                <w:b/>
                <w:bCs/>
                <w:noProof/>
              </w:rPr>
              <w:t>2</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Pr>
                <w:b/>
                <w:bCs/>
                <w:noProof/>
              </w:rPr>
              <w:t>2</w:t>
            </w:r>
            <w:r>
              <w:rPr>
                <w:b/>
                <w:bCs/>
                <w:szCs w:val="24"/>
              </w:rPr>
              <w:fldChar w:fldCharType="end"/>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7344263"/>
      <w:docPartObj>
        <w:docPartGallery w:val="Page Numbers (Bottom of Page)"/>
        <w:docPartUnique/>
      </w:docPartObj>
    </w:sdtPr>
    <w:sdtEndPr/>
    <w:sdtContent>
      <w:sdt>
        <w:sdtPr>
          <w:id w:val="1876117506"/>
          <w:docPartObj>
            <w:docPartGallery w:val="Page Numbers (Top of Page)"/>
            <w:docPartUnique/>
          </w:docPartObj>
        </w:sdtPr>
        <w:sdtEndPr/>
        <w:sdtContent>
          <w:p w14:paraId="6CB6EAFE" w14:textId="7A3751F7" w:rsidR="00B467E3" w:rsidRDefault="00B467E3">
            <w:pPr>
              <w:pStyle w:val="Footer"/>
              <w:jc w:val="right"/>
            </w:pPr>
            <w:r>
              <w:rPr>
                <w:b/>
                <w:bCs/>
                <w:szCs w:val="24"/>
              </w:rPr>
              <w:fldChar w:fldCharType="begin"/>
            </w:r>
            <w:r>
              <w:rPr>
                <w:b/>
                <w:bCs/>
              </w:rPr>
              <w:instrText xml:space="preserve"> PAGE </w:instrText>
            </w:r>
            <w:r>
              <w:rPr>
                <w:b/>
                <w:bCs/>
                <w:szCs w:val="24"/>
              </w:rPr>
              <w:fldChar w:fldCharType="separate"/>
            </w:r>
            <w:r>
              <w:rPr>
                <w:b/>
                <w:bCs/>
                <w:noProof/>
              </w:rPr>
              <w:t>2</w:t>
            </w:r>
            <w:r>
              <w:rPr>
                <w:b/>
                <w:bCs/>
                <w:szCs w:val="24"/>
              </w:rPr>
              <w:fldChar w:fldCharType="end"/>
            </w:r>
            <w:r>
              <w:t xml:space="preserve"> of </w:t>
            </w:r>
            <w:r w:rsidR="00080034">
              <w:rPr>
                <w:b/>
                <w:bCs/>
                <w:szCs w:val="24"/>
              </w:rPr>
              <w:t>3</w:t>
            </w:r>
            <w:r w:rsidR="00D147F2">
              <w:rPr>
                <w:b/>
                <w:bCs/>
                <w:szCs w:val="24"/>
              </w:rPr>
              <w:t>9</w:t>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AD6A8B" w14:textId="77777777" w:rsidR="00D65113" w:rsidRDefault="00D65113" w:rsidP="00E404BB">
      <w:r>
        <w:separator/>
      </w:r>
    </w:p>
  </w:footnote>
  <w:footnote w:type="continuationSeparator" w:id="0">
    <w:p w14:paraId="00A9A018" w14:textId="77777777" w:rsidR="00D65113" w:rsidRDefault="00D65113" w:rsidP="00E404BB">
      <w:r>
        <w:continuationSeparator/>
      </w:r>
    </w:p>
  </w:footnote>
  <w:footnote w:type="continuationNotice" w:id="1">
    <w:p w14:paraId="79FB7E54" w14:textId="77777777" w:rsidR="00D65113" w:rsidRDefault="00D65113" w:rsidP="00E404BB"/>
  </w:footnote>
  <w:footnote w:id="2">
    <w:p w14:paraId="19084374" w14:textId="77777777" w:rsidR="00BE4D30" w:rsidRDefault="00BE4D30" w:rsidP="00152987">
      <w:pPr>
        <w:pStyle w:val="FootnoteText"/>
        <w:spacing w:before="0"/>
      </w:pPr>
      <w:r>
        <w:rPr>
          <w:rStyle w:val="FootnoteReference"/>
        </w:rPr>
        <w:footnoteRef/>
      </w:r>
      <w:r>
        <w:t xml:space="preserve"> </w:t>
      </w:r>
      <w:hyperlink r:id="rId1" w:history="1">
        <w:r w:rsidRPr="009F5976">
          <w:rPr>
            <w:rStyle w:val="Hyperlink"/>
          </w:rPr>
          <w:t>PRN00021-23-24-priorities-and-operational-planning-guidance-v1.1.pdf (england.nhs.uk)</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B36AE" w14:textId="77777777" w:rsidR="007E328B" w:rsidRDefault="007E328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1B84DFF2"/>
    <w:lvl w:ilvl="0">
      <w:start w:val="1"/>
      <w:numFmt w:val="decimal"/>
      <w:pStyle w:val="ListNumber"/>
      <w:lvlText w:val="%1."/>
      <w:lvlJc w:val="left"/>
      <w:pPr>
        <w:tabs>
          <w:tab w:val="num" w:pos="360"/>
        </w:tabs>
        <w:ind w:left="360" w:hanging="360"/>
      </w:pPr>
    </w:lvl>
  </w:abstractNum>
  <w:abstractNum w:abstractNumId="1" w15:restartNumberingAfterBreak="0">
    <w:nsid w:val="01280AA8"/>
    <w:multiLevelType w:val="hybridMultilevel"/>
    <w:tmpl w:val="0CA0CB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1AC4442"/>
    <w:multiLevelType w:val="hybridMultilevel"/>
    <w:tmpl w:val="465495A0"/>
    <w:lvl w:ilvl="0" w:tplc="19C2728E">
      <w:start w:val="1"/>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7A57BE5"/>
    <w:multiLevelType w:val="hybridMultilevel"/>
    <w:tmpl w:val="2FBA4226"/>
    <w:lvl w:ilvl="0" w:tplc="92CAC33A">
      <w:start w:val="1"/>
      <w:numFmt w:val="bullet"/>
      <w:pStyle w:val="ListParagraph"/>
      <w:lvlText w:val=""/>
      <w:lvlJc w:val="left"/>
      <w:pPr>
        <w:ind w:left="360" w:hanging="360"/>
      </w:pPr>
      <w:rPr>
        <w:rFonts w:ascii="Symbol" w:hAnsi="Symbol" w:hint="default"/>
      </w:rPr>
    </w:lvl>
    <w:lvl w:ilvl="1" w:tplc="08090001">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9040BE1"/>
    <w:multiLevelType w:val="hybridMultilevel"/>
    <w:tmpl w:val="C15C84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A1621C0"/>
    <w:multiLevelType w:val="hybridMultilevel"/>
    <w:tmpl w:val="E1DEA77E"/>
    <w:lvl w:ilvl="0" w:tplc="08090001">
      <w:start w:val="1"/>
      <w:numFmt w:val="bullet"/>
      <w:lvlText w:val=""/>
      <w:lvlJc w:val="left"/>
      <w:pPr>
        <w:ind w:left="776" w:hanging="360"/>
      </w:pPr>
      <w:rPr>
        <w:rFonts w:ascii="Symbol" w:hAnsi="Symbol" w:hint="default"/>
      </w:rPr>
    </w:lvl>
    <w:lvl w:ilvl="1" w:tplc="08090003" w:tentative="1">
      <w:start w:val="1"/>
      <w:numFmt w:val="bullet"/>
      <w:lvlText w:val="o"/>
      <w:lvlJc w:val="left"/>
      <w:pPr>
        <w:ind w:left="1496" w:hanging="360"/>
      </w:pPr>
      <w:rPr>
        <w:rFonts w:ascii="Courier New" w:hAnsi="Courier New" w:cs="Courier New" w:hint="default"/>
      </w:rPr>
    </w:lvl>
    <w:lvl w:ilvl="2" w:tplc="08090005" w:tentative="1">
      <w:start w:val="1"/>
      <w:numFmt w:val="bullet"/>
      <w:lvlText w:val=""/>
      <w:lvlJc w:val="left"/>
      <w:pPr>
        <w:ind w:left="2216" w:hanging="360"/>
      </w:pPr>
      <w:rPr>
        <w:rFonts w:ascii="Wingdings" w:hAnsi="Wingdings" w:hint="default"/>
      </w:rPr>
    </w:lvl>
    <w:lvl w:ilvl="3" w:tplc="08090001" w:tentative="1">
      <w:start w:val="1"/>
      <w:numFmt w:val="bullet"/>
      <w:lvlText w:val=""/>
      <w:lvlJc w:val="left"/>
      <w:pPr>
        <w:ind w:left="2936" w:hanging="360"/>
      </w:pPr>
      <w:rPr>
        <w:rFonts w:ascii="Symbol" w:hAnsi="Symbol" w:hint="default"/>
      </w:rPr>
    </w:lvl>
    <w:lvl w:ilvl="4" w:tplc="08090003" w:tentative="1">
      <w:start w:val="1"/>
      <w:numFmt w:val="bullet"/>
      <w:lvlText w:val="o"/>
      <w:lvlJc w:val="left"/>
      <w:pPr>
        <w:ind w:left="3656" w:hanging="360"/>
      </w:pPr>
      <w:rPr>
        <w:rFonts w:ascii="Courier New" w:hAnsi="Courier New" w:cs="Courier New" w:hint="default"/>
      </w:rPr>
    </w:lvl>
    <w:lvl w:ilvl="5" w:tplc="08090005" w:tentative="1">
      <w:start w:val="1"/>
      <w:numFmt w:val="bullet"/>
      <w:lvlText w:val=""/>
      <w:lvlJc w:val="left"/>
      <w:pPr>
        <w:ind w:left="4376" w:hanging="360"/>
      </w:pPr>
      <w:rPr>
        <w:rFonts w:ascii="Wingdings" w:hAnsi="Wingdings" w:hint="default"/>
      </w:rPr>
    </w:lvl>
    <w:lvl w:ilvl="6" w:tplc="08090001" w:tentative="1">
      <w:start w:val="1"/>
      <w:numFmt w:val="bullet"/>
      <w:lvlText w:val=""/>
      <w:lvlJc w:val="left"/>
      <w:pPr>
        <w:ind w:left="5096" w:hanging="360"/>
      </w:pPr>
      <w:rPr>
        <w:rFonts w:ascii="Symbol" w:hAnsi="Symbol" w:hint="default"/>
      </w:rPr>
    </w:lvl>
    <w:lvl w:ilvl="7" w:tplc="08090003" w:tentative="1">
      <w:start w:val="1"/>
      <w:numFmt w:val="bullet"/>
      <w:lvlText w:val="o"/>
      <w:lvlJc w:val="left"/>
      <w:pPr>
        <w:ind w:left="5816" w:hanging="360"/>
      </w:pPr>
      <w:rPr>
        <w:rFonts w:ascii="Courier New" w:hAnsi="Courier New" w:cs="Courier New" w:hint="default"/>
      </w:rPr>
    </w:lvl>
    <w:lvl w:ilvl="8" w:tplc="08090005" w:tentative="1">
      <w:start w:val="1"/>
      <w:numFmt w:val="bullet"/>
      <w:lvlText w:val=""/>
      <w:lvlJc w:val="left"/>
      <w:pPr>
        <w:ind w:left="6536" w:hanging="360"/>
      </w:pPr>
      <w:rPr>
        <w:rFonts w:ascii="Wingdings" w:hAnsi="Wingdings" w:hint="default"/>
      </w:rPr>
    </w:lvl>
  </w:abstractNum>
  <w:abstractNum w:abstractNumId="6" w15:restartNumberingAfterBreak="0">
    <w:nsid w:val="0A7B442F"/>
    <w:multiLevelType w:val="hybridMultilevel"/>
    <w:tmpl w:val="F48AEA14"/>
    <w:lvl w:ilvl="0" w:tplc="9FACFB1E">
      <w:start w:val="1"/>
      <w:numFmt w:val="bullet"/>
      <w:lvlText w:val=""/>
      <w:lvlJc w:val="left"/>
      <w:pPr>
        <w:ind w:left="776" w:hanging="360"/>
      </w:pPr>
      <w:rPr>
        <w:rFonts w:ascii="Symbol" w:hAnsi="Symbol" w:hint="default"/>
        <w:color w:val="auto"/>
      </w:rPr>
    </w:lvl>
    <w:lvl w:ilvl="1" w:tplc="08090003" w:tentative="1">
      <w:start w:val="1"/>
      <w:numFmt w:val="bullet"/>
      <w:lvlText w:val="o"/>
      <w:lvlJc w:val="left"/>
      <w:pPr>
        <w:ind w:left="1496" w:hanging="360"/>
      </w:pPr>
      <w:rPr>
        <w:rFonts w:ascii="Courier New" w:hAnsi="Courier New" w:cs="Courier New" w:hint="default"/>
      </w:rPr>
    </w:lvl>
    <w:lvl w:ilvl="2" w:tplc="08090005" w:tentative="1">
      <w:start w:val="1"/>
      <w:numFmt w:val="bullet"/>
      <w:lvlText w:val=""/>
      <w:lvlJc w:val="left"/>
      <w:pPr>
        <w:ind w:left="2216" w:hanging="360"/>
      </w:pPr>
      <w:rPr>
        <w:rFonts w:ascii="Wingdings" w:hAnsi="Wingdings" w:hint="default"/>
      </w:rPr>
    </w:lvl>
    <w:lvl w:ilvl="3" w:tplc="08090001" w:tentative="1">
      <w:start w:val="1"/>
      <w:numFmt w:val="bullet"/>
      <w:lvlText w:val=""/>
      <w:lvlJc w:val="left"/>
      <w:pPr>
        <w:ind w:left="2936" w:hanging="360"/>
      </w:pPr>
      <w:rPr>
        <w:rFonts w:ascii="Symbol" w:hAnsi="Symbol" w:hint="default"/>
      </w:rPr>
    </w:lvl>
    <w:lvl w:ilvl="4" w:tplc="08090003" w:tentative="1">
      <w:start w:val="1"/>
      <w:numFmt w:val="bullet"/>
      <w:lvlText w:val="o"/>
      <w:lvlJc w:val="left"/>
      <w:pPr>
        <w:ind w:left="3656" w:hanging="360"/>
      </w:pPr>
      <w:rPr>
        <w:rFonts w:ascii="Courier New" w:hAnsi="Courier New" w:cs="Courier New" w:hint="default"/>
      </w:rPr>
    </w:lvl>
    <w:lvl w:ilvl="5" w:tplc="08090005" w:tentative="1">
      <w:start w:val="1"/>
      <w:numFmt w:val="bullet"/>
      <w:lvlText w:val=""/>
      <w:lvlJc w:val="left"/>
      <w:pPr>
        <w:ind w:left="4376" w:hanging="360"/>
      </w:pPr>
      <w:rPr>
        <w:rFonts w:ascii="Wingdings" w:hAnsi="Wingdings" w:hint="default"/>
      </w:rPr>
    </w:lvl>
    <w:lvl w:ilvl="6" w:tplc="08090001" w:tentative="1">
      <w:start w:val="1"/>
      <w:numFmt w:val="bullet"/>
      <w:lvlText w:val=""/>
      <w:lvlJc w:val="left"/>
      <w:pPr>
        <w:ind w:left="5096" w:hanging="360"/>
      </w:pPr>
      <w:rPr>
        <w:rFonts w:ascii="Symbol" w:hAnsi="Symbol" w:hint="default"/>
      </w:rPr>
    </w:lvl>
    <w:lvl w:ilvl="7" w:tplc="08090003" w:tentative="1">
      <w:start w:val="1"/>
      <w:numFmt w:val="bullet"/>
      <w:lvlText w:val="o"/>
      <w:lvlJc w:val="left"/>
      <w:pPr>
        <w:ind w:left="5816" w:hanging="360"/>
      </w:pPr>
      <w:rPr>
        <w:rFonts w:ascii="Courier New" w:hAnsi="Courier New" w:cs="Courier New" w:hint="default"/>
      </w:rPr>
    </w:lvl>
    <w:lvl w:ilvl="8" w:tplc="08090005" w:tentative="1">
      <w:start w:val="1"/>
      <w:numFmt w:val="bullet"/>
      <w:lvlText w:val=""/>
      <w:lvlJc w:val="left"/>
      <w:pPr>
        <w:ind w:left="6536" w:hanging="360"/>
      </w:pPr>
      <w:rPr>
        <w:rFonts w:ascii="Wingdings" w:hAnsi="Wingdings" w:hint="default"/>
      </w:rPr>
    </w:lvl>
  </w:abstractNum>
  <w:abstractNum w:abstractNumId="7" w15:restartNumberingAfterBreak="0">
    <w:nsid w:val="102B73B4"/>
    <w:multiLevelType w:val="multilevel"/>
    <w:tmpl w:val="C0028E6E"/>
    <w:styleLink w:val="CurrentList7"/>
    <w:lvl w:ilvl="0">
      <w:start w:val="1"/>
      <w:numFmt w:val="bullet"/>
      <w:lvlText w:val=""/>
      <w:lvlJc w:val="left"/>
      <w:pPr>
        <w:ind w:left="1134"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1B400E46"/>
    <w:multiLevelType w:val="hybridMultilevel"/>
    <w:tmpl w:val="9F0ADF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64A14EF"/>
    <w:multiLevelType w:val="hybridMultilevel"/>
    <w:tmpl w:val="7DA834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71E71E0"/>
    <w:multiLevelType w:val="hybridMultilevel"/>
    <w:tmpl w:val="7C8201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8DA77B0"/>
    <w:multiLevelType w:val="hybridMultilevel"/>
    <w:tmpl w:val="C42C3F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90C5DD6"/>
    <w:multiLevelType w:val="multilevel"/>
    <w:tmpl w:val="D7881D3A"/>
    <w:styleLink w:val="CurrentList3"/>
    <w:lvl w:ilvl="0">
      <w:start w:val="1"/>
      <w:numFmt w:val="decimal"/>
      <w:lvlText w:val="%1.1"/>
      <w:lvlJc w:val="left"/>
      <w:pPr>
        <w:ind w:left="1134" w:hanging="1134"/>
      </w:pPr>
      <w:rPr>
        <w:rFonts w:hint="default"/>
      </w:rPr>
    </w:lvl>
    <w:lvl w:ilvl="1">
      <w:start w:val="1"/>
      <w:numFmt w:val="decimal"/>
      <w:lvlText w:val="%1.%2."/>
      <w:lvlJc w:val="left"/>
      <w:pPr>
        <w:ind w:left="1134" w:hanging="1134"/>
      </w:pPr>
      <w:rPr>
        <w:rFonts w:hint="default"/>
      </w:rPr>
    </w:lvl>
    <w:lvl w:ilvl="2">
      <w:start w:val="1"/>
      <w:numFmt w:val="decimal"/>
      <w:lvlText w:val="%1.%2.%3."/>
      <w:lvlJc w:val="left"/>
      <w:pPr>
        <w:ind w:left="1134" w:hanging="1134"/>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2FA5133A"/>
    <w:multiLevelType w:val="multilevel"/>
    <w:tmpl w:val="16807BB4"/>
    <w:styleLink w:val="CurrentList6"/>
    <w:lvl w:ilvl="0">
      <w:start w:val="1"/>
      <w:numFmt w:val="decimal"/>
      <w:isLgl/>
      <w:lvlText w:val="%1."/>
      <w:lvlJc w:val="left"/>
      <w:pPr>
        <w:ind w:left="1134" w:hanging="1134"/>
      </w:pPr>
      <w:rPr>
        <w:rFonts w:hint="default"/>
      </w:rPr>
    </w:lvl>
    <w:lvl w:ilvl="1">
      <w:start w:val="1"/>
      <w:numFmt w:val="decimal"/>
      <w:lvlText w:val="%1.%2."/>
      <w:lvlJc w:val="left"/>
      <w:pPr>
        <w:ind w:left="1134" w:hanging="1134"/>
      </w:pPr>
      <w:rPr>
        <w:rFonts w:hint="default"/>
      </w:rPr>
    </w:lvl>
    <w:lvl w:ilvl="2">
      <w:start w:val="1"/>
      <w:numFmt w:val="decimal"/>
      <w:lvlText w:val="%1.%2.%3."/>
      <w:lvlJc w:val="left"/>
      <w:pPr>
        <w:ind w:left="1134" w:hanging="1134"/>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2FB85F66"/>
    <w:multiLevelType w:val="hybridMultilevel"/>
    <w:tmpl w:val="443E61F2"/>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 w15:restartNumberingAfterBreak="0">
    <w:nsid w:val="2FEC322A"/>
    <w:multiLevelType w:val="hybridMultilevel"/>
    <w:tmpl w:val="83E217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2E95C9C"/>
    <w:multiLevelType w:val="hybridMultilevel"/>
    <w:tmpl w:val="491C1D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436E186C"/>
    <w:multiLevelType w:val="hybridMultilevel"/>
    <w:tmpl w:val="377284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45D95C89"/>
    <w:multiLevelType w:val="hybridMultilevel"/>
    <w:tmpl w:val="9028E7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47FF3A2F"/>
    <w:multiLevelType w:val="multilevel"/>
    <w:tmpl w:val="0B10C15E"/>
    <w:styleLink w:val="CurrentList8"/>
    <w:lvl w:ilvl="0">
      <w:start w:val="1"/>
      <w:numFmt w:val="bullet"/>
      <w:lvlText w:val=""/>
      <w:lvlJc w:val="left"/>
      <w:pPr>
        <w:ind w:left="1304" w:hanging="17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A991CFE"/>
    <w:multiLevelType w:val="hybridMultilevel"/>
    <w:tmpl w:val="D8969CA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4B5842CF"/>
    <w:multiLevelType w:val="multilevel"/>
    <w:tmpl w:val="9BB88C9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2" w15:restartNumberingAfterBreak="0">
    <w:nsid w:val="4BA70015"/>
    <w:multiLevelType w:val="hybridMultilevel"/>
    <w:tmpl w:val="6164A36E"/>
    <w:lvl w:ilvl="0" w:tplc="08090001">
      <w:start w:val="1"/>
      <w:numFmt w:val="bullet"/>
      <w:lvlText w:val=""/>
      <w:lvlJc w:val="left"/>
      <w:pPr>
        <w:ind w:left="360" w:hanging="360"/>
      </w:pPr>
      <w:rPr>
        <w:rFonts w:ascii="Symbol" w:hAnsi="Symbol" w:hint="default"/>
      </w:rPr>
    </w:lvl>
    <w:lvl w:ilvl="1" w:tplc="1B9A52AA">
      <w:numFmt w:val="bullet"/>
      <w:lvlText w:val="•"/>
      <w:lvlJc w:val="left"/>
      <w:pPr>
        <w:ind w:left="1440" w:hanging="720"/>
      </w:pPr>
      <w:rPr>
        <w:rFonts w:ascii="Arial" w:eastAsiaTheme="minorHAnsi" w:hAnsi="Arial" w:cs="Aria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4F8C6F11"/>
    <w:multiLevelType w:val="hybridMultilevel"/>
    <w:tmpl w:val="7A5EE75C"/>
    <w:lvl w:ilvl="0" w:tplc="6B9CDCEE">
      <w:start w:val="1"/>
      <w:numFmt w:val="bullet"/>
      <w:lvlText w:val="•"/>
      <w:lvlJc w:val="left"/>
      <w:pPr>
        <w:tabs>
          <w:tab w:val="num" w:pos="720"/>
        </w:tabs>
        <w:ind w:left="720" w:hanging="360"/>
      </w:pPr>
      <w:rPr>
        <w:rFonts w:ascii="Arial" w:hAnsi="Arial" w:cs="Times New Roman" w:hint="default"/>
      </w:rPr>
    </w:lvl>
    <w:lvl w:ilvl="1" w:tplc="567060C6">
      <w:start w:val="1"/>
      <w:numFmt w:val="bullet"/>
      <w:lvlText w:val="•"/>
      <w:lvlJc w:val="left"/>
      <w:pPr>
        <w:tabs>
          <w:tab w:val="num" w:pos="1440"/>
        </w:tabs>
        <w:ind w:left="1440" w:hanging="360"/>
      </w:pPr>
      <w:rPr>
        <w:rFonts w:ascii="Arial" w:hAnsi="Arial" w:cs="Times New Roman" w:hint="default"/>
      </w:rPr>
    </w:lvl>
    <w:lvl w:ilvl="2" w:tplc="13A03188">
      <w:start w:val="1"/>
      <w:numFmt w:val="bullet"/>
      <w:lvlText w:val="•"/>
      <w:lvlJc w:val="left"/>
      <w:pPr>
        <w:tabs>
          <w:tab w:val="num" w:pos="2160"/>
        </w:tabs>
        <w:ind w:left="2160" w:hanging="360"/>
      </w:pPr>
      <w:rPr>
        <w:rFonts w:ascii="Arial" w:hAnsi="Arial" w:cs="Times New Roman" w:hint="default"/>
      </w:rPr>
    </w:lvl>
    <w:lvl w:ilvl="3" w:tplc="A5CAB6BE">
      <w:start w:val="1"/>
      <w:numFmt w:val="bullet"/>
      <w:lvlText w:val="•"/>
      <w:lvlJc w:val="left"/>
      <w:pPr>
        <w:tabs>
          <w:tab w:val="num" w:pos="2880"/>
        </w:tabs>
        <w:ind w:left="2880" w:hanging="360"/>
      </w:pPr>
      <w:rPr>
        <w:rFonts w:ascii="Arial" w:hAnsi="Arial" w:cs="Times New Roman" w:hint="default"/>
      </w:rPr>
    </w:lvl>
    <w:lvl w:ilvl="4" w:tplc="3890513E">
      <w:start w:val="1"/>
      <w:numFmt w:val="bullet"/>
      <w:lvlText w:val="•"/>
      <w:lvlJc w:val="left"/>
      <w:pPr>
        <w:tabs>
          <w:tab w:val="num" w:pos="3600"/>
        </w:tabs>
        <w:ind w:left="3600" w:hanging="360"/>
      </w:pPr>
      <w:rPr>
        <w:rFonts w:ascii="Arial" w:hAnsi="Arial" w:cs="Times New Roman" w:hint="default"/>
      </w:rPr>
    </w:lvl>
    <w:lvl w:ilvl="5" w:tplc="511CFC50">
      <w:start w:val="1"/>
      <w:numFmt w:val="bullet"/>
      <w:lvlText w:val="•"/>
      <w:lvlJc w:val="left"/>
      <w:pPr>
        <w:tabs>
          <w:tab w:val="num" w:pos="4320"/>
        </w:tabs>
        <w:ind w:left="4320" w:hanging="360"/>
      </w:pPr>
      <w:rPr>
        <w:rFonts w:ascii="Arial" w:hAnsi="Arial" w:cs="Times New Roman" w:hint="default"/>
      </w:rPr>
    </w:lvl>
    <w:lvl w:ilvl="6" w:tplc="21C299AE">
      <w:start w:val="1"/>
      <w:numFmt w:val="bullet"/>
      <w:lvlText w:val="•"/>
      <w:lvlJc w:val="left"/>
      <w:pPr>
        <w:tabs>
          <w:tab w:val="num" w:pos="5040"/>
        </w:tabs>
        <w:ind w:left="5040" w:hanging="360"/>
      </w:pPr>
      <w:rPr>
        <w:rFonts w:ascii="Arial" w:hAnsi="Arial" w:cs="Times New Roman" w:hint="default"/>
      </w:rPr>
    </w:lvl>
    <w:lvl w:ilvl="7" w:tplc="1A941C42">
      <w:start w:val="1"/>
      <w:numFmt w:val="bullet"/>
      <w:lvlText w:val="•"/>
      <w:lvlJc w:val="left"/>
      <w:pPr>
        <w:tabs>
          <w:tab w:val="num" w:pos="5760"/>
        </w:tabs>
        <w:ind w:left="5760" w:hanging="360"/>
      </w:pPr>
      <w:rPr>
        <w:rFonts w:ascii="Arial" w:hAnsi="Arial" w:cs="Times New Roman" w:hint="default"/>
      </w:rPr>
    </w:lvl>
    <w:lvl w:ilvl="8" w:tplc="5F20B156">
      <w:start w:val="1"/>
      <w:numFmt w:val="bullet"/>
      <w:lvlText w:val="•"/>
      <w:lvlJc w:val="left"/>
      <w:pPr>
        <w:tabs>
          <w:tab w:val="num" w:pos="6480"/>
        </w:tabs>
        <w:ind w:left="6480" w:hanging="360"/>
      </w:pPr>
      <w:rPr>
        <w:rFonts w:ascii="Arial" w:hAnsi="Arial" w:cs="Times New Roman" w:hint="default"/>
      </w:rPr>
    </w:lvl>
  </w:abstractNum>
  <w:abstractNum w:abstractNumId="24" w15:restartNumberingAfterBreak="0">
    <w:nsid w:val="536A5C65"/>
    <w:multiLevelType w:val="hybridMultilevel"/>
    <w:tmpl w:val="A13ACC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59351E50"/>
    <w:multiLevelType w:val="hybridMultilevel"/>
    <w:tmpl w:val="F3B4DC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597071CF"/>
    <w:multiLevelType w:val="multilevel"/>
    <w:tmpl w:val="924CF324"/>
    <w:styleLink w:val="CurrentList4"/>
    <w:lvl w:ilvl="0">
      <w:start w:val="1"/>
      <w:numFmt w:val="decimal"/>
      <w:isLgl/>
      <w:lvlText w:val="%1."/>
      <w:lvlJc w:val="left"/>
      <w:pPr>
        <w:ind w:left="1134" w:hanging="1134"/>
      </w:pPr>
      <w:rPr>
        <w:rFonts w:hint="default"/>
      </w:rPr>
    </w:lvl>
    <w:lvl w:ilvl="1">
      <w:start w:val="1"/>
      <w:numFmt w:val="decimal"/>
      <w:lvlRestart w:val="0"/>
      <w:lvlText w:val="%1.%2."/>
      <w:lvlJc w:val="left"/>
      <w:pPr>
        <w:ind w:left="1134" w:hanging="1134"/>
      </w:pPr>
      <w:rPr>
        <w:rFonts w:hint="default"/>
      </w:rPr>
    </w:lvl>
    <w:lvl w:ilvl="2">
      <w:start w:val="1"/>
      <w:numFmt w:val="decimal"/>
      <w:lvlText w:val="%1.%2.%3."/>
      <w:lvlJc w:val="left"/>
      <w:pPr>
        <w:ind w:left="1134" w:hanging="1134"/>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59CA66B3"/>
    <w:multiLevelType w:val="hybridMultilevel"/>
    <w:tmpl w:val="4BA683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5B4A786C"/>
    <w:multiLevelType w:val="multilevel"/>
    <w:tmpl w:val="D38C5AE2"/>
    <w:styleLink w:val="CurrentList1"/>
    <w:lvl w:ilvl="0">
      <w:start w:val="1"/>
      <w:numFmt w:val="decimal"/>
      <w:lvlText w:val="%1.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60266D48"/>
    <w:multiLevelType w:val="hybridMultilevel"/>
    <w:tmpl w:val="54E42A7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611C2EFD"/>
    <w:multiLevelType w:val="multilevel"/>
    <w:tmpl w:val="33AA6344"/>
    <w:styleLink w:val="CurrentList5"/>
    <w:lvl w:ilvl="0">
      <w:start w:val="1"/>
      <w:numFmt w:val="decimal"/>
      <w:lvlText w:val="%1."/>
      <w:lvlJc w:val="left"/>
      <w:pPr>
        <w:ind w:left="1134" w:hanging="1134"/>
      </w:pPr>
      <w:rPr>
        <w:rFonts w:hint="default"/>
      </w:rPr>
    </w:lvl>
    <w:lvl w:ilvl="1">
      <w:start w:val="1"/>
      <w:numFmt w:val="decimal"/>
      <w:lvlText w:val="%1.%2."/>
      <w:lvlJc w:val="left"/>
      <w:pPr>
        <w:ind w:left="1134" w:hanging="1134"/>
      </w:pPr>
      <w:rPr>
        <w:rFonts w:hint="default"/>
      </w:rPr>
    </w:lvl>
    <w:lvl w:ilvl="2">
      <w:start w:val="1"/>
      <w:numFmt w:val="decimal"/>
      <w:lvlText w:val="%1.%2.%3."/>
      <w:lvlJc w:val="left"/>
      <w:pPr>
        <w:ind w:left="1134" w:hanging="1134"/>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647118B9"/>
    <w:multiLevelType w:val="multilevel"/>
    <w:tmpl w:val="F7E25F8E"/>
    <w:styleLink w:val="CurrentList2"/>
    <w:lvl w:ilvl="0">
      <w:start w:val="1"/>
      <w:numFmt w:val="decimal"/>
      <w:lvlText w:val="%1."/>
      <w:lvlJc w:val="left"/>
      <w:pPr>
        <w:ind w:left="1134" w:hanging="1134"/>
      </w:pPr>
      <w:rPr>
        <w:rFonts w:hint="default"/>
      </w:rPr>
    </w:lvl>
    <w:lvl w:ilvl="1">
      <w:start w:val="1"/>
      <w:numFmt w:val="decimal"/>
      <w:lvlText w:val="%1.%2."/>
      <w:lvlJc w:val="left"/>
      <w:pPr>
        <w:ind w:left="1134" w:hanging="1134"/>
      </w:pPr>
      <w:rPr>
        <w:rFonts w:hint="default"/>
      </w:rPr>
    </w:lvl>
    <w:lvl w:ilvl="2">
      <w:start w:val="1"/>
      <w:numFmt w:val="decimal"/>
      <w:lvlText w:val="%1.%2.%3."/>
      <w:lvlJc w:val="left"/>
      <w:pPr>
        <w:ind w:left="1134" w:hanging="1134"/>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69B50755"/>
    <w:multiLevelType w:val="hybridMultilevel"/>
    <w:tmpl w:val="D67CEA5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6B697355"/>
    <w:multiLevelType w:val="hybridMultilevel"/>
    <w:tmpl w:val="8F44C20E"/>
    <w:lvl w:ilvl="0" w:tplc="0809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6C060365"/>
    <w:multiLevelType w:val="hybridMultilevel"/>
    <w:tmpl w:val="C14E76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6D232A32"/>
    <w:multiLevelType w:val="hybridMultilevel"/>
    <w:tmpl w:val="E370F0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15:restartNumberingAfterBreak="0">
    <w:nsid w:val="711F7315"/>
    <w:multiLevelType w:val="hybridMultilevel"/>
    <w:tmpl w:val="CABE7A04"/>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7" w15:restartNumberingAfterBreak="0">
    <w:nsid w:val="729E7496"/>
    <w:multiLevelType w:val="hybridMultilevel"/>
    <w:tmpl w:val="B49400D2"/>
    <w:lvl w:ilvl="0" w:tplc="CB168AD8">
      <w:start w:val="1"/>
      <w:numFmt w:val="bullet"/>
      <w:pStyle w:val="NHSCBBulletPoint"/>
      <w:lvlText w:val=""/>
      <w:lvlJc w:val="left"/>
      <w:pPr>
        <w:ind w:left="3960" w:hanging="360"/>
      </w:pPr>
      <w:rPr>
        <w:rFonts w:ascii="Symbol" w:hAnsi="Symbol" w:hint="default"/>
        <w:color w:val="auto"/>
      </w:rPr>
    </w:lvl>
    <w:lvl w:ilvl="1" w:tplc="08090003">
      <w:start w:val="1"/>
      <w:numFmt w:val="bullet"/>
      <w:lvlText w:val="o"/>
      <w:lvlJc w:val="left"/>
      <w:pPr>
        <w:ind w:left="3600" w:hanging="360"/>
      </w:pPr>
      <w:rPr>
        <w:rFonts w:ascii="Courier New" w:hAnsi="Courier New" w:cs="Courier New" w:hint="default"/>
      </w:rPr>
    </w:lvl>
    <w:lvl w:ilvl="2" w:tplc="08090005">
      <w:start w:val="1"/>
      <w:numFmt w:val="bullet"/>
      <w:lvlText w:val=""/>
      <w:lvlJc w:val="left"/>
      <w:pPr>
        <w:ind w:left="4320" w:hanging="360"/>
      </w:pPr>
      <w:rPr>
        <w:rFonts w:ascii="Wingdings" w:hAnsi="Wingdings" w:hint="default"/>
      </w:rPr>
    </w:lvl>
    <w:lvl w:ilvl="3" w:tplc="0809000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38" w15:restartNumberingAfterBreak="0">
    <w:nsid w:val="72DD5B2D"/>
    <w:multiLevelType w:val="hybridMultilevel"/>
    <w:tmpl w:val="3104B4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741F7DC1"/>
    <w:multiLevelType w:val="hybridMultilevel"/>
    <w:tmpl w:val="FFFFFFFF"/>
    <w:lvl w:ilvl="0" w:tplc="81922B76">
      <w:start w:val="1"/>
      <w:numFmt w:val="bullet"/>
      <w:lvlText w:val=""/>
      <w:lvlJc w:val="left"/>
      <w:pPr>
        <w:ind w:left="360" w:hanging="360"/>
      </w:pPr>
      <w:rPr>
        <w:rFonts w:ascii="Symbol" w:hAnsi="Symbol" w:hint="default"/>
      </w:rPr>
    </w:lvl>
    <w:lvl w:ilvl="1" w:tplc="A3A43A68">
      <w:start w:val="1"/>
      <w:numFmt w:val="bullet"/>
      <w:lvlText w:val="o"/>
      <w:lvlJc w:val="left"/>
      <w:pPr>
        <w:ind w:left="1080" w:hanging="360"/>
      </w:pPr>
      <w:rPr>
        <w:rFonts w:ascii="Courier New" w:hAnsi="Courier New" w:hint="default"/>
      </w:rPr>
    </w:lvl>
    <w:lvl w:ilvl="2" w:tplc="21541D54">
      <w:start w:val="1"/>
      <w:numFmt w:val="bullet"/>
      <w:lvlText w:val=""/>
      <w:lvlJc w:val="left"/>
      <w:pPr>
        <w:ind w:left="1800" w:hanging="360"/>
      </w:pPr>
      <w:rPr>
        <w:rFonts w:ascii="Wingdings" w:hAnsi="Wingdings" w:hint="default"/>
      </w:rPr>
    </w:lvl>
    <w:lvl w:ilvl="3" w:tplc="8C3ECD54">
      <w:start w:val="1"/>
      <w:numFmt w:val="bullet"/>
      <w:lvlText w:val=""/>
      <w:lvlJc w:val="left"/>
      <w:pPr>
        <w:ind w:left="2520" w:hanging="360"/>
      </w:pPr>
      <w:rPr>
        <w:rFonts w:ascii="Symbol" w:hAnsi="Symbol" w:hint="default"/>
      </w:rPr>
    </w:lvl>
    <w:lvl w:ilvl="4" w:tplc="9F3C57D2">
      <w:start w:val="1"/>
      <w:numFmt w:val="bullet"/>
      <w:lvlText w:val="o"/>
      <w:lvlJc w:val="left"/>
      <w:pPr>
        <w:ind w:left="3240" w:hanging="360"/>
      </w:pPr>
      <w:rPr>
        <w:rFonts w:ascii="Courier New" w:hAnsi="Courier New" w:hint="default"/>
      </w:rPr>
    </w:lvl>
    <w:lvl w:ilvl="5" w:tplc="72D6E074">
      <w:start w:val="1"/>
      <w:numFmt w:val="bullet"/>
      <w:lvlText w:val=""/>
      <w:lvlJc w:val="left"/>
      <w:pPr>
        <w:ind w:left="3960" w:hanging="360"/>
      </w:pPr>
      <w:rPr>
        <w:rFonts w:ascii="Wingdings" w:hAnsi="Wingdings" w:hint="default"/>
      </w:rPr>
    </w:lvl>
    <w:lvl w:ilvl="6" w:tplc="3DFC7966">
      <w:start w:val="1"/>
      <w:numFmt w:val="bullet"/>
      <w:lvlText w:val=""/>
      <w:lvlJc w:val="left"/>
      <w:pPr>
        <w:ind w:left="4680" w:hanging="360"/>
      </w:pPr>
      <w:rPr>
        <w:rFonts w:ascii="Symbol" w:hAnsi="Symbol" w:hint="default"/>
      </w:rPr>
    </w:lvl>
    <w:lvl w:ilvl="7" w:tplc="D0526352">
      <w:start w:val="1"/>
      <w:numFmt w:val="bullet"/>
      <w:lvlText w:val="o"/>
      <w:lvlJc w:val="left"/>
      <w:pPr>
        <w:ind w:left="5400" w:hanging="360"/>
      </w:pPr>
      <w:rPr>
        <w:rFonts w:ascii="Courier New" w:hAnsi="Courier New" w:hint="default"/>
      </w:rPr>
    </w:lvl>
    <w:lvl w:ilvl="8" w:tplc="B3D208E0">
      <w:start w:val="1"/>
      <w:numFmt w:val="bullet"/>
      <w:lvlText w:val=""/>
      <w:lvlJc w:val="left"/>
      <w:pPr>
        <w:ind w:left="6120" w:hanging="360"/>
      </w:pPr>
      <w:rPr>
        <w:rFonts w:ascii="Wingdings" w:hAnsi="Wingdings" w:hint="default"/>
      </w:rPr>
    </w:lvl>
  </w:abstractNum>
  <w:abstractNum w:abstractNumId="40" w15:restartNumberingAfterBreak="0">
    <w:nsid w:val="74646024"/>
    <w:multiLevelType w:val="hybridMultilevel"/>
    <w:tmpl w:val="3B7EB6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99753985">
    <w:abstractNumId w:val="39"/>
  </w:num>
  <w:num w:numId="2" w16cid:durableId="753867338">
    <w:abstractNumId w:val="0"/>
  </w:num>
  <w:num w:numId="3" w16cid:durableId="2117677393">
    <w:abstractNumId w:val="37"/>
  </w:num>
  <w:num w:numId="4" w16cid:durableId="138808200">
    <w:abstractNumId w:val="28"/>
  </w:num>
  <w:num w:numId="5" w16cid:durableId="321856347">
    <w:abstractNumId w:val="31"/>
  </w:num>
  <w:num w:numId="6" w16cid:durableId="407464585">
    <w:abstractNumId w:val="12"/>
  </w:num>
  <w:num w:numId="7" w16cid:durableId="1275332355">
    <w:abstractNumId w:val="26"/>
  </w:num>
  <w:num w:numId="8" w16cid:durableId="1080374454">
    <w:abstractNumId w:val="30"/>
  </w:num>
  <w:num w:numId="9" w16cid:durableId="1715622348">
    <w:abstractNumId w:val="13"/>
  </w:num>
  <w:num w:numId="10" w16cid:durableId="1332677957">
    <w:abstractNumId w:val="7"/>
  </w:num>
  <w:num w:numId="11" w16cid:durableId="1261526100">
    <w:abstractNumId w:val="19"/>
  </w:num>
  <w:num w:numId="12" w16cid:durableId="501748560">
    <w:abstractNumId w:val="3"/>
  </w:num>
  <w:num w:numId="13" w16cid:durableId="544870694">
    <w:abstractNumId w:val="14"/>
  </w:num>
  <w:num w:numId="14" w16cid:durableId="1165709406">
    <w:abstractNumId w:val="29"/>
  </w:num>
  <w:num w:numId="15" w16cid:durableId="2049839650">
    <w:abstractNumId w:val="27"/>
  </w:num>
  <w:num w:numId="16" w16cid:durableId="168755701">
    <w:abstractNumId w:val="17"/>
  </w:num>
  <w:num w:numId="17" w16cid:durableId="967125475">
    <w:abstractNumId w:val="8"/>
  </w:num>
  <w:num w:numId="18" w16cid:durableId="773014065">
    <w:abstractNumId w:val="1"/>
  </w:num>
  <w:num w:numId="19" w16cid:durableId="457068734">
    <w:abstractNumId w:val="24"/>
  </w:num>
  <w:num w:numId="20" w16cid:durableId="1987121224">
    <w:abstractNumId w:val="20"/>
  </w:num>
  <w:num w:numId="21" w16cid:durableId="1247113481">
    <w:abstractNumId w:val="10"/>
  </w:num>
  <w:num w:numId="22" w16cid:durableId="641423732">
    <w:abstractNumId w:val="38"/>
  </w:num>
  <w:num w:numId="23" w16cid:durableId="120921772">
    <w:abstractNumId w:val="25"/>
  </w:num>
  <w:num w:numId="24" w16cid:durableId="872305645">
    <w:abstractNumId w:val="33"/>
  </w:num>
  <w:num w:numId="25" w16cid:durableId="1667392255">
    <w:abstractNumId w:val="2"/>
  </w:num>
  <w:num w:numId="26" w16cid:durableId="1914897465">
    <w:abstractNumId w:val="22"/>
  </w:num>
  <w:num w:numId="27" w16cid:durableId="617179550">
    <w:abstractNumId w:val="15"/>
  </w:num>
  <w:num w:numId="28" w16cid:durableId="743331916">
    <w:abstractNumId w:val="18"/>
  </w:num>
  <w:num w:numId="29" w16cid:durableId="1331177958">
    <w:abstractNumId w:val="35"/>
  </w:num>
  <w:num w:numId="30" w16cid:durableId="1593397292">
    <w:abstractNumId w:val="23"/>
  </w:num>
  <w:num w:numId="31" w16cid:durableId="1844279163">
    <w:abstractNumId w:val="4"/>
  </w:num>
  <w:num w:numId="32" w16cid:durableId="1356078342">
    <w:abstractNumId w:val="21"/>
  </w:num>
  <w:num w:numId="33" w16cid:durableId="170070321">
    <w:abstractNumId w:val="16"/>
  </w:num>
  <w:num w:numId="34" w16cid:durableId="367149844">
    <w:abstractNumId w:val="35"/>
  </w:num>
  <w:num w:numId="35" w16cid:durableId="696462940">
    <w:abstractNumId w:val="23"/>
  </w:num>
  <w:num w:numId="36" w16cid:durableId="245846248">
    <w:abstractNumId w:val="9"/>
  </w:num>
  <w:num w:numId="37" w16cid:durableId="1242838900">
    <w:abstractNumId w:val="11"/>
  </w:num>
  <w:num w:numId="38" w16cid:durableId="1117018734">
    <w:abstractNumId w:val="3"/>
  </w:num>
  <w:num w:numId="39" w16cid:durableId="884565458">
    <w:abstractNumId w:val="36"/>
  </w:num>
  <w:num w:numId="40" w16cid:durableId="262568522">
    <w:abstractNumId w:val="34"/>
  </w:num>
  <w:num w:numId="41" w16cid:durableId="937715364">
    <w:abstractNumId w:val="32"/>
  </w:num>
  <w:num w:numId="42" w16cid:durableId="1789665459">
    <w:abstractNumId w:val="5"/>
  </w:num>
  <w:num w:numId="43" w16cid:durableId="512384679">
    <w:abstractNumId w:val="40"/>
  </w:num>
  <w:num w:numId="44" w16cid:durableId="1690915220">
    <w:abstractNumId w:val="6"/>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isplayBackgroundShape/>
  <w:attachedTemplate r:id="rId1"/>
  <w:doNotTrackFormattin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0486"/>
    <w:rsid w:val="00000850"/>
    <w:rsid w:val="000008D4"/>
    <w:rsid w:val="00000B8D"/>
    <w:rsid w:val="00000CA0"/>
    <w:rsid w:val="00000EEF"/>
    <w:rsid w:val="00001A74"/>
    <w:rsid w:val="00001ED0"/>
    <w:rsid w:val="0000239D"/>
    <w:rsid w:val="0000258F"/>
    <w:rsid w:val="000025D0"/>
    <w:rsid w:val="00002880"/>
    <w:rsid w:val="000028A1"/>
    <w:rsid w:val="00002F49"/>
    <w:rsid w:val="000032DD"/>
    <w:rsid w:val="00003614"/>
    <w:rsid w:val="00003660"/>
    <w:rsid w:val="00003678"/>
    <w:rsid w:val="00003873"/>
    <w:rsid w:val="00003F91"/>
    <w:rsid w:val="00004857"/>
    <w:rsid w:val="00004964"/>
    <w:rsid w:val="00004C65"/>
    <w:rsid w:val="000054C9"/>
    <w:rsid w:val="00005A15"/>
    <w:rsid w:val="00005DF2"/>
    <w:rsid w:val="00005FF2"/>
    <w:rsid w:val="000060C0"/>
    <w:rsid w:val="00006343"/>
    <w:rsid w:val="00006370"/>
    <w:rsid w:val="000064FE"/>
    <w:rsid w:val="0000673B"/>
    <w:rsid w:val="00006756"/>
    <w:rsid w:val="00006E24"/>
    <w:rsid w:val="0000710C"/>
    <w:rsid w:val="0000726A"/>
    <w:rsid w:val="0000766A"/>
    <w:rsid w:val="0000766E"/>
    <w:rsid w:val="00007AD2"/>
    <w:rsid w:val="00007B90"/>
    <w:rsid w:val="000101E4"/>
    <w:rsid w:val="00010726"/>
    <w:rsid w:val="00010B92"/>
    <w:rsid w:val="00010C13"/>
    <w:rsid w:val="00011173"/>
    <w:rsid w:val="00011454"/>
    <w:rsid w:val="00011615"/>
    <w:rsid w:val="00011A1A"/>
    <w:rsid w:val="00011B4F"/>
    <w:rsid w:val="00011D5C"/>
    <w:rsid w:val="00011FB6"/>
    <w:rsid w:val="00012398"/>
    <w:rsid w:val="000127B3"/>
    <w:rsid w:val="000127D6"/>
    <w:rsid w:val="00012927"/>
    <w:rsid w:val="0001343B"/>
    <w:rsid w:val="000136E4"/>
    <w:rsid w:val="000137EF"/>
    <w:rsid w:val="00013847"/>
    <w:rsid w:val="00014603"/>
    <w:rsid w:val="000146C2"/>
    <w:rsid w:val="00014C71"/>
    <w:rsid w:val="00014E62"/>
    <w:rsid w:val="000153EE"/>
    <w:rsid w:val="000157FE"/>
    <w:rsid w:val="00015982"/>
    <w:rsid w:val="00015AEE"/>
    <w:rsid w:val="00015B06"/>
    <w:rsid w:val="00015BCA"/>
    <w:rsid w:val="00015CBF"/>
    <w:rsid w:val="00016E32"/>
    <w:rsid w:val="0001724E"/>
    <w:rsid w:val="00017297"/>
    <w:rsid w:val="0001799D"/>
    <w:rsid w:val="00017ABF"/>
    <w:rsid w:val="00017AC8"/>
    <w:rsid w:val="00017E5F"/>
    <w:rsid w:val="00017EFE"/>
    <w:rsid w:val="00017F49"/>
    <w:rsid w:val="0002004B"/>
    <w:rsid w:val="00020263"/>
    <w:rsid w:val="000202C5"/>
    <w:rsid w:val="0002098A"/>
    <w:rsid w:val="00020B32"/>
    <w:rsid w:val="00020B9E"/>
    <w:rsid w:val="00020DDD"/>
    <w:rsid w:val="00020EEB"/>
    <w:rsid w:val="000210C8"/>
    <w:rsid w:val="000210FD"/>
    <w:rsid w:val="00021127"/>
    <w:rsid w:val="000218A5"/>
    <w:rsid w:val="00021908"/>
    <w:rsid w:val="00021CB6"/>
    <w:rsid w:val="00021F3C"/>
    <w:rsid w:val="00022242"/>
    <w:rsid w:val="0002224D"/>
    <w:rsid w:val="000223F9"/>
    <w:rsid w:val="00022620"/>
    <w:rsid w:val="0002305E"/>
    <w:rsid w:val="00023067"/>
    <w:rsid w:val="000231F4"/>
    <w:rsid w:val="00023202"/>
    <w:rsid w:val="0002326A"/>
    <w:rsid w:val="00023308"/>
    <w:rsid w:val="00023B94"/>
    <w:rsid w:val="00023BF6"/>
    <w:rsid w:val="0002439C"/>
    <w:rsid w:val="00024CCE"/>
    <w:rsid w:val="00024E3C"/>
    <w:rsid w:val="000250CF"/>
    <w:rsid w:val="000252FE"/>
    <w:rsid w:val="00025DB6"/>
    <w:rsid w:val="000268D0"/>
    <w:rsid w:val="000268EF"/>
    <w:rsid w:val="000272F3"/>
    <w:rsid w:val="00027599"/>
    <w:rsid w:val="000275C0"/>
    <w:rsid w:val="00027656"/>
    <w:rsid w:val="0002780B"/>
    <w:rsid w:val="00027CDB"/>
    <w:rsid w:val="000303C4"/>
    <w:rsid w:val="00030521"/>
    <w:rsid w:val="0003057D"/>
    <w:rsid w:val="00030E7D"/>
    <w:rsid w:val="00031713"/>
    <w:rsid w:val="00031855"/>
    <w:rsid w:val="00031C4D"/>
    <w:rsid w:val="00031FBB"/>
    <w:rsid w:val="00032974"/>
    <w:rsid w:val="00032982"/>
    <w:rsid w:val="00032ABC"/>
    <w:rsid w:val="00032E4A"/>
    <w:rsid w:val="0003342F"/>
    <w:rsid w:val="00033735"/>
    <w:rsid w:val="00033866"/>
    <w:rsid w:val="00034B94"/>
    <w:rsid w:val="00035428"/>
    <w:rsid w:val="00035539"/>
    <w:rsid w:val="00035708"/>
    <w:rsid w:val="00035753"/>
    <w:rsid w:val="000358F1"/>
    <w:rsid w:val="00035D1A"/>
    <w:rsid w:val="00035E26"/>
    <w:rsid w:val="000363C6"/>
    <w:rsid w:val="0003648F"/>
    <w:rsid w:val="0003656C"/>
    <w:rsid w:val="000366B6"/>
    <w:rsid w:val="000368D9"/>
    <w:rsid w:val="00036D5F"/>
    <w:rsid w:val="000370AE"/>
    <w:rsid w:val="0003725E"/>
    <w:rsid w:val="0003748A"/>
    <w:rsid w:val="000377A7"/>
    <w:rsid w:val="000379F8"/>
    <w:rsid w:val="00037B74"/>
    <w:rsid w:val="00037C35"/>
    <w:rsid w:val="00037C39"/>
    <w:rsid w:val="00037DAA"/>
    <w:rsid w:val="00040035"/>
    <w:rsid w:val="00040260"/>
    <w:rsid w:val="0004107A"/>
    <w:rsid w:val="0004142C"/>
    <w:rsid w:val="0004149A"/>
    <w:rsid w:val="00041AB7"/>
    <w:rsid w:val="00042104"/>
    <w:rsid w:val="00042117"/>
    <w:rsid w:val="00042479"/>
    <w:rsid w:val="0004254D"/>
    <w:rsid w:val="00042742"/>
    <w:rsid w:val="000427AD"/>
    <w:rsid w:val="00042E95"/>
    <w:rsid w:val="00042F87"/>
    <w:rsid w:val="000432FD"/>
    <w:rsid w:val="0004338E"/>
    <w:rsid w:val="0004372C"/>
    <w:rsid w:val="00043975"/>
    <w:rsid w:val="00044609"/>
    <w:rsid w:val="00044864"/>
    <w:rsid w:val="00045094"/>
    <w:rsid w:val="0004567A"/>
    <w:rsid w:val="000457B2"/>
    <w:rsid w:val="00045A10"/>
    <w:rsid w:val="00046266"/>
    <w:rsid w:val="00046541"/>
    <w:rsid w:val="00046AFE"/>
    <w:rsid w:val="00046DD6"/>
    <w:rsid w:val="00047C98"/>
    <w:rsid w:val="000501B8"/>
    <w:rsid w:val="000507B4"/>
    <w:rsid w:val="00050D2C"/>
    <w:rsid w:val="0005140D"/>
    <w:rsid w:val="00052322"/>
    <w:rsid w:val="0005241A"/>
    <w:rsid w:val="00052BFF"/>
    <w:rsid w:val="00052CCA"/>
    <w:rsid w:val="00052F1F"/>
    <w:rsid w:val="0005307B"/>
    <w:rsid w:val="00053129"/>
    <w:rsid w:val="00053B82"/>
    <w:rsid w:val="00053E18"/>
    <w:rsid w:val="0005443B"/>
    <w:rsid w:val="00054489"/>
    <w:rsid w:val="00054619"/>
    <w:rsid w:val="0005537B"/>
    <w:rsid w:val="00055B08"/>
    <w:rsid w:val="00055E5A"/>
    <w:rsid w:val="00055E7A"/>
    <w:rsid w:val="000560D5"/>
    <w:rsid w:val="00056388"/>
    <w:rsid w:val="000564A5"/>
    <w:rsid w:val="000565F4"/>
    <w:rsid w:val="000566CE"/>
    <w:rsid w:val="000568FC"/>
    <w:rsid w:val="00056CB7"/>
    <w:rsid w:val="00056E8E"/>
    <w:rsid w:val="00056F32"/>
    <w:rsid w:val="00057484"/>
    <w:rsid w:val="00057959"/>
    <w:rsid w:val="00057B9F"/>
    <w:rsid w:val="00060395"/>
    <w:rsid w:val="0006068A"/>
    <w:rsid w:val="0006074A"/>
    <w:rsid w:val="00060BEC"/>
    <w:rsid w:val="000611FD"/>
    <w:rsid w:val="0006128B"/>
    <w:rsid w:val="00061366"/>
    <w:rsid w:val="00061BA6"/>
    <w:rsid w:val="00061D50"/>
    <w:rsid w:val="00061E65"/>
    <w:rsid w:val="000620FF"/>
    <w:rsid w:val="00062533"/>
    <w:rsid w:val="00063C83"/>
    <w:rsid w:val="00064135"/>
    <w:rsid w:val="00064267"/>
    <w:rsid w:val="00064525"/>
    <w:rsid w:val="0006491B"/>
    <w:rsid w:val="00064E23"/>
    <w:rsid w:val="000653BE"/>
    <w:rsid w:val="000653E0"/>
    <w:rsid w:val="000654D7"/>
    <w:rsid w:val="00066814"/>
    <w:rsid w:val="00066D82"/>
    <w:rsid w:val="00066D83"/>
    <w:rsid w:val="0006747B"/>
    <w:rsid w:val="00067666"/>
    <w:rsid w:val="000678E3"/>
    <w:rsid w:val="000679F4"/>
    <w:rsid w:val="00067A43"/>
    <w:rsid w:val="00067C11"/>
    <w:rsid w:val="00067DE1"/>
    <w:rsid w:val="00067EE6"/>
    <w:rsid w:val="00067F2F"/>
    <w:rsid w:val="00070245"/>
    <w:rsid w:val="000702A6"/>
    <w:rsid w:val="000706D6"/>
    <w:rsid w:val="0007085C"/>
    <w:rsid w:val="0007098D"/>
    <w:rsid w:val="00070BC0"/>
    <w:rsid w:val="00070CA1"/>
    <w:rsid w:val="00070E21"/>
    <w:rsid w:val="00071168"/>
    <w:rsid w:val="00071310"/>
    <w:rsid w:val="000719B1"/>
    <w:rsid w:val="00071FA7"/>
    <w:rsid w:val="0007212E"/>
    <w:rsid w:val="00072D54"/>
    <w:rsid w:val="00072EE1"/>
    <w:rsid w:val="000736B4"/>
    <w:rsid w:val="0007374F"/>
    <w:rsid w:val="00073A77"/>
    <w:rsid w:val="00073C60"/>
    <w:rsid w:val="00074422"/>
    <w:rsid w:val="00074A6C"/>
    <w:rsid w:val="00074AE4"/>
    <w:rsid w:val="0007522C"/>
    <w:rsid w:val="00075AA3"/>
    <w:rsid w:val="00075B67"/>
    <w:rsid w:val="00075C1E"/>
    <w:rsid w:val="000762C3"/>
    <w:rsid w:val="000765A2"/>
    <w:rsid w:val="000767B3"/>
    <w:rsid w:val="000769D0"/>
    <w:rsid w:val="00076A3B"/>
    <w:rsid w:val="00076DD2"/>
    <w:rsid w:val="000770BC"/>
    <w:rsid w:val="0007719F"/>
    <w:rsid w:val="00077378"/>
    <w:rsid w:val="000773A5"/>
    <w:rsid w:val="00077A1E"/>
    <w:rsid w:val="00077AF9"/>
    <w:rsid w:val="00080034"/>
    <w:rsid w:val="000805B3"/>
    <w:rsid w:val="00080900"/>
    <w:rsid w:val="00080E3D"/>
    <w:rsid w:val="000814A6"/>
    <w:rsid w:val="000819DA"/>
    <w:rsid w:val="00081A6A"/>
    <w:rsid w:val="00081DE4"/>
    <w:rsid w:val="00082141"/>
    <w:rsid w:val="00082181"/>
    <w:rsid w:val="00082616"/>
    <w:rsid w:val="000828F1"/>
    <w:rsid w:val="00082E84"/>
    <w:rsid w:val="00082F9B"/>
    <w:rsid w:val="00083076"/>
    <w:rsid w:val="00083212"/>
    <w:rsid w:val="00083974"/>
    <w:rsid w:val="00083AB0"/>
    <w:rsid w:val="00083D0F"/>
    <w:rsid w:val="0008444E"/>
    <w:rsid w:val="00084552"/>
    <w:rsid w:val="00084776"/>
    <w:rsid w:val="00084A15"/>
    <w:rsid w:val="000850E7"/>
    <w:rsid w:val="0008532A"/>
    <w:rsid w:val="00085501"/>
    <w:rsid w:val="00085CC0"/>
    <w:rsid w:val="00085DBC"/>
    <w:rsid w:val="00085F5E"/>
    <w:rsid w:val="0008627A"/>
    <w:rsid w:val="0008661F"/>
    <w:rsid w:val="00086798"/>
    <w:rsid w:val="00086B0A"/>
    <w:rsid w:val="00086DB4"/>
    <w:rsid w:val="000871B1"/>
    <w:rsid w:val="00087968"/>
    <w:rsid w:val="00087E68"/>
    <w:rsid w:val="000900F3"/>
    <w:rsid w:val="00090362"/>
    <w:rsid w:val="00090FAF"/>
    <w:rsid w:val="00091104"/>
    <w:rsid w:val="00091328"/>
    <w:rsid w:val="00091436"/>
    <w:rsid w:val="0009145A"/>
    <w:rsid w:val="0009198A"/>
    <w:rsid w:val="000919F7"/>
    <w:rsid w:val="00091E74"/>
    <w:rsid w:val="00091F06"/>
    <w:rsid w:val="000926C7"/>
    <w:rsid w:val="00092794"/>
    <w:rsid w:val="00092CE0"/>
    <w:rsid w:val="00092D67"/>
    <w:rsid w:val="00092D6F"/>
    <w:rsid w:val="00092E6F"/>
    <w:rsid w:val="00093208"/>
    <w:rsid w:val="00093B0C"/>
    <w:rsid w:val="00093B45"/>
    <w:rsid w:val="00094471"/>
    <w:rsid w:val="00094768"/>
    <w:rsid w:val="00094851"/>
    <w:rsid w:val="00095548"/>
    <w:rsid w:val="0009554D"/>
    <w:rsid w:val="000956D5"/>
    <w:rsid w:val="000959A7"/>
    <w:rsid w:val="00096111"/>
    <w:rsid w:val="000964C0"/>
    <w:rsid w:val="000969B8"/>
    <w:rsid w:val="0009707F"/>
    <w:rsid w:val="00097501"/>
    <w:rsid w:val="000976A8"/>
    <w:rsid w:val="00097710"/>
    <w:rsid w:val="00097C89"/>
    <w:rsid w:val="00097E8B"/>
    <w:rsid w:val="000A05F0"/>
    <w:rsid w:val="000A06DA"/>
    <w:rsid w:val="000A08A4"/>
    <w:rsid w:val="000A0998"/>
    <w:rsid w:val="000A0B03"/>
    <w:rsid w:val="000A0FDD"/>
    <w:rsid w:val="000A13F7"/>
    <w:rsid w:val="000A192B"/>
    <w:rsid w:val="000A19AB"/>
    <w:rsid w:val="000A19C9"/>
    <w:rsid w:val="000A2190"/>
    <w:rsid w:val="000A23D8"/>
    <w:rsid w:val="000A30C2"/>
    <w:rsid w:val="000A311D"/>
    <w:rsid w:val="000A3505"/>
    <w:rsid w:val="000A3520"/>
    <w:rsid w:val="000A4951"/>
    <w:rsid w:val="000A4AC7"/>
    <w:rsid w:val="000A4C3F"/>
    <w:rsid w:val="000A4C9A"/>
    <w:rsid w:val="000A5119"/>
    <w:rsid w:val="000A51B9"/>
    <w:rsid w:val="000A536A"/>
    <w:rsid w:val="000A56C0"/>
    <w:rsid w:val="000A61E1"/>
    <w:rsid w:val="000A643B"/>
    <w:rsid w:val="000A6CAE"/>
    <w:rsid w:val="000A6EF2"/>
    <w:rsid w:val="000A6F72"/>
    <w:rsid w:val="000A7146"/>
    <w:rsid w:val="000A74AA"/>
    <w:rsid w:val="000A78F7"/>
    <w:rsid w:val="000A7B02"/>
    <w:rsid w:val="000A7B9B"/>
    <w:rsid w:val="000A7DBD"/>
    <w:rsid w:val="000B0490"/>
    <w:rsid w:val="000B081B"/>
    <w:rsid w:val="000B09E4"/>
    <w:rsid w:val="000B0E2E"/>
    <w:rsid w:val="000B0E9D"/>
    <w:rsid w:val="000B0F16"/>
    <w:rsid w:val="000B0FE5"/>
    <w:rsid w:val="000B1036"/>
    <w:rsid w:val="000B12B2"/>
    <w:rsid w:val="000B16BE"/>
    <w:rsid w:val="000B19ED"/>
    <w:rsid w:val="000B1EAA"/>
    <w:rsid w:val="000B1FE6"/>
    <w:rsid w:val="000B20CA"/>
    <w:rsid w:val="000B21E5"/>
    <w:rsid w:val="000B2470"/>
    <w:rsid w:val="000B27B8"/>
    <w:rsid w:val="000B2BB7"/>
    <w:rsid w:val="000B33A1"/>
    <w:rsid w:val="000B375E"/>
    <w:rsid w:val="000B38B5"/>
    <w:rsid w:val="000B3C85"/>
    <w:rsid w:val="000B3CC5"/>
    <w:rsid w:val="000B41EB"/>
    <w:rsid w:val="000B4A7F"/>
    <w:rsid w:val="000B4E1A"/>
    <w:rsid w:val="000B4F07"/>
    <w:rsid w:val="000B4F88"/>
    <w:rsid w:val="000B4FAB"/>
    <w:rsid w:val="000B5775"/>
    <w:rsid w:val="000B5B02"/>
    <w:rsid w:val="000B5C85"/>
    <w:rsid w:val="000B641B"/>
    <w:rsid w:val="000B6B66"/>
    <w:rsid w:val="000B6B84"/>
    <w:rsid w:val="000B6CCB"/>
    <w:rsid w:val="000B6F0F"/>
    <w:rsid w:val="000B7038"/>
    <w:rsid w:val="000B74FD"/>
    <w:rsid w:val="000B75A9"/>
    <w:rsid w:val="000B79DE"/>
    <w:rsid w:val="000B7A68"/>
    <w:rsid w:val="000B7AB7"/>
    <w:rsid w:val="000B7BC4"/>
    <w:rsid w:val="000B7C2E"/>
    <w:rsid w:val="000B7FF1"/>
    <w:rsid w:val="000C0127"/>
    <w:rsid w:val="000C0642"/>
    <w:rsid w:val="000C067D"/>
    <w:rsid w:val="000C0CD4"/>
    <w:rsid w:val="000C100C"/>
    <w:rsid w:val="000C13C6"/>
    <w:rsid w:val="000C1461"/>
    <w:rsid w:val="000C1BD9"/>
    <w:rsid w:val="000C1D40"/>
    <w:rsid w:val="000C1E90"/>
    <w:rsid w:val="000C1ED2"/>
    <w:rsid w:val="000C20E5"/>
    <w:rsid w:val="000C235D"/>
    <w:rsid w:val="000C24CF"/>
    <w:rsid w:val="000C2660"/>
    <w:rsid w:val="000C2C40"/>
    <w:rsid w:val="000C310B"/>
    <w:rsid w:val="000C327D"/>
    <w:rsid w:val="000C34B6"/>
    <w:rsid w:val="000C362F"/>
    <w:rsid w:val="000C391F"/>
    <w:rsid w:val="000C3AE8"/>
    <w:rsid w:val="000C3BC0"/>
    <w:rsid w:val="000C3C38"/>
    <w:rsid w:val="000C4568"/>
    <w:rsid w:val="000C460C"/>
    <w:rsid w:val="000C466A"/>
    <w:rsid w:val="000C5594"/>
    <w:rsid w:val="000C5B79"/>
    <w:rsid w:val="000C5C85"/>
    <w:rsid w:val="000C5E37"/>
    <w:rsid w:val="000C6B7E"/>
    <w:rsid w:val="000C6C57"/>
    <w:rsid w:val="000C6E19"/>
    <w:rsid w:val="000C6FA4"/>
    <w:rsid w:val="000C72CA"/>
    <w:rsid w:val="000C7640"/>
    <w:rsid w:val="000C781C"/>
    <w:rsid w:val="000C79C3"/>
    <w:rsid w:val="000D011F"/>
    <w:rsid w:val="000D028F"/>
    <w:rsid w:val="000D0692"/>
    <w:rsid w:val="000D0C51"/>
    <w:rsid w:val="000D0E7B"/>
    <w:rsid w:val="000D1F91"/>
    <w:rsid w:val="000D1FC6"/>
    <w:rsid w:val="000D2078"/>
    <w:rsid w:val="000D211A"/>
    <w:rsid w:val="000D2514"/>
    <w:rsid w:val="000D25B7"/>
    <w:rsid w:val="000D2A2D"/>
    <w:rsid w:val="000D2B10"/>
    <w:rsid w:val="000D2BC4"/>
    <w:rsid w:val="000D2DB7"/>
    <w:rsid w:val="000D3077"/>
    <w:rsid w:val="000D32F1"/>
    <w:rsid w:val="000D39CF"/>
    <w:rsid w:val="000D3ABD"/>
    <w:rsid w:val="000D3CE5"/>
    <w:rsid w:val="000D45F5"/>
    <w:rsid w:val="000D4CD4"/>
    <w:rsid w:val="000D4E6E"/>
    <w:rsid w:val="000D513B"/>
    <w:rsid w:val="000D53DE"/>
    <w:rsid w:val="000D561F"/>
    <w:rsid w:val="000D5705"/>
    <w:rsid w:val="000D59D5"/>
    <w:rsid w:val="000D5FDB"/>
    <w:rsid w:val="000D67F0"/>
    <w:rsid w:val="000D6D23"/>
    <w:rsid w:val="000D703A"/>
    <w:rsid w:val="000D7086"/>
    <w:rsid w:val="000D773F"/>
    <w:rsid w:val="000D7BE6"/>
    <w:rsid w:val="000D7D75"/>
    <w:rsid w:val="000E01AE"/>
    <w:rsid w:val="000E082C"/>
    <w:rsid w:val="000E0952"/>
    <w:rsid w:val="000E0B9B"/>
    <w:rsid w:val="000E0E0F"/>
    <w:rsid w:val="000E0EFD"/>
    <w:rsid w:val="000E0F70"/>
    <w:rsid w:val="000E172E"/>
    <w:rsid w:val="000E1769"/>
    <w:rsid w:val="000E1B64"/>
    <w:rsid w:val="000E224B"/>
    <w:rsid w:val="000E24AD"/>
    <w:rsid w:val="000E2891"/>
    <w:rsid w:val="000E2C9F"/>
    <w:rsid w:val="000E2F49"/>
    <w:rsid w:val="000E39DC"/>
    <w:rsid w:val="000E3B36"/>
    <w:rsid w:val="000E3EC4"/>
    <w:rsid w:val="000E415B"/>
    <w:rsid w:val="000E41C0"/>
    <w:rsid w:val="000E45BE"/>
    <w:rsid w:val="000E5347"/>
    <w:rsid w:val="000E535E"/>
    <w:rsid w:val="000E5EE7"/>
    <w:rsid w:val="000E61C8"/>
    <w:rsid w:val="000E66D5"/>
    <w:rsid w:val="000E71F8"/>
    <w:rsid w:val="000E7459"/>
    <w:rsid w:val="000E760C"/>
    <w:rsid w:val="000E7797"/>
    <w:rsid w:val="000E7DCA"/>
    <w:rsid w:val="000F025C"/>
    <w:rsid w:val="000F07BF"/>
    <w:rsid w:val="000F07D0"/>
    <w:rsid w:val="000F206C"/>
    <w:rsid w:val="000F21F5"/>
    <w:rsid w:val="000F24E8"/>
    <w:rsid w:val="000F26EB"/>
    <w:rsid w:val="000F3176"/>
    <w:rsid w:val="000F32E8"/>
    <w:rsid w:val="000F364A"/>
    <w:rsid w:val="000F3862"/>
    <w:rsid w:val="000F3E4D"/>
    <w:rsid w:val="000F40A9"/>
    <w:rsid w:val="000F411A"/>
    <w:rsid w:val="000F4C61"/>
    <w:rsid w:val="000F50C8"/>
    <w:rsid w:val="000F5717"/>
    <w:rsid w:val="000F599B"/>
    <w:rsid w:val="000F5A52"/>
    <w:rsid w:val="000F5FE4"/>
    <w:rsid w:val="000F60BD"/>
    <w:rsid w:val="000F65DA"/>
    <w:rsid w:val="000F6675"/>
    <w:rsid w:val="000F6DCE"/>
    <w:rsid w:val="000F7384"/>
    <w:rsid w:val="000F7607"/>
    <w:rsid w:val="000F7F43"/>
    <w:rsid w:val="001019CD"/>
    <w:rsid w:val="00101B04"/>
    <w:rsid w:val="00101B1C"/>
    <w:rsid w:val="00101E7B"/>
    <w:rsid w:val="00102370"/>
    <w:rsid w:val="0010256B"/>
    <w:rsid w:val="00102A2B"/>
    <w:rsid w:val="00102D91"/>
    <w:rsid w:val="0010328C"/>
    <w:rsid w:val="001034FF"/>
    <w:rsid w:val="00103705"/>
    <w:rsid w:val="001037F0"/>
    <w:rsid w:val="00104394"/>
    <w:rsid w:val="001048F8"/>
    <w:rsid w:val="00105332"/>
    <w:rsid w:val="001053B3"/>
    <w:rsid w:val="001055C8"/>
    <w:rsid w:val="00105933"/>
    <w:rsid w:val="00105B76"/>
    <w:rsid w:val="00105D86"/>
    <w:rsid w:val="00105F37"/>
    <w:rsid w:val="0010661E"/>
    <w:rsid w:val="0010760F"/>
    <w:rsid w:val="001078DA"/>
    <w:rsid w:val="00107B07"/>
    <w:rsid w:val="00107B63"/>
    <w:rsid w:val="00107DE0"/>
    <w:rsid w:val="00110780"/>
    <w:rsid w:val="001107B3"/>
    <w:rsid w:val="00110E36"/>
    <w:rsid w:val="00111697"/>
    <w:rsid w:val="001116E0"/>
    <w:rsid w:val="001121DC"/>
    <w:rsid w:val="001126DB"/>
    <w:rsid w:val="00112E80"/>
    <w:rsid w:val="001133A6"/>
    <w:rsid w:val="00113457"/>
    <w:rsid w:val="001136C8"/>
    <w:rsid w:val="00113865"/>
    <w:rsid w:val="0011412F"/>
    <w:rsid w:val="00114550"/>
    <w:rsid w:val="001146D5"/>
    <w:rsid w:val="001148C4"/>
    <w:rsid w:val="00114EC1"/>
    <w:rsid w:val="00114EE1"/>
    <w:rsid w:val="00115028"/>
    <w:rsid w:val="00115086"/>
    <w:rsid w:val="00115480"/>
    <w:rsid w:val="00115B3C"/>
    <w:rsid w:val="00115CFE"/>
    <w:rsid w:val="00115ECF"/>
    <w:rsid w:val="00115F19"/>
    <w:rsid w:val="0011632F"/>
    <w:rsid w:val="001165F2"/>
    <w:rsid w:val="00116757"/>
    <w:rsid w:val="001168C9"/>
    <w:rsid w:val="00116DAB"/>
    <w:rsid w:val="00116DE4"/>
    <w:rsid w:val="00116FF0"/>
    <w:rsid w:val="00120469"/>
    <w:rsid w:val="001208E6"/>
    <w:rsid w:val="001209EF"/>
    <w:rsid w:val="00120B89"/>
    <w:rsid w:val="00120CD0"/>
    <w:rsid w:val="00120EBA"/>
    <w:rsid w:val="001218FF"/>
    <w:rsid w:val="00121BA6"/>
    <w:rsid w:val="00121C1B"/>
    <w:rsid w:val="00121EA8"/>
    <w:rsid w:val="00121EE2"/>
    <w:rsid w:val="0012205D"/>
    <w:rsid w:val="00122BC9"/>
    <w:rsid w:val="00122CA2"/>
    <w:rsid w:val="00122D08"/>
    <w:rsid w:val="00123347"/>
    <w:rsid w:val="00123403"/>
    <w:rsid w:val="001239AC"/>
    <w:rsid w:val="00123BB2"/>
    <w:rsid w:val="00123D41"/>
    <w:rsid w:val="00124270"/>
    <w:rsid w:val="001247A8"/>
    <w:rsid w:val="00124B90"/>
    <w:rsid w:val="0012509A"/>
    <w:rsid w:val="00125826"/>
    <w:rsid w:val="001261D9"/>
    <w:rsid w:val="001266D2"/>
    <w:rsid w:val="0012698C"/>
    <w:rsid w:val="00126C88"/>
    <w:rsid w:val="001273EA"/>
    <w:rsid w:val="00127955"/>
    <w:rsid w:val="00127AE2"/>
    <w:rsid w:val="00127D3C"/>
    <w:rsid w:val="001301B5"/>
    <w:rsid w:val="0013036E"/>
    <w:rsid w:val="0013044B"/>
    <w:rsid w:val="00130BEA"/>
    <w:rsid w:val="00130E42"/>
    <w:rsid w:val="00131323"/>
    <w:rsid w:val="001315F7"/>
    <w:rsid w:val="00131A38"/>
    <w:rsid w:val="00131F16"/>
    <w:rsid w:val="0013220F"/>
    <w:rsid w:val="0013234C"/>
    <w:rsid w:val="0013279E"/>
    <w:rsid w:val="00132D90"/>
    <w:rsid w:val="00133B4C"/>
    <w:rsid w:val="00133E1E"/>
    <w:rsid w:val="00133E69"/>
    <w:rsid w:val="00133EC4"/>
    <w:rsid w:val="00134391"/>
    <w:rsid w:val="00134887"/>
    <w:rsid w:val="00134A7A"/>
    <w:rsid w:val="00134F55"/>
    <w:rsid w:val="001353A0"/>
    <w:rsid w:val="00135408"/>
    <w:rsid w:val="0013568A"/>
    <w:rsid w:val="001358A7"/>
    <w:rsid w:val="00135A9F"/>
    <w:rsid w:val="00135FEA"/>
    <w:rsid w:val="00136ECD"/>
    <w:rsid w:val="00137313"/>
    <w:rsid w:val="001373E4"/>
    <w:rsid w:val="001376C8"/>
    <w:rsid w:val="00137B80"/>
    <w:rsid w:val="00137FA2"/>
    <w:rsid w:val="00140A46"/>
    <w:rsid w:val="00140AD3"/>
    <w:rsid w:val="00140D5D"/>
    <w:rsid w:val="00140E3D"/>
    <w:rsid w:val="00141036"/>
    <w:rsid w:val="0014140A"/>
    <w:rsid w:val="00141433"/>
    <w:rsid w:val="00141457"/>
    <w:rsid w:val="001419C2"/>
    <w:rsid w:val="001419C3"/>
    <w:rsid w:val="001429B9"/>
    <w:rsid w:val="00142A02"/>
    <w:rsid w:val="00142B24"/>
    <w:rsid w:val="00142CAD"/>
    <w:rsid w:val="00142DF2"/>
    <w:rsid w:val="00142E02"/>
    <w:rsid w:val="0014336B"/>
    <w:rsid w:val="00143457"/>
    <w:rsid w:val="001437A2"/>
    <w:rsid w:val="0014386A"/>
    <w:rsid w:val="00143C20"/>
    <w:rsid w:val="001446E7"/>
    <w:rsid w:val="00144899"/>
    <w:rsid w:val="00145740"/>
    <w:rsid w:val="001458AA"/>
    <w:rsid w:val="001458FC"/>
    <w:rsid w:val="00145BB0"/>
    <w:rsid w:val="00145CE9"/>
    <w:rsid w:val="0014660D"/>
    <w:rsid w:val="00146636"/>
    <w:rsid w:val="00146D0E"/>
    <w:rsid w:val="001470BF"/>
    <w:rsid w:val="00147161"/>
    <w:rsid w:val="001471BD"/>
    <w:rsid w:val="00147702"/>
    <w:rsid w:val="0015010C"/>
    <w:rsid w:val="00150293"/>
    <w:rsid w:val="001509F3"/>
    <w:rsid w:val="00150AAE"/>
    <w:rsid w:val="001510C6"/>
    <w:rsid w:val="001514A7"/>
    <w:rsid w:val="00151A5E"/>
    <w:rsid w:val="00151A64"/>
    <w:rsid w:val="00152129"/>
    <w:rsid w:val="00152425"/>
    <w:rsid w:val="001524FA"/>
    <w:rsid w:val="001525EF"/>
    <w:rsid w:val="00152987"/>
    <w:rsid w:val="00152A01"/>
    <w:rsid w:val="00152FF6"/>
    <w:rsid w:val="00153126"/>
    <w:rsid w:val="00153167"/>
    <w:rsid w:val="001532C4"/>
    <w:rsid w:val="00153828"/>
    <w:rsid w:val="00153A09"/>
    <w:rsid w:val="00153CEC"/>
    <w:rsid w:val="00153D31"/>
    <w:rsid w:val="001543BA"/>
    <w:rsid w:val="001546CB"/>
    <w:rsid w:val="0015478B"/>
    <w:rsid w:val="001547FE"/>
    <w:rsid w:val="00154B5A"/>
    <w:rsid w:val="00154DE1"/>
    <w:rsid w:val="00155130"/>
    <w:rsid w:val="0015518A"/>
    <w:rsid w:val="001555BB"/>
    <w:rsid w:val="001557AB"/>
    <w:rsid w:val="00155958"/>
    <w:rsid w:val="0015598E"/>
    <w:rsid w:val="00155D82"/>
    <w:rsid w:val="00155FB1"/>
    <w:rsid w:val="001562B3"/>
    <w:rsid w:val="0015683B"/>
    <w:rsid w:val="00156AA0"/>
    <w:rsid w:val="00156BAC"/>
    <w:rsid w:val="00156BDB"/>
    <w:rsid w:val="00156EB6"/>
    <w:rsid w:val="001571DC"/>
    <w:rsid w:val="00157692"/>
    <w:rsid w:val="00157C99"/>
    <w:rsid w:val="001600AE"/>
    <w:rsid w:val="00160A00"/>
    <w:rsid w:val="0016159F"/>
    <w:rsid w:val="001617C7"/>
    <w:rsid w:val="00161981"/>
    <w:rsid w:val="00161B49"/>
    <w:rsid w:val="0016250F"/>
    <w:rsid w:val="00162A34"/>
    <w:rsid w:val="00162A77"/>
    <w:rsid w:val="00162C73"/>
    <w:rsid w:val="00163413"/>
    <w:rsid w:val="00163758"/>
    <w:rsid w:val="00163B32"/>
    <w:rsid w:val="00163FAA"/>
    <w:rsid w:val="00164228"/>
    <w:rsid w:val="00164303"/>
    <w:rsid w:val="0016445E"/>
    <w:rsid w:val="00164708"/>
    <w:rsid w:val="0016475C"/>
    <w:rsid w:val="001649AE"/>
    <w:rsid w:val="00164DBD"/>
    <w:rsid w:val="00164F87"/>
    <w:rsid w:val="001650AE"/>
    <w:rsid w:val="00165122"/>
    <w:rsid w:val="0016525A"/>
    <w:rsid w:val="00166112"/>
    <w:rsid w:val="001664A0"/>
    <w:rsid w:val="001665D3"/>
    <w:rsid w:val="00166F84"/>
    <w:rsid w:val="00167180"/>
    <w:rsid w:val="001674C0"/>
    <w:rsid w:val="001675CB"/>
    <w:rsid w:val="0016775B"/>
    <w:rsid w:val="00167A50"/>
    <w:rsid w:val="00167A91"/>
    <w:rsid w:val="00167D2C"/>
    <w:rsid w:val="00167F20"/>
    <w:rsid w:val="00167FD6"/>
    <w:rsid w:val="001702D6"/>
    <w:rsid w:val="0017092E"/>
    <w:rsid w:val="001711DC"/>
    <w:rsid w:val="001715D2"/>
    <w:rsid w:val="001719B2"/>
    <w:rsid w:val="00171C8A"/>
    <w:rsid w:val="00171FD7"/>
    <w:rsid w:val="0017217E"/>
    <w:rsid w:val="00172779"/>
    <w:rsid w:val="001729BF"/>
    <w:rsid w:val="00172A31"/>
    <w:rsid w:val="00172B4B"/>
    <w:rsid w:val="001738C6"/>
    <w:rsid w:val="001746EB"/>
    <w:rsid w:val="00174864"/>
    <w:rsid w:val="00174B21"/>
    <w:rsid w:val="001755F5"/>
    <w:rsid w:val="00175B03"/>
    <w:rsid w:val="00175C42"/>
    <w:rsid w:val="00175C73"/>
    <w:rsid w:val="00176549"/>
    <w:rsid w:val="001766D8"/>
    <w:rsid w:val="00176FD9"/>
    <w:rsid w:val="00177018"/>
    <w:rsid w:val="001770BF"/>
    <w:rsid w:val="00177A32"/>
    <w:rsid w:val="00177B70"/>
    <w:rsid w:val="00180571"/>
    <w:rsid w:val="001806A2"/>
    <w:rsid w:val="001808C2"/>
    <w:rsid w:val="00180B16"/>
    <w:rsid w:val="00180C5C"/>
    <w:rsid w:val="00181E9B"/>
    <w:rsid w:val="00182234"/>
    <w:rsid w:val="00182363"/>
    <w:rsid w:val="00182BFF"/>
    <w:rsid w:val="00182C7D"/>
    <w:rsid w:val="00182EAF"/>
    <w:rsid w:val="00183489"/>
    <w:rsid w:val="001835AD"/>
    <w:rsid w:val="00183810"/>
    <w:rsid w:val="00183960"/>
    <w:rsid w:val="00183994"/>
    <w:rsid w:val="00183E87"/>
    <w:rsid w:val="00183F38"/>
    <w:rsid w:val="001842B8"/>
    <w:rsid w:val="00184A74"/>
    <w:rsid w:val="00184B3D"/>
    <w:rsid w:val="00185515"/>
    <w:rsid w:val="00185573"/>
    <w:rsid w:val="00185F61"/>
    <w:rsid w:val="00186020"/>
    <w:rsid w:val="00186069"/>
    <w:rsid w:val="0018638A"/>
    <w:rsid w:val="00186F0F"/>
    <w:rsid w:val="00187008"/>
    <w:rsid w:val="001870C3"/>
    <w:rsid w:val="00187D0F"/>
    <w:rsid w:val="00190B03"/>
    <w:rsid w:val="00190B5A"/>
    <w:rsid w:val="00190EC5"/>
    <w:rsid w:val="0019118F"/>
    <w:rsid w:val="00191769"/>
    <w:rsid w:val="00191A10"/>
    <w:rsid w:val="0019257F"/>
    <w:rsid w:val="00192872"/>
    <w:rsid w:val="00192876"/>
    <w:rsid w:val="001929E6"/>
    <w:rsid w:val="00192EAD"/>
    <w:rsid w:val="0019364F"/>
    <w:rsid w:val="00193A07"/>
    <w:rsid w:val="0019441B"/>
    <w:rsid w:val="001946B9"/>
    <w:rsid w:val="00194CA4"/>
    <w:rsid w:val="0019505B"/>
    <w:rsid w:val="0019518F"/>
    <w:rsid w:val="00195263"/>
    <w:rsid w:val="00195466"/>
    <w:rsid w:val="0019549E"/>
    <w:rsid w:val="0019556B"/>
    <w:rsid w:val="001955C5"/>
    <w:rsid w:val="0019595D"/>
    <w:rsid w:val="0019670B"/>
    <w:rsid w:val="00196E33"/>
    <w:rsid w:val="00197268"/>
    <w:rsid w:val="00197705"/>
    <w:rsid w:val="00197F18"/>
    <w:rsid w:val="001A0408"/>
    <w:rsid w:val="001A0A1F"/>
    <w:rsid w:val="001A0BAB"/>
    <w:rsid w:val="001A0DBC"/>
    <w:rsid w:val="001A0F29"/>
    <w:rsid w:val="001A0F49"/>
    <w:rsid w:val="001A13B6"/>
    <w:rsid w:val="001A16DB"/>
    <w:rsid w:val="001A242C"/>
    <w:rsid w:val="001A2527"/>
    <w:rsid w:val="001A3082"/>
    <w:rsid w:val="001A3D5B"/>
    <w:rsid w:val="001A4181"/>
    <w:rsid w:val="001A434C"/>
    <w:rsid w:val="001A4F90"/>
    <w:rsid w:val="001A51E6"/>
    <w:rsid w:val="001A55F7"/>
    <w:rsid w:val="001A5726"/>
    <w:rsid w:val="001A592B"/>
    <w:rsid w:val="001A5C54"/>
    <w:rsid w:val="001A5CCF"/>
    <w:rsid w:val="001A6585"/>
    <w:rsid w:val="001A6CBE"/>
    <w:rsid w:val="001A7537"/>
    <w:rsid w:val="001A7B88"/>
    <w:rsid w:val="001B0237"/>
    <w:rsid w:val="001B0D6F"/>
    <w:rsid w:val="001B0DAA"/>
    <w:rsid w:val="001B0E32"/>
    <w:rsid w:val="001B112A"/>
    <w:rsid w:val="001B125C"/>
    <w:rsid w:val="001B12F5"/>
    <w:rsid w:val="001B23B2"/>
    <w:rsid w:val="001B24C9"/>
    <w:rsid w:val="001B2668"/>
    <w:rsid w:val="001B2AE6"/>
    <w:rsid w:val="001B2E39"/>
    <w:rsid w:val="001B3236"/>
    <w:rsid w:val="001B3433"/>
    <w:rsid w:val="001B3488"/>
    <w:rsid w:val="001B3807"/>
    <w:rsid w:val="001B394B"/>
    <w:rsid w:val="001B3EE5"/>
    <w:rsid w:val="001B4404"/>
    <w:rsid w:val="001B4DA1"/>
    <w:rsid w:val="001B4DE5"/>
    <w:rsid w:val="001B4F4B"/>
    <w:rsid w:val="001B4FC6"/>
    <w:rsid w:val="001B5229"/>
    <w:rsid w:val="001B65A3"/>
    <w:rsid w:val="001B6697"/>
    <w:rsid w:val="001B66CC"/>
    <w:rsid w:val="001B6990"/>
    <w:rsid w:val="001B6D05"/>
    <w:rsid w:val="001B6D97"/>
    <w:rsid w:val="001B76AB"/>
    <w:rsid w:val="001B7817"/>
    <w:rsid w:val="001B7951"/>
    <w:rsid w:val="001B7D87"/>
    <w:rsid w:val="001B7D9B"/>
    <w:rsid w:val="001B7E4A"/>
    <w:rsid w:val="001C00ED"/>
    <w:rsid w:val="001C0486"/>
    <w:rsid w:val="001C08F5"/>
    <w:rsid w:val="001C1183"/>
    <w:rsid w:val="001C13FF"/>
    <w:rsid w:val="001C1637"/>
    <w:rsid w:val="001C16A0"/>
    <w:rsid w:val="001C16E3"/>
    <w:rsid w:val="001C1B22"/>
    <w:rsid w:val="001C22D0"/>
    <w:rsid w:val="001C2783"/>
    <w:rsid w:val="001C2CB3"/>
    <w:rsid w:val="001C33B9"/>
    <w:rsid w:val="001C358C"/>
    <w:rsid w:val="001C3774"/>
    <w:rsid w:val="001C3A55"/>
    <w:rsid w:val="001C4018"/>
    <w:rsid w:val="001C4633"/>
    <w:rsid w:val="001C4892"/>
    <w:rsid w:val="001C48A0"/>
    <w:rsid w:val="001C4902"/>
    <w:rsid w:val="001C49D3"/>
    <w:rsid w:val="001C4C36"/>
    <w:rsid w:val="001C4D05"/>
    <w:rsid w:val="001C52F9"/>
    <w:rsid w:val="001C57B0"/>
    <w:rsid w:val="001C5E2B"/>
    <w:rsid w:val="001C5F69"/>
    <w:rsid w:val="001C6157"/>
    <w:rsid w:val="001C65DF"/>
    <w:rsid w:val="001C674D"/>
    <w:rsid w:val="001C67E3"/>
    <w:rsid w:val="001C6CAF"/>
    <w:rsid w:val="001C7019"/>
    <w:rsid w:val="001C704C"/>
    <w:rsid w:val="001C71BA"/>
    <w:rsid w:val="001C72DB"/>
    <w:rsid w:val="001C7EC9"/>
    <w:rsid w:val="001D01CD"/>
    <w:rsid w:val="001D084B"/>
    <w:rsid w:val="001D0B49"/>
    <w:rsid w:val="001D0BAF"/>
    <w:rsid w:val="001D14D6"/>
    <w:rsid w:val="001D1DCF"/>
    <w:rsid w:val="001D1EAC"/>
    <w:rsid w:val="001D1F6E"/>
    <w:rsid w:val="001D222B"/>
    <w:rsid w:val="001D237F"/>
    <w:rsid w:val="001D2871"/>
    <w:rsid w:val="001D31C0"/>
    <w:rsid w:val="001D3208"/>
    <w:rsid w:val="001D3233"/>
    <w:rsid w:val="001D3481"/>
    <w:rsid w:val="001D3811"/>
    <w:rsid w:val="001D3866"/>
    <w:rsid w:val="001D3922"/>
    <w:rsid w:val="001D4282"/>
    <w:rsid w:val="001D4325"/>
    <w:rsid w:val="001D4A6B"/>
    <w:rsid w:val="001D5013"/>
    <w:rsid w:val="001D5030"/>
    <w:rsid w:val="001D529E"/>
    <w:rsid w:val="001D5909"/>
    <w:rsid w:val="001D5FC2"/>
    <w:rsid w:val="001D67A0"/>
    <w:rsid w:val="001D6954"/>
    <w:rsid w:val="001D70D5"/>
    <w:rsid w:val="001D7426"/>
    <w:rsid w:val="001D751D"/>
    <w:rsid w:val="001E0B46"/>
    <w:rsid w:val="001E0E3E"/>
    <w:rsid w:val="001E17C7"/>
    <w:rsid w:val="001E1B58"/>
    <w:rsid w:val="001E2310"/>
    <w:rsid w:val="001E2580"/>
    <w:rsid w:val="001E25B5"/>
    <w:rsid w:val="001E2B69"/>
    <w:rsid w:val="001E2BCC"/>
    <w:rsid w:val="001E2C72"/>
    <w:rsid w:val="001E2D41"/>
    <w:rsid w:val="001E2E3E"/>
    <w:rsid w:val="001E35D7"/>
    <w:rsid w:val="001E3622"/>
    <w:rsid w:val="001E3BA8"/>
    <w:rsid w:val="001E3BCB"/>
    <w:rsid w:val="001E3C1F"/>
    <w:rsid w:val="001E49B9"/>
    <w:rsid w:val="001E4B89"/>
    <w:rsid w:val="001E5368"/>
    <w:rsid w:val="001E5781"/>
    <w:rsid w:val="001E67CC"/>
    <w:rsid w:val="001E6867"/>
    <w:rsid w:val="001E6869"/>
    <w:rsid w:val="001E694A"/>
    <w:rsid w:val="001E69F5"/>
    <w:rsid w:val="001E7A95"/>
    <w:rsid w:val="001F0075"/>
    <w:rsid w:val="001F0150"/>
    <w:rsid w:val="001F03A7"/>
    <w:rsid w:val="001F04A0"/>
    <w:rsid w:val="001F06B2"/>
    <w:rsid w:val="001F08AC"/>
    <w:rsid w:val="001F0AE7"/>
    <w:rsid w:val="001F0B37"/>
    <w:rsid w:val="001F0EA4"/>
    <w:rsid w:val="001F0F5A"/>
    <w:rsid w:val="001F157F"/>
    <w:rsid w:val="001F17BC"/>
    <w:rsid w:val="001F1888"/>
    <w:rsid w:val="001F1A91"/>
    <w:rsid w:val="001F2565"/>
    <w:rsid w:val="001F2912"/>
    <w:rsid w:val="001F2A00"/>
    <w:rsid w:val="001F2BC7"/>
    <w:rsid w:val="001F2CB4"/>
    <w:rsid w:val="001F30E2"/>
    <w:rsid w:val="001F311D"/>
    <w:rsid w:val="001F3604"/>
    <w:rsid w:val="001F45AD"/>
    <w:rsid w:val="001F483B"/>
    <w:rsid w:val="001F4CAF"/>
    <w:rsid w:val="001F5471"/>
    <w:rsid w:val="001F55DA"/>
    <w:rsid w:val="001F5811"/>
    <w:rsid w:val="001F5EE7"/>
    <w:rsid w:val="001F5F9C"/>
    <w:rsid w:val="001F6269"/>
    <w:rsid w:val="001F6322"/>
    <w:rsid w:val="001F6467"/>
    <w:rsid w:val="001F6477"/>
    <w:rsid w:val="001F695B"/>
    <w:rsid w:val="001F6C44"/>
    <w:rsid w:val="001F6C53"/>
    <w:rsid w:val="001F74F3"/>
    <w:rsid w:val="001F793F"/>
    <w:rsid w:val="001F7973"/>
    <w:rsid w:val="001F79B5"/>
    <w:rsid w:val="001F7C59"/>
    <w:rsid w:val="00200124"/>
    <w:rsid w:val="0020025F"/>
    <w:rsid w:val="00200507"/>
    <w:rsid w:val="00201982"/>
    <w:rsid w:val="00201BFF"/>
    <w:rsid w:val="00202164"/>
    <w:rsid w:val="00202329"/>
    <w:rsid w:val="002023BB"/>
    <w:rsid w:val="002026BB"/>
    <w:rsid w:val="0020289F"/>
    <w:rsid w:val="0020314C"/>
    <w:rsid w:val="002031B2"/>
    <w:rsid w:val="002032E2"/>
    <w:rsid w:val="00203454"/>
    <w:rsid w:val="00203650"/>
    <w:rsid w:val="0020395D"/>
    <w:rsid w:val="00203AB6"/>
    <w:rsid w:val="00203F33"/>
    <w:rsid w:val="00204556"/>
    <w:rsid w:val="00204603"/>
    <w:rsid w:val="0020474E"/>
    <w:rsid w:val="0020481D"/>
    <w:rsid w:val="002049A1"/>
    <w:rsid w:val="00204BD8"/>
    <w:rsid w:val="002053A7"/>
    <w:rsid w:val="002056CF"/>
    <w:rsid w:val="002057D3"/>
    <w:rsid w:val="00205B22"/>
    <w:rsid w:val="002060A4"/>
    <w:rsid w:val="002060EB"/>
    <w:rsid w:val="002061FC"/>
    <w:rsid w:val="002067AC"/>
    <w:rsid w:val="0020687E"/>
    <w:rsid w:val="00206913"/>
    <w:rsid w:val="0020695F"/>
    <w:rsid w:val="00207131"/>
    <w:rsid w:val="002073F2"/>
    <w:rsid w:val="002078EC"/>
    <w:rsid w:val="00207E6B"/>
    <w:rsid w:val="00207F59"/>
    <w:rsid w:val="0021033C"/>
    <w:rsid w:val="00210878"/>
    <w:rsid w:val="00210D32"/>
    <w:rsid w:val="0021145E"/>
    <w:rsid w:val="00211489"/>
    <w:rsid w:val="002115E6"/>
    <w:rsid w:val="002117B1"/>
    <w:rsid w:val="0021190F"/>
    <w:rsid w:val="00211A8E"/>
    <w:rsid w:val="00212031"/>
    <w:rsid w:val="00212109"/>
    <w:rsid w:val="00212AEA"/>
    <w:rsid w:val="00212D91"/>
    <w:rsid w:val="00212E73"/>
    <w:rsid w:val="00212EC3"/>
    <w:rsid w:val="00213070"/>
    <w:rsid w:val="0021374E"/>
    <w:rsid w:val="002138F2"/>
    <w:rsid w:val="002139BE"/>
    <w:rsid w:val="00213BF6"/>
    <w:rsid w:val="00214102"/>
    <w:rsid w:val="002143FE"/>
    <w:rsid w:val="00214AC2"/>
    <w:rsid w:val="00214DB8"/>
    <w:rsid w:val="00214F34"/>
    <w:rsid w:val="00215026"/>
    <w:rsid w:val="002154A9"/>
    <w:rsid w:val="00215601"/>
    <w:rsid w:val="0021692C"/>
    <w:rsid w:val="00216A27"/>
    <w:rsid w:val="002177DC"/>
    <w:rsid w:val="00217972"/>
    <w:rsid w:val="00217D48"/>
    <w:rsid w:val="002204AB"/>
    <w:rsid w:val="0022088A"/>
    <w:rsid w:val="002208CA"/>
    <w:rsid w:val="0022113F"/>
    <w:rsid w:val="00221269"/>
    <w:rsid w:val="0022130A"/>
    <w:rsid w:val="0022142E"/>
    <w:rsid w:val="00221626"/>
    <w:rsid w:val="00221711"/>
    <w:rsid w:val="00221CF4"/>
    <w:rsid w:val="00222004"/>
    <w:rsid w:val="002224EF"/>
    <w:rsid w:val="002228AA"/>
    <w:rsid w:val="00222E69"/>
    <w:rsid w:val="0022346A"/>
    <w:rsid w:val="002234DF"/>
    <w:rsid w:val="002242FB"/>
    <w:rsid w:val="00224720"/>
    <w:rsid w:val="00224D15"/>
    <w:rsid w:val="00225980"/>
    <w:rsid w:val="002259FB"/>
    <w:rsid w:val="00225A3F"/>
    <w:rsid w:val="00225CB2"/>
    <w:rsid w:val="00225EB0"/>
    <w:rsid w:val="00226D2C"/>
    <w:rsid w:val="00226F00"/>
    <w:rsid w:val="002270E1"/>
    <w:rsid w:val="002272B0"/>
    <w:rsid w:val="002276F8"/>
    <w:rsid w:val="00227716"/>
    <w:rsid w:val="00227921"/>
    <w:rsid w:val="00227AA5"/>
    <w:rsid w:val="002307C4"/>
    <w:rsid w:val="00230A6C"/>
    <w:rsid w:val="00230D90"/>
    <w:rsid w:val="00230DC4"/>
    <w:rsid w:val="0023116A"/>
    <w:rsid w:val="0023142F"/>
    <w:rsid w:val="002316F4"/>
    <w:rsid w:val="00231A01"/>
    <w:rsid w:val="00231BA8"/>
    <w:rsid w:val="00231E92"/>
    <w:rsid w:val="0023286D"/>
    <w:rsid w:val="00232C5F"/>
    <w:rsid w:val="00232CC8"/>
    <w:rsid w:val="00232D0A"/>
    <w:rsid w:val="00232DC9"/>
    <w:rsid w:val="00232F58"/>
    <w:rsid w:val="00233362"/>
    <w:rsid w:val="002344A5"/>
    <w:rsid w:val="0023454E"/>
    <w:rsid w:val="0023464C"/>
    <w:rsid w:val="00234814"/>
    <w:rsid w:val="0023527F"/>
    <w:rsid w:val="00235A00"/>
    <w:rsid w:val="00235F0C"/>
    <w:rsid w:val="00236B7D"/>
    <w:rsid w:val="00236E66"/>
    <w:rsid w:val="002370B3"/>
    <w:rsid w:val="0023717F"/>
    <w:rsid w:val="00237552"/>
    <w:rsid w:val="002376B0"/>
    <w:rsid w:val="0023784C"/>
    <w:rsid w:val="00237CAF"/>
    <w:rsid w:val="00237FA6"/>
    <w:rsid w:val="002400BC"/>
    <w:rsid w:val="0024015C"/>
    <w:rsid w:val="00240B5A"/>
    <w:rsid w:val="00240D03"/>
    <w:rsid w:val="00240D44"/>
    <w:rsid w:val="00240D4D"/>
    <w:rsid w:val="0024110A"/>
    <w:rsid w:val="002413B0"/>
    <w:rsid w:val="00241844"/>
    <w:rsid w:val="0024197C"/>
    <w:rsid w:val="00241FA1"/>
    <w:rsid w:val="0024231A"/>
    <w:rsid w:val="00243076"/>
    <w:rsid w:val="002431D4"/>
    <w:rsid w:val="002433C5"/>
    <w:rsid w:val="00243429"/>
    <w:rsid w:val="002434BA"/>
    <w:rsid w:val="002436D1"/>
    <w:rsid w:val="00243DBC"/>
    <w:rsid w:val="002448B0"/>
    <w:rsid w:val="00244967"/>
    <w:rsid w:val="00244B8E"/>
    <w:rsid w:val="00244DB4"/>
    <w:rsid w:val="0024554B"/>
    <w:rsid w:val="002455B2"/>
    <w:rsid w:val="00245928"/>
    <w:rsid w:val="00245B22"/>
    <w:rsid w:val="00245B47"/>
    <w:rsid w:val="002465D8"/>
    <w:rsid w:val="0024673C"/>
    <w:rsid w:val="002479E9"/>
    <w:rsid w:val="002508C6"/>
    <w:rsid w:val="00250C98"/>
    <w:rsid w:val="0025114D"/>
    <w:rsid w:val="00251284"/>
    <w:rsid w:val="0025132C"/>
    <w:rsid w:val="00251A0F"/>
    <w:rsid w:val="00251B8E"/>
    <w:rsid w:val="00251DA8"/>
    <w:rsid w:val="002521AC"/>
    <w:rsid w:val="00252A04"/>
    <w:rsid w:val="00252B50"/>
    <w:rsid w:val="00252D44"/>
    <w:rsid w:val="00252F3D"/>
    <w:rsid w:val="0025332C"/>
    <w:rsid w:val="0025338A"/>
    <w:rsid w:val="00253781"/>
    <w:rsid w:val="002538A2"/>
    <w:rsid w:val="00253C08"/>
    <w:rsid w:val="00253C9D"/>
    <w:rsid w:val="00254016"/>
    <w:rsid w:val="00254186"/>
    <w:rsid w:val="00254820"/>
    <w:rsid w:val="00254F94"/>
    <w:rsid w:val="0025531B"/>
    <w:rsid w:val="002553B6"/>
    <w:rsid w:val="0025561B"/>
    <w:rsid w:val="0025587A"/>
    <w:rsid w:val="00255A12"/>
    <w:rsid w:val="0025655E"/>
    <w:rsid w:val="00256689"/>
    <w:rsid w:val="00256A74"/>
    <w:rsid w:val="002572C0"/>
    <w:rsid w:val="0025762E"/>
    <w:rsid w:val="00257963"/>
    <w:rsid w:val="00260058"/>
    <w:rsid w:val="00260133"/>
    <w:rsid w:val="00260661"/>
    <w:rsid w:val="00260B7C"/>
    <w:rsid w:val="00260C74"/>
    <w:rsid w:val="002619BF"/>
    <w:rsid w:val="00261D42"/>
    <w:rsid w:val="00261EBC"/>
    <w:rsid w:val="002622E6"/>
    <w:rsid w:val="00262301"/>
    <w:rsid w:val="00262ADC"/>
    <w:rsid w:val="00262C94"/>
    <w:rsid w:val="00262D64"/>
    <w:rsid w:val="00263ED5"/>
    <w:rsid w:val="002643A5"/>
    <w:rsid w:val="00264810"/>
    <w:rsid w:val="00265612"/>
    <w:rsid w:val="0026563D"/>
    <w:rsid w:val="0026568F"/>
    <w:rsid w:val="0026589D"/>
    <w:rsid w:val="00265DE6"/>
    <w:rsid w:val="0026626B"/>
    <w:rsid w:val="00266AC3"/>
    <w:rsid w:val="002676B7"/>
    <w:rsid w:val="002678E2"/>
    <w:rsid w:val="00267946"/>
    <w:rsid w:val="00267947"/>
    <w:rsid w:val="00267A1F"/>
    <w:rsid w:val="00267BF5"/>
    <w:rsid w:val="00267D34"/>
    <w:rsid w:val="002705E0"/>
    <w:rsid w:val="00270755"/>
    <w:rsid w:val="00270782"/>
    <w:rsid w:val="002707F4"/>
    <w:rsid w:val="00270A05"/>
    <w:rsid w:val="00270F65"/>
    <w:rsid w:val="002719FB"/>
    <w:rsid w:val="00271F7B"/>
    <w:rsid w:val="00272143"/>
    <w:rsid w:val="0027235C"/>
    <w:rsid w:val="0027260F"/>
    <w:rsid w:val="002728C5"/>
    <w:rsid w:val="00272A0C"/>
    <w:rsid w:val="00272C3E"/>
    <w:rsid w:val="00272CD9"/>
    <w:rsid w:val="00272F9F"/>
    <w:rsid w:val="002735A0"/>
    <w:rsid w:val="002737A2"/>
    <w:rsid w:val="00273D09"/>
    <w:rsid w:val="00273D38"/>
    <w:rsid w:val="00274764"/>
    <w:rsid w:val="00274992"/>
    <w:rsid w:val="002755E2"/>
    <w:rsid w:val="00275AB3"/>
    <w:rsid w:val="00275CCB"/>
    <w:rsid w:val="00275D1B"/>
    <w:rsid w:val="00275E14"/>
    <w:rsid w:val="00276458"/>
    <w:rsid w:val="00276577"/>
    <w:rsid w:val="00276644"/>
    <w:rsid w:val="00276B07"/>
    <w:rsid w:val="00277246"/>
    <w:rsid w:val="00277962"/>
    <w:rsid w:val="00277B37"/>
    <w:rsid w:val="00280141"/>
    <w:rsid w:val="00280210"/>
    <w:rsid w:val="0028040A"/>
    <w:rsid w:val="0028150A"/>
    <w:rsid w:val="0028157A"/>
    <w:rsid w:val="0028173C"/>
    <w:rsid w:val="00281833"/>
    <w:rsid w:val="002818DE"/>
    <w:rsid w:val="0028212E"/>
    <w:rsid w:val="00282171"/>
    <w:rsid w:val="0028279E"/>
    <w:rsid w:val="00282935"/>
    <w:rsid w:val="002834D0"/>
    <w:rsid w:val="00283654"/>
    <w:rsid w:val="0028369F"/>
    <w:rsid w:val="0028380B"/>
    <w:rsid w:val="00283D5E"/>
    <w:rsid w:val="00283DF3"/>
    <w:rsid w:val="0028445F"/>
    <w:rsid w:val="00284783"/>
    <w:rsid w:val="0028555B"/>
    <w:rsid w:val="00285874"/>
    <w:rsid w:val="00285B29"/>
    <w:rsid w:val="00285F4A"/>
    <w:rsid w:val="00286372"/>
    <w:rsid w:val="002863D5"/>
    <w:rsid w:val="00286C28"/>
    <w:rsid w:val="00286E4D"/>
    <w:rsid w:val="00287137"/>
    <w:rsid w:val="002872E3"/>
    <w:rsid w:val="00287777"/>
    <w:rsid w:val="002877EE"/>
    <w:rsid w:val="00287A53"/>
    <w:rsid w:val="00287B48"/>
    <w:rsid w:val="00287BE2"/>
    <w:rsid w:val="00287CD6"/>
    <w:rsid w:val="00290636"/>
    <w:rsid w:val="00291188"/>
    <w:rsid w:val="002914AC"/>
    <w:rsid w:val="002914D4"/>
    <w:rsid w:val="0029169E"/>
    <w:rsid w:val="00291877"/>
    <w:rsid w:val="00291941"/>
    <w:rsid w:val="00291B66"/>
    <w:rsid w:val="00291F5F"/>
    <w:rsid w:val="00291F71"/>
    <w:rsid w:val="00292308"/>
    <w:rsid w:val="002923E4"/>
    <w:rsid w:val="0029289B"/>
    <w:rsid w:val="00292C19"/>
    <w:rsid w:val="00292C4E"/>
    <w:rsid w:val="00292D06"/>
    <w:rsid w:val="00292E04"/>
    <w:rsid w:val="0029323F"/>
    <w:rsid w:val="002937E3"/>
    <w:rsid w:val="002938D7"/>
    <w:rsid w:val="00293A94"/>
    <w:rsid w:val="00293B98"/>
    <w:rsid w:val="00293D74"/>
    <w:rsid w:val="00293FA7"/>
    <w:rsid w:val="0029402E"/>
    <w:rsid w:val="00294068"/>
    <w:rsid w:val="002944C1"/>
    <w:rsid w:val="00294BBE"/>
    <w:rsid w:val="00294F5E"/>
    <w:rsid w:val="00294FDD"/>
    <w:rsid w:val="002952BC"/>
    <w:rsid w:val="002953F4"/>
    <w:rsid w:val="002956E0"/>
    <w:rsid w:val="00295BD8"/>
    <w:rsid w:val="00295E36"/>
    <w:rsid w:val="00295E6F"/>
    <w:rsid w:val="002961AD"/>
    <w:rsid w:val="00296B56"/>
    <w:rsid w:val="00296F22"/>
    <w:rsid w:val="00297C28"/>
    <w:rsid w:val="00297DFB"/>
    <w:rsid w:val="00297F21"/>
    <w:rsid w:val="002A0119"/>
    <w:rsid w:val="002A0521"/>
    <w:rsid w:val="002A0D77"/>
    <w:rsid w:val="002A0F60"/>
    <w:rsid w:val="002A11CC"/>
    <w:rsid w:val="002A1339"/>
    <w:rsid w:val="002A14B7"/>
    <w:rsid w:val="002A1B37"/>
    <w:rsid w:val="002A20A5"/>
    <w:rsid w:val="002A227E"/>
    <w:rsid w:val="002A2960"/>
    <w:rsid w:val="002A2DFB"/>
    <w:rsid w:val="002A2F1A"/>
    <w:rsid w:val="002A2FC9"/>
    <w:rsid w:val="002A3281"/>
    <w:rsid w:val="002A371F"/>
    <w:rsid w:val="002A3CEC"/>
    <w:rsid w:val="002A4438"/>
    <w:rsid w:val="002A4E46"/>
    <w:rsid w:val="002A5015"/>
    <w:rsid w:val="002A56D7"/>
    <w:rsid w:val="002A6C47"/>
    <w:rsid w:val="002A6D8B"/>
    <w:rsid w:val="002A70DC"/>
    <w:rsid w:val="002A7197"/>
    <w:rsid w:val="002A73B2"/>
    <w:rsid w:val="002A75CC"/>
    <w:rsid w:val="002A75E6"/>
    <w:rsid w:val="002A7841"/>
    <w:rsid w:val="002A7955"/>
    <w:rsid w:val="002A7EAD"/>
    <w:rsid w:val="002B0201"/>
    <w:rsid w:val="002B0225"/>
    <w:rsid w:val="002B05BC"/>
    <w:rsid w:val="002B07FD"/>
    <w:rsid w:val="002B0F7F"/>
    <w:rsid w:val="002B1326"/>
    <w:rsid w:val="002B212F"/>
    <w:rsid w:val="002B2590"/>
    <w:rsid w:val="002B2A07"/>
    <w:rsid w:val="002B2AEF"/>
    <w:rsid w:val="002B2FE4"/>
    <w:rsid w:val="002B3591"/>
    <w:rsid w:val="002B3952"/>
    <w:rsid w:val="002B3A4D"/>
    <w:rsid w:val="002B3BFA"/>
    <w:rsid w:val="002B3D66"/>
    <w:rsid w:val="002B3F26"/>
    <w:rsid w:val="002B40F6"/>
    <w:rsid w:val="002B5203"/>
    <w:rsid w:val="002B53DA"/>
    <w:rsid w:val="002B59C0"/>
    <w:rsid w:val="002B5D46"/>
    <w:rsid w:val="002B616D"/>
    <w:rsid w:val="002B6524"/>
    <w:rsid w:val="002B66DD"/>
    <w:rsid w:val="002B6BFB"/>
    <w:rsid w:val="002B6DD0"/>
    <w:rsid w:val="002B6E5B"/>
    <w:rsid w:val="002B6E5E"/>
    <w:rsid w:val="002B7214"/>
    <w:rsid w:val="002B732C"/>
    <w:rsid w:val="002B7897"/>
    <w:rsid w:val="002B7EF2"/>
    <w:rsid w:val="002C020F"/>
    <w:rsid w:val="002C042D"/>
    <w:rsid w:val="002C07EB"/>
    <w:rsid w:val="002C0B29"/>
    <w:rsid w:val="002C10FB"/>
    <w:rsid w:val="002C12D5"/>
    <w:rsid w:val="002C13E9"/>
    <w:rsid w:val="002C1684"/>
    <w:rsid w:val="002C1BAD"/>
    <w:rsid w:val="002C2461"/>
    <w:rsid w:val="002C2683"/>
    <w:rsid w:val="002C2CE1"/>
    <w:rsid w:val="002C2F08"/>
    <w:rsid w:val="002C2FF5"/>
    <w:rsid w:val="002C32E8"/>
    <w:rsid w:val="002C39E8"/>
    <w:rsid w:val="002C3B11"/>
    <w:rsid w:val="002C4551"/>
    <w:rsid w:val="002C479E"/>
    <w:rsid w:val="002C4DCD"/>
    <w:rsid w:val="002C52D3"/>
    <w:rsid w:val="002C5623"/>
    <w:rsid w:val="002C56A8"/>
    <w:rsid w:val="002C580C"/>
    <w:rsid w:val="002C58CB"/>
    <w:rsid w:val="002C59A5"/>
    <w:rsid w:val="002C5D29"/>
    <w:rsid w:val="002C5D8A"/>
    <w:rsid w:val="002C5FFF"/>
    <w:rsid w:val="002C61C4"/>
    <w:rsid w:val="002C65D8"/>
    <w:rsid w:val="002C6C7A"/>
    <w:rsid w:val="002C71E2"/>
    <w:rsid w:val="002C7611"/>
    <w:rsid w:val="002C761A"/>
    <w:rsid w:val="002C77B2"/>
    <w:rsid w:val="002D057D"/>
    <w:rsid w:val="002D05CB"/>
    <w:rsid w:val="002D0B5A"/>
    <w:rsid w:val="002D0F22"/>
    <w:rsid w:val="002D15B7"/>
    <w:rsid w:val="002D22DB"/>
    <w:rsid w:val="002D2439"/>
    <w:rsid w:val="002D2832"/>
    <w:rsid w:val="002D2983"/>
    <w:rsid w:val="002D2B26"/>
    <w:rsid w:val="002D2FF5"/>
    <w:rsid w:val="002D3193"/>
    <w:rsid w:val="002D3991"/>
    <w:rsid w:val="002D4194"/>
    <w:rsid w:val="002D4BC0"/>
    <w:rsid w:val="002D5092"/>
    <w:rsid w:val="002D5099"/>
    <w:rsid w:val="002D5407"/>
    <w:rsid w:val="002D5DA9"/>
    <w:rsid w:val="002D5E22"/>
    <w:rsid w:val="002D619B"/>
    <w:rsid w:val="002D62A0"/>
    <w:rsid w:val="002D636C"/>
    <w:rsid w:val="002D639D"/>
    <w:rsid w:val="002D6686"/>
    <w:rsid w:val="002D6B0E"/>
    <w:rsid w:val="002D6B4F"/>
    <w:rsid w:val="002D6C7C"/>
    <w:rsid w:val="002D6DBE"/>
    <w:rsid w:val="002D7B62"/>
    <w:rsid w:val="002D7C39"/>
    <w:rsid w:val="002E0003"/>
    <w:rsid w:val="002E018A"/>
    <w:rsid w:val="002E0730"/>
    <w:rsid w:val="002E07E6"/>
    <w:rsid w:val="002E0BED"/>
    <w:rsid w:val="002E1299"/>
    <w:rsid w:val="002E1346"/>
    <w:rsid w:val="002E213F"/>
    <w:rsid w:val="002E21A0"/>
    <w:rsid w:val="002E23DE"/>
    <w:rsid w:val="002E2545"/>
    <w:rsid w:val="002E29EA"/>
    <w:rsid w:val="002E2A4A"/>
    <w:rsid w:val="002E371F"/>
    <w:rsid w:val="002E37D7"/>
    <w:rsid w:val="002E38C1"/>
    <w:rsid w:val="002E3BC1"/>
    <w:rsid w:val="002E4094"/>
    <w:rsid w:val="002E42E5"/>
    <w:rsid w:val="002E4576"/>
    <w:rsid w:val="002E4B71"/>
    <w:rsid w:val="002E4F30"/>
    <w:rsid w:val="002E52B7"/>
    <w:rsid w:val="002E556C"/>
    <w:rsid w:val="002E5AFC"/>
    <w:rsid w:val="002E5B06"/>
    <w:rsid w:val="002E5E19"/>
    <w:rsid w:val="002E61E2"/>
    <w:rsid w:val="002E6965"/>
    <w:rsid w:val="002E6FDB"/>
    <w:rsid w:val="002E72D9"/>
    <w:rsid w:val="002E78C5"/>
    <w:rsid w:val="002F0139"/>
    <w:rsid w:val="002F04A0"/>
    <w:rsid w:val="002F054C"/>
    <w:rsid w:val="002F05C0"/>
    <w:rsid w:val="002F06BE"/>
    <w:rsid w:val="002F1005"/>
    <w:rsid w:val="002F10CF"/>
    <w:rsid w:val="002F1404"/>
    <w:rsid w:val="002F158A"/>
    <w:rsid w:val="002F2051"/>
    <w:rsid w:val="002F20CE"/>
    <w:rsid w:val="002F23A4"/>
    <w:rsid w:val="002F2788"/>
    <w:rsid w:val="002F2B72"/>
    <w:rsid w:val="002F3185"/>
    <w:rsid w:val="002F42DE"/>
    <w:rsid w:val="002F47F5"/>
    <w:rsid w:val="002F48DD"/>
    <w:rsid w:val="002F4B75"/>
    <w:rsid w:val="002F4C03"/>
    <w:rsid w:val="002F4E7B"/>
    <w:rsid w:val="002F52BD"/>
    <w:rsid w:val="002F5C0F"/>
    <w:rsid w:val="002F5C47"/>
    <w:rsid w:val="002F5DAC"/>
    <w:rsid w:val="002F608B"/>
    <w:rsid w:val="002F6177"/>
    <w:rsid w:val="002F6253"/>
    <w:rsid w:val="002F6360"/>
    <w:rsid w:val="002F6A4E"/>
    <w:rsid w:val="002F7079"/>
    <w:rsid w:val="002F70B5"/>
    <w:rsid w:val="002F725E"/>
    <w:rsid w:val="002F7561"/>
    <w:rsid w:val="002F7721"/>
    <w:rsid w:val="002F79C1"/>
    <w:rsid w:val="002F7B89"/>
    <w:rsid w:val="002F7B98"/>
    <w:rsid w:val="003003DE"/>
    <w:rsid w:val="00300776"/>
    <w:rsid w:val="003007B9"/>
    <w:rsid w:val="0030084F"/>
    <w:rsid w:val="0030096D"/>
    <w:rsid w:val="00300D94"/>
    <w:rsid w:val="003014A8"/>
    <w:rsid w:val="00301C62"/>
    <w:rsid w:val="00301DB6"/>
    <w:rsid w:val="0030206D"/>
    <w:rsid w:val="00302507"/>
    <w:rsid w:val="00302B93"/>
    <w:rsid w:val="00302F7A"/>
    <w:rsid w:val="00303034"/>
    <w:rsid w:val="003034C4"/>
    <w:rsid w:val="003036D8"/>
    <w:rsid w:val="0030388F"/>
    <w:rsid w:val="00303CEA"/>
    <w:rsid w:val="0030431F"/>
    <w:rsid w:val="00304358"/>
    <w:rsid w:val="00304687"/>
    <w:rsid w:val="003046DE"/>
    <w:rsid w:val="003048D0"/>
    <w:rsid w:val="00304FBA"/>
    <w:rsid w:val="00305168"/>
    <w:rsid w:val="00305174"/>
    <w:rsid w:val="0030541D"/>
    <w:rsid w:val="00305DEC"/>
    <w:rsid w:val="00306135"/>
    <w:rsid w:val="003068E9"/>
    <w:rsid w:val="00306A37"/>
    <w:rsid w:val="00306E8D"/>
    <w:rsid w:val="00307492"/>
    <w:rsid w:val="00307778"/>
    <w:rsid w:val="0030779F"/>
    <w:rsid w:val="00307C84"/>
    <w:rsid w:val="00307F6A"/>
    <w:rsid w:val="003100DA"/>
    <w:rsid w:val="00310210"/>
    <w:rsid w:val="003106AA"/>
    <w:rsid w:val="003106FE"/>
    <w:rsid w:val="00310983"/>
    <w:rsid w:val="00310A0C"/>
    <w:rsid w:val="00310C41"/>
    <w:rsid w:val="00310CEB"/>
    <w:rsid w:val="00311554"/>
    <w:rsid w:val="003119D2"/>
    <w:rsid w:val="00312362"/>
    <w:rsid w:val="0031285E"/>
    <w:rsid w:val="00312ED4"/>
    <w:rsid w:val="003133DF"/>
    <w:rsid w:val="00313498"/>
    <w:rsid w:val="003139F0"/>
    <w:rsid w:val="00313EAD"/>
    <w:rsid w:val="003142EC"/>
    <w:rsid w:val="003148FD"/>
    <w:rsid w:val="00314A55"/>
    <w:rsid w:val="00314AB0"/>
    <w:rsid w:val="00314BC2"/>
    <w:rsid w:val="00314F9A"/>
    <w:rsid w:val="00315526"/>
    <w:rsid w:val="003157F4"/>
    <w:rsid w:val="00315858"/>
    <w:rsid w:val="00315D8B"/>
    <w:rsid w:val="0031638B"/>
    <w:rsid w:val="00316554"/>
    <w:rsid w:val="00316B8E"/>
    <w:rsid w:val="00316FC0"/>
    <w:rsid w:val="003173F6"/>
    <w:rsid w:val="003179FE"/>
    <w:rsid w:val="00317AB9"/>
    <w:rsid w:val="00317EA9"/>
    <w:rsid w:val="00320288"/>
    <w:rsid w:val="003205D8"/>
    <w:rsid w:val="00320616"/>
    <w:rsid w:val="003210CE"/>
    <w:rsid w:val="003213FB"/>
    <w:rsid w:val="003219EE"/>
    <w:rsid w:val="00321E1B"/>
    <w:rsid w:val="00321F55"/>
    <w:rsid w:val="00322336"/>
    <w:rsid w:val="00322940"/>
    <w:rsid w:val="00322EBE"/>
    <w:rsid w:val="00322ED8"/>
    <w:rsid w:val="00322EDB"/>
    <w:rsid w:val="00322EFD"/>
    <w:rsid w:val="00322FA4"/>
    <w:rsid w:val="0032305F"/>
    <w:rsid w:val="00323D9A"/>
    <w:rsid w:val="00323F93"/>
    <w:rsid w:val="0032409B"/>
    <w:rsid w:val="0032462C"/>
    <w:rsid w:val="003246BC"/>
    <w:rsid w:val="00324CA4"/>
    <w:rsid w:val="00324F00"/>
    <w:rsid w:val="0032552A"/>
    <w:rsid w:val="003257D9"/>
    <w:rsid w:val="00325D26"/>
    <w:rsid w:val="00325D54"/>
    <w:rsid w:val="00325D59"/>
    <w:rsid w:val="00325D81"/>
    <w:rsid w:val="00326126"/>
    <w:rsid w:val="003263A8"/>
    <w:rsid w:val="00326598"/>
    <w:rsid w:val="0032677F"/>
    <w:rsid w:val="00327232"/>
    <w:rsid w:val="00327246"/>
    <w:rsid w:val="00327677"/>
    <w:rsid w:val="00327792"/>
    <w:rsid w:val="003278FC"/>
    <w:rsid w:val="00327D89"/>
    <w:rsid w:val="003302A5"/>
    <w:rsid w:val="00330879"/>
    <w:rsid w:val="00330898"/>
    <w:rsid w:val="00330920"/>
    <w:rsid w:val="00330962"/>
    <w:rsid w:val="00330DEF"/>
    <w:rsid w:val="0033130D"/>
    <w:rsid w:val="0033147B"/>
    <w:rsid w:val="0033157F"/>
    <w:rsid w:val="00331834"/>
    <w:rsid w:val="00331BDD"/>
    <w:rsid w:val="00331C3D"/>
    <w:rsid w:val="0033249B"/>
    <w:rsid w:val="00332559"/>
    <w:rsid w:val="00332CEB"/>
    <w:rsid w:val="00332E45"/>
    <w:rsid w:val="0033346A"/>
    <w:rsid w:val="003337B8"/>
    <w:rsid w:val="00333DA4"/>
    <w:rsid w:val="00334525"/>
    <w:rsid w:val="00334AC2"/>
    <w:rsid w:val="00334D13"/>
    <w:rsid w:val="00334FCE"/>
    <w:rsid w:val="00335024"/>
    <w:rsid w:val="00335032"/>
    <w:rsid w:val="0033512B"/>
    <w:rsid w:val="0033543F"/>
    <w:rsid w:val="0033546E"/>
    <w:rsid w:val="00335581"/>
    <w:rsid w:val="00335649"/>
    <w:rsid w:val="00335842"/>
    <w:rsid w:val="00335CA7"/>
    <w:rsid w:val="003360EC"/>
    <w:rsid w:val="00336F58"/>
    <w:rsid w:val="00336F69"/>
    <w:rsid w:val="00337230"/>
    <w:rsid w:val="00337CDD"/>
    <w:rsid w:val="00337D08"/>
    <w:rsid w:val="00337D78"/>
    <w:rsid w:val="00337D80"/>
    <w:rsid w:val="003406FD"/>
    <w:rsid w:val="00340A76"/>
    <w:rsid w:val="003413E7"/>
    <w:rsid w:val="00342233"/>
    <w:rsid w:val="00342372"/>
    <w:rsid w:val="0034238F"/>
    <w:rsid w:val="00342A65"/>
    <w:rsid w:val="00342A93"/>
    <w:rsid w:val="00342C84"/>
    <w:rsid w:val="0034364A"/>
    <w:rsid w:val="0034372D"/>
    <w:rsid w:val="00343A3A"/>
    <w:rsid w:val="00344233"/>
    <w:rsid w:val="00344596"/>
    <w:rsid w:val="00344CDC"/>
    <w:rsid w:val="00344E59"/>
    <w:rsid w:val="00344EBB"/>
    <w:rsid w:val="00344FE5"/>
    <w:rsid w:val="00345237"/>
    <w:rsid w:val="003459CB"/>
    <w:rsid w:val="003461A1"/>
    <w:rsid w:val="003461C3"/>
    <w:rsid w:val="003466D2"/>
    <w:rsid w:val="0034695A"/>
    <w:rsid w:val="00346B32"/>
    <w:rsid w:val="00346ED1"/>
    <w:rsid w:val="003472A1"/>
    <w:rsid w:val="00347563"/>
    <w:rsid w:val="003475FA"/>
    <w:rsid w:val="003478A6"/>
    <w:rsid w:val="00347BF6"/>
    <w:rsid w:val="003502BA"/>
    <w:rsid w:val="003503A7"/>
    <w:rsid w:val="0035064E"/>
    <w:rsid w:val="00350B19"/>
    <w:rsid w:val="00350B3E"/>
    <w:rsid w:val="00350CBB"/>
    <w:rsid w:val="00350F7B"/>
    <w:rsid w:val="003512CD"/>
    <w:rsid w:val="00351415"/>
    <w:rsid w:val="00351D2F"/>
    <w:rsid w:val="0035214F"/>
    <w:rsid w:val="0035231F"/>
    <w:rsid w:val="0035237F"/>
    <w:rsid w:val="0035266A"/>
    <w:rsid w:val="00352918"/>
    <w:rsid w:val="00352D5F"/>
    <w:rsid w:val="00352E07"/>
    <w:rsid w:val="00353854"/>
    <w:rsid w:val="00353A3C"/>
    <w:rsid w:val="00353B75"/>
    <w:rsid w:val="00354373"/>
    <w:rsid w:val="00354476"/>
    <w:rsid w:val="00354553"/>
    <w:rsid w:val="003547E3"/>
    <w:rsid w:val="003549E9"/>
    <w:rsid w:val="00354E1E"/>
    <w:rsid w:val="00354F55"/>
    <w:rsid w:val="0035579D"/>
    <w:rsid w:val="00355AA2"/>
    <w:rsid w:val="00356037"/>
    <w:rsid w:val="00356205"/>
    <w:rsid w:val="00356564"/>
    <w:rsid w:val="0035683B"/>
    <w:rsid w:val="003573A3"/>
    <w:rsid w:val="0035747E"/>
    <w:rsid w:val="00357854"/>
    <w:rsid w:val="00357EC5"/>
    <w:rsid w:val="0036019D"/>
    <w:rsid w:val="00360914"/>
    <w:rsid w:val="00360B47"/>
    <w:rsid w:val="00360B6E"/>
    <w:rsid w:val="00360C32"/>
    <w:rsid w:val="00360D2D"/>
    <w:rsid w:val="003610B1"/>
    <w:rsid w:val="003611AF"/>
    <w:rsid w:val="003614AC"/>
    <w:rsid w:val="00361876"/>
    <w:rsid w:val="0036270B"/>
    <w:rsid w:val="00362924"/>
    <w:rsid w:val="0036294B"/>
    <w:rsid w:val="00362A2A"/>
    <w:rsid w:val="00362F34"/>
    <w:rsid w:val="0036304F"/>
    <w:rsid w:val="0036388B"/>
    <w:rsid w:val="00364150"/>
    <w:rsid w:val="0036421F"/>
    <w:rsid w:val="0036428E"/>
    <w:rsid w:val="003642C4"/>
    <w:rsid w:val="0036484C"/>
    <w:rsid w:val="003648D3"/>
    <w:rsid w:val="003651E1"/>
    <w:rsid w:val="00365271"/>
    <w:rsid w:val="00365397"/>
    <w:rsid w:val="003653FE"/>
    <w:rsid w:val="00365454"/>
    <w:rsid w:val="00365592"/>
    <w:rsid w:val="003663D8"/>
    <w:rsid w:val="00366769"/>
    <w:rsid w:val="003667D6"/>
    <w:rsid w:val="003668B0"/>
    <w:rsid w:val="00367577"/>
    <w:rsid w:val="00367711"/>
    <w:rsid w:val="003678A5"/>
    <w:rsid w:val="00367933"/>
    <w:rsid w:val="00367ED3"/>
    <w:rsid w:val="00367F20"/>
    <w:rsid w:val="00370793"/>
    <w:rsid w:val="0037085F"/>
    <w:rsid w:val="003708D7"/>
    <w:rsid w:val="00370B82"/>
    <w:rsid w:val="003717D2"/>
    <w:rsid w:val="00371B6A"/>
    <w:rsid w:val="00372236"/>
    <w:rsid w:val="0037243E"/>
    <w:rsid w:val="003724DA"/>
    <w:rsid w:val="00372627"/>
    <w:rsid w:val="00372FCF"/>
    <w:rsid w:val="00373453"/>
    <w:rsid w:val="00373EE5"/>
    <w:rsid w:val="00373F5F"/>
    <w:rsid w:val="003747E6"/>
    <w:rsid w:val="00374B30"/>
    <w:rsid w:val="00374BE3"/>
    <w:rsid w:val="00374C69"/>
    <w:rsid w:val="00374F59"/>
    <w:rsid w:val="0037531D"/>
    <w:rsid w:val="00375424"/>
    <w:rsid w:val="0037589B"/>
    <w:rsid w:val="00375A3E"/>
    <w:rsid w:val="003764CB"/>
    <w:rsid w:val="00376538"/>
    <w:rsid w:val="00376587"/>
    <w:rsid w:val="003766DF"/>
    <w:rsid w:val="00376704"/>
    <w:rsid w:val="00376E6F"/>
    <w:rsid w:val="0037722F"/>
    <w:rsid w:val="00377454"/>
    <w:rsid w:val="003778BE"/>
    <w:rsid w:val="00377F7C"/>
    <w:rsid w:val="003805FA"/>
    <w:rsid w:val="0038063D"/>
    <w:rsid w:val="003806DC"/>
    <w:rsid w:val="00381AD5"/>
    <w:rsid w:val="00382007"/>
    <w:rsid w:val="003821D0"/>
    <w:rsid w:val="00382449"/>
    <w:rsid w:val="003825E9"/>
    <w:rsid w:val="003827AE"/>
    <w:rsid w:val="00382865"/>
    <w:rsid w:val="00382E5A"/>
    <w:rsid w:val="00383145"/>
    <w:rsid w:val="00383BFD"/>
    <w:rsid w:val="00383C05"/>
    <w:rsid w:val="003841C8"/>
    <w:rsid w:val="003842D4"/>
    <w:rsid w:val="003845E2"/>
    <w:rsid w:val="003846FA"/>
    <w:rsid w:val="00384735"/>
    <w:rsid w:val="0038521A"/>
    <w:rsid w:val="00385726"/>
    <w:rsid w:val="003858F1"/>
    <w:rsid w:val="003862FD"/>
    <w:rsid w:val="003863D6"/>
    <w:rsid w:val="00386495"/>
    <w:rsid w:val="00386A1F"/>
    <w:rsid w:val="00386AE6"/>
    <w:rsid w:val="00386B06"/>
    <w:rsid w:val="00386B9B"/>
    <w:rsid w:val="00387059"/>
    <w:rsid w:val="0038746E"/>
    <w:rsid w:val="00387E3C"/>
    <w:rsid w:val="0039001B"/>
    <w:rsid w:val="00390275"/>
    <w:rsid w:val="003904D4"/>
    <w:rsid w:val="003904D9"/>
    <w:rsid w:val="00390759"/>
    <w:rsid w:val="00390CE4"/>
    <w:rsid w:val="0039105B"/>
    <w:rsid w:val="003912CF"/>
    <w:rsid w:val="00391484"/>
    <w:rsid w:val="00391958"/>
    <w:rsid w:val="003919CE"/>
    <w:rsid w:val="00392775"/>
    <w:rsid w:val="003928DA"/>
    <w:rsid w:val="00392C5E"/>
    <w:rsid w:val="00392C94"/>
    <w:rsid w:val="0039319C"/>
    <w:rsid w:val="00393438"/>
    <w:rsid w:val="00393CB8"/>
    <w:rsid w:val="00393E13"/>
    <w:rsid w:val="00393F8D"/>
    <w:rsid w:val="00394795"/>
    <w:rsid w:val="003947DE"/>
    <w:rsid w:val="00394E77"/>
    <w:rsid w:val="00395357"/>
    <w:rsid w:val="003955D7"/>
    <w:rsid w:val="0039673D"/>
    <w:rsid w:val="00396832"/>
    <w:rsid w:val="00396ADE"/>
    <w:rsid w:val="00396D04"/>
    <w:rsid w:val="00396F95"/>
    <w:rsid w:val="00397221"/>
    <w:rsid w:val="003972DC"/>
    <w:rsid w:val="00397816"/>
    <w:rsid w:val="00397982"/>
    <w:rsid w:val="00397E1B"/>
    <w:rsid w:val="003A03BE"/>
    <w:rsid w:val="003A0BCA"/>
    <w:rsid w:val="003A0E08"/>
    <w:rsid w:val="003A1342"/>
    <w:rsid w:val="003A137D"/>
    <w:rsid w:val="003A153B"/>
    <w:rsid w:val="003A1619"/>
    <w:rsid w:val="003A1D31"/>
    <w:rsid w:val="003A2820"/>
    <w:rsid w:val="003A31A5"/>
    <w:rsid w:val="003A3225"/>
    <w:rsid w:val="003A3371"/>
    <w:rsid w:val="003A33F1"/>
    <w:rsid w:val="003A3643"/>
    <w:rsid w:val="003A37A2"/>
    <w:rsid w:val="003A38E6"/>
    <w:rsid w:val="003A40E4"/>
    <w:rsid w:val="003A4D7B"/>
    <w:rsid w:val="003A4D8F"/>
    <w:rsid w:val="003A4EC3"/>
    <w:rsid w:val="003A5AF1"/>
    <w:rsid w:val="003A6431"/>
    <w:rsid w:val="003A69A3"/>
    <w:rsid w:val="003A69E1"/>
    <w:rsid w:val="003A6D05"/>
    <w:rsid w:val="003A70F3"/>
    <w:rsid w:val="003A728F"/>
    <w:rsid w:val="003A7290"/>
    <w:rsid w:val="003A744C"/>
    <w:rsid w:val="003A7506"/>
    <w:rsid w:val="003A7A59"/>
    <w:rsid w:val="003A7F5C"/>
    <w:rsid w:val="003B0193"/>
    <w:rsid w:val="003B08CF"/>
    <w:rsid w:val="003B0E5E"/>
    <w:rsid w:val="003B0E97"/>
    <w:rsid w:val="003B0F9E"/>
    <w:rsid w:val="003B114A"/>
    <w:rsid w:val="003B1303"/>
    <w:rsid w:val="003B21B4"/>
    <w:rsid w:val="003B2764"/>
    <w:rsid w:val="003B2EBC"/>
    <w:rsid w:val="003B369D"/>
    <w:rsid w:val="003B37B9"/>
    <w:rsid w:val="003B3C11"/>
    <w:rsid w:val="003B3D24"/>
    <w:rsid w:val="003B3DC4"/>
    <w:rsid w:val="003B4577"/>
    <w:rsid w:val="003B45DC"/>
    <w:rsid w:val="003B4A85"/>
    <w:rsid w:val="003B4EEC"/>
    <w:rsid w:val="003B5221"/>
    <w:rsid w:val="003B5484"/>
    <w:rsid w:val="003B55C8"/>
    <w:rsid w:val="003B56CF"/>
    <w:rsid w:val="003B5738"/>
    <w:rsid w:val="003B5916"/>
    <w:rsid w:val="003B5E12"/>
    <w:rsid w:val="003B6068"/>
    <w:rsid w:val="003B60E3"/>
    <w:rsid w:val="003B6CEB"/>
    <w:rsid w:val="003B6FD7"/>
    <w:rsid w:val="003B7435"/>
    <w:rsid w:val="003B767B"/>
    <w:rsid w:val="003B78D0"/>
    <w:rsid w:val="003C037F"/>
    <w:rsid w:val="003C0494"/>
    <w:rsid w:val="003C0C94"/>
    <w:rsid w:val="003C0D39"/>
    <w:rsid w:val="003C1222"/>
    <w:rsid w:val="003C1242"/>
    <w:rsid w:val="003C1705"/>
    <w:rsid w:val="003C1AFA"/>
    <w:rsid w:val="003C1BF3"/>
    <w:rsid w:val="003C1FA9"/>
    <w:rsid w:val="003C211D"/>
    <w:rsid w:val="003C21D3"/>
    <w:rsid w:val="003C226D"/>
    <w:rsid w:val="003C249B"/>
    <w:rsid w:val="003C36A0"/>
    <w:rsid w:val="003C3793"/>
    <w:rsid w:val="003C386C"/>
    <w:rsid w:val="003C3C93"/>
    <w:rsid w:val="003C3E5B"/>
    <w:rsid w:val="003C3E69"/>
    <w:rsid w:val="003C3EA9"/>
    <w:rsid w:val="003C4085"/>
    <w:rsid w:val="003C4238"/>
    <w:rsid w:val="003C440F"/>
    <w:rsid w:val="003C4420"/>
    <w:rsid w:val="003C5091"/>
    <w:rsid w:val="003C55D0"/>
    <w:rsid w:val="003C5748"/>
    <w:rsid w:val="003C6313"/>
    <w:rsid w:val="003C67D1"/>
    <w:rsid w:val="003C6935"/>
    <w:rsid w:val="003C708B"/>
    <w:rsid w:val="003C760B"/>
    <w:rsid w:val="003C76F9"/>
    <w:rsid w:val="003C7BC2"/>
    <w:rsid w:val="003D031A"/>
    <w:rsid w:val="003D0AD6"/>
    <w:rsid w:val="003D0F41"/>
    <w:rsid w:val="003D12A9"/>
    <w:rsid w:val="003D1536"/>
    <w:rsid w:val="003D1DF5"/>
    <w:rsid w:val="003D2621"/>
    <w:rsid w:val="003D2B0A"/>
    <w:rsid w:val="003D2C54"/>
    <w:rsid w:val="003D302F"/>
    <w:rsid w:val="003D307B"/>
    <w:rsid w:val="003D31F9"/>
    <w:rsid w:val="003D3BE1"/>
    <w:rsid w:val="003D3C62"/>
    <w:rsid w:val="003D3F07"/>
    <w:rsid w:val="003D4AB9"/>
    <w:rsid w:val="003D4AF5"/>
    <w:rsid w:val="003D4C5E"/>
    <w:rsid w:val="003D4FEF"/>
    <w:rsid w:val="003D5076"/>
    <w:rsid w:val="003D5168"/>
    <w:rsid w:val="003D5495"/>
    <w:rsid w:val="003D56AA"/>
    <w:rsid w:val="003D5864"/>
    <w:rsid w:val="003D5BC4"/>
    <w:rsid w:val="003D601D"/>
    <w:rsid w:val="003D6211"/>
    <w:rsid w:val="003D6233"/>
    <w:rsid w:val="003D6275"/>
    <w:rsid w:val="003D65F7"/>
    <w:rsid w:val="003D6AC8"/>
    <w:rsid w:val="003D6D9E"/>
    <w:rsid w:val="003D726B"/>
    <w:rsid w:val="003D76DD"/>
    <w:rsid w:val="003D7F28"/>
    <w:rsid w:val="003E0335"/>
    <w:rsid w:val="003E150A"/>
    <w:rsid w:val="003E2417"/>
    <w:rsid w:val="003E2661"/>
    <w:rsid w:val="003E2911"/>
    <w:rsid w:val="003E292E"/>
    <w:rsid w:val="003E2B61"/>
    <w:rsid w:val="003E2DEF"/>
    <w:rsid w:val="003E381E"/>
    <w:rsid w:val="003E3B9D"/>
    <w:rsid w:val="003E3C4D"/>
    <w:rsid w:val="003E418C"/>
    <w:rsid w:val="003E41E3"/>
    <w:rsid w:val="003E47F6"/>
    <w:rsid w:val="003E4CE2"/>
    <w:rsid w:val="003E4D97"/>
    <w:rsid w:val="003E5326"/>
    <w:rsid w:val="003E5875"/>
    <w:rsid w:val="003E6192"/>
    <w:rsid w:val="003E641A"/>
    <w:rsid w:val="003E6448"/>
    <w:rsid w:val="003E674D"/>
    <w:rsid w:val="003E6D01"/>
    <w:rsid w:val="003E6E3D"/>
    <w:rsid w:val="003E7146"/>
    <w:rsid w:val="003E715C"/>
    <w:rsid w:val="003E7255"/>
    <w:rsid w:val="003E72FD"/>
    <w:rsid w:val="003E7328"/>
    <w:rsid w:val="003E7EBF"/>
    <w:rsid w:val="003E7F6B"/>
    <w:rsid w:val="003F07EB"/>
    <w:rsid w:val="003F17AE"/>
    <w:rsid w:val="003F203E"/>
    <w:rsid w:val="003F20DF"/>
    <w:rsid w:val="003F2482"/>
    <w:rsid w:val="003F3629"/>
    <w:rsid w:val="003F369C"/>
    <w:rsid w:val="003F39CA"/>
    <w:rsid w:val="003F3ABD"/>
    <w:rsid w:val="003F3B80"/>
    <w:rsid w:val="003F3C36"/>
    <w:rsid w:val="003F4220"/>
    <w:rsid w:val="003F48A4"/>
    <w:rsid w:val="003F5307"/>
    <w:rsid w:val="003F5591"/>
    <w:rsid w:val="003F5707"/>
    <w:rsid w:val="003F5879"/>
    <w:rsid w:val="003F5ACB"/>
    <w:rsid w:val="003F6190"/>
    <w:rsid w:val="003F6505"/>
    <w:rsid w:val="003F7508"/>
    <w:rsid w:val="003F770D"/>
    <w:rsid w:val="003F7B9B"/>
    <w:rsid w:val="003F7DF5"/>
    <w:rsid w:val="003F7FDD"/>
    <w:rsid w:val="004006E3"/>
    <w:rsid w:val="00401397"/>
    <w:rsid w:val="00401407"/>
    <w:rsid w:val="004017C5"/>
    <w:rsid w:val="00401A03"/>
    <w:rsid w:val="00401CC2"/>
    <w:rsid w:val="00401F67"/>
    <w:rsid w:val="00401F95"/>
    <w:rsid w:val="004021B3"/>
    <w:rsid w:val="004022B1"/>
    <w:rsid w:val="004026EA"/>
    <w:rsid w:val="00402B0C"/>
    <w:rsid w:val="00402FBF"/>
    <w:rsid w:val="004031E2"/>
    <w:rsid w:val="0040322A"/>
    <w:rsid w:val="0040370E"/>
    <w:rsid w:val="00403F83"/>
    <w:rsid w:val="00404071"/>
    <w:rsid w:val="00404093"/>
    <w:rsid w:val="004040DF"/>
    <w:rsid w:val="00404668"/>
    <w:rsid w:val="00404677"/>
    <w:rsid w:val="00404AAD"/>
    <w:rsid w:val="00404C7F"/>
    <w:rsid w:val="00404D24"/>
    <w:rsid w:val="004053E9"/>
    <w:rsid w:val="00405619"/>
    <w:rsid w:val="00405AE3"/>
    <w:rsid w:val="00405F67"/>
    <w:rsid w:val="00406492"/>
    <w:rsid w:val="004064DE"/>
    <w:rsid w:val="004066F7"/>
    <w:rsid w:val="00406761"/>
    <w:rsid w:val="0040677B"/>
    <w:rsid w:val="00406ACD"/>
    <w:rsid w:val="00406AF3"/>
    <w:rsid w:val="00407889"/>
    <w:rsid w:val="00407B74"/>
    <w:rsid w:val="00407D6E"/>
    <w:rsid w:val="0041010A"/>
    <w:rsid w:val="00410237"/>
    <w:rsid w:val="004105A5"/>
    <w:rsid w:val="0041086B"/>
    <w:rsid w:val="00410B58"/>
    <w:rsid w:val="00410BA2"/>
    <w:rsid w:val="00410E74"/>
    <w:rsid w:val="00410F18"/>
    <w:rsid w:val="00411261"/>
    <w:rsid w:val="004114C7"/>
    <w:rsid w:val="004114DF"/>
    <w:rsid w:val="004116AD"/>
    <w:rsid w:val="00411DB8"/>
    <w:rsid w:val="00412509"/>
    <w:rsid w:val="004127D9"/>
    <w:rsid w:val="004128A4"/>
    <w:rsid w:val="00412BC3"/>
    <w:rsid w:val="00412C50"/>
    <w:rsid w:val="00412C5A"/>
    <w:rsid w:val="00412E5B"/>
    <w:rsid w:val="00412EE7"/>
    <w:rsid w:val="0041308E"/>
    <w:rsid w:val="0041310B"/>
    <w:rsid w:val="004136E0"/>
    <w:rsid w:val="00413D6D"/>
    <w:rsid w:val="004145CC"/>
    <w:rsid w:val="0041469B"/>
    <w:rsid w:val="0041477C"/>
    <w:rsid w:val="0041483E"/>
    <w:rsid w:val="0041484F"/>
    <w:rsid w:val="0041487E"/>
    <w:rsid w:val="00414891"/>
    <w:rsid w:val="004148BA"/>
    <w:rsid w:val="00415087"/>
    <w:rsid w:val="00415573"/>
    <w:rsid w:val="00415E1B"/>
    <w:rsid w:val="00415E26"/>
    <w:rsid w:val="00416136"/>
    <w:rsid w:val="00416499"/>
    <w:rsid w:val="0041649E"/>
    <w:rsid w:val="00416994"/>
    <w:rsid w:val="00416F8F"/>
    <w:rsid w:val="00417698"/>
    <w:rsid w:val="0041791C"/>
    <w:rsid w:val="004203ED"/>
    <w:rsid w:val="004205E7"/>
    <w:rsid w:val="004208C0"/>
    <w:rsid w:val="00420928"/>
    <w:rsid w:val="00420D33"/>
    <w:rsid w:val="00420DAA"/>
    <w:rsid w:val="004218BD"/>
    <w:rsid w:val="00422169"/>
    <w:rsid w:val="004221C4"/>
    <w:rsid w:val="00422306"/>
    <w:rsid w:val="00422573"/>
    <w:rsid w:val="00422894"/>
    <w:rsid w:val="00422912"/>
    <w:rsid w:val="00422928"/>
    <w:rsid w:val="00422ACF"/>
    <w:rsid w:val="00422C87"/>
    <w:rsid w:val="0042343A"/>
    <w:rsid w:val="004234C5"/>
    <w:rsid w:val="00423996"/>
    <w:rsid w:val="00423DE4"/>
    <w:rsid w:val="00423EA1"/>
    <w:rsid w:val="00424B74"/>
    <w:rsid w:val="00425788"/>
    <w:rsid w:val="00425A4D"/>
    <w:rsid w:val="00425AAE"/>
    <w:rsid w:val="00425DA9"/>
    <w:rsid w:val="0042648E"/>
    <w:rsid w:val="004272F1"/>
    <w:rsid w:val="00427481"/>
    <w:rsid w:val="00427976"/>
    <w:rsid w:val="00427D6A"/>
    <w:rsid w:val="004300DC"/>
    <w:rsid w:val="004301A0"/>
    <w:rsid w:val="0043099D"/>
    <w:rsid w:val="00430A25"/>
    <w:rsid w:val="00430A80"/>
    <w:rsid w:val="00430DB1"/>
    <w:rsid w:val="0043153F"/>
    <w:rsid w:val="00431871"/>
    <w:rsid w:val="00432913"/>
    <w:rsid w:val="004329E3"/>
    <w:rsid w:val="00433204"/>
    <w:rsid w:val="00433B43"/>
    <w:rsid w:val="0043408D"/>
    <w:rsid w:val="00434285"/>
    <w:rsid w:val="004342C6"/>
    <w:rsid w:val="0043456D"/>
    <w:rsid w:val="0043475A"/>
    <w:rsid w:val="004348D1"/>
    <w:rsid w:val="00434910"/>
    <w:rsid w:val="00434945"/>
    <w:rsid w:val="00434BE5"/>
    <w:rsid w:val="0043520E"/>
    <w:rsid w:val="00435303"/>
    <w:rsid w:val="004355B6"/>
    <w:rsid w:val="004358EA"/>
    <w:rsid w:val="00436080"/>
    <w:rsid w:val="004362DF"/>
    <w:rsid w:val="00436675"/>
    <w:rsid w:val="00436C0C"/>
    <w:rsid w:val="00436F5F"/>
    <w:rsid w:val="004370F5"/>
    <w:rsid w:val="00437325"/>
    <w:rsid w:val="00437746"/>
    <w:rsid w:val="00437B17"/>
    <w:rsid w:val="00437B2F"/>
    <w:rsid w:val="0044021C"/>
    <w:rsid w:val="0044077D"/>
    <w:rsid w:val="00441224"/>
    <w:rsid w:val="00441470"/>
    <w:rsid w:val="004415A6"/>
    <w:rsid w:val="00441841"/>
    <w:rsid w:val="004431F6"/>
    <w:rsid w:val="00443718"/>
    <w:rsid w:val="00443776"/>
    <w:rsid w:val="00443CB6"/>
    <w:rsid w:val="004440C7"/>
    <w:rsid w:val="00444388"/>
    <w:rsid w:val="004443B8"/>
    <w:rsid w:val="00444788"/>
    <w:rsid w:val="00444B6A"/>
    <w:rsid w:val="00444DAD"/>
    <w:rsid w:val="004451B6"/>
    <w:rsid w:val="004452B2"/>
    <w:rsid w:val="004456DC"/>
    <w:rsid w:val="00445CFE"/>
    <w:rsid w:val="00445D23"/>
    <w:rsid w:val="00445DE7"/>
    <w:rsid w:val="00445EF1"/>
    <w:rsid w:val="004466A0"/>
    <w:rsid w:val="00446DC3"/>
    <w:rsid w:val="00446E70"/>
    <w:rsid w:val="00446F08"/>
    <w:rsid w:val="00447763"/>
    <w:rsid w:val="00447783"/>
    <w:rsid w:val="00447B6F"/>
    <w:rsid w:val="0045039A"/>
    <w:rsid w:val="004503C4"/>
    <w:rsid w:val="0045047E"/>
    <w:rsid w:val="004506D9"/>
    <w:rsid w:val="004508FF"/>
    <w:rsid w:val="0045138B"/>
    <w:rsid w:val="004515FE"/>
    <w:rsid w:val="00451B65"/>
    <w:rsid w:val="0045268B"/>
    <w:rsid w:val="00452C7D"/>
    <w:rsid w:val="0045301F"/>
    <w:rsid w:val="00453690"/>
    <w:rsid w:val="00453791"/>
    <w:rsid w:val="00453832"/>
    <w:rsid w:val="00453874"/>
    <w:rsid w:val="00453898"/>
    <w:rsid w:val="0045397B"/>
    <w:rsid w:val="00453B67"/>
    <w:rsid w:val="00453C4E"/>
    <w:rsid w:val="0045437F"/>
    <w:rsid w:val="00454B2A"/>
    <w:rsid w:val="00454D7F"/>
    <w:rsid w:val="00454E0A"/>
    <w:rsid w:val="00454E1A"/>
    <w:rsid w:val="0045540E"/>
    <w:rsid w:val="0045564B"/>
    <w:rsid w:val="00455766"/>
    <w:rsid w:val="004557D5"/>
    <w:rsid w:val="004558B5"/>
    <w:rsid w:val="00455CD1"/>
    <w:rsid w:val="00455F90"/>
    <w:rsid w:val="004561B2"/>
    <w:rsid w:val="00456600"/>
    <w:rsid w:val="004569BC"/>
    <w:rsid w:val="00456A38"/>
    <w:rsid w:val="00456B49"/>
    <w:rsid w:val="0045741C"/>
    <w:rsid w:val="004579BF"/>
    <w:rsid w:val="00457BCA"/>
    <w:rsid w:val="00457CE3"/>
    <w:rsid w:val="00457E26"/>
    <w:rsid w:val="00457EC6"/>
    <w:rsid w:val="004601A8"/>
    <w:rsid w:val="00460320"/>
    <w:rsid w:val="00460403"/>
    <w:rsid w:val="00460AC6"/>
    <w:rsid w:val="00460B7E"/>
    <w:rsid w:val="00460CEA"/>
    <w:rsid w:val="00460E62"/>
    <w:rsid w:val="00460E87"/>
    <w:rsid w:val="00460EC2"/>
    <w:rsid w:val="00461893"/>
    <w:rsid w:val="004622D2"/>
    <w:rsid w:val="0046246A"/>
    <w:rsid w:val="004628BA"/>
    <w:rsid w:val="00462A79"/>
    <w:rsid w:val="0046305D"/>
    <w:rsid w:val="004631E4"/>
    <w:rsid w:val="0046321D"/>
    <w:rsid w:val="004634D5"/>
    <w:rsid w:val="00463522"/>
    <w:rsid w:val="00463732"/>
    <w:rsid w:val="00463A4F"/>
    <w:rsid w:val="00463F7B"/>
    <w:rsid w:val="0046407F"/>
    <w:rsid w:val="00464353"/>
    <w:rsid w:val="004645D7"/>
    <w:rsid w:val="00464658"/>
    <w:rsid w:val="0046482B"/>
    <w:rsid w:val="00464A88"/>
    <w:rsid w:val="00464E76"/>
    <w:rsid w:val="00464FD8"/>
    <w:rsid w:val="0046533C"/>
    <w:rsid w:val="00465492"/>
    <w:rsid w:val="0046594C"/>
    <w:rsid w:val="004663A4"/>
    <w:rsid w:val="004667D6"/>
    <w:rsid w:val="00466BE4"/>
    <w:rsid w:val="00466EBB"/>
    <w:rsid w:val="004674A2"/>
    <w:rsid w:val="004674F2"/>
    <w:rsid w:val="0046756F"/>
    <w:rsid w:val="004675F0"/>
    <w:rsid w:val="00470575"/>
    <w:rsid w:val="00470BBD"/>
    <w:rsid w:val="00470E3E"/>
    <w:rsid w:val="00471C21"/>
    <w:rsid w:val="00471C4B"/>
    <w:rsid w:val="00472814"/>
    <w:rsid w:val="004728D8"/>
    <w:rsid w:val="00472ABB"/>
    <w:rsid w:val="00472DB6"/>
    <w:rsid w:val="00473332"/>
    <w:rsid w:val="00473529"/>
    <w:rsid w:val="0047391B"/>
    <w:rsid w:val="00473C09"/>
    <w:rsid w:val="00473CE2"/>
    <w:rsid w:val="00473D06"/>
    <w:rsid w:val="00473EB4"/>
    <w:rsid w:val="004740B0"/>
    <w:rsid w:val="0047449A"/>
    <w:rsid w:val="00474C78"/>
    <w:rsid w:val="00475085"/>
    <w:rsid w:val="004755E3"/>
    <w:rsid w:val="0047561B"/>
    <w:rsid w:val="00475813"/>
    <w:rsid w:val="00475B2E"/>
    <w:rsid w:val="00475D19"/>
    <w:rsid w:val="00476458"/>
    <w:rsid w:val="004764FD"/>
    <w:rsid w:val="00476E06"/>
    <w:rsid w:val="00477112"/>
    <w:rsid w:val="00477332"/>
    <w:rsid w:val="0047796A"/>
    <w:rsid w:val="00477C2E"/>
    <w:rsid w:val="00477D6A"/>
    <w:rsid w:val="00480259"/>
    <w:rsid w:val="0048025A"/>
    <w:rsid w:val="00480372"/>
    <w:rsid w:val="00480A63"/>
    <w:rsid w:val="00480DBD"/>
    <w:rsid w:val="0048141C"/>
    <w:rsid w:val="004818DC"/>
    <w:rsid w:val="00481DFE"/>
    <w:rsid w:val="00482085"/>
    <w:rsid w:val="00482974"/>
    <w:rsid w:val="00482975"/>
    <w:rsid w:val="00482A04"/>
    <w:rsid w:val="00482B2A"/>
    <w:rsid w:val="00483533"/>
    <w:rsid w:val="004836C5"/>
    <w:rsid w:val="004839D1"/>
    <w:rsid w:val="004849A1"/>
    <w:rsid w:val="004849B3"/>
    <w:rsid w:val="00485190"/>
    <w:rsid w:val="004857B9"/>
    <w:rsid w:val="0048598C"/>
    <w:rsid w:val="00485B21"/>
    <w:rsid w:val="00485D87"/>
    <w:rsid w:val="00486157"/>
    <w:rsid w:val="00486586"/>
    <w:rsid w:val="00486778"/>
    <w:rsid w:val="00486957"/>
    <w:rsid w:val="00486BF0"/>
    <w:rsid w:val="00486ED3"/>
    <w:rsid w:val="0048710A"/>
    <w:rsid w:val="004871B8"/>
    <w:rsid w:val="004875F7"/>
    <w:rsid w:val="00487753"/>
    <w:rsid w:val="004877A7"/>
    <w:rsid w:val="00487D13"/>
    <w:rsid w:val="004905C0"/>
    <w:rsid w:val="00490F04"/>
    <w:rsid w:val="00491030"/>
    <w:rsid w:val="004919D9"/>
    <w:rsid w:val="00491EC4"/>
    <w:rsid w:val="00492260"/>
    <w:rsid w:val="00492635"/>
    <w:rsid w:val="00492C73"/>
    <w:rsid w:val="00492E35"/>
    <w:rsid w:val="00492EB0"/>
    <w:rsid w:val="004935EB"/>
    <w:rsid w:val="004935F6"/>
    <w:rsid w:val="00493BF9"/>
    <w:rsid w:val="00493D23"/>
    <w:rsid w:val="0049418A"/>
    <w:rsid w:val="0049447A"/>
    <w:rsid w:val="0049467F"/>
    <w:rsid w:val="0049482F"/>
    <w:rsid w:val="004952AF"/>
    <w:rsid w:val="00495A8A"/>
    <w:rsid w:val="00495DC3"/>
    <w:rsid w:val="00495FEA"/>
    <w:rsid w:val="004961C4"/>
    <w:rsid w:val="004967CE"/>
    <w:rsid w:val="0049696B"/>
    <w:rsid w:val="00496C36"/>
    <w:rsid w:val="00496C67"/>
    <w:rsid w:val="00496F35"/>
    <w:rsid w:val="004971F9"/>
    <w:rsid w:val="00497491"/>
    <w:rsid w:val="004975BC"/>
    <w:rsid w:val="004978A4"/>
    <w:rsid w:val="00497A69"/>
    <w:rsid w:val="00497B48"/>
    <w:rsid w:val="004A06BA"/>
    <w:rsid w:val="004A083C"/>
    <w:rsid w:val="004A08A8"/>
    <w:rsid w:val="004A0A9C"/>
    <w:rsid w:val="004A0B9F"/>
    <w:rsid w:val="004A1497"/>
    <w:rsid w:val="004A18F2"/>
    <w:rsid w:val="004A2340"/>
    <w:rsid w:val="004A2365"/>
    <w:rsid w:val="004A250B"/>
    <w:rsid w:val="004A264E"/>
    <w:rsid w:val="004A2996"/>
    <w:rsid w:val="004A2C35"/>
    <w:rsid w:val="004A3CE3"/>
    <w:rsid w:val="004A3D3E"/>
    <w:rsid w:val="004A3F28"/>
    <w:rsid w:val="004A42FC"/>
    <w:rsid w:val="004A43AE"/>
    <w:rsid w:val="004A4C61"/>
    <w:rsid w:val="004A4D15"/>
    <w:rsid w:val="004A4DD9"/>
    <w:rsid w:val="004A4E64"/>
    <w:rsid w:val="004A5517"/>
    <w:rsid w:val="004A6193"/>
    <w:rsid w:val="004A6691"/>
    <w:rsid w:val="004A68ED"/>
    <w:rsid w:val="004A6A89"/>
    <w:rsid w:val="004A6BB0"/>
    <w:rsid w:val="004A6CD4"/>
    <w:rsid w:val="004A6D01"/>
    <w:rsid w:val="004A6DCD"/>
    <w:rsid w:val="004A702F"/>
    <w:rsid w:val="004B0439"/>
    <w:rsid w:val="004B04C4"/>
    <w:rsid w:val="004B054D"/>
    <w:rsid w:val="004B07E8"/>
    <w:rsid w:val="004B09EF"/>
    <w:rsid w:val="004B0B21"/>
    <w:rsid w:val="004B0D58"/>
    <w:rsid w:val="004B188D"/>
    <w:rsid w:val="004B18F9"/>
    <w:rsid w:val="004B19CF"/>
    <w:rsid w:val="004B1B1E"/>
    <w:rsid w:val="004B1F80"/>
    <w:rsid w:val="004B211F"/>
    <w:rsid w:val="004B2590"/>
    <w:rsid w:val="004B3466"/>
    <w:rsid w:val="004B3963"/>
    <w:rsid w:val="004B39B8"/>
    <w:rsid w:val="004B3D06"/>
    <w:rsid w:val="004B3D0D"/>
    <w:rsid w:val="004B3E5C"/>
    <w:rsid w:val="004B3EC4"/>
    <w:rsid w:val="004B3F84"/>
    <w:rsid w:val="004B4072"/>
    <w:rsid w:val="004B437F"/>
    <w:rsid w:val="004B45B0"/>
    <w:rsid w:val="004B4A45"/>
    <w:rsid w:val="004B4BD2"/>
    <w:rsid w:val="004B4C39"/>
    <w:rsid w:val="004B4C7A"/>
    <w:rsid w:val="004B4D5D"/>
    <w:rsid w:val="004B54E6"/>
    <w:rsid w:val="004B5AA7"/>
    <w:rsid w:val="004B5E3B"/>
    <w:rsid w:val="004B6247"/>
    <w:rsid w:val="004B62B8"/>
    <w:rsid w:val="004B6478"/>
    <w:rsid w:val="004B6D4B"/>
    <w:rsid w:val="004B7427"/>
    <w:rsid w:val="004B776F"/>
    <w:rsid w:val="004B794D"/>
    <w:rsid w:val="004C0304"/>
    <w:rsid w:val="004C0306"/>
    <w:rsid w:val="004C0381"/>
    <w:rsid w:val="004C0654"/>
    <w:rsid w:val="004C0851"/>
    <w:rsid w:val="004C0B0F"/>
    <w:rsid w:val="004C0C1F"/>
    <w:rsid w:val="004C1163"/>
    <w:rsid w:val="004C1478"/>
    <w:rsid w:val="004C1DE2"/>
    <w:rsid w:val="004C2484"/>
    <w:rsid w:val="004C25F0"/>
    <w:rsid w:val="004C2A28"/>
    <w:rsid w:val="004C2C2E"/>
    <w:rsid w:val="004C3127"/>
    <w:rsid w:val="004C319C"/>
    <w:rsid w:val="004C327B"/>
    <w:rsid w:val="004C3B1D"/>
    <w:rsid w:val="004C4055"/>
    <w:rsid w:val="004C42B9"/>
    <w:rsid w:val="004C438C"/>
    <w:rsid w:val="004C48C2"/>
    <w:rsid w:val="004C53D1"/>
    <w:rsid w:val="004C57FB"/>
    <w:rsid w:val="004C59F8"/>
    <w:rsid w:val="004C6507"/>
    <w:rsid w:val="004C6701"/>
    <w:rsid w:val="004C7105"/>
    <w:rsid w:val="004C723E"/>
    <w:rsid w:val="004C7464"/>
    <w:rsid w:val="004C7592"/>
    <w:rsid w:val="004C7745"/>
    <w:rsid w:val="004C79C3"/>
    <w:rsid w:val="004C79FC"/>
    <w:rsid w:val="004C7A3D"/>
    <w:rsid w:val="004D06EB"/>
    <w:rsid w:val="004D0B0D"/>
    <w:rsid w:val="004D0B48"/>
    <w:rsid w:val="004D0BF6"/>
    <w:rsid w:val="004D0F14"/>
    <w:rsid w:val="004D1237"/>
    <w:rsid w:val="004D1487"/>
    <w:rsid w:val="004D17B2"/>
    <w:rsid w:val="004D1E17"/>
    <w:rsid w:val="004D22A4"/>
    <w:rsid w:val="004D2659"/>
    <w:rsid w:val="004D29AE"/>
    <w:rsid w:val="004D2C80"/>
    <w:rsid w:val="004D2D46"/>
    <w:rsid w:val="004D3268"/>
    <w:rsid w:val="004D3340"/>
    <w:rsid w:val="004D35C9"/>
    <w:rsid w:val="004D3819"/>
    <w:rsid w:val="004D39A0"/>
    <w:rsid w:val="004D4529"/>
    <w:rsid w:val="004D454F"/>
    <w:rsid w:val="004D4C2A"/>
    <w:rsid w:val="004D4D2F"/>
    <w:rsid w:val="004D580F"/>
    <w:rsid w:val="004D5C81"/>
    <w:rsid w:val="004D610F"/>
    <w:rsid w:val="004D790A"/>
    <w:rsid w:val="004D7A7F"/>
    <w:rsid w:val="004D7AE2"/>
    <w:rsid w:val="004D7C6F"/>
    <w:rsid w:val="004D7E5D"/>
    <w:rsid w:val="004E0644"/>
    <w:rsid w:val="004E08E4"/>
    <w:rsid w:val="004E13C5"/>
    <w:rsid w:val="004E13FE"/>
    <w:rsid w:val="004E1A61"/>
    <w:rsid w:val="004E2C41"/>
    <w:rsid w:val="004E3090"/>
    <w:rsid w:val="004E3206"/>
    <w:rsid w:val="004E324C"/>
    <w:rsid w:val="004E3526"/>
    <w:rsid w:val="004E3986"/>
    <w:rsid w:val="004E398A"/>
    <w:rsid w:val="004E3D6D"/>
    <w:rsid w:val="004E42C0"/>
    <w:rsid w:val="004E44CF"/>
    <w:rsid w:val="004E477F"/>
    <w:rsid w:val="004E4797"/>
    <w:rsid w:val="004E4F86"/>
    <w:rsid w:val="004E52B5"/>
    <w:rsid w:val="004E5470"/>
    <w:rsid w:val="004E54CB"/>
    <w:rsid w:val="004E54D4"/>
    <w:rsid w:val="004E58BC"/>
    <w:rsid w:val="004E62B8"/>
    <w:rsid w:val="004E662C"/>
    <w:rsid w:val="004E6756"/>
    <w:rsid w:val="004E68B5"/>
    <w:rsid w:val="004E6BF6"/>
    <w:rsid w:val="004E6D51"/>
    <w:rsid w:val="004E70C6"/>
    <w:rsid w:val="004E7340"/>
    <w:rsid w:val="004E748F"/>
    <w:rsid w:val="004E76D0"/>
    <w:rsid w:val="004E7AF9"/>
    <w:rsid w:val="004F041F"/>
    <w:rsid w:val="004F06CB"/>
    <w:rsid w:val="004F083E"/>
    <w:rsid w:val="004F0C41"/>
    <w:rsid w:val="004F130E"/>
    <w:rsid w:val="004F1945"/>
    <w:rsid w:val="004F2382"/>
    <w:rsid w:val="004F2685"/>
    <w:rsid w:val="004F2C6D"/>
    <w:rsid w:val="004F2F09"/>
    <w:rsid w:val="004F3356"/>
    <w:rsid w:val="004F4931"/>
    <w:rsid w:val="004F4EBA"/>
    <w:rsid w:val="004F4F93"/>
    <w:rsid w:val="004F542A"/>
    <w:rsid w:val="004F5927"/>
    <w:rsid w:val="004F5DF6"/>
    <w:rsid w:val="004F5E74"/>
    <w:rsid w:val="004F6110"/>
    <w:rsid w:val="004F6200"/>
    <w:rsid w:val="004F65B7"/>
    <w:rsid w:val="004F6D65"/>
    <w:rsid w:val="004F702E"/>
    <w:rsid w:val="004F749F"/>
    <w:rsid w:val="004F78BB"/>
    <w:rsid w:val="004F7951"/>
    <w:rsid w:val="004F7AAA"/>
    <w:rsid w:val="004F7D20"/>
    <w:rsid w:val="00500078"/>
    <w:rsid w:val="005005B4"/>
    <w:rsid w:val="00500717"/>
    <w:rsid w:val="00500790"/>
    <w:rsid w:val="00500C34"/>
    <w:rsid w:val="00500EAB"/>
    <w:rsid w:val="00501314"/>
    <w:rsid w:val="005014F6"/>
    <w:rsid w:val="0050183D"/>
    <w:rsid w:val="00501D8C"/>
    <w:rsid w:val="00501DF7"/>
    <w:rsid w:val="00502221"/>
    <w:rsid w:val="005026F1"/>
    <w:rsid w:val="00502774"/>
    <w:rsid w:val="005028B1"/>
    <w:rsid w:val="00502BD1"/>
    <w:rsid w:val="00502FEA"/>
    <w:rsid w:val="005032BE"/>
    <w:rsid w:val="00503FA4"/>
    <w:rsid w:val="00504BA0"/>
    <w:rsid w:val="00504F4A"/>
    <w:rsid w:val="00505E06"/>
    <w:rsid w:val="00506215"/>
    <w:rsid w:val="00506257"/>
    <w:rsid w:val="0050648F"/>
    <w:rsid w:val="005065D8"/>
    <w:rsid w:val="005066FC"/>
    <w:rsid w:val="0050691A"/>
    <w:rsid w:val="005069AB"/>
    <w:rsid w:val="00507601"/>
    <w:rsid w:val="00507AC6"/>
    <w:rsid w:val="00507CDB"/>
    <w:rsid w:val="0051041C"/>
    <w:rsid w:val="00510AEE"/>
    <w:rsid w:val="00510D2D"/>
    <w:rsid w:val="005112FE"/>
    <w:rsid w:val="00511544"/>
    <w:rsid w:val="00511934"/>
    <w:rsid w:val="00511C89"/>
    <w:rsid w:val="00511E9C"/>
    <w:rsid w:val="00511F1C"/>
    <w:rsid w:val="005120A0"/>
    <w:rsid w:val="0051213C"/>
    <w:rsid w:val="005121D9"/>
    <w:rsid w:val="0051308D"/>
    <w:rsid w:val="005136B8"/>
    <w:rsid w:val="005138AC"/>
    <w:rsid w:val="00513B84"/>
    <w:rsid w:val="00513E4E"/>
    <w:rsid w:val="00514196"/>
    <w:rsid w:val="00514B27"/>
    <w:rsid w:val="00514BFB"/>
    <w:rsid w:val="00514D53"/>
    <w:rsid w:val="005155C5"/>
    <w:rsid w:val="00515AFD"/>
    <w:rsid w:val="00515D49"/>
    <w:rsid w:val="00515DB8"/>
    <w:rsid w:val="005163B3"/>
    <w:rsid w:val="0051795B"/>
    <w:rsid w:val="00520341"/>
    <w:rsid w:val="00520361"/>
    <w:rsid w:val="00520DAE"/>
    <w:rsid w:val="00520EC6"/>
    <w:rsid w:val="00520F73"/>
    <w:rsid w:val="00521074"/>
    <w:rsid w:val="00521A04"/>
    <w:rsid w:val="00521DC2"/>
    <w:rsid w:val="005223FD"/>
    <w:rsid w:val="0052274B"/>
    <w:rsid w:val="005227EF"/>
    <w:rsid w:val="005228E5"/>
    <w:rsid w:val="00522E44"/>
    <w:rsid w:val="0052325F"/>
    <w:rsid w:val="00523335"/>
    <w:rsid w:val="00523446"/>
    <w:rsid w:val="00523586"/>
    <w:rsid w:val="00523809"/>
    <w:rsid w:val="00523F8D"/>
    <w:rsid w:val="00524062"/>
    <w:rsid w:val="00524489"/>
    <w:rsid w:val="00524492"/>
    <w:rsid w:val="00524ABF"/>
    <w:rsid w:val="00524AC3"/>
    <w:rsid w:val="00524FE3"/>
    <w:rsid w:val="00525188"/>
    <w:rsid w:val="00525377"/>
    <w:rsid w:val="00525765"/>
    <w:rsid w:val="00525D37"/>
    <w:rsid w:val="00525E12"/>
    <w:rsid w:val="00526B38"/>
    <w:rsid w:val="0052713C"/>
    <w:rsid w:val="00527320"/>
    <w:rsid w:val="0052761E"/>
    <w:rsid w:val="005279BD"/>
    <w:rsid w:val="00530217"/>
    <w:rsid w:val="0053062A"/>
    <w:rsid w:val="0053079C"/>
    <w:rsid w:val="005309AC"/>
    <w:rsid w:val="00531265"/>
    <w:rsid w:val="00531338"/>
    <w:rsid w:val="0053163E"/>
    <w:rsid w:val="00531A63"/>
    <w:rsid w:val="00532523"/>
    <w:rsid w:val="00533582"/>
    <w:rsid w:val="005337AF"/>
    <w:rsid w:val="00533A4F"/>
    <w:rsid w:val="00533B51"/>
    <w:rsid w:val="00534363"/>
    <w:rsid w:val="00534393"/>
    <w:rsid w:val="005350BA"/>
    <w:rsid w:val="0053512D"/>
    <w:rsid w:val="005352A2"/>
    <w:rsid w:val="005352EC"/>
    <w:rsid w:val="00535384"/>
    <w:rsid w:val="005355A2"/>
    <w:rsid w:val="005355CB"/>
    <w:rsid w:val="0053604A"/>
    <w:rsid w:val="00536227"/>
    <w:rsid w:val="00536230"/>
    <w:rsid w:val="0053648C"/>
    <w:rsid w:val="0053670F"/>
    <w:rsid w:val="00536C05"/>
    <w:rsid w:val="00537088"/>
    <w:rsid w:val="0053809D"/>
    <w:rsid w:val="005403A1"/>
    <w:rsid w:val="00540902"/>
    <w:rsid w:val="00540AAB"/>
    <w:rsid w:val="00540B52"/>
    <w:rsid w:val="00540D63"/>
    <w:rsid w:val="00540E6C"/>
    <w:rsid w:val="00540E74"/>
    <w:rsid w:val="00540F6E"/>
    <w:rsid w:val="0054110D"/>
    <w:rsid w:val="00541113"/>
    <w:rsid w:val="00541281"/>
    <w:rsid w:val="00541304"/>
    <w:rsid w:val="00541516"/>
    <w:rsid w:val="00541F03"/>
    <w:rsid w:val="00542045"/>
    <w:rsid w:val="00542FC2"/>
    <w:rsid w:val="0054387C"/>
    <w:rsid w:val="00543DD8"/>
    <w:rsid w:val="00543E67"/>
    <w:rsid w:val="00544725"/>
    <w:rsid w:val="005448CB"/>
    <w:rsid w:val="00544A43"/>
    <w:rsid w:val="00544B0D"/>
    <w:rsid w:val="00544E54"/>
    <w:rsid w:val="00544E9F"/>
    <w:rsid w:val="00545190"/>
    <w:rsid w:val="00545A76"/>
    <w:rsid w:val="00545BCF"/>
    <w:rsid w:val="00545FE9"/>
    <w:rsid w:val="00546DF2"/>
    <w:rsid w:val="00546F23"/>
    <w:rsid w:val="0054720B"/>
    <w:rsid w:val="005474CC"/>
    <w:rsid w:val="00547C49"/>
    <w:rsid w:val="00547E0E"/>
    <w:rsid w:val="00550004"/>
    <w:rsid w:val="005501F8"/>
    <w:rsid w:val="0055049D"/>
    <w:rsid w:val="0055060B"/>
    <w:rsid w:val="00550B6F"/>
    <w:rsid w:val="00550B9C"/>
    <w:rsid w:val="00550CBE"/>
    <w:rsid w:val="005516F4"/>
    <w:rsid w:val="00551B1F"/>
    <w:rsid w:val="00552289"/>
    <w:rsid w:val="00552346"/>
    <w:rsid w:val="00552354"/>
    <w:rsid w:val="0055293C"/>
    <w:rsid w:val="00552A23"/>
    <w:rsid w:val="00552E59"/>
    <w:rsid w:val="0055313B"/>
    <w:rsid w:val="005531E0"/>
    <w:rsid w:val="00553740"/>
    <w:rsid w:val="00553D23"/>
    <w:rsid w:val="00553DEB"/>
    <w:rsid w:val="00553E03"/>
    <w:rsid w:val="00554566"/>
    <w:rsid w:val="00554D95"/>
    <w:rsid w:val="0055505B"/>
    <w:rsid w:val="0055574D"/>
    <w:rsid w:val="00555808"/>
    <w:rsid w:val="005558EA"/>
    <w:rsid w:val="00555D72"/>
    <w:rsid w:val="005562FB"/>
    <w:rsid w:val="0055637C"/>
    <w:rsid w:val="0055660C"/>
    <w:rsid w:val="005566CB"/>
    <w:rsid w:val="00556735"/>
    <w:rsid w:val="00556933"/>
    <w:rsid w:val="00556A36"/>
    <w:rsid w:val="00556ABA"/>
    <w:rsid w:val="00556B06"/>
    <w:rsid w:val="00556BD9"/>
    <w:rsid w:val="00556E64"/>
    <w:rsid w:val="00556F8B"/>
    <w:rsid w:val="00557649"/>
    <w:rsid w:val="00557D79"/>
    <w:rsid w:val="00561218"/>
    <w:rsid w:val="00561F36"/>
    <w:rsid w:val="00562296"/>
    <w:rsid w:val="0056280A"/>
    <w:rsid w:val="00562C47"/>
    <w:rsid w:val="00562E32"/>
    <w:rsid w:val="00563195"/>
    <w:rsid w:val="005632EA"/>
    <w:rsid w:val="0056344A"/>
    <w:rsid w:val="005634A4"/>
    <w:rsid w:val="0056357A"/>
    <w:rsid w:val="0056370F"/>
    <w:rsid w:val="0056371F"/>
    <w:rsid w:val="00563879"/>
    <w:rsid w:val="00563DA8"/>
    <w:rsid w:val="00563E4D"/>
    <w:rsid w:val="0056402B"/>
    <w:rsid w:val="00565764"/>
    <w:rsid w:val="00565C0A"/>
    <w:rsid w:val="00566355"/>
    <w:rsid w:val="00566411"/>
    <w:rsid w:val="00566FE6"/>
    <w:rsid w:val="005671EA"/>
    <w:rsid w:val="0056773B"/>
    <w:rsid w:val="00567F80"/>
    <w:rsid w:val="00567FE4"/>
    <w:rsid w:val="00570645"/>
    <w:rsid w:val="00570BD9"/>
    <w:rsid w:val="005714B7"/>
    <w:rsid w:val="00571C3F"/>
    <w:rsid w:val="005722A3"/>
    <w:rsid w:val="00572419"/>
    <w:rsid w:val="00573574"/>
    <w:rsid w:val="00573C94"/>
    <w:rsid w:val="0057409F"/>
    <w:rsid w:val="0057446A"/>
    <w:rsid w:val="00574D4C"/>
    <w:rsid w:val="005757CB"/>
    <w:rsid w:val="00575A02"/>
    <w:rsid w:val="00575E34"/>
    <w:rsid w:val="00575F2C"/>
    <w:rsid w:val="00576414"/>
    <w:rsid w:val="005764E2"/>
    <w:rsid w:val="00576668"/>
    <w:rsid w:val="005768AB"/>
    <w:rsid w:val="00576D62"/>
    <w:rsid w:val="00577651"/>
    <w:rsid w:val="00577B25"/>
    <w:rsid w:val="00577B57"/>
    <w:rsid w:val="00577EEC"/>
    <w:rsid w:val="00580306"/>
    <w:rsid w:val="005804FB"/>
    <w:rsid w:val="00580D11"/>
    <w:rsid w:val="00580D5E"/>
    <w:rsid w:val="00580D6A"/>
    <w:rsid w:val="00580F42"/>
    <w:rsid w:val="00581149"/>
    <w:rsid w:val="0058127D"/>
    <w:rsid w:val="00581F88"/>
    <w:rsid w:val="00582119"/>
    <w:rsid w:val="005821FB"/>
    <w:rsid w:val="0058221B"/>
    <w:rsid w:val="00582257"/>
    <w:rsid w:val="005824C8"/>
    <w:rsid w:val="005826D7"/>
    <w:rsid w:val="005828F2"/>
    <w:rsid w:val="00582DE0"/>
    <w:rsid w:val="00582FA9"/>
    <w:rsid w:val="00583185"/>
    <w:rsid w:val="005831AE"/>
    <w:rsid w:val="00583233"/>
    <w:rsid w:val="00583237"/>
    <w:rsid w:val="005833A7"/>
    <w:rsid w:val="005837DC"/>
    <w:rsid w:val="0058392F"/>
    <w:rsid w:val="00583E2C"/>
    <w:rsid w:val="00583F96"/>
    <w:rsid w:val="0058403F"/>
    <w:rsid w:val="00584610"/>
    <w:rsid w:val="00584A5F"/>
    <w:rsid w:val="00584C90"/>
    <w:rsid w:val="0058501B"/>
    <w:rsid w:val="00585669"/>
    <w:rsid w:val="00585B45"/>
    <w:rsid w:val="0058640B"/>
    <w:rsid w:val="00586940"/>
    <w:rsid w:val="00586B2B"/>
    <w:rsid w:val="005870CC"/>
    <w:rsid w:val="00587DD3"/>
    <w:rsid w:val="00587FA3"/>
    <w:rsid w:val="0059007F"/>
    <w:rsid w:val="005907AC"/>
    <w:rsid w:val="0059102D"/>
    <w:rsid w:val="0059113A"/>
    <w:rsid w:val="00591714"/>
    <w:rsid w:val="005917C3"/>
    <w:rsid w:val="005920DB"/>
    <w:rsid w:val="005924AA"/>
    <w:rsid w:val="0059255D"/>
    <w:rsid w:val="0059280B"/>
    <w:rsid w:val="0059292F"/>
    <w:rsid w:val="00592960"/>
    <w:rsid w:val="00592970"/>
    <w:rsid w:val="00592D4F"/>
    <w:rsid w:val="00593119"/>
    <w:rsid w:val="005932FD"/>
    <w:rsid w:val="0059341B"/>
    <w:rsid w:val="005934F1"/>
    <w:rsid w:val="00593A06"/>
    <w:rsid w:val="00593CF0"/>
    <w:rsid w:val="00594032"/>
    <w:rsid w:val="005946D0"/>
    <w:rsid w:val="00594B90"/>
    <w:rsid w:val="00595289"/>
    <w:rsid w:val="0059530D"/>
    <w:rsid w:val="00596163"/>
    <w:rsid w:val="00596806"/>
    <w:rsid w:val="0059699A"/>
    <w:rsid w:val="00597540"/>
    <w:rsid w:val="005978AB"/>
    <w:rsid w:val="005A00D7"/>
    <w:rsid w:val="005A05D9"/>
    <w:rsid w:val="005A0857"/>
    <w:rsid w:val="005A16F4"/>
    <w:rsid w:val="005A1973"/>
    <w:rsid w:val="005A20F3"/>
    <w:rsid w:val="005A239D"/>
    <w:rsid w:val="005A31E6"/>
    <w:rsid w:val="005A3E4D"/>
    <w:rsid w:val="005A3F04"/>
    <w:rsid w:val="005A4463"/>
    <w:rsid w:val="005A4A49"/>
    <w:rsid w:val="005A5269"/>
    <w:rsid w:val="005A5D60"/>
    <w:rsid w:val="005A5F60"/>
    <w:rsid w:val="005A5F8D"/>
    <w:rsid w:val="005A636A"/>
    <w:rsid w:val="005A746F"/>
    <w:rsid w:val="005A794A"/>
    <w:rsid w:val="005A7B93"/>
    <w:rsid w:val="005A7F2F"/>
    <w:rsid w:val="005A7FC8"/>
    <w:rsid w:val="005B017A"/>
    <w:rsid w:val="005B028C"/>
    <w:rsid w:val="005B04BA"/>
    <w:rsid w:val="005B0875"/>
    <w:rsid w:val="005B0F01"/>
    <w:rsid w:val="005B0FB1"/>
    <w:rsid w:val="005B15A6"/>
    <w:rsid w:val="005B1B1D"/>
    <w:rsid w:val="005B22C9"/>
    <w:rsid w:val="005B286B"/>
    <w:rsid w:val="005B28F1"/>
    <w:rsid w:val="005B2D20"/>
    <w:rsid w:val="005B2DC5"/>
    <w:rsid w:val="005B2EFD"/>
    <w:rsid w:val="005B318F"/>
    <w:rsid w:val="005B3191"/>
    <w:rsid w:val="005B34F9"/>
    <w:rsid w:val="005B41FD"/>
    <w:rsid w:val="005B44D6"/>
    <w:rsid w:val="005B49BE"/>
    <w:rsid w:val="005B4F25"/>
    <w:rsid w:val="005B5DED"/>
    <w:rsid w:val="005B5ED8"/>
    <w:rsid w:val="005B6738"/>
    <w:rsid w:val="005B6910"/>
    <w:rsid w:val="005B6A7D"/>
    <w:rsid w:val="005B7038"/>
    <w:rsid w:val="005B7505"/>
    <w:rsid w:val="005B77BC"/>
    <w:rsid w:val="005B782D"/>
    <w:rsid w:val="005B7F19"/>
    <w:rsid w:val="005C019A"/>
    <w:rsid w:val="005C0751"/>
    <w:rsid w:val="005C0E53"/>
    <w:rsid w:val="005C0F3D"/>
    <w:rsid w:val="005C0FEF"/>
    <w:rsid w:val="005C109B"/>
    <w:rsid w:val="005C1129"/>
    <w:rsid w:val="005C11EF"/>
    <w:rsid w:val="005C12B6"/>
    <w:rsid w:val="005C17FC"/>
    <w:rsid w:val="005C181D"/>
    <w:rsid w:val="005C21F2"/>
    <w:rsid w:val="005C2775"/>
    <w:rsid w:val="005C2E45"/>
    <w:rsid w:val="005C3046"/>
    <w:rsid w:val="005C30D7"/>
    <w:rsid w:val="005C3DE4"/>
    <w:rsid w:val="005C3F27"/>
    <w:rsid w:val="005C495E"/>
    <w:rsid w:val="005C4A91"/>
    <w:rsid w:val="005C4C9D"/>
    <w:rsid w:val="005C512E"/>
    <w:rsid w:val="005C5396"/>
    <w:rsid w:val="005C53E5"/>
    <w:rsid w:val="005C5660"/>
    <w:rsid w:val="005C57ED"/>
    <w:rsid w:val="005C5B9E"/>
    <w:rsid w:val="005C5C78"/>
    <w:rsid w:val="005C5E93"/>
    <w:rsid w:val="005C631A"/>
    <w:rsid w:val="005C6D4D"/>
    <w:rsid w:val="005C6E87"/>
    <w:rsid w:val="005C718B"/>
    <w:rsid w:val="005C7271"/>
    <w:rsid w:val="005C72AF"/>
    <w:rsid w:val="005C77D1"/>
    <w:rsid w:val="005C79FC"/>
    <w:rsid w:val="005D02F1"/>
    <w:rsid w:val="005D033D"/>
    <w:rsid w:val="005D03AE"/>
    <w:rsid w:val="005D0618"/>
    <w:rsid w:val="005D0914"/>
    <w:rsid w:val="005D1009"/>
    <w:rsid w:val="005D17A1"/>
    <w:rsid w:val="005D23A7"/>
    <w:rsid w:val="005D2715"/>
    <w:rsid w:val="005D27E0"/>
    <w:rsid w:val="005D29DE"/>
    <w:rsid w:val="005D2A07"/>
    <w:rsid w:val="005D2ADF"/>
    <w:rsid w:val="005D2F6F"/>
    <w:rsid w:val="005D36A9"/>
    <w:rsid w:val="005D3912"/>
    <w:rsid w:val="005D392E"/>
    <w:rsid w:val="005D3DED"/>
    <w:rsid w:val="005D3FF9"/>
    <w:rsid w:val="005D4183"/>
    <w:rsid w:val="005D43DC"/>
    <w:rsid w:val="005D4525"/>
    <w:rsid w:val="005D4F75"/>
    <w:rsid w:val="005D58AF"/>
    <w:rsid w:val="005D5DBB"/>
    <w:rsid w:val="005D65C6"/>
    <w:rsid w:val="005D6712"/>
    <w:rsid w:val="005D67A5"/>
    <w:rsid w:val="005D71ED"/>
    <w:rsid w:val="005D720E"/>
    <w:rsid w:val="005D722F"/>
    <w:rsid w:val="005D792E"/>
    <w:rsid w:val="005D7CD1"/>
    <w:rsid w:val="005E0CE8"/>
    <w:rsid w:val="005E0F8E"/>
    <w:rsid w:val="005E1153"/>
    <w:rsid w:val="005E1314"/>
    <w:rsid w:val="005E1568"/>
    <w:rsid w:val="005E192E"/>
    <w:rsid w:val="005E2705"/>
    <w:rsid w:val="005E2C6F"/>
    <w:rsid w:val="005E2C94"/>
    <w:rsid w:val="005E2E8D"/>
    <w:rsid w:val="005E3421"/>
    <w:rsid w:val="005E362E"/>
    <w:rsid w:val="005E3732"/>
    <w:rsid w:val="005E398E"/>
    <w:rsid w:val="005E3B79"/>
    <w:rsid w:val="005E3BB3"/>
    <w:rsid w:val="005E3E5C"/>
    <w:rsid w:val="005E3F8E"/>
    <w:rsid w:val="005E40B7"/>
    <w:rsid w:val="005E4C20"/>
    <w:rsid w:val="005E5339"/>
    <w:rsid w:val="005E5439"/>
    <w:rsid w:val="005E56AA"/>
    <w:rsid w:val="005E584F"/>
    <w:rsid w:val="005E5AE9"/>
    <w:rsid w:val="005E63EC"/>
    <w:rsid w:val="005E652B"/>
    <w:rsid w:val="005E6E14"/>
    <w:rsid w:val="005E6F18"/>
    <w:rsid w:val="005E700A"/>
    <w:rsid w:val="005E72C6"/>
    <w:rsid w:val="005E73C3"/>
    <w:rsid w:val="005E7450"/>
    <w:rsid w:val="005E793E"/>
    <w:rsid w:val="005E7F19"/>
    <w:rsid w:val="005E7F28"/>
    <w:rsid w:val="005F00DC"/>
    <w:rsid w:val="005F01BB"/>
    <w:rsid w:val="005F0393"/>
    <w:rsid w:val="005F06D2"/>
    <w:rsid w:val="005F0A81"/>
    <w:rsid w:val="005F0A9B"/>
    <w:rsid w:val="005F0D16"/>
    <w:rsid w:val="005F1260"/>
    <w:rsid w:val="005F1902"/>
    <w:rsid w:val="005F1CD3"/>
    <w:rsid w:val="005F1E96"/>
    <w:rsid w:val="005F2CB6"/>
    <w:rsid w:val="005F318F"/>
    <w:rsid w:val="005F3506"/>
    <w:rsid w:val="005F3870"/>
    <w:rsid w:val="005F3FAA"/>
    <w:rsid w:val="005F4E0E"/>
    <w:rsid w:val="005F5545"/>
    <w:rsid w:val="005F5886"/>
    <w:rsid w:val="005F61C9"/>
    <w:rsid w:val="005F6558"/>
    <w:rsid w:val="005F6673"/>
    <w:rsid w:val="005F66B1"/>
    <w:rsid w:val="005F6774"/>
    <w:rsid w:val="005F67C6"/>
    <w:rsid w:val="005F6B55"/>
    <w:rsid w:val="005F7714"/>
    <w:rsid w:val="005F7B40"/>
    <w:rsid w:val="005F7B98"/>
    <w:rsid w:val="00600914"/>
    <w:rsid w:val="0060091A"/>
    <w:rsid w:val="00600D8E"/>
    <w:rsid w:val="0060102E"/>
    <w:rsid w:val="00601217"/>
    <w:rsid w:val="00601621"/>
    <w:rsid w:val="00601900"/>
    <w:rsid w:val="00601901"/>
    <w:rsid w:val="0060193F"/>
    <w:rsid w:val="00601BAB"/>
    <w:rsid w:val="0060200D"/>
    <w:rsid w:val="00602032"/>
    <w:rsid w:val="00602215"/>
    <w:rsid w:val="006029E2"/>
    <w:rsid w:val="00602D25"/>
    <w:rsid w:val="00602D54"/>
    <w:rsid w:val="00602D64"/>
    <w:rsid w:val="00602DF5"/>
    <w:rsid w:val="00603B06"/>
    <w:rsid w:val="00603CAD"/>
    <w:rsid w:val="00603D8C"/>
    <w:rsid w:val="00604796"/>
    <w:rsid w:val="00604B77"/>
    <w:rsid w:val="00604C1D"/>
    <w:rsid w:val="00605138"/>
    <w:rsid w:val="0060516E"/>
    <w:rsid w:val="006052F3"/>
    <w:rsid w:val="00605492"/>
    <w:rsid w:val="006058AE"/>
    <w:rsid w:val="00605978"/>
    <w:rsid w:val="0060624D"/>
    <w:rsid w:val="006062D6"/>
    <w:rsid w:val="00606745"/>
    <w:rsid w:val="00606CFD"/>
    <w:rsid w:val="00606DC4"/>
    <w:rsid w:val="00606ED0"/>
    <w:rsid w:val="0060757C"/>
    <w:rsid w:val="00607588"/>
    <w:rsid w:val="006075FD"/>
    <w:rsid w:val="006077A3"/>
    <w:rsid w:val="00607CDA"/>
    <w:rsid w:val="0061032D"/>
    <w:rsid w:val="00610475"/>
    <w:rsid w:val="0061056B"/>
    <w:rsid w:val="00610877"/>
    <w:rsid w:val="006113A1"/>
    <w:rsid w:val="006114C3"/>
    <w:rsid w:val="0061154E"/>
    <w:rsid w:val="006117C2"/>
    <w:rsid w:val="006119DF"/>
    <w:rsid w:val="00611D1A"/>
    <w:rsid w:val="00612306"/>
    <w:rsid w:val="00612517"/>
    <w:rsid w:val="00612C50"/>
    <w:rsid w:val="006139E9"/>
    <w:rsid w:val="00613FB9"/>
    <w:rsid w:val="0061431B"/>
    <w:rsid w:val="0061454B"/>
    <w:rsid w:val="0061474E"/>
    <w:rsid w:val="00614EB9"/>
    <w:rsid w:val="00615389"/>
    <w:rsid w:val="006154C7"/>
    <w:rsid w:val="00615525"/>
    <w:rsid w:val="0061562A"/>
    <w:rsid w:val="006158A8"/>
    <w:rsid w:val="00615F40"/>
    <w:rsid w:val="00616175"/>
    <w:rsid w:val="00616951"/>
    <w:rsid w:val="006169FA"/>
    <w:rsid w:val="00616F23"/>
    <w:rsid w:val="0061756D"/>
    <w:rsid w:val="00617660"/>
    <w:rsid w:val="006177CF"/>
    <w:rsid w:val="006178C1"/>
    <w:rsid w:val="0061795C"/>
    <w:rsid w:val="00620672"/>
    <w:rsid w:val="00620795"/>
    <w:rsid w:val="00620A58"/>
    <w:rsid w:val="00620ADA"/>
    <w:rsid w:val="00620DC7"/>
    <w:rsid w:val="00621EFD"/>
    <w:rsid w:val="0062238A"/>
    <w:rsid w:val="006226FA"/>
    <w:rsid w:val="00622B6B"/>
    <w:rsid w:val="00622F33"/>
    <w:rsid w:val="0062380E"/>
    <w:rsid w:val="00623CA2"/>
    <w:rsid w:val="00623D97"/>
    <w:rsid w:val="00624785"/>
    <w:rsid w:val="00624DBF"/>
    <w:rsid w:val="00625B5E"/>
    <w:rsid w:val="00625D0F"/>
    <w:rsid w:val="00625F63"/>
    <w:rsid w:val="00626221"/>
    <w:rsid w:val="00626AD4"/>
    <w:rsid w:val="00626E6B"/>
    <w:rsid w:val="006272ED"/>
    <w:rsid w:val="006273A5"/>
    <w:rsid w:val="00627CF5"/>
    <w:rsid w:val="00627FE7"/>
    <w:rsid w:val="006300F2"/>
    <w:rsid w:val="0063012A"/>
    <w:rsid w:val="006308FF"/>
    <w:rsid w:val="00631338"/>
    <w:rsid w:val="006313FC"/>
    <w:rsid w:val="00631419"/>
    <w:rsid w:val="00631A36"/>
    <w:rsid w:val="00631F95"/>
    <w:rsid w:val="006321F8"/>
    <w:rsid w:val="00632427"/>
    <w:rsid w:val="006328AF"/>
    <w:rsid w:val="006328D1"/>
    <w:rsid w:val="00632CA3"/>
    <w:rsid w:val="00632FF4"/>
    <w:rsid w:val="006332EC"/>
    <w:rsid w:val="00633AA8"/>
    <w:rsid w:val="00633C73"/>
    <w:rsid w:val="00633D06"/>
    <w:rsid w:val="00633F7D"/>
    <w:rsid w:val="00634487"/>
    <w:rsid w:val="0063463C"/>
    <w:rsid w:val="0063487B"/>
    <w:rsid w:val="006349C6"/>
    <w:rsid w:val="006349DC"/>
    <w:rsid w:val="00634C2A"/>
    <w:rsid w:val="00634E20"/>
    <w:rsid w:val="00634E88"/>
    <w:rsid w:val="0063511B"/>
    <w:rsid w:val="00635F7D"/>
    <w:rsid w:val="00635FBC"/>
    <w:rsid w:val="00636259"/>
    <w:rsid w:val="00636865"/>
    <w:rsid w:val="00636A7B"/>
    <w:rsid w:val="00636D02"/>
    <w:rsid w:val="00636EE9"/>
    <w:rsid w:val="00637282"/>
    <w:rsid w:val="00637383"/>
    <w:rsid w:val="006402F7"/>
    <w:rsid w:val="00640A4A"/>
    <w:rsid w:val="00640CCC"/>
    <w:rsid w:val="00640F0F"/>
    <w:rsid w:val="00641922"/>
    <w:rsid w:val="00641CC4"/>
    <w:rsid w:val="00642B65"/>
    <w:rsid w:val="00642E30"/>
    <w:rsid w:val="00642E89"/>
    <w:rsid w:val="00642E99"/>
    <w:rsid w:val="006432D5"/>
    <w:rsid w:val="006434F3"/>
    <w:rsid w:val="0064378C"/>
    <w:rsid w:val="00643AC9"/>
    <w:rsid w:val="00643DDB"/>
    <w:rsid w:val="00643E86"/>
    <w:rsid w:val="00644057"/>
    <w:rsid w:val="00644201"/>
    <w:rsid w:val="00644278"/>
    <w:rsid w:val="00644AAD"/>
    <w:rsid w:val="00644BE0"/>
    <w:rsid w:val="00644E54"/>
    <w:rsid w:val="00644FCB"/>
    <w:rsid w:val="0064571C"/>
    <w:rsid w:val="00645841"/>
    <w:rsid w:val="00645B1E"/>
    <w:rsid w:val="00645C32"/>
    <w:rsid w:val="00646140"/>
    <w:rsid w:val="006461D6"/>
    <w:rsid w:val="00646398"/>
    <w:rsid w:val="00646446"/>
    <w:rsid w:val="00646450"/>
    <w:rsid w:val="0064683D"/>
    <w:rsid w:val="00646BF9"/>
    <w:rsid w:val="00647166"/>
    <w:rsid w:val="00647490"/>
    <w:rsid w:val="00647915"/>
    <w:rsid w:val="00647A4A"/>
    <w:rsid w:val="00647DD4"/>
    <w:rsid w:val="00647DF8"/>
    <w:rsid w:val="00650375"/>
    <w:rsid w:val="006505BB"/>
    <w:rsid w:val="00650B8E"/>
    <w:rsid w:val="00651203"/>
    <w:rsid w:val="00651303"/>
    <w:rsid w:val="00651383"/>
    <w:rsid w:val="00651A0C"/>
    <w:rsid w:val="00651ED2"/>
    <w:rsid w:val="006523EE"/>
    <w:rsid w:val="006530F0"/>
    <w:rsid w:val="006532CD"/>
    <w:rsid w:val="006533EA"/>
    <w:rsid w:val="00653596"/>
    <w:rsid w:val="00653A45"/>
    <w:rsid w:val="00653A62"/>
    <w:rsid w:val="00653AC8"/>
    <w:rsid w:val="00654A3F"/>
    <w:rsid w:val="00654A99"/>
    <w:rsid w:val="00654AEE"/>
    <w:rsid w:val="00654BAE"/>
    <w:rsid w:val="00654CEE"/>
    <w:rsid w:val="00654EF1"/>
    <w:rsid w:val="00655110"/>
    <w:rsid w:val="00655625"/>
    <w:rsid w:val="00655929"/>
    <w:rsid w:val="00655D71"/>
    <w:rsid w:val="00656110"/>
    <w:rsid w:val="00656180"/>
    <w:rsid w:val="006561C3"/>
    <w:rsid w:val="00656890"/>
    <w:rsid w:val="00657066"/>
    <w:rsid w:val="006571AA"/>
    <w:rsid w:val="006572C4"/>
    <w:rsid w:val="00657552"/>
    <w:rsid w:val="00660261"/>
    <w:rsid w:val="00660536"/>
    <w:rsid w:val="0066158C"/>
    <w:rsid w:val="006625B8"/>
    <w:rsid w:val="00662CE4"/>
    <w:rsid w:val="00662DD9"/>
    <w:rsid w:val="006633E1"/>
    <w:rsid w:val="00663876"/>
    <w:rsid w:val="00663A5B"/>
    <w:rsid w:val="00663B00"/>
    <w:rsid w:val="00663CF0"/>
    <w:rsid w:val="00664870"/>
    <w:rsid w:val="006649BB"/>
    <w:rsid w:val="00664D2D"/>
    <w:rsid w:val="00664F7F"/>
    <w:rsid w:val="00664FCA"/>
    <w:rsid w:val="0066521E"/>
    <w:rsid w:val="00665250"/>
    <w:rsid w:val="00667C1A"/>
    <w:rsid w:val="00667D6F"/>
    <w:rsid w:val="0067015D"/>
    <w:rsid w:val="00670454"/>
    <w:rsid w:val="006707E8"/>
    <w:rsid w:val="00670831"/>
    <w:rsid w:val="00670F50"/>
    <w:rsid w:val="00671501"/>
    <w:rsid w:val="006716B2"/>
    <w:rsid w:val="0067192B"/>
    <w:rsid w:val="006719BA"/>
    <w:rsid w:val="006719BB"/>
    <w:rsid w:val="00671D48"/>
    <w:rsid w:val="00671E82"/>
    <w:rsid w:val="00672786"/>
    <w:rsid w:val="00672CF4"/>
    <w:rsid w:val="00672F67"/>
    <w:rsid w:val="00673589"/>
    <w:rsid w:val="0067385A"/>
    <w:rsid w:val="00674058"/>
    <w:rsid w:val="00674A65"/>
    <w:rsid w:val="00674B7C"/>
    <w:rsid w:val="00674E26"/>
    <w:rsid w:val="00674E52"/>
    <w:rsid w:val="00675F4B"/>
    <w:rsid w:val="0067606E"/>
    <w:rsid w:val="006761C4"/>
    <w:rsid w:val="00676A58"/>
    <w:rsid w:val="006775B6"/>
    <w:rsid w:val="00677602"/>
    <w:rsid w:val="00677649"/>
    <w:rsid w:val="00680DC2"/>
    <w:rsid w:val="0068260D"/>
    <w:rsid w:val="00682D0C"/>
    <w:rsid w:val="00682DFD"/>
    <w:rsid w:val="00682F4E"/>
    <w:rsid w:val="006830BC"/>
    <w:rsid w:val="00685271"/>
    <w:rsid w:val="00685AAE"/>
    <w:rsid w:val="006870EE"/>
    <w:rsid w:val="006875EE"/>
    <w:rsid w:val="0069036A"/>
    <w:rsid w:val="006904FC"/>
    <w:rsid w:val="006905C7"/>
    <w:rsid w:val="0069099C"/>
    <w:rsid w:val="006909F5"/>
    <w:rsid w:val="0069101F"/>
    <w:rsid w:val="00691193"/>
    <w:rsid w:val="006913EB"/>
    <w:rsid w:val="006916CF"/>
    <w:rsid w:val="006921CB"/>
    <w:rsid w:val="0069230F"/>
    <w:rsid w:val="006928D7"/>
    <w:rsid w:val="00692A0C"/>
    <w:rsid w:val="00692D66"/>
    <w:rsid w:val="00692D97"/>
    <w:rsid w:val="006938A3"/>
    <w:rsid w:val="006947CA"/>
    <w:rsid w:val="006948C6"/>
    <w:rsid w:val="00694988"/>
    <w:rsid w:val="00694C00"/>
    <w:rsid w:val="00695A99"/>
    <w:rsid w:val="00695FEA"/>
    <w:rsid w:val="00696699"/>
    <w:rsid w:val="00696F5D"/>
    <w:rsid w:val="00697106"/>
    <w:rsid w:val="00697325"/>
    <w:rsid w:val="006974EE"/>
    <w:rsid w:val="00697680"/>
    <w:rsid w:val="0069772C"/>
    <w:rsid w:val="0069781C"/>
    <w:rsid w:val="006A0187"/>
    <w:rsid w:val="006A0764"/>
    <w:rsid w:val="006A084B"/>
    <w:rsid w:val="006A097B"/>
    <w:rsid w:val="006A0A23"/>
    <w:rsid w:val="006A0CF2"/>
    <w:rsid w:val="006A0D00"/>
    <w:rsid w:val="006A0D12"/>
    <w:rsid w:val="006A0D5C"/>
    <w:rsid w:val="006A0E0A"/>
    <w:rsid w:val="006A111F"/>
    <w:rsid w:val="006A11BA"/>
    <w:rsid w:val="006A12C6"/>
    <w:rsid w:val="006A1739"/>
    <w:rsid w:val="006A1AEA"/>
    <w:rsid w:val="006A1D0E"/>
    <w:rsid w:val="006A2146"/>
    <w:rsid w:val="006A243B"/>
    <w:rsid w:val="006A2626"/>
    <w:rsid w:val="006A2697"/>
    <w:rsid w:val="006A2945"/>
    <w:rsid w:val="006A2E3A"/>
    <w:rsid w:val="006A3133"/>
    <w:rsid w:val="006A31DF"/>
    <w:rsid w:val="006A34CD"/>
    <w:rsid w:val="006A4BC0"/>
    <w:rsid w:val="006A4D6C"/>
    <w:rsid w:val="006A4EBF"/>
    <w:rsid w:val="006A578B"/>
    <w:rsid w:val="006A59C9"/>
    <w:rsid w:val="006A5B82"/>
    <w:rsid w:val="006A5DBF"/>
    <w:rsid w:val="006A5E1F"/>
    <w:rsid w:val="006A60E0"/>
    <w:rsid w:val="006A6970"/>
    <w:rsid w:val="006A69DC"/>
    <w:rsid w:val="006A72C1"/>
    <w:rsid w:val="006A7855"/>
    <w:rsid w:val="006A788B"/>
    <w:rsid w:val="006A7CEE"/>
    <w:rsid w:val="006A7E1C"/>
    <w:rsid w:val="006A7E1F"/>
    <w:rsid w:val="006B0058"/>
    <w:rsid w:val="006B0107"/>
    <w:rsid w:val="006B02AA"/>
    <w:rsid w:val="006B03E7"/>
    <w:rsid w:val="006B0483"/>
    <w:rsid w:val="006B1013"/>
    <w:rsid w:val="006B116F"/>
    <w:rsid w:val="006B11E6"/>
    <w:rsid w:val="006B1871"/>
    <w:rsid w:val="006B1A2C"/>
    <w:rsid w:val="006B1C7D"/>
    <w:rsid w:val="006B1D11"/>
    <w:rsid w:val="006B1F06"/>
    <w:rsid w:val="006B245C"/>
    <w:rsid w:val="006B268E"/>
    <w:rsid w:val="006B28A9"/>
    <w:rsid w:val="006B2A2B"/>
    <w:rsid w:val="006B2C2C"/>
    <w:rsid w:val="006B2C93"/>
    <w:rsid w:val="006B379F"/>
    <w:rsid w:val="006B38E6"/>
    <w:rsid w:val="006B3A3D"/>
    <w:rsid w:val="006B41E3"/>
    <w:rsid w:val="006B4E80"/>
    <w:rsid w:val="006B5B13"/>
    <w:rsid w:val="006B5E6B"/>
    <w:rsid w:val="006B64AE"/>
    <w:rsid w:val="006B6945"/>
    <w:rsid w:val="006B6C90"/>
    <w:rsid w:val="006B6E15"/>
    <w:rsid w:val="006B7947"/>
    <w:rsid w:val="006C0014"/>
    <w:rsid w:val="006C0287"/>
    <w:rsid w:val="006C047C"/>
    <w:rsid w:val="006C0E73"/>
    <w:rsid w:val="006C104F"/>
    <w:rsid w:val="006C14AC"/>
    <w:rsid w:val="006C1B6B"/>
    <w:rsid w:val="006C1D61"/>
    <w:rsid w:val="006C2491"/>
    <w:rsid w:val="006C262E"/>
    <w:rsid w:val="006C2ABA"/>
    <w:rsid w:val="006C2F3F"/>
    <w:rsid w:val="006C305F"/>
    <w:rsid w:val="006C3FDF"/>
    <w:rsid w:val="006C45A3"/>
    <w:rsid w:val="006C4C02"/>
    <w:rsid w:val="006C4DEB"/>
    <w:rsid w:val="006C584E"/>
    <w:rsid w:val="006C5A07"/>
    <w:rsid w:val="006C5EDC"/>
    <w:rsid w:val="006C5F75"/>
    <w:rsid w:val="006C6196"/>
    <w:rsid w:val="006C6E05"/>
    <w:rsid w:val="006C7071"/>
    <w:rsid w:val="006C7128"/>
    <w:rsid w:val="006C74B2"/>
    <w:rsid w:val="006C7808"/>
    <w:rsid w:val="006D029B"/>
    <w:rsid w:val="006D03EC"/>
    <w:rsid w:val="006D1405"/>
    <w:rsid w:val="006D1458"/>
    <w:rsid w:val="006D1514"/>
    <w:rsid w:val="006D1778"/>
    <w:rsid w:val="006D198D"/>
    <w:rsid w:val="006D1A4A"/>
    <w:rsid w:val="006D2507"/>
    <w:rsid w:val="006D27F8"/>
    <w:rsid w:val="006D2A3B"/>
    <w:rsid w:val="006D2D76"/>
    <w:rsid w:val="006D35BA"/>
    <w:rsid w:val="006D35E4"/>
    <w:rsid w:val="006D3C8B"/>
    <w:rsid w:val="006D491D"/>
    <w:rsid w:val="006D4945"/>
    <w:rsid w:val="006D4CEB"/>
    <w:rsid w:val="006D5011"/>
    <w:rsid w:val="006D51DE"/>
    <w:rsid w:val="006D5924"/>
    <w:rsid w:val="006D5D54"/>
    <w:rsid w:val="006D5F10"/>
    <w:rsid w:val="006D62F9"/>
    <w:rsid w:val="006D67CC"/>
    <w:rsid w:val="006D77F7"/>
    <w:rsid w:val="006D7E47"/>
    <w:rsid w:val="006E04BD"/>
    <w:rsid w:val="006E065B"/>
    <w:rsid w:val="006E0820"/>
    <w:rsid w:val="006E08CD"/>
    <w:rsid w:val="006E127C"/>
    <w:rsid w:val="006E1449"/>
    <w:rsid w:val="006E1AA1"/>
    <w:rsid w:val="006E1DE5"/>
    <w:rsid w:val="006E23F1"/>
    <w:rsid w:val="006E29A6"/>
    <w:rsid w:val="006E2A0C"/>
    <w:rsid w:val="006E2B31"/>
    <w:rsid w:val="006E2DFB"/>
    <w:rsid w:val="006E2F60"/>
    <w:rsid w:val="006E3137"/>
    <w:rsid w:val="006E330C"/>
    <w:rsid w:val="006E3475"/>
    <w:rsid w:val="006E3486"/>
    <w:rsid w:val="006E3574"/>
    <w:rsid w:val="006E3D43"/>
    <w:rsid w:val="006E408D"/>
    <w:rsid w:val="006E4A11"/>
    <w:rsid w:val="006E4EEA"/>
    <w:rsid w:val="006E4FA7"/>
    <w:rsid w:val="006E50E9"/>
    <w:rsid w:val="006E5740"/>
    <w:rsid w:val="006E61D6"/>
    <w:rsid w:val="006E67B8"/>
    <w:rsid w:val="006E6946"/>
    <w:rsid w:val="006E6B63"/>
    <w:rsid w:val="006E6D6E"/>
    <w:rsid w:val="006E707A"/>
    <w:rsid w:val="006E70C8"/>
    <w:rsid w:val="006E7811"/>
    <w:rsid w:val="006E79E8"/>
    <w:rsid w:val="006F0580"/>
    <w:rsid w:val="006F05FA"/>
    <w:rsid w:val="006F06AB"/>
    <w:rsid w:val="006F0709"/>
    <w:rsid w:val="006F0950"/>
    <w:rsid w:val="006F0B74"/>
    <w:rsid w:val="006F0E9C"/>
    <w:rsid w:val="006F11E5"/>
    <w:rsid w:val="006F12F9"/>
    <w:rsid w:val="006F137F"/>
    <w:rsid w:val="006F1755"/>
    <w:rsid w:val="006F1A35"/>
    <w:rsid w:val="006F2093"/>
    <w:rsid w:val="006F21C2"/>
    <w:rsid w:val="006F222D"/>
    <w:rsid w:val="006F2601"/>
    <w:rsid w:val="006F26E7"/>
    <w:rsid w:val="006F2839"/>
    <w:rsid w:val="006F30AE"/>
    <w:rsid w:val="006F32DF"/>
    <w:rsid w:val="006F34E0"/>
    <w:rsid w:val="006F3BC2"/>
    <w:rsid w:val="006F3C8A"/>
    <w:rsid w:val="006F3F6E"/>
    <w:rsid w:val="006F4041"/>
    <w:rsid w:val="006F410C"/>
    <w:rsid w:val="006F43CD"/>
    <w:rsid w:val="006F4E2F"/>
    <w:rsid w:val="006F53F5"/>
    <w:rsid w:val="006F5472"/>
    <w:rsid w:val="006F5489"/>
    <w:rsid w:val="006F5E1A"/>
    <w:rsid w:val="006F6210"/>
    <w:rsid w:val="006F6519"/>
    <w:rsid w:val="006F6660"/>
    <w:rsid w:val="006F6905"/>
    <w:rsid w:val="006F6A68"/>
    <w:rsid w:val="006F7C60"/>
    <w:rsid w:val="0070022D"/>
    <w:rsid w:val="007010EB"/>
    <w:rsid w:val="00701210"/>
    <w:rsid w:val="007013D5"/>
    <w:rsid w:val="00701409"/>
    <w:rsid w:val="00701608"/>
    <w:rsid w:val="00701E72"/>
    <w:rsid w:val="007020B5"/>
    <w:rsid w:val="0070240C"/>
    <w:rsid w:val="00702599"/>
    <w:rsid w:val="0070299E"/>
    <w:rsid w:val="007029E0"/>
    <w:rsid w:val="00702C02"/>
    <w:rsid w:val="00702F50"/>
    <w:rsid w:val="007039C4"/>
    <w:rsid w:val="00703EA7"/>
    <w:rsid w:val="00703FB2"/>
    <w:rsid w:val="0070402C"/>
    <w:rsid w:val="00704036"/>
    <w:rsid w:val="00704303"/>
    <w:rsid w:val="00704729"/>
    <w:rsid w:val="00704868"/>
    <w:rsid w:val="00704BA9"/>
    <w:rsid w:val="00704C04"/>
    <w:rsid w:val="00705BE3"/>
    <w:rsid w:val="00705CA7"/>
    <w:rsid w:val="00706295"/>
    <w:rsid w:val="0070684D"/>
    <w:rsid w:val="00706B7C"/>
    <w:rsid w:val="00706C52"/>
    <w:rsid w:val="0070700A"/>
    <w:rsid w:val="00707575"/>
    <w:rsid w:val="00707578"/>
    <w:rsid w:val="0070763C"/>
    <w:rsid w:val="007079C5"/>
    <w:rsid w:val="00707E3E"/>
    <w:rsid w:val="00710801"/>
    <w:rsid w:val="00710A44"/>
    <w:rsid w:val="00710F39"/>
    <w:rsid w:val="00710FA0"/>
    <w:rsid w:val="00711002"/>
    <w:rsid w:val="007114AF"/>
    <w:rsid w:val="007115BB"/>
    <w:rsid w:val="007115D5"/>
    <w:rsid w:val="00711819"/>
    <w:rsid w:val="00711B28"/>
    <w:rsid w:val="00711F91"/>
    <w:rsid w:val="00712247"/>
    <w:rsid w:val="00712677"/>
    <w:rsid w:val="00712B06"/>
    <w:rsid w:val="0071304C"/>
    <w:rsid w:val="007133FB"/>
    <w:rsid w:val="0071365B"/>
    <w:rsid w:val="00713EB8"/>
    <w:rsid w:val="00714128"/>
    <w:rsid w:val="007141CF"/>
    <w:rsid w:val="00714A80"/>
    <w:rsid w:val="00714EFC"/>
    <w:rsid w:val="00714FC0"/>
    <w:rsid w:val="00715694"/>
    <w:rsid w:val="007157C5"/>
    <w:rsid w:val="00715B06"/>
    <w:rsid w:val="00715B3C"/>
    <w:rsid w:val="00715B43"/>
    <w:rsid w:val="00715CF5"/>
    <w:rsid w:val="0071652C"/>
    <w:rsid w:val="0071684B"/>
    <w:rsid w:val="007169EB"/>
    <w:rsid w:val="00716AFC"/>
    <w:rsid w:val="00716CCE"/>
    <w:rsid w:val="00716DF5"/>
    <w:rsid w:val="00716E26"/>
    <w:rsid w:val="007170C3"/>
    <w:rsid w:val="0071741D"/>
    <w:rsid w:val="007178C8"/>
    <w:rsid w:val="00717953"/>
    <w:rsid w:val="007179AA"/>
    <w:rsid w:val="00717B2C"/>
    <w:rsid w:val="00717BA0"/>
    <w:rsid w:val="00717BD0"/>
    <w:rsid w:val="00717C56"/>
    <w:rsid w:val="0072053B"/>
    <w:rsid w:val="00720643"/>
    <w:rsid w:val="0072075F"/>
    <w:rsid w:val="00720A94"/>
    <w:rsid w:val="007210CC"/>
    <w:rsid w:val="00721466"/>
    <w:rsid w:val="007214E4"/>
    <w:rsid w:val="0072164E"/>
    <w:rsid w:val="00721853"/>
    <w:rsid w:val="00721926"/>
    <w:rsid w:val="007219B1"/>
    <w:rsid w:val="007219DE"/>
    <w:rsid w:val="00721B7A"/>
    <w:rsid w:val="00721CB5"/>
    <w:rsid w:val="007227C8"/>
    <w:rsid w:val="0072288A"/>
    <w:rsid w:val="00722B20"/>
    <w:rsid w:val="00722F49"/>
    <w:rsid w:val="00724271"/>
    <w:rsid w:val="00724317"/>
    <w:rsid w:val="0072441D"/>
    <w:rsid w:val="00724812"/>
    <w:rsid w:val="007256F0"/>
    <w:rsid w:val="00725838"/>
    <w:rsid w:val="0072585E"/>
    <w:rsid w:val="00725A12"/>
    <w:rsid w:val="00725D97"/>
    <w:rsid w:val="00725E74"/>
    <w:rsid w:val="00725E9F"/>
    <w:rsid w:val="00726CC4"/>
    <w:rsid w:val="00726EBF"/>
    <w:rsid w:val="00727C61"/>
    <w:rsid w:val="00727E02"/>
    <w:rsid w:val="00727F55"/>
    <w:rsid w:val="00727F8B"/>
    <w:rsid w:val="007303DE"/>
    <w:rsid w:val="00730438"/>
    <w:rsid w:val="0073055C"/>
    <w:rsid w:val="007316FE"/>
    <w:rsid w:val="00731AB0"/>
    <w:rsid w:val="00731CED"/>
    <w:rsid w:val="00732001"/>
    <w:rsid w:val="00732604"/>
    <w:rsid w:val="00732B9F"/>
    <w:rsid w:val="00732C50"/>
    <w:rsid w:val="00733208"/>
    <w:rsid w:val="00733396"/>
    <w:rsid w:val="007336AC"/>
    <w:rsid w:val="00733C89"/>
    <w:rsid w:val="00733D41"/>
    <w:rsid w:val="00733E3B"/>
    <w:rsid w:val="00734131"/>
    <w:rsid w:val="00734238"/>
    <w:rsid w:val="00734253"/>
    <w:rsid w:val="00734270"/>
    <w:rsid w:val="007343E1"/>
    <w:rsid w:val="00734554"/>
    <w:rsid w:val="007350BF"/>
    <w:rsid w:val="00735815"/>
    <w:rsid w:val="0073618D"/>
    <w:rsid w:val="007364BE"/>
    <w:rsid w:val="007367A4"/>
    <w:rsid w:val="00736CCF"/>
    <w:rsid w:val="00737117"/>
    <w:rsid w:val="00737560"/>
    <w:rsid w:val="0073763E"/>
    <w:rsid w:val="00737765"/>
    <w:rsid w:val="00740142"/>
    <w:rsid w:val="00740E5C"/>
    <w:rsid w:val="007417AC"/>
    <w:rsid w:val="007418B3"/>
    <w:rsid w:val="00741ABA"/>
    <w:rsid w:val="00741DF9"/>
    <w:rsid w:val="0074222D"/>
    <w:rsid w:val="00742440"/>
    <w:rsid w:val="00742DC4"/>
    <w:rsid w:val="007430FE"/>
    <w:rsid w:val="00743993"/>
    <w:rsid w:val="00743DCF"/>
    <w:rsid w:val="007445B8"/>
    <w:rsid w:val="00744866"/>
    <w:rsid w:val="00744A31"/>
    <w:rsid w:val="00744B1A"/>
    <w:rsid w:val="00744C8A"/>
    <w:rsid w:val="00744E3D"/>
    <w:rsid w:val="00744E66"/>
    <w:rsid w:val="007450D4"/>
    <w:rsid w:val="007453EA"/>
    <w:rsid w:val="007454DC"/>
    <w:rsid w:val="00745C91"/>
    <w:rsid w:val="007461BE"/>
    <w:rsid w:val="00746331"/>
    <w:rsid w:val="0074677E"/>
    <w:rsid w:val="00746D18"/>
    <w:rsid w:val="00747639"/>
    <w:rsid w:val="00747688"/>
    <w:rsid w:val="007478EA"/>
    <w:rsid w:val="00747BA5"/>
    <w:rsid w:val="00747BC1"/>
    <w:rsid w:val="00747D04"/>
    <w:rsid w:val="00747D11"/>
    <w:rsid w:val="0074EDE6"/>
    <w:rsid w:val="0075013A"/>
    <w:rsid w:val="007509EA"/>
    <w:rsid w:val="007512EE"/>
    <w:rsid w:val="0075199E"/>
    <w:rsid w:val="00751BB7"/>
    <w:rsid w:val="00751D9A"/>
    <w:rsid w:val="00751DDC"/>
    <w:rsid w:val="00751DDD"/>
    <w:rsid w:val="00751E7C"/>
    <w:rsid w:val="0075248E"/>
    <w:rsid w:val="007525D2"/>
    <w:rsid w:val="0075272D"/>
    <w:rsid w:val="007533D1"/>
    <w:rsid w:val="00753A2B"/>
    <w:rsid w:val="00753D00"/>
    <w:rsid w:val="00754398"/>
    <w:rsid w:val="00754B11"/>
    <w:rsid w:val="00754BAC"/>
    <w:rsid w:val="00754DFC"/>
    <w:rsid w:val="0075547C"/>
    <w:rsid w:val="00755491"/>
    <w:rsid w:val="00755753"/>
    <w:rsid w:val="00756BB9"/>
    <w:rsid w:val="00757E6D"/>
    <w:rsid w:val="00760145"/>
    <w:rsid w:val="007604B3"/>
    <w:rsid w:val="00760A6E"/>
    <w:rsid w:val="00760E0B"/>
    <w:rsid w:val="007612C8"/>
    <w:rsid w:val="00761852"/>
    <w:rsid w:val="0076230E"/>
    <w:rsid w:val="007623F7"/>
    <w:rsid w:val="007624EA"/>
    <w:rsid w:val="00762A03"/>
    <w:rsid w:val="00763047"/>
    <w:rsid w:val="007630D2"/>
    <w:rsid w:val="0076425C"/>
    <w:rsid w:val="007647F3"/>
    <w:rsid w:val="007651BD"/>
    <w:rsid w:val="00765817"/>
    <w:rsid w:val="00765885"/>
    <w:rsid w:val="00765996"/>
    <w:rsid w:val="00766859"/>
    <w:rsid w:val="00766B55"/>
    <w:rsid w:val="00766F1D"/>
    <w:rsid w:val="007674CC"/>
    <w:rsid w:val="007676C8"/>
    <w:rsid w:val="00767718"/>
    <w:rsid w:val="0077043E"/>
    <w:rsid w:val="00770791"/>
    <w:rsid w:val="00770F7D"/>
    <w:rsid w:val="00770F82"/>
    <w:rsid w:val="007716CB"/>
    <w:rsid w:val="007718ED"/>
    <w:rsid w:val="00771C4A"/>
    <w:rsid w:val="00771CAB"/>
    <w:rsid w:val="00771ED6"/>
    <w:rsid w:val="00772C6D"/>
    <w:rsid w:val="00772DC3"/>
    <w:rsid w:val="007730D8"/>
    <w:rsid w:val="00773703"/>
    <w:rsid w:val="00773E24"/>
    <w:rsid w:val="00774821"/>
    <w:rsid w:val="00774CF1"/>
    <w:rsid w:val="00774D9A"/>
    <w:rsid w:val="00774EFB"/>
    <w:rsid w:val="0077564E"/>
    <w:rsid w:val="00775D0A"/>
    <w:rsid w:val="007761EB"/>
    <w:rsid w:val="0077651F"/>
    <w:rsid w:val="007767B6"/>
    <w:rsid w:val="00776827"/>
    <w:rsid w:val="00776870"/>
    <w:rsid w:val="00776948"/>
    <w:rsid w:val="00776C8A"/>
    <w:rsid w:val="00776DBF"/>
    <w:rsid w:val="00776E1C"/>
    <w:rsid w:val="00777328"/>
    <w:rsid w:val="00777DF8"/>
    <w:rsid w:val="0078009D"/>
    <w:rsid w:val="0078079D"/>
    <w:rsid w:val="00780A99"/>
    <w:rsid w:val="00780E84"/>
    <w:rsid w:val="0078154F"/>
    <w:rsid w:val="007816D1"/>
    <w:rsid w:val="00781BA6"/>
    <w:rsid w:val="00781FC2"/>
    <w:rsid w:val="0078207F"/>
    <w:rsid w:val="00782316"/>
    <w:rsid w:val="007827F3"/>
    <w:rsid w:val="00782DC4"/>
    <w:rsid w:val="007830BA"/>
    <w:rsid w:val="00783321"/>
    <w:rsid w:val="007839F2"/>
    <w:rsid w:val="00783F3E"/>
    <w:rsid w:val="0078411E"/>
    <w:rsid w:val="007842AA"/>
    <w:rsid w:val="00784370"/>
    <w:rsid w:val="0078442F"/>
    <w:rsid w:val="00784658"/>
    <w:rsid w:val="00784F32"/>
    <w:rsid w:val="0078503D"/>
    <w:rsid w:val="0078549E"/>
    <w:rsid w:val="00785975"/>
    <w:rsid w:val="007859D6"/>
    <w:rsid w:val="00785DFC"/>
    <w:rsid w:val="007863EC"/>
    <w:rsid w:val="007864F2"/>
    <w:rsid w:val="007866B6"/>
    <w:rsid w:val="00786898"/>
    <w:rsid w:val="00786982"/>
    <w:rsid w:val="00786A40"/>
    <w:rsid w:val="00786A5A"/>
    <w:rsid w:val="00786C66"/>
    <w:rsid w:val="0078767B"/>
    <w:rsid w:val="00787CD8"/>
    <w:rsid w:val="00787DCA"/>
    <w:rsid w:val="00790344"/>
    <w:rsid w:val="007906BC"/>
    <w:rsid w:val="00790731"/>
    <w:rsid w:val="00790C8E"/>
    <w:rsid w:val="00790FAB"/>
    <w:rsid w:val="0079148E"/>
    <w:rsid w:val="0079188F"/>
    <w:rsid w:val="00791DD3"/>
    <w:rsid w:val="00791E5D"/>
    <w:rsid w:val="00793187"/>
    <w:rsid w:val="00793397"/>
    <w:rsid w:val="0079348C"/>
    <w:rsid w:val="00794062"/>
    <w:rsid w:val="0079434F"/>
    <w:rsid w:val="0079448B"/>
    <w:rsid w:val="007945EA"/>
    <w:rsid w:val="0079490A"/>
    <w:rsid w:val="00795185"/>
    <w:rsid w:val="0079565C"/>
    <w:rsid w:val="0079592E"/>
    <w:rsid w:val="00795C04"/>
    <w:rsid w:val="00795EA7"/>
    <w:rsid w:val="00795EE4"/>
    <w:rsid w:val="007965BD"/>
    <w:rsid w:val="00797546"/>
    <w:rsid w:val="007978C7"/>
    <w:rsid w:val="00797C92"/>
    <w:rsid w:val="007A0009"/>
    <w:rsid w:val="007A03F3"/>
    <w:rsid w:val="007A0694"/>
    <w:rsid w:val="007A08F6"/>
    <w:rsid w:val="007A095C"/>
    <w:rsid w:val="007A0B2E"/>
    <w:rsid w:val="007A0C74"/>
    <w:rsid w:val="007A0EF5"/>
    <w:rsid w:val="007A0F35"/>
    <w:rsid w:val="007A10F6"/>
    <w:rsid w:val="007A1615"/>
    <w:rsid w:val="007A18AB"/>
    <w:rsid w:val="007A1D64"/>
    <w:rsid w:val="007A2073"/>
    <w:rsid w:val="007A20CF"/>
    <w:rsid w:val="007A2B31"/>
    <w:rsid w:val="007A2C99"/>
    <w:rsid w:val="007A3047"/>
    <w:rsid w:val="007A39C1"/>
    <w:rsid w:val="007A417C"/>
    <w:rsid w:val="007A488D"/>
    <w:rsid w:val="007A4AD5"/>
    <w:rsid w:val="007A4FC3"/>
    <w:rsid w:val="007A5280"/>
    <w:rsid w:val="007A582C"/>
    <w:rsid w:val="007A610A"/>
    <w:rsid w:val="007A640D"/>
    <w:rsid w:val="007A6C75"/>
    <w:rsid w:val="007A6C94"/>
    <w:rsid w:val="007A6C9C"/>
    <w:rsid w:val="007A6F0C"/>
    <w:rsid w:val="007A7335"/>
    <w:rsid w:val="007A7813"/>
    <w:rsid w:val="007A7974"/>
    <w:rsid w:val="007B015D"/>
    <w:rsid w:val="007B01A5"/>
    <w:rsid w:val="007B0201"/>
    <w:rsid w:val="007B03D7"/>
    <w:rsid w:val="007B0C76"/>
    <w:rsid w:val="007B113E"/>
    <w:rsid w:val="007B13E2"/>
    <w:rsid w:val="007B159C"/>
    <w:rsid w:val="007B16D1"/>
    <w:rsid w:val="007B176F"/>
    <w:rsid w:val="007B1C4C"/>
    <w:rsid w:val="007B1D1E"/>
    <w:rsid w:val="007B1D36"/>
    <w:rsid w:val="007B1EFA"/>
    <w:rsid w:val="007B20A0"/>
    <w:rsid w:val="007B2506"/>
    <w:rsid w:val="007B3D8A"/>
    <w:rsid w:val="007B3F99"/>
    <w:rsid w:val="007B4086"/>
    <w:rsid w:val="007B45B7"/>
    <w:rsid w:val="007B4C77"/>
    <w:rsid w:val="007B4DDE"/>
    <w:rsid w:val="007B5159"/>
    <w:rsid w:val="007B578C"/>
    <w:rsid w:val="007B5833"/>
    <w:rsid w:val="007B5A6B"/>
    <w:rsid w:val="007B62CB"/>
    <w:rsid w:val="007B64DC"/>
    <w:rsid w:val="007B6E3A"/>
    <w:rsid w:val="007B70CF"/>
    <w:rsid w:val="007B71FC"/>
    <w:rsid w:val="007B75CF"/>
    <w:rsid w:val="007B7F4F"/>
    <w:rsid w:val="007C0102"/>
    <w:rsid w:val="007C058E"/>
    <w:rsid w:val="007C0CC3"/>
    <w:rsid w:val="007C0DBB"/>
    <w:rsid w:val="007C0F07"/>
    <w:rsid w:val="007C118F"/>
    <w:rsid w:val="007C14D9"/>
    <w:rsid w:val="007C155E"/>
    <w:rsid w:val="007C168B"/>
    <w:rsid w:val="007C1AD7"/>
    <w:rsid w:val="007C1C30"/>
    <w:rsid w:val="007C1C37"/>
    <w:rsid w:val="007C2764"/>
    <w:rsid w:val="007C3C7C"/>
    <w:rsid w:val="007C3DD9"/>
    <w:rsid w:val="007C3F89"/>
    <w:rsid w:val="007C4348"/>
    <w:rsid w:val="007C4837"/>
    <w:rsid w:val="007C51BC"/>
    <w:rsid w:val="007C51C6"/>
    <w:rsid w:val="007C5F1F"/>
    <w:rsid w:val="007C602B"/>
    <w:rsid w:val="007C6052"/>
    <w:rsid w:val="007C628A"/>
    <w:rsid w:val="007C639E"/>
    <w:rsid w:val="007C6679"/>
    <w:rsid w:val="007C6815"/>
    <w:rsid w:val="007C6995"/>
    <w:rsid w:val="007C6A20"/>
    <w:rsid w:val="007C6C4F"/>
    <w:rsid w:val="007C6CD4"/>
    <w:rsid w:val="007C6E65"/>
    <w:rsid w:val="007C7073"/>
    <w:rsid w:val="007C707D"/>
    <w:rsid w:val="007C7423"/>
    <w:rsid w:val="007C7ABE"/>
    <w:rsid w:val="007C7C4C"/>
    <w:rsid w:val="007D0286"/>
    <w:rsid w:val="007D095B"/>
    <w:rsid w:val="007D0964"/>
    <w:rsid w:val="007D0CCB"/>
    <w:rsid w:val="007D0E90"/>
    <w:rsid w:val="007D1771"/>
    <w:rsid w:val="007D1A88"/>
    <w:rsid w:val="007D1B93"/>
    <w:rsid w:val="007D1E34"/>
    <w:rsid w:val="007D203A"/>
    <w:rsid w:val="007D23CB"/>
    <w:rsid w:val="007D2C02"/>
    <w:rsid w:val="007D2CCB"/>
    <w:rsid w:val="007D3529"/>
    <w:rsid w:val="007D3CA5"/>
    <w:rsid w:val="007D450B"/>
    <w:rsid w:val="007D45E5"/>
    <w:rsid w:val="007D4615"/>
    <w:rsid w:val="007D4A9C"/>
    <w:rsid w:val="007D4AF5"/>
    <w:rsid w:val="007D4B6A"/>
    <w:rsid w:val="007D4D1A"/>
    <w:rsid w:val="007D50B9"/>
    <w:rsid w:val="007D50C6"/>
    <w:rsid w:val="007D662C"/>
    <w:rsid w:val="007D6864"/>
    <w:rsid w:val="007D68A5"/>
    <w:rsid w:val="007D6B76"/>
    <w:rsid w:val="007D6D45"/>
    <w:rsid w:val="007D6E84"/>
    <w:rsid w:val="007D72B2"/>
    <w:rsid w:val="007D72FF"/>
    <w:rsid w:val="007D73C3"/>
    <w:rsid w:val="007D76FA"/>
    <w:rsid w:val="007D788F"/>
    <w:rsid w:val="007D7F75"/>
    <w:rsid w:val="007E00EB"/>
    <w:rsid w:val="007E057D"/>
    <w:rsid w:val="007E0D1F"/>
    <w:rsid w:val="007E1E23"/>
    <w:rsid w:val="007E1F2F"/>
    <w:rsid w:val="007E1FAC"/>
    <w:rsid w:val="007E21D6"/>
    <w:rsid w:val="007E226D"/>
    <w:rsid w:val="007E29D7"/>
    <w:rsid w:val="007E2B34"/>
    <w:rsid w:val="007E2D1E"/>
    <w:rsid w:val="007E2DC8"/>
    <w:rsid w:val="007E328B"/>
    <w:rsid w:val="007E43EE"/>
    <w:rsid w:val="007E44DF"/>
    <w:rsid w:val="007E4636"/>
    <w:rsid w:val="007E4806"/>
    <w:rsid w:val="007E48AC"/>
    <w:rsid w:val="007E4AF7"/>
    <w:rsid w:val="007E518A"/>
    <w:rsid w:val="007E5AA9"/>
    <w:rsid w:val="007E5FE1"/>
    <w:rsid w:val="007E6740"/>
    <w:rsid w:val="007E6D9D"/>
    <w:rsid w:val="007E7246"/>
    <w:rsid w:val="007E7517"/>
    <w:rsid w:val="007E75AB"/>
    <w:rsid w:val="007E768F"/>
    <w:rsid w:val="007E7805"/>
    <w:rsid w:val="007E7864"/>
    <w:rsid w:val="007E7879"/>
    <w:rsid w:val="007E7A00"/>
    <w:rsid w:val="007E7C9A"/>
    <w:rsid w:val="007E7CC3"/>
    <w:rsid w:val="007E7FB2"/>
    <w:rsid w:val="007F03D5"/>
    <w:rsid w:val="007F090C"/>
    <w:rsid w:val="007F0912"/>
    <w:rsid w:val="007F1EE1"/>
    <w:rsid w:val="007F1F29"/>
    <w:rsid w:val="007F20E8"/>
    <w:rsid w:val="007F2AFB"/>
    <w:rsid w:val="007F2F36"/>
    <w:rsid w:val="007F3083"/>
    <w:rsid w:val="007F42CC"/>
    <w:rsid w:val="007F4468"/>
    <w:rsid w:val="007F44C9"/>
    <w:rsid w:val="007F4C83"/>
    <w:rsid w:val="007F51E0"/>
    <w:rsid w:val="007F561A"/>
    <w:rsid w:val="007F5C58"/>
    <w:rsid w:val="007F5E42"/>
    <w:rsid w:val="007F5F1B"/>
    <w:rsid w:val="007F61E7"/>
    <w:rsid w:val="007F67D5"/>
    <w:rsid w:val="007F6924"/>
    <w:rsid w:val="007F6935"/>
    <w:rsid w:val="007F696F"/>
    <w:rsid w:val="007F6D68"/>
    <w:rsid w:val="007F7C2A"/>
    <w:rsid w:val="007F7D2E"/>
    <w:rsid w:val="0080003B"/>
    <w:rsid w:val="00800159"/>
    <w:rsid w:val="008004E9"/>
    <w:rsid w:val="008006FD"/>
    <w:rsid w:val="0080094D"/>
    <w:rsid w:val="008009D5"/>
    <w:rsid w:val="0080108A"/>
    <w:rsid w:val="008014A3"/>
    <w:rsid w:val="008016DB"/>
    <w:rsid w:val="0080195B"/>
    <w:rsid w:val="00801A1E"/>
    <w:rsid w:val="00801D20"/>
    <w:rsid w:val="008020B3"/>
    <w:rsid w:val="00802594"/>
    <w:rsid w:val="0080278B"/>
    <w:rsid w:val="00803167"/>
    <w:rsid w:val="00803857"/>
    <w:rsid w:val="00803A16"/>
    <w:rsid w:val="00803B35"/>
    <w:rsid w:val="00803E45"/>
    <w:rsid w:val="00804691"/>
    <w:rsid w:val="00804942"/>
    <w:rsid w:val="00805137"/>
    <w:rsid w:val="0080514A"/>
    <w:rsid w:val="008071A7"/>
    <w:rsid w:val="00807B3C"/>
    <w:rsid w:val="00810230"/>
    <w:rsid w:val="0081051A"/>
    <w:rsid w:val="0081075A"/>
    <w:rsid w:val="00810911"/>
    <w:rsid w:val="00810C23"/>
    <w:rsid w:val="00810C4E"/>
    <w:rsid w:val="00811961"/>
    <w:rsid w:val="00811C44"/>
    <w:rsid w:val="00812262"/>
    <w:rsid w:val="00812FD6"/>
    <w:rsid w:val="00813053"/>
    <w:rsid w:val="00813123"/>
    <w:rsid w:val="00813E13"/>
    <w:rsid w:val="00814319"/>
    <w:rsid w:val="008144C0"/>
    <w:rsid w:val="00814E71"/>
    <w:rsid w:val="0081509B"/>
    <w:rsid w:val="00815495"/>
    <w:rsid w:val="008156BB"/>
    <w:rsid w:val="008156BE"/>
    <w:rsid w:val="00815700"/>
    <w:rsid w:val="00815FFB"/>
    <w:rsid w:val="00816207"/>
    <w:rsid w:val="00816644"/>
    <w:rsid w:val="00816AFE"/>
    <w:rsid w:val="00816D23"/>
    <w:rsid w:val="00816D34"/>
    <w:rsid w:val="00816EFD"/>
    <w:rsid w:val="00816FF8"/>
    <w:rsid w:val="00817008"/>
    <w:rsid w:val="00817064"/>
    <w:rsid w:val="00817151"/>
    <w:rsid w:val="008178A7"/>
    <w:rsid w:val="00817D36"/>
    <w:rsid w:val="00817DD5"/>
    <w:rsid w:val="00817FF8"/>
    <w:rsid w:val="008200F8"/>
    <w:rsid w:val="008203F2"/>
    <w:rsid w:val="00820682"/>
    <w:rsid w:val="00820B32"/>
    <w:rsid w:val="00820B54"/>
    <w:rsid w:val="00820F12"/>
    <w:rsid w:val="00820F39"/>
    <w:rsid w:val="0082105E"/>
    <w:rsid w:val="008210D6"/>
    <w:rsid w:val="00821157"/>
    <w:rsid w:val="008212C4"/>
    <w:rsid w:val="00822676"/>
    <w:rsid w:val="008226B5"/>
    <w:rsid w:val="00822B4F"/>
    <w:rsid w:val="0082305B"/>
    <w:rsid w:val="00823095"/>
    <w:rsid w:val="008236E0"/>
    <w:rsid w:val="00823810"/>
    <w:rsid w:val="0082408D"/>
    <w:rsid w:val="0082446F"/>
    <w:rsid w:val="008246B3"/>
    <w:rsid w:val="00824784"/>
    <w:rsid w:val="00824874"/>
    <w:rsid w:val="00824957"/>
    <w:rsid w:val="00824FF2"/>
    <w:rsid w:val="008250D3"/>
    <w:rsid w:val="00825627"/>
    <w:rsid w:val="008259AD"/>
    <w:rsid w:val="0082605D"/>
    <w:rsid w:val="00826159"/>
    <w:rsid w:val="008266F7"/>
    <w:rsid w:val="008268F2"/>
    <w:rsid w:val="00826906"/>
    <w:rsid w:val="00826AF8"/>
    <w:rsid w:val="00827583"/>
    <w:rsid w:val="00827957"/>
    <w:rsid w:val="0083050D"/>
    <w:rsid w:val="00830827"/>
    <w:rsid w:val="00830BD8"/>
    <w:rsid w:val="00831554"/>
    <w:rsid w:val="008324AA"/>
    <w:rsid w:val="008328EB"/>
    <w:rsid w:val="00832930"/>
    <w:rsid w:val="00832F2E"/>
    <w:rsid w:val="00832FD3"/>
    <w:rsid w:val="00833473"/>
    <w:rsid w:val="00833724"/>
    <w:rsid w:val="00834048"/>
    <w:rsid w:val="00834589"/>
    <w:rsid w:val="008345DB"/>
    <w:rsid w:val="008348F2"/>
    <w:rsid w:val="00834BA9"/>
    <w:rsid w:val="00834D1D"/>
    <w:rsid w:val="008351C4"/>
    <w:rsid w:val="00835440"/>
    <w:rsid w:val="00835D58"/>
    <w:rsid w:val="00836518"/>
    <w:rsid w:val="008366C6"/>
    <w:rsid w:val="0083694F"/>
    <w:rsid w:val="00836AC3"/>
    <w:rsid w:val="00836BB8"/>
    <w:rsid w:val="008375AF"/>
    <w:rsid w:val="00837C09"/>
    <w:rsid w:val="00837DD8"/>
    <w:rsid w:val="00840932"/>
    <w:rsid w:val="008409A9"/>
    <w:rsid w:val="00840C7D"/>
    <w:rsid w:val="00840D34"/>
    <w:rsid w:val="00840F0B"/>
    <w:rsid w:val="008412E3"/>
    <w:rsid w:val="008416AF"/>
    <w:rsid w:val="00841A41"/>
    <w:rsid w:val="00842CE4"/>
    <w:rsid w:val="00842D60"/>
    <w:rsid w:val="008430B7"/>
    <w:rsid w:val="00843352"/>
    <w:rsid w:val="00843393"/>
    <w:rsid w:val="00843D57"/>
    <w:rsid w:val="008441EC"/>
    <w:rsid w:val="00844254"/>
    <w:rsid w:val="00844362"/>
    <w:rsid w:val="008443BB"/>
    <w:rsid w:val="008446E3"/>
    <w:rsid w:val="008447F0"/>
    <w:rsid w:val="00844F40"/>
    <w:rsid w:val="0084532F"/>
    <w:rsid w:val="008454C0"/>
    <w:rsid w:val="00845C49"/>
    <w:rsid w:val="00845D9F"/>
    <w:rsid w:val="0084606A"/>
    <w:rsid w:val="00846B2C"/>
    <w:rsid w:val="00846E23"/>
    <w:rsid w:val="00846FAD"/>
    <w:rsid w:val="008470B1"/>
    <w:rsid w:val="00850211"/>
    <w:rsid w:val="0085043B"/>
    <w:rsid w:val="00850ABC"/>
    <w:rsid w:val="00851016"/>
    <w:rsid w:val="0085158A"/>
    <w:rsid w:val="0085239D"/>
    <w:rsid w:val="00852491"/>
    <w:rsid w:val="00852C76"/>
    <w:rsid w:val="00852EA5"/>
    <w:rsid w:val="00854549"/>
    <w:rsid w:val="00854BA0"/>
    <w:rsid w:val="00854E06"/>
    <w:rsid w:val="00855139"/>
    <w:rsid w:val="0085536F"/>
    <w:rsid w:val="00855454"/>
    <w:rsid w:val="00856063"/>
    <w:rsid w:val="00856206"/>
    <w:rsid w:val="008562A6"/>
    <w:rsid w:val="008563A2"/>
    <w:rsid w:val="00856483"/>
    <w:rsid w:val="008564D3"/>
    <w:rsid w:val="00856587"/>
    <w:rsid w:val="00856B78"/>
    <w:rsid w:val="00856B95"/>
    <w:rsid w:val="00857BE1"/>
    <w:rsid w:val="00857DA9"/>
    <w:rsid w:val="00857F83"/>
    <w:rsid w:val="00857FD4"/>
    <w:rsid w:val="008619C2"/>
    <w:rsid w:val="00861A32"/>
    <w:rsid w:val="00861B71"/>
    <w:rsid w:val="00861BB0"/>
    <w:rsid w:val="00861C30"/>
    <w:rsid w:val="00861DB3"/>
    <w:rsid w:val="0086246A"/>
    <w:rsid w:val="00862A53"/>
    <w:rsid w:val="00862CB3"/>
    <w:rsid w:val="00862CE5"/>
    <w:rsid w:val="00863110"/>
    <w:rsid w:val="0086318D"/>
    <w:rsid w:val="008637C1"/>
    <w:rsid w:val="00863DA3"/>
    <w:rsid w:val="0086422C"/>
    <w:rsid w:val="008645AB"/>
    <w:rsid w:val="00865054"/>
    <w:rsid w:val="00865FCE"/>
    <w:rsid w:val="00865FE4"/>
    <w:rsid w:val="00866548"/>
    <w:rsid w:val="00866689"/>
    <w:rsid w:val="00866B76"/>
    <w:rsid w:val="00867441"/>
    <w:rsid w:val="00867602"/>
    <w:rsid w:val="00867D50"/>
    <w:rsid w:val="008700FF"/>
    <w:rsid w:val="00870BA1"/>
    <w:rsid w:val="00870DE2"/>
    <w:rsid w:val="00870F06"/>
    <w:rsid w:val="0087139B"/>
    <w:rsid w:val="008713C1"/>
    <w:rsid w:val="0087143E"/>
    <w:rsid w:val="00871927"/>
    <w:rsid w:val="0087211B"/>
    <w:rsid w:val="00872394"/>
    <w:rsid w:val="00872407"/>
    <w:rsid w:val="008724EB"/>
    <w:rsid w:val="008729F6"/>
    <w:rsid w:val="00873080"/>
    <w:rsid w:val="008732AD"/>
    <w:rsid w:val="0087387C"/>
    <w:rsid w:val="0087401A"/>
    <w:rsid w:val="00874237"/>
    <w:rsid w:val="008747BD"/>
    <w:rsid w:val="00874ADA"/>
    <w:rsid w:val="00874D04"/>
    <w:rsid w:val="0087588F"/>
    <w:rsid w:val="00876FA4"/>
    <w:rsid w:val="008770DA"/>
    <w:rsid w:val="0087744A"/>
    <w:rsid w:val="008778FC"/>
    <w:rsid w:val="00877B4E"/>
    <w:rsid w:val="00877CF6"/>
    <w:rsid w:val="008807A3"/>
    <w:rsid w:val="00880B99"/>
    <w:rsid w:val="00880F0E"/>
    <w:rsid w:val="0088143A"/>
    <w:rsid w:val="00881B52"/>
    <w:rsid w:val="00881BD1"/>
    <w:rsid w:val="00881E0E"/>
    <w:rsid w:val="00881F0D"/>
    <w:rsid w:val="008824BD"/>
    <w:rsid w:val="0088256A"/>
    <w:rsid w:val="00882C49"/>
    <w:rsid w:val="00882D57"/>
    <w:rsid w:val="00883049"/>
    <w:rsid w:val="00883619"/>
    <w:rsid w:val="0088394D"/>
    <w:rsid w:val="00883B2C"/>
    <w:rsid w:val="00883DC3"/>
    <w:rsid w:val="00884769"/>
    <w:rsid w:val="00884FEC"/>
    <w:rsid w:val="00885319"/>
    <w:rsid w:val="0088580C"/>
    <w:rsid w:val="00885FD0"/>
    <w:rsid w:val="0088609C"/>
    <w:rsid w:val="0088611D"/>
    <w:rsid w:val="008861F1"/>
    <w:rsid w:val="008864F1"/>
    <w:rsid w:val="008867DC"/>
    <w:rsid w:val="008867EA"/>
    <w:rsid w:val="008871EB"/>
    <w:rsid w:val="00887230"/>
    <w:rsid w:val="00887260"/>
    <w:rsid w:val="00887427"/>
    <w:rsid w:val="00887625"/>
    <w:rsid w:val="00887793"/>
    <w:rsid w:val="00887E2A"/>
    <w:rsid w:val="0089000B"/>
    <w:rsid w:val="008901E8"/>
    <w:rsid w:val="00890264"/>
    <w:rsid w:val="008905F5"/>
    <w:rsid w:val="008906C8"/>
    <w:rsid w:val="0089077F"/>
    <w:rsid w:val="00890FF0"/>
    <w:rsid w:val="00891908"/>
    <w:rsid w:val="00891F8C"/>
    <w:rsid w:val="008920A2"/>
    <w:rsid w:val="0089278B"/>
    <w:rsid w:val="00892880"/>
    <w:rsid w:val="00892CD6"/>
    <w:rsid w:val="00893090"/>
    <w:rsid w:val="00893114"/>
    <w:rsid w:val="0089316B"/>
    <w:rsid w:val="008931B3"/>
    <w:rsid w:val="008933E4"/>
    <w:rsid w:val="00893B3B"/>
    <w:rsid w:val="00893B9B"/>
    <w:rsid w:val="00893ED0"/>
    <w:rsid w:val="008945C5"/>
    <w:rsid w:val="00894D43"/>
    <w:rsid w:val="00894F40"/>
    <w:rsid w:val="008951D0"/>
    <w:rsid w:val="00895482"/>
    <w:rsid w:val="008959E4"/>
    <w:rsid w:val="0089672E"/>
    <w:rsid w:val="00896A1C"/>
    <w:rsid w:val="00896B2B"/>
    <w:rsid w:val="00896B89"/>
    <w:rsid w:val="00896CD4"/>
    <w:rsid w:val="00897A0A"/>
    <w:rsid w:val="00897B2F"/>
    <w:rsid w:val="00897EC7"/>
    <w:rsid w:val="008A03A4"/>
    <w:rsid w:val="008A0477"/>
    <w:rsid w:val="008A0542"/>
    <w:rsid w:val="008A0545"/>
    <w:rsid w:val="008A0596"/>
    <w:rsid w:val="008A064D"/>
    <w:rsid w:val="008A083A"/>
    <w:rsid w:val="008A09A0"/>
    <w:rsid w:val="008A0BAD"/>
    <w:rsid w:val="008A0D9A"/>
    <w:rsid w:val="008A11DE"/>
    <w:rsid w:val="008A16DF"/>
    <w:rsid w:val="008A19AA"/>
    <w:rsid w:val="008A19FE"/>
    <w:rsid w:val="008A206D"/>
    <w:rsid w:val="008A2B44"/>
    <w:rsid w:val="008A3091"/>
    <w:rsid w:val="008A315F"/>
    <w:rsid w:val="008A3541"/>
    <w:rsid w:val="008A46A4"/>
    <w:rsid w:val="008A4D1C"/>
    <w:rsid w:val="008A5248"/>
    <w:rsid w:val="008A56B3"/>
    <w:rsid w:val="008A5B1E"/>
    <w:rsid w:val="008A6A51"/>
    <w:rsid w:val="008A6A5E"/>
    <w:rsid w:val="008A7011"/>
    <w:rsid w:val="008A7501"/>
    <w:rsid w:val="008A78D5"/>
    <w:rsid w:val="008B0249"/>
    <w:rsid w:val="008B05DC"/>
    <w:rsid w:val="008B071E"/>
    <w:rsid w:val="008B078D"/>
    <w:rsid w:val="008B07E2"/>
    <w:rsid w:val="008B0836"/>
    <w:rsid w:val="008B0C5F"/>
    <w:rsid w:val="008B0F5F"/>
    <w:rsid w:val="008B13CA"/>
    <w:rsid w:val="008B1BE9"/>
    <w:rsid w:val="008B1C33"/>
    <w:rsid w:val="008B1CA9"/>
    <w:rsid w:val="008B1F3E"/>
    <w:rsid w:val="008B26D0"/>
    <w:rsid w:val="008B34A3"/>
    <w:rsid w:val="008B35E6"/>
    <w:rsid w:val="008B36B3"/>
    <w:rsid w:val="008B3A27"/>
    <w:rsid w:val="008B3E70"/>
    <w:rsid w:val="008B4243"/>
    <w:rsid w:val="008B4248"/>
    <w:rsid w:val="008B43F5"/>
    <w:rsid w:val="008B44DE"/>
    <w:rsid w:val="008B50DA"/>
    <w:rsid w:val="008B58F2"/>
    <w:rsid w:val="008B6479"/>
    <w:rsid w:val="008B64A9"/>
    <w:rsid w:val="008B672F"/>
    <w:rsid w:val="008B6CFC"/>
    <w:rsid w:val="008B7144"/>
    <w:rsid w:val="008B7190"/>
    <w:rsid w:val="008B773B"/>
    <w:rsid w:val="008B7B5A"/>
    <w:rsid w:val="008B7BEA"/>
    <w:rsid w:val="008C01D4"/>
    <w:rsid w:val="008C0298"/>
    <w:rsid w:val="008C0389"/>
    <w:rsid w:val="008C038F"/>
    <w:rsid w:val="008C0920"/>
    <w:rsid w:val="008C09AE"/>
    <w:rsid w:val="008C0D3D"/>
    <w:rsid w:val="008C0EBC"/>
    <w:rsid w:val="008C0FD8"/>
    <w:rsid w:val="008C132A"/>
    <w:rsid w:val="008C1464"/>
    <w:rsid w:val="008C170E"/>
    <w:rsid w:val="008C178F"/>
    <w:rsid w:val="008C17E3"/>
    <w:rsid w:val="008C181E"/>
    <w:rsid w:val="008C1B67"/>
    <w:rsid w:val="008C1E98"/>
    <w:rsid w:val="008C2322"/>
    <w:rsid w:val="008C256C"/>
    <w:rsid w:val="008C2809"/>
    <w:rsid w:val="008C2A7A"/>
    <w:rsid w:val="008C2E92"/>
    <w:rsid w:val="008C2F03"/>
    <w:rsid w:val="008C35F6"/>
    <w:rsid w:val="008C3BB7"/>
    <w:rsid w:val="008C3BD6"/>
    <w:rsid w:val="008C3F7B"/>
    <w:rsid w:val="008C3FA0"/>
    <w:rsid w:val="008C423B"/>
    <w:rsid w:val="008C46D4"/>
    <w:rsid w:val="008C47CE"/>
    <w:rsid w:val="008C4802"/>
    <w:rsid w:val="008C4808"/>
    <w:rsid w:val="008C4C40"/>
    <w:rsid w:val="008C5185"/>
    <w:rsid w:val="008C53E6"/>
    <w:rsid w:val="008C5489"/>
    <w:rsid w:val="008C5706"/>
    <w:rsid w:val="008C5EB7"/>
    <w:rsid w:val="008C5FFC"/>
    <w:rsid w:val="008C6055"/>
    <w:rsid w:val="008C62B3"/>
    <w:rsid w:val="008C6875"/>
    <w:rsid w:val="008C6F0D"/>
    <w:rsid w:val="008C7757"/>
    <w:rsid w:val="008D0320"/>
    <w:rsid w:val="008D0371"/>
    <w:rsid w:val="008D0694"/>
    <w:rsid w:val="008D0E1E"/>
    <w:rsid w:val="008D13BC"/>
    <w:rsid w:val="008D15FB"/>
    <w:rsid w:val="008D171E"/>
    <w:rsid w:val="008D1963"/>
    <w:rsid w:val="008D1B64"/>
    <w:rsid w:val="008D1D52"/>
    <w:rsid w:val="008D2492"/>
    <w:rsid w:val="008D2625"/>
    <w:rsid w:val="008D29C7"/>
    <w:rsid w:val="008D2ADE"/>
    <w:rsid w:val="008D2C6C"/>
    <w:rsid w:val="008D2C8D"/>
    <w:rsid w:val="008D307C"/>
    <w:rsid w:val="008D314F"/>
    <w:rsid w:val="008D3EF0"/>
    <w:rsid w:val="008D47C7"/>
    <w:rsid w:val="008D493D"/>
    <w:rsid w:val="008D51BE"/>
    <w:rsid w:val="008D583D"/>
    <w:rsid w:val="008D5888"/>
    <w:rsid w:val="008D5F62"/>
    <w:rsid w:val="008D6423"/>
    <w:rsid w:val="008D695A"/>
    <w:rsid w:val="008D6A33"/>
    <w:rsid w:val="008D711C"/>
    <w:rsid w:val="008D713D"/>
    <w:rsid w:val="008D725F"/>
    <w:rsid w:val="008D74FF"/>
    <w:rsid w:val="008D7A00"/>
    <w:rsid w:val="008E044A"/>
    <w:rsid w:val="008E0474"/>
    <w:rsid w:val="008E10F9"/>
    <w:rsid w:val="008E146B"/>
    <w:rsid w:val="008E17D1"/>
    <w:rsid w:val="008E2491"/>
    <w:rsid w:val="008E2527"/>
    <w:rsid w:val="008E26F2"/>
    <w:rsid w:val="008E298C"/>
    <w:rsid w:val="008E2B4A"/>
    <w:rsid w:val="008E2E81"/>
    <w:rsid w:val="008E3343"/>
    <w:rsid w:val="008E3347"/>
    <w:rsid w:val="008E345A"/>
    <w:rsid w:val="008E3697"/>
    <w:rsid w:val="008E3710"/>
    <w:rsid w:val="008E3F05"/>
    <w:rsid w:val="008E4395"/>
    <w:rsid w:val="008E4C58"/>
    <w:rsid w:val="008E4CBE"/>
    <w:rsid w:val="008E55AD"/>
    <w:rsid w:val="008E5D20"/>
    <w:rsid w:val="008E5D5A"/>
    <w:rsid w:val="008E6031"/>
    <w:rsid w:val="008E65FF"/>
    <w:rsid w:val="008E6732"/>
    <w:rsid w:val="008E6736"/>
    <w:rsid w:val="008E6948"/>
    <w:rsid w:val="008E69B0"/>
    <w:rsid w:val="008E7082"/>
    <w:rsid w:val="008E70CD"/>
    <w:rsid w:val="008E72A2"/>
    <w:rsid w:val="008E7686"/>
    <w:rsid w:val="008E777E"/>
    <w:rsid w:val="008F01E1"/>
    <w:rsid w:val="008F03CE"/>
    <w:rsid w:val="008F0989"/>
    <w:rsid w:val="008F0BB2"/>
    <w:rsid w:val="008F0C68"/>
    <w:rsid w:val="008F1482"/>
    <w:rsid w:val="008F1AA1"/>
    <w:rsid w:val="008F2170"/>
    <w:rsid w:val="008F25EA"/>
    <w:rsid w:val="008F2683"/>
    <w:rsid w:val="008F2E4E"/>
    <w:rsid w:val="008F2F72"/>
    <w:rsid w:val="008F2FDA"/>
    <w:rsid w:val="008F33F2"/>
    <w:rsid w:val="008F35D7"/>
    <w:rsid w:val="008F3EC8"/>
    <w:rsid w:val="008F4231"/>
    <w:rsid w:val="008F4E2C"/>
    <w:rsid w:val="008F500B"/>
    <w:rsid w:val="008F5258"/>
    <w:rsid w:val="008F5BA8"/>
    <w:rsid w:val="008F60D2"/>
    <w:rsid w:val="008F64F7"/>
    <w:rsid w:val="008F6667"/>
    <w:rsid w:val="008F67EF"/>
    <w:rsid w:val="008F6BC1"/>
    <w:rsid w:val="008F6C6A"/>
    <w:rsid w:val="008F6D4A"/>
    <w:rsid w:val="008F6DED"/>
    <w:rsid w:val="008F6F55"/>
    <w:rsid w:val="008F70D3"/>
    <w:rsid w:val="008F7148"/>
    <w:rsid w:val="008F727D"/>
    <w:rsid w:val="008F72A2"/>
    <w:rsid w:val="008F7517"/>
    <w:rsid w:val="008F76E4"/>
    <w:rsid w:val="008F77EC"/>
    <w:rsid w:val="008F7897"/>
    <w:rsid w:val="008F7D18"/>
    <w:rsid w:val="00900352"/>
    <w:rsid w:val="009005D8"/>
    <w:rsid w:val="00900808"/>
    <w:rsid w:val="0090080C"/>
    <w:rsid w:val="00900F3E"/>
    <w:rsid w:val="0090106F"/>
    <w:rsid w:val="00901277"/>
    <w:rsid w:val="0090140D"/>
    <w:rsid w:val="0090144B"/>
    <w:rsid w:val="009014A0"/>
    <w:rsid w:val="009014C4"/>
    <w:rsid w:val="00901898"/>
    <w:rsid w:val="009022C0"/>
    <w:rsid w:val="009024EB"/>
    <w:rsid w:val="0090254C"/>
    <w:rsid w:val="00902776"/>
    <w:rsid w:val="00902A1B"/>
    <w:rsid w:val="009031F1"/>
    <w:rsid w:val="009035D2"/>
    <w:rsid w:val="00903DD1"/>
    <w:rsid w:val="00903EFE"/>
    <w:rsid w:val="00903F7E"/>
    <w:rsid w:val="0090408C"/>
    <w:rsid w:val="009041D6"/>
    <w:rsid w:val="009042DD"/>
    <w:rsid w:val="009044C8"/>
    <w:rsid w:val="0090458E"/>
    <w:rsid w:val="00904CEC"/>
    <w:rsid w:val="00904E2F"/>
    <w:rsid w:val="00905028"/>
    <w:rsid w:val="009050B6"/>
    <w:rsid w:val="0090551F"/>
    <w:rsid w:val="009059EB"/>
    <w:rsid w:val="00905D84"/>
    <w:rsid w:val="00906138"/>
    <w:rsid w:val="0090660C"/>
    <w:rsid w:val="00907392"/>
    <w:rsid w:val="009076EB"/>
    <w:rsid w:val="0090777B"/>
    <w:rsid w:val="0090781B"/>
    <w:rsid w:val="0090791A"/>
    <w:rsid w:val="0090796A"/>
    <w:rsid w:val="009079B9"/>
    <w:rsid w:val="009102ED"/>
    <w:rsid w:val="00910817"/>
    <w:rsid w:val="0091095C"/>
    <w:rsid w:val="00910AA2"/>
    <w:rsid w:val="00910C7F"/>
    <w:rsid w:val="00910CC3"/>
    <w:rsid w:val="00910D8A"/>
    <w:rsid w:val="009115F7"/>
    <w:rsid w:val="0091176F"/>
    <w:rsid w:val="0091181E"/>
    <w:rsid w:val="00911939"/>
    <w:rsid w:val="0091293A"/>
    <w:rsid w:val="009136FB"/>
    <w:rsid w:val="00913AFA"/>
    <w:rsid w:val="00913B24"/>
    <w:rsid w:val="00913B3A"/>
    <w:rsid w:val="00913CF8"/>
    <w:rsid w:val="00914115"/>
    <w:rsid w:val="00914386"/>
    <w:rsid w:val="0091452B"/>
    <w:rsid w:val="00914808"/>
    <w:rsid w:val="00914E80"/>
    <w:rsid w:val="009150ED"/>
    <w:rsid w:val="009158F2"/>
    <w:rsid w:val="00915C2A"/>
    <w:rsid w:val="00915CBC"/>
    <w:rsid w:val="009164B2"/>
    <w:rsid w:val="009166E5"/>
    <w:rsid w:val="00916D28"/>
    <w:rsid w:val="00916FF0"/>
    <w:rsid w:val="00917253"/>
    <w:rsid w:val="009172CD"/>
    <w:rsid w:val="009175DA"/>
    <w:rsid w:val="00917898"/>
    <w:rsid w:val="00917A16"/>
    <w:rsid w:val="00917AEF"/>
    <w:rsid w:val="00917B47"/>
    <w:rsid w:val="00917E18"/>
    <w:rsid w:val="00920656"/>
    <w:rsid w:val="00920D02"/>
    <w:rsid w:val="00920D6B"/>
    <w:rsid w:val="009210C1"/>
    <w:rsid w:val="0092179A"/>
    <w:rsid w:val="00921BDB"/>
    <w:rsid w:val="00921CB3"/>
    <w:rsid w:val="00921D86"/>
    <w:rsid w:val="00921F99"/>
    <w:rsid w:val="009226C8"/>
    <w:rsid w:val="00922BD0"/>
    <w:rsid w:val="00922EBA"/>
    <w:rsid w:val="00922F84"/>
    <w:rsid w:val="009233D8"/>
    <w:rsid w:val="0092355C"/>
    <w:rsid w:val="0092383E"/>
    <w:rsid w:val="00923CAA"/>
    <w:rsid w:val="00924BA9"/>
    <w:rsid w:val="00924F70"/>
    <w:rsid w:val="00925207"/>
    <w:rsid w:val="009253E2"/>
    <w:rsid w:val="00925484"/>
    <w:rsid w:val="00925C36"/>
    <w:rsid w:val="00926008"/>
    <w:rsid w:val="0092603F"/>
    <w:rsid w:val="0092612B"/>
    <w:rsid w:val="009264F4"/>
    <w:rsid w:val="0092682D"/>
    <w:rsid w:val="00926C7C"/>
    <w:rsid w:val="00926DCE"/>
    <w:rsid w:val="00926DEC"/>
    <w:rsid w:val="00927239"/>
    <w:rsid w:val="0092741D"/>
    <w:rsid w:val="0092761B"/>
    <w:rsid w:val="009278A2"/>
    <w:rsid w:val="00927C64"/>
    <w:rsid w:val="00927EC7"/>
    <w:rsid w:val="00931660"/>
    <w:rsid w:val="009317DC"/>
    <w:rsid w:val="0093183E"/>
    <w:rsid w:val="00931A06"/>
    <w:rsid w:val="009320C8"/>
    <w:rsid w:val="00932451"/>
    <w:rsid w:val="00932863"/>
    <w:rsid w:val="00932F60"/>
    <w:rsid w:val="009333E2"/>
    <w:rsid w:val="0093362E"/>
    <w:rsid w:val="00933F0E"/>
    <w:rsid w:val="00934070"/>
    <w:rsid w:val="00934CC5"/>
    <w:rsid w:val="00934F31"/>
    <w:rsid w:val="00934FB2"/>
    <w:rsid w:val="009354E2"/>
    <w:rsid w:val="00935577"/>
    <w:rsid w:val="009359A5"/>
    <w:rsid w:val="00935B15"/>
    <w:rsid w:val="00935FF6"/>
    <w:rsid w:val="009361E2"/>
    <w:rsid w:val="0093679F"/>
    <w:rsid w:val="00936CE0"/>
    <w:rsid w:val="00937238"/>
    <w:rsid w:val="0094059E"/>
    <w:rsid w:val="00940E50"/>
    <w:rsid w:val="009412AF"/>
    <w:rsid w:val="009418C7"/>
    <w:rsid w:val="00941A8C"/>
    <w:rsid w:val="00941E82"/>
    <w:rsid w:val="009426A9"/>
    <w:rsid w:val="00942785"/>
    <w:rsid w:val="00942B87"/>
    <w:rsid w:val="009437FB"/>
    <w:rsid w:val="00943889"/>
    <w:rsid w:val="00944D8B"/>
    <w:rsid w:val="00944E44"/>
    <w:rsid w:val="00944E71"/>
    <w:rsid w:val="00945053"/>
    <w:rsid w:val="00945166"/>
    <w:rsid w:val="009451E6"/>
    <w:rsid w:val="00945762"/>
    <w:rsid w:val="00945D18"/>
    <w:rsid w:val="009465D5"/>
    <w:rsid w:val="00946D62"/>
    <w:rsid w:val="0094752C"/>
    <w:rsid w:val="00947A46"/>
    <w:rsid w:val="00947B09"/>
    <w:rsid w:val="00947CEC"/>
    <w:rsid w:val="00950127"/>
    <w:rsid w:val="0095056D"/>
    <w:rsid w:val="00950BE1"/>
    <w:rsid w:val="00950D80"/>
    <w:rsid w:val="009511F5"/>
    <w:rsid w:val="00951273"/>
    <w:rsid w:val="0095226E"/>
    <w:rsid w:val="009527F7"/>
    <w:rsid w:val="00952962"/>
    <w:rsid w:val="00952D9A"/>
    <w:rsid w:val="00952F8F"/>
    <w:rsid w:val="00953000"/>
    <w:rsid w:val="009539C0"/>
    <w:rsid w:val="00953EC3"/>
    <w:rsid w:val="0095403E"/>
    <w:rsid w:val="009544C5"/>
    <w:rsid w:val="00954825"/>
    <w:rsid w:val="00954FCC"/>
    <w:rsid w:val="00955814"/>
    <w:rsid w:val="00955845"/>
    <w:rsid w:val="00955CDB"/>
    <w:rsid w:val="00955D0E"/>
    <w:rsid w:val="00955DB5"/>
    <w:rsid w:val="00955DBE"/>
    <w:rsid w:val="00955E07"/>
    <w:rsid w:val="009565C9"/>
    <w:rsid w:val="00956750"/>
    <w:rsid w:val="009569A3"/>
    <w:rsid w:val="009569C0"/>
    <w:rsid w:val="0095775C"/>
    <w:rsid w:val="0095777A"/>
    <w:rsid w:val="00957AA1"/>
    <w:rsid w:val="0096003F"/>
    <w:rsid w:val="00960836"/>
    <w:rsid w:val="00960979"/>
    <w:rsid w:val="009609CE"/>
    <w:rsid w:val="00960B08"/>
    <w:rsid w:val="009611E1"/>
    <w:rsid w:val="0096150B"/>
    <w:rsid w:val="00961A6C"/>
    <w:rsid w:val="00961AF7"/>
    <w:rsid w:val="00961D03"/>
    <w:rsid w:val="00963260"/>
    <w:rsid w:val="00963283"/>
    <w:rsid w:val="00963451"/>
    <w:rsid w:val="00963766"/>
    <w:rsid w:val="00963C67"/>
    <w:rsid w:val="00963E02"/>
    <w:rsid w:val="00964958"/>
    <w:rsid w:val="00964C70"/>
    <w:rsid w:val="00965AEB"/>
    <w:rsid w:val="00965EFE"/>
    <w:rsid w:val="00965F77"/>
    <w:rsid w:val="00966F91"/>
    <w:rsid w:val="0096700B"/>
    <w:rsid w:val="0096711B"/>
    <w:rsid w:val="0096718F"/>
    <w:rsid w:val="00967194"/>
    <w:rsid w:val="009677ED"/>
    <w:rsid w:val="0097035C"/>
    <w:rsid w:val="00970398"/>
    <w:rsid w:val="00970AB5"/>
    <w:rsid w:val="00970AF7"/>
    <w:rsid w:val="00970C2E"/>
    <w:rsid w:val="00970CED"/>
    <w:rsid w:val="00970D0D"/>
    <w:rsid w:val="0097168D"/>
    <w:rsid w:val="00971C04"/>
    <w:rsid w:val="0097257C"/>
    <w:rsid w:val="009729CA"/>
    <w:rsid w:val="00972A20"/>
    <w:rsid w:val="00972A7F"/>
    <w:rsid w:val="00972B24"/>
    <w:rsid w:val="00972D66"/>
    <w:rsid w:val="00972F7B"/>
    <w:rsid w:val="00973290"/>
    <w:rsid w:val="009732A6"/>
    <w:rsid w:val="00973861"/>
    <w:rsid w:val="00973917"/>
    <w:rsid w:val="00973D4B"/>
    <w:rsid w:val="00973FD3"/>
    <w:rsid w:val="0097406A"/>
    <w:rsid w:val="009743B1"/>
    <w:rsid w:val="00974D48"/>
    <w:rsid w:val="00974E09"/>
    <w:rsid w:val="00975854"/>
    <w:rsid w:val="00976277"/>
    <w:rsid w:val="00976430"/>
    <w:rsid w:val="00976CAD"/>
    <w:rsid w:val="00976D38"/>
    <w:rsid w:val="00976F22"/>
    <w:rsid w:val="009801FF"/>
    <w:rsid w:val="0098028E"/>
    <w:rsid w:val="00980B08"/>
    <w:rsid w:val="00980B52"/>
    <w:rsid w:val="00980C18"/>
    <w:rsid w:val="00980EBE"/>
    <w:rsid w:val="00981404"/>
    <w:rsid w:val="00981525"/>
    <w:rsid w:val="00981669"/>
    <w:rsid w:val="0098190C"/>
    <w:rsid w:val="009822C8"/>
    <w:rsid w:val="00982478"/>
    <w:rsid w:val="009826AC"/>
    <w:rsid w:val="009829AA"/>
    <w:rsid w:val="00982D3C"/>
    <w:rsid w:val="00982F29"/>
    <w:rsid w:val="0098361A"/>
    <w:rsid w:val="009840DE"/>
    <w:rsid w:val="009842F8"/>
    <w:rsid w:val="00984796"/>
    <w:rsid w:val="00984C5B"/>
    <w:rsid w:val="0098544A"/>
    <w:rsid w:val="00985763"/>
    <w:rsid w:val="00985A99"/>
    <w:rsid w:val="00985EA9"/>
    <w:rsid w:val="00985F24"/>
    <w:rsid w:val="00985FA7"/>
    <w:rsid w:val="0098663B"/>
    <w:rsid w:val="0098706F"/>
    <w:rsid w:val="0098758B"/>
    <w:rsid w:val="00987936"/>
    <w:rsid w:val="00987A97"/>
    <w:rsid w:val="009900E5"/>
    <w:rsid w:val="00990D86"/>
    <w:rsid w:val="009911E2"/>
    <w:rsid w:val="00991ACC"/>
    <w:rsid w:val="009922B4"/>
    <w:rsid w:val="009926C9"/>
    <w:rsid w:val="009928AB"/>
    <w:rsid w:val="009931EB"/>
    <w:rsid w:val="00993AA2"/>
    <w:rsid w:val="00993CC3"/>
    <w:rsid w:val="00994235"/>
    <w:rsid w:val="00994709"/>
    <w:rsid w:val="0099499C"/>
    <w:rsid w:val="00994FB7"/>
    <w:rsid w:val="009950A0"/>
    <w:rsid w:val="009950A3"/>
    <w:rsid w:val="009950B6"/>
    <w:rsid w:val="009958B8"/>
    <w:rsid w:val="0099649B"/>
    <w:rsid w:val="009966A5"/>
    <w:rsid w:val="009968C4"/>
    <w:rsid w:val="00996C1B"/>
    <w:rsid w:val="0099709A"/>
    <w:rsid w:val="009970C1"/>
    <w:rsid w:val="00997BBC"/>
    <w:rsid w:val="00997D37"/>
    <w:rsid w:val="009A03A1"/>
    <w:rsid w:val="009A04D9"/>
    <w:rsid w:val="009A082B"/>
    <w:rsid w:val="009A1266"/>
    <w:rsid w:val="009A1695"/>
    <w:rsid w:val="009A1A47"/>
    <w:rsid w:val="009A1A59"/>
    <w:rsid w:val="009A1B5A"/>
    <w:rsid w:val="009A1D62"/>
    <w:rsid w:val="009A1EE6"/>
    <w:rsid w:val="009A32B2"/>
    <w:rsid w:val="009A377B"/>
    <w:rsid w:val="009A390C"/>
    <w:rsid w:val="009A3D30"/>
    <w:rsid w:val="009A4017"/>
    <w:rsid w:val="009A4134"/>
    <w:rsid w:val="009A4632"/>
    <w:rsid w:val="009A4B9A"/>
    <w:rsid w:val="009A4D5B"/>
    <w:rsid w:val="009A5194"/>
    <w:rsid w:val="009A58D6"/>
    <w:rsid w:val="009A5A2A"/>
    <w:rsid w:val="009A620B"/>
    <w:rsid w:val="009A64C4"/>
    <w:rsid w:val="009A69E9"/>
    <w:rsid w:val="009A7226"/>
    <w:rsid w:val="009B058A"/>
    <w:rsid w:val="009B0C73"/>
    <w:rsid w:val="009B0D28"/>
    <w:rsid w:val="009B144C"/>
    <w:rsid w:val="009B14E7"/>
    <w:rsid w:val="009B1618"/>
    <w:rsid w:val="009B1A2C"/>
    <w:rsid w:val="009B1F0B"/>
    <w:rsid w:val="009B1F35"/>
    <w:rsid w:val="009B26ED"/>
    <w:rsid w:val="009B281E"/>
    <w:rsid w:val="009B3454"/>
    <w:rsid w:val="009B3B5A"/>
    <w:rsid w:val="009B3BCC"/>
    <w:rsid w:val="009B3F1F"/>
    <w:rsid w:val="009B464B"/>
    <w:rsid w:val="009B499B"/>
    <w:rsid w:val="009B4A9A"/>
    <w:rsid w:val="009B4E4F"/>
    <w:rsid w:val="009B4ED7"/>
    <w:rsid w:val="009B5036"/>
    <w:rsid w:val="009B5901"/>
    <w:rsid w:val="009B5AE6"/>
    <w:rsid w:val="009B7227"/>
    <w:rsid w:val="009B728A"/>
    <w:rsid w:val="009B7727"/>
    <w:rsid w:val="009B7B2F"/>
    <w:rsid w:val="009C07FE"/>
    <w:rsid w:val="009C08A5"/>
    <w:rsid w:val="009C1092"/>
    <w:rsid w:val="009C12F7"/>
    <w:rsid w:val="009C1583"/>
    <w:rsid w:val="009C165A"/>
    <w:rsid w:val="009C1A1F"/>
    <w:rsid w:val="009C1C44"/>
    <w:rsid w:val="009C2663"/>
    <w:rsid w:val="009C294A"/>
    <w:rsid w:val="009C303A"/>
    <w:rsid w:val="009C3266"/>
    <w:rsid w:val="009C34D7"/>
    <w:rsid w:val="009C3512"/>
    <w:rsid w:val="009C3C64"/>
    <w:rsid w:val="009C3D92"/>
    <w:rsid w:val="009C3FC2"/>
    <w:rsid w:val="009C4543"/>
    <w:rsid w:val="009C46AB"/>
    <w:rsid w:val="009C483B"/>
    <w:rsid w:val="009C4910"/>
    <w:rsid w:val="009C4A6B"/>
    <w:rsid w:val="009C4C2D"/>
    <w:rsid w:val="009C5013"/>
    <w:rsid w:val="009C504E"/>
    <w:rsid w:val="009C5228"/>
    <w:rsid w:val="009C534D"/>
    <w:rsid w:val="009C5944"/>
    <w:rsid w:val="009C6021"/>
    <w:rsid w:val="009C6754"/>
    <w:rsid w:val="009C67F1"/>
    <w:rsid w:val="009C6AC8"/>
    <w:rsid w:val="009C6E4C"/>
    <w:rsid w:val="009C6ED2"/>
    <w:rsid w:val="009C7555"/>
    <w:rsid w:val="009D064A"/>
    <w:rsid w:val="009D09D7"/>
    <w:rsid w:val="009D0A4F"/>
    <w:rsid w:val="009D0B5D"/>
    <w:rsid w:val="009D109D"/>
    <w:rsid w:val="009D13AF"/>
    <w:rsid w:val="009D14E6"/>
    <w:rsid w:val="009D178B"/>
    <w:rsid w:val="009D200F"/>
    <w:rsid w:val="009D20B3"/>
    <w:rsid w:val="009D2212"/>
    <w:rsid w:val="009D251C"/>
    <w:rsid w:val="009D270D"/>
    <w:rsid w:val="009D2935"/>
    <w:rsid w:val="009D2A65"/>
    <w:rsid w:val="009D2D17"/>
    <w:rsid w:val="009D30CF"/>
    <w:rsid w:val="009D3181"/>
    <w:rsid w:val="009D369A"/>
    <w:rsid w:val="009D4997"/>
    <w:rsid w:val="009D4E3E"/>
    <w:rsid w:val="009D4F1A"/>
    <w:rsid w:val="009D4FBD"/>
    <w:rsid w:val="009D5618"/>
    <w:rsid w:val="009D57B8"/>
    <w:rsid w:val="009D5A6D"/>
    <w:rsid w:val="009D6CEF"/>
    <w:rsid w:val="009D6FF6"/>
    <w:rsid w:val="009D79A7"/>
    <w:rsid w:val="009E03D3"/>
    <w:rsid w:val="009E1D41"/>
    <w:rsid w:val="009E26EC"/>
    <w:rsid w:val="009E26F6"/>
    <w:rsid w:val="009E2818"/>
    <w:rsid w:val="009E2B1C"/>
    <w:rsid w:val="009E2D22"/>
    <w:rsid w:val="009E2F30"/>
    <w:rsid w:val="009E330C"/>
    <w:rsid w:val="009E3BEE"/>
    <w:rsid w:val="009E3C6B"/>
    <w:rsid w:val="009E3EBE"/>
    <w:rsid w:val="009E41E4"/>
    <w:rsid w:val="009E429B"/>
    <w:rsid w:val="009E4380"/>
    <w:rsid w:val="009E4D37"/>
    <w:rsid w:val="009E4F03"/>
    <w:rsid w:val="009E51BD"/>
    <w:rsid w:val="009E5627"/>
    <w:rsid w:val="009E56B1"/>
    <w:rsid w:val="009E57E9"/>
    <w:rsid w:val="009E5996"/>
    <w:rsid w:val="009E5F9D"/>
    <w:rsid w:val="009E5FA6"/>
    <w:rsid w:val="009E67EA"/>
    <w:rsid w:val="009E67F6"/>
    <w:rsid w:val="009E6FAD"/>
    <w:rsid w:val="009E704E"/>
    <w:rsid w:val="009E7068"/>
    <w:rsid w:val="009E7165"/>
    <w:rsid w:val="009E73CB"/>
    <w:rsid w:val="009E7668"/>
    <w:rsid w:val="009E77B6"/>
    <w:rsid w:val="009E7ACE"/>
    <w:rsid w:val="009F0350"/>
    <w:rsid w:val="009F04C9"/>
    <w:rsid w:val="009F0ADE"/>
    <w:rsid w:val="009F158C"/>
    <w:rsid w:val="009F164D"/>
    <w:rsid w:val="009F1B5D"/>
    <w:rsid w:val="009F1BDB"/>
    <w:rsid w:val="009F1C39"/>
    <w:rsid w:val="009F2678"/>
    <w:rsid w:val="009F2BC2"/>
    <w:rsid w:val="009F2CB1"/>
    <w:rsid w:val="009F327A"/>
    <w:rsid w:val="009F33F9"/>
    <w:rsid w:val="009F34F8"/>
    <w:rsid w:val="009F3519"/>
    <w:rsid w:val="009F36A1"/>
    <w:rsid w:val="009F3AC9"/>
    <w:rsid w:val="009F3B57"/>
    <w:rsid w:val="009F4133"/>
    <w:rsid w:val="009F433E"/>
    <w:rsid w:val="009F45CE"/>
    <w:rsid w:val="009F4D23"/>
    <w:rsid w:val="009F5041"/>
    <w:rsid w:val="009F5B06"/>
    <w:rsid w:val="009F63A8"/>
    <w:rsid w:val="009F6A83"/>
    <w:rsid w:val="009F6D5E"/>
    <w:rsid w:val="009F700C"/>
    <w:rsid w:val="009F70CF"/>
    <w:rsid w:val="009F7218"/>
    <w:rsid w:val="009F7374"/>
    <w:rsid w:val="009F7A05"/>
    <w:rsid w:val="009F7ABE"/>
    <w:rsid w:val="00A00953"/>
    <w:rsid w:val="00A00BC4"/>
    <w:rsid w:val="00A0140D"/>
    <w:rsid w:val="00A019A6"/>
    <w:rsid w:val="00A01C04"/>
    <w:rsid w:val="00A02145"/>
    <w:rsid w:val="00A02C44"/>
    <w:rsid w:val="00A02F1C"/>
    <w:rsid w:val="00A031EA"/>
    <w:rsid w:val="00A034E8"/>
    <w:rsid w:val="00A037BE"/>
    <w:rsid w:val="00A03D1D"/>
    <w:rsid w:val="00A03E0A"/>
    <w:rsid w:val="00A03F0E"/>
    <w:rsid w:val="00A03FC3"/>
    <w:rsid w:val="00A03FEE"/>
    <w:rsid w:val="00A04AE2"/>
    <w:rsid w:val="00A04B86"/>
    <w:rsid w:val="00A0575B"/>
    <w:rsid w:val="00A059D6"/>
    <w:rsid w:val="00A05BB5"/>
    <w:rsid w:val="00A070BF"/>
    <w:rsid w:val="00A10225"/>
    <w:rsid w:val="00A1046C"/>
    <w:rsid w:val="00A105B3"/>
    <w:rsid w:val="00A10A9E"/>
    <w:rsid w:val="00A10FB2"/>
    <w:rsid w:val="00A11608"/>
    <w:rsid w:val="00A11EFC"/>
    <w:rsid w:val="00A123A6"/>
    <w:rsid w:val="00A125E8"/>
    <w:rsid w:val="00A12A26"/>
    <w:rsid w:val="00A12E1E"/>
    <w:rsid w:val="00A1322F"/>
    <w:rsid w:val="00A132A2"/>
    <w:rsid w:val="00A133A5"/>
    <w:rsid w:val="00A1356F"/>
    <w:rsid w:val="00A13AEC"/>
    <w:rsid w:val="00A1414A"/>
    <w:rsid w:val="00A14162"/>
    <w:rsid w:val="00A142B8"/>
    <w:rsid w:val="00A143FF"/>
    <w:rsid w:val="00A146DE"/>
    <w:rsid w:val="00A15CF8"/>
    <w:rsid w:val="00A16522"/>
    <w:rsid w:val="00A167F9"/>
    <w:rsid w:val="00A16CE6"/>
    <w:rsid w:val="00A17202"/>
    <w:rsid w:val="00A17563"/>
    <w:rsid w:val="00A177B4"/>
    <w:rsid w:val="00A17A7B"/>
    <w:rsid w:val="00A17AEE"/>
    <w:rsid w:val="00A17CDF"/>
    <w:rsid w:val="00A17D7C"/>
    <w:rsid w:val="00A17E52"/>
    <w:rsid w:val="00A20374"/>
    <w:rsid w:val="00A20382"/>
    <w:rsid w:val="00A2046A"/>
    <w:rsid w:val="00A20C27"/>
    <w:rsid w:val="00A20DBE"/>
    <w:rsid w:val="00A2110D"/>
    <w:rsid w:val="00A212E5"/>
    <w:rsid w:val="00A2175C"/>
    <w:rsid w:val="00A21F25"/>
    <w:rsid w:val="00A2201F"/>
    <w:rsid w:val="00A2255D"/>
    <w:rsid w:val="00A22683"/>
    <w:rsid w:val="00A228F9"/>
    <w:rsid w:val="00A236E0"/>
    <w:rsid w:val="00A2396F"/>
    <w:rsid w:val="00A23E56"/>
    <w:rsid w:val="00A24259"/>
    <w:rsid w:val="00A24DCF"/>
    <w:rsid w:val="00A25262"/>
    <w:rsid w:val="00A252CE"/>
    <w:rsid w:val="00A25FAD"/>
    <w:rsid w:val="00A261FC"/>
    <w:rsid w:val="00A26450"/>
    <w:rsid w:val="00A26558"/>
    <w:rsid w:val="00A26563"/>
    <w:rsid w:val="00A26770"/>
    <w:rsid w:val="00A26C4F"/>
    <w:rsid w:val="00A26C68"/>
    <w:rsid w:val="00A26EAB"/>
    <w:rsid w:val="00A26ED1"/>
    <w:rsid w:val="00A2744F"/>
    <w:rsid w:val="00A27567"/>
    <w:rsid w:val="00A275B4"/>
    <w:rsid w:val="00A27770"/>
    <w:rsid w:val="00A30B95"/>
    <w:rsid w:val="00A30BD1"/>
    <w:rsid w:val="00A30F69"/>
    <w:rsid w:val="00A31140"/>
    <w:rsid w:val="00A3128A"/>
    <w:rsid w:val="00A312AB"/>
    <w:rsid w:val="00A31400"/>
    <w:rsid w:val="00A314BB"/>
    <w:rsid w:val="00A31628"/>
    <w:rsid w:val="00A31731"/>
    <w:rsid w:val="00A3183C"/>
    <w:rsid w:val="00A31ACF"/>
    <w:rsid w:val="00A31D29"/>
    <w:rsid w:val="00A322CE"/>
    <w:rsid w:val="00A3267C"/>
    <w:rsid w:val="00A32712"/>
    <w:rsid w:val="00A33257"/>
    <w:rsid w:val="00A33937"/>
    <w:rsid w:val="00A34659"/>
    <w:rsid w:val="00A3493A"/>
    <w:rsid w:val="00A35339"/>
    <w:rsid w:val="00A35364"/>
    <w:rsid w:val="00A35689"/>
    <w:rsid w:val="00A35C79"/>
    <w:rsid w:val="00A35F37"/>
    <w:rsid w:val="00A360DF"/>
    <w:rsid w:val="00A36428"/>
    <w:rsid w:val="00A376B0"/>
    <w:rsid w:val="00A37AC9"/>
    <w:rsid w:val="00A37FAF"/>
    <w:rsid w:val="00A400EB"/>
    <w:rsid w:val="00A4044A"/>
    <w:rsid w:val="00A4063B"/>
    <w:rsid w:val="00A40D86"/>
    <w:rsid w:val="00A40E77"/>
    <w:rsid w:val="00A41371"/>
    <w:rsid w:val="00A41398"/>
    <w:rsid w:val="00A417A3"/>
    <w:rsid w:val="00A417C8"/>
    <w:rsid w:val="00A41946"/>
    <w:rsid w:val="00A41B2E"/>
    <w:rsid w:val="00A42817"/>
    <w:rsid w:val="00A42A49"/>
    <w:rsid w:val="00A42B23"/>
    <w:rsid w:val="00A42C0C"/>
    <w:rsid w:val="00A437B4"/>
    <w:rsid w:val="00A43AAB"/>
    <w:rsid w:val="00A44696"/>
    <w:rsid w:val="00A447C5"/>
    <w:rsid w:val="00A4485A"/>
    <w:rsid w:val="00A44954"/>
    <w:rsid w:val="00A44B5A"/>
    <w:rsid w:val="00A44CFE"/>
    <w:rsid w:val="00A44F6A"/>
    <w:rsid w:val="00A45420"/>
    <w:rsid w:val="00A4574E"/>
    <w:rsid w:val="00A459BA"/>
    <w:rsid w:val="00A460A7"/>
    <w:rsid w:val="00A46127"/>
    <w:rsid w:val="00A4616F"/>
    <w:rsid w:val="00A461EB"/>
    <w:rsid w:val="00A46580"/>
    <w:rsid w:val="00A466D0"/>
    <w:rsid w:val="00A4677A"/>
    <w:rsid w:val="00A46A1E"/>
    <w:rsid w:val="00A46DBC"/>
    <w:rsid w:val="00A46F43"/>
    <w:rsid w:val="00A4764F"/>
    <w:rsid w:val="00A4771A"/>
    <w:rsid w:val="00A478FB"/>
    <w:rsid w:val="00A47943"/>
    <w:rsid w:val="00A47EB7"/>
    <w:rsid w:val="00A5070E"/>
    <w:rsid w:val="00A50711"/>
    <w:rsid w:val="00A516DA"/>
    <w:rsid w:val="00A5172D"/>
    <w:rsid w:val="00A51783"/>
    <w:rsid w:val="00A517A9"/>
    <w:rsid w:val="00A517BC"/>
    <w:rsid w:val="00A51884"/>
    <w:rsid w:val="00A51C26"/>
    <w:rsid w:val="00A51C41"/>
    <w:rsid w:val="00A51EA8"/>
    <w:rsid w:val="00A5200A"/>
    <w:rsid w:val="00A527FF"/>
    <w:rsid w:val="00A52C84"/>
    <w:rsid w:val="00A52EA4"/>
    <w:rsid w:val="00A52FBA"/>
    <w:rsid w:val="00A53177"/>
    <w:rsid w:val="00A53658"/>
    <w:rsid w:val="00A5379E"/>
    <w:rsid w:val="00A54183"/>
    <w:rsid w:val="00A543BC"/>
    <w:rsid w:val="00A54789"/>
    <w:rsid w:val="00A551D5"/>
    <w:rsid w:val="00A55374"/>
    <w:rsid w:val="00A5553F"/>
    <w:rsid w:val="00A55794"/>
    <w:rsid w:val="00A55A28"/>
    <w:rsid w:val="00A55EF8"/>
    <w:rsid w:val="00A55FAC"/>
    <w:rsid w:val="00A56081"/>
    <w:rsid w:val="00A56316"/>
    <w:rsid w:val="00A57021"/>
    <w:rsid w:val="00A57084"/>
    <w:rsid w:val="00A5719A"/>
    <w:rsid w:val="00A57290"/>
    <w:rsid w:val="00A5777F"/>
    <w:rsid w:val="00A57938"/>
    <w:rsid w:val="00A579FC"/>
    <w:rsid w:val="00A57A77"/>
    <w:rsid w:val="00A57B8D"/>
    <w:rsid w:val="00A6003D"/>
    <w:rsid w:val="00A603B5"/>
    <w:rsid w:val="00A603DA"/>
    <w:rsid w:val="00A60969"/>
    <w:rsid w:val="00A609CA"/>
    <w:rsid w:val="00A60A1C"/>
    <w:rsid w:val="00A61145"/>
    <w:rsid w:val="00A614B6"/>
    <w:rsid w:val="00A614F9"/>
    <w:rsid w:val="00A61E30"/>
    <w:rsid w:val="00A62236"/>
    <w:rsid w:val="00A6230A"/>
    <w:rsid w:val="00A625EF"/>
    <w:rsid w:val="00A62702"/>
    <w:rsid w:val="00A62862"/>
    <w:rsid w:val="00A628DB"/>
    <w:rsid w:val="00A62EEA"/>
    <w:rsid w:val="00A62F2A"/>
    <w:rsid w:val="00A6306B"/>
    <w:rsid w:val="00A6367C"/>
    <w:rsid w:val="00A63687"/>
    <w:rsid w:val="00A637B6"/>
    <w:rsid w:val="00A639B5"/>
    <w:rsid w:val="00A63C0A"/>
    <w:rsid w:val="00A641C5"/>
    <w:rsid w:val="00A64442"/>
    <w:rsid w:val="00A64554"/>
    <w:rsid w:val="00A64661"/>
    <w:rsid w:val="00A64C2E"/>
    <w:rsid w:val="00A64D4D"/>
    <w:rsid w:val="00A64F8F"/>
    <w:rsid w:val="00A650FD"/>
    <w:rsid w:val="00A65403"/>
    <w:rsid w:val="00A65F07"/>
    <w:rsid w:val="00A6687A"/>
    <w:rsid w:val="00A66889"/>
    <w:rsid w:val="00A66C98"/>
    <w:rsid w:val="00A676B0"/>
    <w:rsid w:val="00A67BFC"/>
    <w:rsid w:val="00A67E3D"/>
    <w:rsid w:val="00A704E3"/>
    <w:rsid w:val="00A70CBC"/>
    <w:rsid w:val="00A70E91"/>
    <w:rsid w:val="00A70EF8"/>
    <w:rsid w:val="00A71230"/>
    <w:rsid w:val="00A71D1B"/>
    <w:rsid w:val="00A721CB"/>
    <w:rsid w:val="00A72496"/>
    <w:rsid w:val="00A726DE"/>
    <w:rsid w:val="00A72711"/>
    <w:rsid w:val="00A72854"/>
    <w:rsid w:val="00A72B6B"/>
    <w:rsid w:val="00A72BF6"/>
    <w:rsid w:val="00A72E8E"/>
    <w:rsid w:val="00A73001"/>
    <w:rsid w:val="00A73119"/>
    <w:rsid w:val="00A7344A"/>
    <w:rsid w:val="00A73733"/>
    <w:rsid w:val="00A73EA1"/>
    <w:rsid w:val="00A740D1"/>
    <w:rsid w:val="00A7431F"/>
    <w:rsid w:val="00A74461"/>
    <w:rsid w:val="00A7471E"/>
    <w:rsid w:val="00A75119"/>
    <w:rsid w:val="00A75193"/>
    <w:rsid w:val="00A7537D"/>
    <w:rsid w:val="00A75442"/>
    <w:rsid w:val="00A754DE"/>
    <w:rsid w:val="00A75520"/>
    <w:rsid w:val="00A75A52"/>
    <w:rsid w:val="00A75AFE"/>
    <w:rsid w:val="00A7636C"/>
    <w:rsid w:val="00A76414"/>
    <w:rsid w:val="00A76963"/>
    <w:rsid w:val="00A76AF4"/>
    <w:rsid w:val="00A76ED0"/>
    <w:rsid w:val="00A7739B"/>
    <w:rsid w:val="00A77672"/>
    <w:rsid w:val="00A7777A"/>
    <w:rsid w:val="00A80029"/>
    <w:rsid w:val="00A801EB"/>
    <w:rsid w:val="00A80261"/>
    <w:rsid w:val="00A80269"/>
    <w:rsid w:val="00A8040E"/>
    <w:rsid w:val="00A80479"/>
    <w:rsid w:val="00A80863"/>
    <w:rsid w:val="00A80916"/>
    <w:rsid w:val="00A80A7A"/>
    <w:rsid w:val="00A80CFD"/>
    <w:rsid w:val="00A8125C"/>
    <w:rsid w:val="00A813EC"/>
    <w:rsid w:val="00A81457"/>
    <w:rsid w:val="00A814E9"/>
    <w:rsid w:val="00A8195D"/>
    <w:rsid w:val="00A81BF2"/>
    <w:rsid w:val="00A82346"/>
    <w:rsid w:val="00A8248A"/>
    <w:rsid w:val="00A827F0"/>
    <w:rsid w:val="00A828B4"/>
    <w:rsid w:val="00A82C29"/>
    <w:rsid w:val="00A82EDC"/>
    <w:rsid w:val="00A82F30"/>
    <w:rsid w:val="00A82FB9"/>
    <w:rsid w:val="00A83229"/>
    <w:rsid w:val="00A83D20"/>
    <w:rsid w:val="00A83DEB"/>
    <w:rsid w:val="00A83DF3"/>
    <w:rsid w:val="00A84054"/>
    <w:rsid w:val="00A842C7"/>
    <w:rsid w:val="00A8463F"/>
    <w:rsid w:val="00A84E4D"/>
    <w:rsid w:val="00A850C5"/>
    <w:rsid w:val="00A85469"/>
    <w:rsid w:val="00A855F6"/>
    <w:rsid w:val="00A858D2"/>
    <w:rsid w:val="00A8595F"/>
    <w:rsid w:val="00A85FCE"/>
    <w:rsid w:val="00A86969"/>
    <w:rsid w:val="00A8716C"/>
    <w:rsid w:val="00A87227"/>
    <w:rsid w:val="00A875A4"/>
    <w:rsid w:val="00A876FE"/>
    <w:rsid w:val="00A9023A"/>
    <w:rsid w:val="00A905F9"/>
    <w:rsid w:val="00A90849"/>
    <w:rsid w:val="00A90C7D"/>
    <w:rsid w:val="00A90D79"/>
    <w:rsid w:val="00A90DE6"/>
    <w:rsid w:val="00A9107F"/>
    <w:rsid w:val="00A9112B"/>
    <w:rsid w:val="00A9138A"/>
    <w:rsid w:val="00A9154D"/>
    <w:rsid w:val="00A91C44"/>
    <w:rsid w:val="00A924ED"/>
    <w:rsid w:val="00A92825"/>
    <w:rsid w:val="00A92B1C"/>
    <w:rsid w:val="00A92CCE"/>
    <w:rsid w:val="00A9326E"/>
    <w:rsid w:val="00A93533"/>
    <w:rsid w:val="00A93717"/>
    <w:rsid w:val="00A938AA"/>
    <w:rsid w:val="00A93980"/>
    <w:rsid w:val="00A93DC0"/>
    <w:rsid w:val="00A93E19"/>
    <w:rsid w:val="00A94700"/>
    <w:rsid w:val="00A9491E"/>
    <w:rsid w:val="00A94A13"/>
    <w:rsid w:val="00A94DBE"/>
    <w:rsid w:val="00A9600C"/>
    <w:rsid w:val="00A96798"/>
    <w:rsid w:val="00A968D8"/>
    <w:rsid w:val="00A96E97"/>
    <w:rsid w:val="00A97188"/>
    <w:rsid w:val="00A978F7"/>
    <w:rsid w:val="00A97A1F"/>
    <w:rsid w:val="00A97A9A"/>
    <w:rsid w:val="00A97C14"/>
    <w:rsid w:val="00A97C16"/>
    <w:rsid w:val="00AA03E8"/>
    <w:rsid w:val="00AA03F3"/>
    <w:rsid w:val="00AA081E"/>
    <w:rsid w:val="00AA09CD"/>
    <w:rsid w:val="00AA0A23"/>
    <w:rsid w:val="00AA100E"/>
    <w:rsid w:val="00AA11A6"/>
    <w:rsid w:val="00AA1238"/>
    <w:rsid w:val="00AA177A"/>
    <w:rsid w:val="00AA190E"/>
    <w:rsid w:val="00AA24AC"/>
    <w:rsid w:val="00AA2770"/>
    <w:rsid w:val="00AA29B5"/>
    <w:rsid w:val="00AA2AA5"/>
    <w:rsid w:val="00AA2ADD"/>
    <w:rsid w:val="00AA2B60"/>
    <w:rsid w:val="00AA2DFB"/>
    <w:rsid w:val="00AA2E48"/>
    <w:rsid w:val="00AA3954"/>
    <w:rsid w:val="00AA3AFA"/>
    <w:rsid w:val="00AA3DB9"/>
    <w:rsid w:val="00AA435E"/>
    <w:rsid w:val="00AA4695"/>
    <w:rsid w:val="00AA5C56"/>
    <w:rsid w:val="00AA5F01"/>
    <w:rsid w:val="00AA6BDF"/>
    <w:rsid w:val="00AA73B1"/>
    <w:rsid w:val="00AA75D2"/>
    <w:rsid w:val="00AA7765"/>
    <w:rsid w:val="00AA7FFD"/>
    <w:rsid w:val="00AB0770"/>
    <w:rsid w:val="00AB0916"/>
    <w:rsid w:val="00AB11B2"/>
    <w:rsid w:val="00AB1313"/>
    <w:rsid w:val="00AB17D8"/>
    <w:rsid w:val="00AB1A18"/>
    <w:rsid w:val="00AB22AC"/>
    <w:rsid w:val="00AB24EE"/>
    <w:rsid w:val="00AB2C05"/>
    <w:rsid w:val="00AB2C88"/>
    <w:rsid w:val="00AB3869"/>
    <w:rsid w:val="00AB3964"/>
    <w:rsid w:val="00AB3BA9"/>
    <w:rsid w:val="00AB3F65"/>
    <w:rsid w:val="00AB3FCB"/>
    <w:rsid w:val="00AB42A7"/>
    <w:rsid w:val="00AB4355"/>
    <w:rsid w:val="00AB4527"/>
    <w:rsid w:val="00AB45BA"/>
    <w:rsid w:val="00AB48BD"/>
    <w:rsid w:val="00AB48CC"/>
    <w:rsid w:val="00AB4C7F"/>
    <w:rsid w:val="00AB5121"/>
    <w:rsid w:val="00AB5776"/>
    <w:rsid w:val="00AB5DFF"/>
    <w:rsid w:val="00AB5E30"/>
    <w:rsid w:val="00AB620D"/>
    <w:rsid w:val="00AB626E"/>
    <w:rsid w:val="00AB692C"/>
    <w:rsid w:val="00AB69E9"/>
    <w:rsid w:val="00AB6E0E"/>
    <w:rsid w:val="00AB715E"/>
    <w:rsid w:val="00AB755B"/>
    <w:rsid w:val="00AB758A"/>
    <w:rsid w:val="00AB7B3C"/>
    <w:rsid w:val="00AB7B83"/>
    <w:rsid w:val="00AB7C56"/>
    <w:rsid w:val="00AB7EE3"/>
    <w:rsid w:val="00AC0069"/>
    <w:rsid w:val="00AC0157"/>
    <w:rsid w:val="00AC0782"/>
    <w:rsid w:val="00AC08A7"/>
    <w:rsid w:val="00AC0905"/>
    <w:rsid w:val="00AC0DDB"/>
    <w:rsid w:val="00AC0E49"/>
    <w:rsid w:val="00AC1816"/>
    <w:rsid w:val="00AC194E"/>
    <w:rsid w:val="00AC1BF1"/>
    <w:rsid w:val="00AC1D0B"/>
    <w:rsid w:val="00AC226D"/>
    <w:rsid w:val="00AC23DE"/>
    <w:rsid w:val="00AC2525"/>
    <w:rsid w:val="00AC2688"/>
    <w:rsid w:val="00AC2DF6"/>
    <w:rsid w:val="00AC3A4C"/>
    <w:rsid w:val="00AC3D7E"/>
    <w:rsid w:val="00AC3EDA"/>
    <w:rsid w:val="00AC42D7"/>
    <w:rsid w:val="00AC4BC3"/>
    <w:rsid w:val="00AC4BED"/>
    <w:rsid w:val="00AC4CCA"/>
    <w:rsid w:val="00AC5858"/>
    <w:rsid w:val="00AC5966"/>
    <w:rsid w:val="00AC5A9A"/>
    <w:rsid w:val="00AC5D64"/>
    <w:rsid w:val="00AC61E3"/>
    <w:rsid w:val="00AC6583"/>
    <w:rsid w:val="00AC6736"/>
    <w:rsid w:val="00AC6D4D"/>
    <w:rsid w:val="00AC6E1E"/>
    <w:rsid w:val="00AC6ECB"/>
    <w:rsid w:val="00AC7257"/>
    <w:rsid w:val="00AC7260"/>
    <w:rsid w:val="00AC7B77"/>
    <w:rsid w:val="00AC7E34"/>
    <w:rsid w:val="00AC7EA9"/>
    <w:rsid w:val="00AD02EF"/>
    <w:rsid w:val="00AD0427"/>
    <w:rsid w:val="00AD0453"/>
    <w:rsid w:val="00AD0C3A"/>
    <w:rsid w:val="00AD0D7D"/>
    <w:rsid w:val="00AD1093"/>
    <w:rsid w:val="00AD118D"/>
    <w:rsid w:val="00AD1455"/>
    <w:rsid w:val="00AD165E"/>
    <w:rsid w:val="00AD1860"/>
    <w:rsid w:val="00AD1C3D"/>
    <w:rsid w:val="00AD1CBC"/>
    <w:rsid w:val="00AD22E7"/>
    <w:rsid w:val="00AD2C42"/>
    <w:rsid w:val="00AD2C87"/>
    <w:rsid w:val="00AD2D1E"/>
    <w:rsid w:val="00AD2E76"/>
    <w:rsid w:val="00AD3116"/>
    <w:rsid w:val="00AD3948"/>
    <w:rsid w:val="00AD3AA3"/>
    <w:rsid w:val="00AD3D57"/>
    <w:rsid w:val="00AD4014"/>
    <w:rsid w:val="00AD42AC"/>
    <w:rsid w:val="00AD4F31"/>
    <w:rsid w:val="00AD587A"/>
    <w:rsid w:val="00AD58F7"/>
    <w:rsid w:val="00AD5939"/>
    <w:rsid w:val="00AD5FD6"/>
    <w:rsid w:val="00AD6184"/>
    <w:rsid w:val="00AD648F"/>
    <w:rsid w:val="00AD64D0"/>
    <w:rsid w:val="00AD65AC"/>
    <w:rsid w:val="00AD65B8"/>
    <w:rsid w:val="00AD6D71"/>
    <w:rsid w:val="00AD6DF7"/>
    <w:rsid w:val="00AD6E03"/>
    <w:rsid w:val="00AD7211"/>
    <w:rsid w:val="00AD7406"/>
    <w:rsid w:val="00AD76D9"/>
    <w:rsid w:val="00AD7870"/>
    <w:rsid w:val="00AD7C8A"/>
    <w:rsid w:val="00AD7E95"/>
    <w:rsid w:val="00AE08A1"/>
    <w:rsid w:val="00AE0BBA"/>
    <w:rsid w:val="00AE0DAB"/>
    <w:rsid w:val="00AE1059"/>
    <w:rsid w:val="00AE1192"/>
    <w:rsid w:val="00AE119D"/>
    <w:rsid w:val="00AE1394"/>
    <w:rsid w:val="00AE14A0"/>
    <w:rsid w:val="00AE1662"/>
    <w:rsid w:val="00AE18A1"/>
    <w:rsid w:val="00AE19D7"/>
    <w:rsid w:val="00AE1AFB"/>
    <w:rsid w:val="00AE1DDA"/>
    <w:rsid w:val="00AE1F41"/>
    <w:rsid w:val="00AE2643"/>
    <w:rsid w:val="00AE264A"/>
    <w:rsid w:val="00AE2892"/>
    <w:rsid w:val="00AE34CA"/>
    <w:rsid w:val="00AE35C2"/>
    <w:rsid w:val="00AE36AD"/>
    <w:rsid w:val="00AE36BC"/>
    <w:rsid w:val="00AE37AD"/>
    <w:rsid w:val="00AE3B93"/>
    <w:rsid w:val="00AE3E6F"/>
    <w:rsid w:val="00AE3F35"/>
    <w:rsid w:val="00AE48B7"/>
    <w:rsid w:val="00AE4FE8"/>
    <w:rsid w:val="00AE5105"/>
    <w:rsid w:val="00AE51B5"/>
    <w:rsid w:val="00AE54CD"/>
    <w:rsid w:val="00AE5721"/>
    <w:rsid w:val="00AE58B9"/>
    <w:rsid w:val="00AE62EF"/>
    <w:rsid w:val="00AE64A9"/>
    <w:rsid w:val="00AE6525"/>
    <w:rsid w:val="00AE67F2"/>
    <w:rsid w:val="00AE6A4D"/>
    <w:rsid w:val="00AE700D"/>
    <w:rsid w:val="00AE7433"/>
    <w:rsid w:val="00AE792D"/>
    <w:rsid w:val="00AF0511"/>
    <w:rsid w:val="00AF05DE"/>
    <w:rsid w:val="00AF06A1"/>
    <w:rsid w:val="00AF113F"/>
    <w:rsid w:val="00AF11E0"/>
    <w:rsid w:val="00AF128C"/>
    <w:rsid w:val="00AF14F7"/>
    <w:rsid w:val="00AF1967"/>
    <w:rsid w:val="00AF19AD"/>
    <w:rsid w:val="00AF1B34"/>
    <w:rsid w:val="00AF1C31"/>
    <w:rsid w:val="00AF1C32"/>
    <w:rsid w:val="00AF1ECF"/>
    <w:rsid w:val="00AF1FD5"/>
    <w:rsid w:val="00AF2285"/>
    <w:rsid w:val="00AF2469"/>
    <w:rsid w:val="00AF2608"/>
    <w:rsid w:val="00AF2998"/>
    <w:rsid w:val="00AF2CB7"/>
    <w:rsid w:val="00AF2DA7"/>
    <w:rsid w:val="00AF310E"/>
    <w:rsid w:val="00AF3590"/>
    <w:rsid w:val="00AF364C"/>
    <w:rsid w:val="00AF380B"/>
    <w:rsid w:val="00AF3D57"/>
    <w:rsid w:val="00AF46DB"/>
    <w:rsid w:val="00AF492D"/>
    <w:rsid w:val="00AF4B70"/>
    <w:rsid w:val="00AF50AB"/>
    <w:rsid w:val="00AF50B0"/>
    <w:rsid w:val="00AF50B1"/>
    <w:rsid w:val="00AF515C"/>
    <w:rsid w:val="00AF5288"/>
    <w:rsid w:val="00AF554C"/>
    <w:rsid w:val="00AF5655"/>
    <w:rsid w:val="00AF5694"/>
    <w:rsid w:val="00AF5752"/>
    <w:rsid w:val="00AF57A5"/>
    <w:rsid w:val="00AF58EA"/>
    <w:rsid w:val="00AF5D82"/>
    <w:rsid w:val="00AF6326"/>
    <w:rsid w:val="00AF6E9E"/>
    <w:rsid w:val="00AF7036"/>
    <w:rsid w:val="00AF70F5"/>
    <w:rsid w:val="00AF70FB"/>
    <w:rsid w:val="00AF73DA"/>
    <w:rsid w:val="00AF79AA"/>
    <w:rsid w:val="00AF7F81"/>
    <w:rsid w:val="00B002D4"/>
    <w:rsid w:val="00B0047F"/>
    <w:rsid w:val="00B007F7"/>
    <w:rsid w:val="00B007FB"/>
    <w:rsid w:val="00B00939"/>
    <w:rsid w:val="00B009CF"/>
    <w:rsid w:val="00B00A3C"/>
    <w:rsid w:val="00B00BD1"/>
    <w:rsid w:val="00B00FFC"/>
    <w:rsid w:val="00B020C4"/>
    <w:rsid w:val="00B02161"/>
    <w:rsid w:val="00B024EA"/>
    <w:rsid w:val="00B029A6"/>
    <w:rsid w:val="00B02A51"/>
    <w:rsid w:val="00B02B2B"/>
    <w:rsid w:val="00B02E99"/>
    <w:rsid w:val="00B02FE8"/>
    <w:rsid w:val="00B04103"/>
    <w:rsid w:val="00B0474B"/>
    <w:rsid w:val="00B04943"/>
    <w:rsid w:val="00B04AEF"/>
    <w:rsid w:val="00B04BDE"/>
    <w:rsid w:val="00B04CDA"/>
    <w:rsid w:val="00B04D55"/>
    <w:rsid w:val="00B04E67"/>
    <w:rsid w:val="00B04FF3"/>
    <w:rsid w:val="00B055A8"/>
    <w:rsid w:val="00B068A7"/>
    <w:rsid w:val="00B06B3A"/>
    <w:rsid w:val="00B1012E"/>
    <w:rsid w:val="00B104D9"/>
    <w:rsid w:val="00B10C56"/>
    <w:rsid w:val="00B10F57"/>
    <w:rsid w:val="00B113D3"/>
    <w:rsid w:val="00B1142F"/>
    <w:rsid w:val="00B11857"/>
    <w:rsid w:val="00B12289"/>
    <w:rsid w:val="00B1382B"/>
    <w:rsid w:val="00B13AAA"/>
    <w:rsid w:val="00B13D95"/>
    <w:rsid w:val="00B13EC1"/>
    <w:rsid w:val="00B13FAC"/>
    <w:rsid w:val="00B145A6"/>
    <w:rsid w:val="00B14B82"/>
    <w:rsid w:val="00B14BA5"/>
    <w:rsid w:val="00B15317"/>
    <w:rsid w:val="00B153F4"/>
    <w:rsid w:val="00B158CF"/>
    <w:rsid w:val="00B15BAE"/>
    <w:rsid w:val="00B15D83"/>
    <w:rsid w:val="00B16453"/>
    <w:rsid w:val="00B16863"/>
    <w:rsid w:val="00B16A68"/>
    <w:rsid w:val="00B16B89"/>
    <w:rsid w:val="00B16D63"/>
    <w:rsid w:val="00B16DC6"/>
    <w:rsid w:val="00B16F52"/>
    <w:rsid w:val="00B17076"/>
    <w:rsid w:val="00B1776B"/>
    <w:rsid w:val="00B1786E"/>
    <w:rsid w:val="00B17999"/>
    <w:rsid w:val="00B17D3C"/>
    <w:rsid w:val="00B17E7B"/>
    <w:rsid w:val="00B17E8E"/>
    <w:rsid w:val="00B17FF6"/>
    <w:rsid w:val="00B203B3"/>
    <w:rsid w:val="00B2044B"/>
    <w:rsid w:val="00B205EB"/>
    <w:rsid w:val="00B20F82"/>
    <w:rsid w:val="00B216F6"/>
    <w:rsid w:val="00B21835"/>
    <w:rsid w:val="00B21BE5"/>
    <w:rsid w:val="00B225E2"/>
    <w:rsid w:val="00B226CF"/>
    <w:rsid w:val="00B22756"/>
    <w:rsid w:val="00B22818"/>
    <w:rsid w:val="00B228F5"/>
    <w:rsid w:val="00B228F7"/>
    <w:rsid w:val="00B2323D"/>
    <w:rsid w:val="00B2376D"/>
    <w:rsid w:val="00B23A08"/>
    <w:rsid w:val="00B23A7B"/>
    <w:rsid w:val="00B23FC7"/>
    <w:rsid w:val="00B24841"/>
    <w:rsid w:val="00B24ADD"/>
    <w:rsid w:val="00B24CAE"/>
    <w:rsid w:val="00B24E3E"/>
    <w:rsid w:val="00B2545A"/>
    <w:rsid w:val="00B255AF"/>
    <w:rsid w:val="00B25C78"/>
    <w:rsid w:val="00B25D11"/>
    <w:rsid w:val="00B2600F"/>
    <w:rsid w:val="00B269F8"/>
    <w:rsid w:val="00B27937"/>
    <w:rsid w:val="00B27B5F"/>
    <w:rsid w:val="00B3051D"/>
    <w:rsid w:val="00B30617"/>
    <w:rsid w:val="00B30CBB"/>
    <w:rsid w:val="00B30CD9"/>
    <w:rsid w:val="00B311BE"/>
    <w:rsid w:val="00B31276"/>
    <w:rsid w:val="00B31386"/>
    <w:rsid w:val="00B313D3"/>
    <w:rsid w:val="00B31484"/>
    <w:rsid w:val="00B3194C"/>
    <w:rsid w:val="00B31A1F"/>
    <w:rsid w:val="00B322DC"/>
    <w:rsid w:val="00B325E4"/>
    <w:rsid w:val="00B325E8"/>
    <w:rsid w:val="00B328EA"/>
    <w:rsid w:val="00B32D84"/>
    <w:rsid w:val="00B332F5"/>
    <w:rsid w:val="00B33623"/>
    <w:rsid w:val="00B33BF1"/>
    <w:rsid w:val="00B341B1"/>
    <w:rsid w:val="00B34B9B"/>
    <w:rsid w:val="00B34C68"/>
    <w:rsid w:val="00B35E85"/>
    <w:rsid w:val="00B35FEB"/>
    <w:rsid w:val="00B360F8"/>
    <w:rsid w:val="00B36322"/>
    <w:rsid w:val="00B36409"/>
    <w:rsid w:val="00B3660C"/>
    <w:rsid w:val="00B370D1"/>
    <w:rsid w:val="00B37922"/>
    <w:rsid w:val="00B37DC7"/>
    <w:rsid w:val="00B401D3"/>
    <w:rsid w:val="00B40646"/>
    <w:rsid w:val="00B40697"/>
    <w:rsid w:val="00B40739"/>
    <w:rsid w:val="00B40848"/>
    <w:rsid w:val="00B408D4"/>
    <w:rsid w:val="00B411EB"/>
    <w:rsid w:val="00B41946"/>
    <w:rsid w:val="00B41AFA"/>
    <w:rsid w:val="00B42B39"/>
    <w:rsid w:val="00B42C6A"/>
    <w:rsid w:val="00B42E1B"/>
    <w:rsid w:val="00B431DA"/>
    <w:rsid w:val="00B43838"/>
    <w:rsid w:val="00B43D39"/>
    <w:rsid w:val="00B43D83"/>
    <w:rsid w:val="00B43DC3"/>
    <w:rsid w:val="00B4416B"/>
    <w:rsid w:val="00B44B99"/>
    <w:rsid w:val="00B44ED8"/>
    <w:rsid w:val="00B44EDF"/>
    <w:rsid w:val="00B45023"/>
    <w:rsid w:val="00B45620"/>
    <w:rsid w:val="00B457E5"/>
    <w:rsid w:val="00B45825"/>
    <w:rsid w:val="00B462A8"/>
    <w:rsid w:val="00B46314"/>
    <w:rsid w:val="00B46743"/>
    <w:rsid w:val="00B4674A"/>
    <w:rsid w:val="00B467E3"/>
    <w:rsid w:val="00B46E26"/>
    <w:rsid w:val="00B46F97"/>
    <w:rsid w:val="00B473C8"/>
    <w:rsid w:val="00B501D3"/>
    <w:rsid w:val="00B50202"/>
    <w:rsid w:val="00B503B3"/>
    <w:rsid w:val="00B503DC"/>
    <w:rsid w:val="00B503EB"/>
    <w:rsid w:val="00B505DE"/>
    <w:rsid w:val="00B506F3"/>
    <w:rsid w:val="00B50756"/>
    <w:rsid w:val="00B508B0"/>
    <w:rsid w:val="00B508BD"/>
    <w:rsid w:val="00B508E3"/>
    <w:rsid w:val="00B50CB6"/>
    <w:rsid w:val="00B5108A"/>
    <w:rsid w:val="00B51437"/>
    <w:rsid w:val="00B5153E"/>
    <w:rsid w:val="00B516D8"/>
    <w:rsid w:val="00B517F7"/>
    <w:rsid w:val="00B51881"/>
    <w:rsid w:val="00B518DA"/>
    <w:rsid w:val="00B519D3"/>
    <w:rsid w:val="00B519FD"/>
    <w:rsid w:val="00B51A6C"/>
    <w:rsid w:val="00B51DB3"/>
    <w:rsid w:val="00B5218E"/>
    <w:rsid w:val="00B52319"/>
    <w:rsid w:val="00B5244F"/>
    <w:rsid w:val="00B52ADC"/>
    <w:rsid w:val="00B52BBE"/>
    <w:rsid w:val="00B5306B"/>
    <w:rsid w:val="00B53C0A"/>
    <w:rsid w:val="00B53DAE"/>
    <w:rsid w:val="00B548EC"/>
    <w:rsid w:val="00B54C74"/>
    <w:rsid w:val="00B54F73"/>
    <w:rsid w:val="00B5526D"/>
    <w:rsid w:val="00B55301"/>
    <w:rsid w:val="00B556A9"/>
    <w:rsid w:val="00B55AAF"/>
    <w:rsid w:val="00B55B22"/>
    <w:rsid w:val="00B55C2E"/>
    <w:rsid w:val="00B55D76"/>
    <w:rsid w:val="00B55E7E"/>
    <w:rsid w:val="00B56298"/>
    <w:rsid w:val="00B5655D"/>
    <w:rsid w:val="00B566D1"/>
    <w:rsid w:val="00B57271"/>
    <w:rsid w:val="00B576C0"/>
    <w:rsid w:val="00B5795C"/>
    <w:rsid w:val="00B60003"/>
    <w:rsid w:val="00B600B0"/>
    <w:rsid w:val="00B608B0"/>
    <w:rsid w:val="00B6139B"/>
    <w:rsid w:val="00B619F2"/>
    <w:rsid w:val="00B61A65"/>
    <w:rsid w:val="00B61E24"/>
    <w:rsid w:val="00B61ECC"/>
    <w:rsid w:val="00B620DE"/>
    <w:rsid w:val="00B620EE"/>
    <w:rsid w:val="00B62323"/>
    <w:rsid w:val="00B62931"/>
    <w:rsid w:val="00B6319A"/>
    <w:rsid w:val="00B63C65"/>
    <w:rsid w:val="00B640E8"/>
    <w:rsid w:val="00B64692"/>
    <w:rsid w:val="00B65136"/>
    <w:rsid w:val="00B6523D"/>
    <w:rsid w:val="00B655D4"/>
    <w:rsid w:val="00B655FF"/>
    <w:rsid w:val="00B65960"/>
    <w:rsid w:val="00B667C5"/>
    <w:rsid w:val="00B669FB"/>
    <w:rsid w:val="00B67015"/>
    <w:rsid w:val="00B674D8"/>
    <w:rsid w:val="00B67869"/>
    <w:rsid w:val="00B67935"/>
    <w:rsid w:val="00B67CCD"/>
    <w:rsid w:val="00B67F33"/>
    <w:rsid w:val="00B709C4"/>
    <w:rsid w:val="00B710B8"/>
    <w:rsid w:val="00B7151C"/>
    <w:rsid w:val="00B71998"/>
    <w:rsid w:val="00B71C4E"/>
    <w:rsid w:val="00B72053"/>
    <w:rsid w:val="00B7210F"/>
    <w:rsid w:val="00B72535"/>
    <w:rsid w:val="00B7263A"/>
    <w:rsid w:val="00B7293B"/>
    <w:rsid w:val="00B72AF5"/>
    <w:rsid w:val="00B72B62"/>
    <w:rsid w:val="00B73003"/>
    <w:rsid w:val="00B73DC7"/>
    <w:rsid w:val="00B74326"/>
    <w:rsid w:val="00B7477A"/>
    <w:rsid w:val="00B748C9"/>
    <w:rsid w:val="00B748F9"/>
    <w:rsid w:val="00B74D3A"/>
    <w:rsid w:val="00B751EB"/>
    <w:rsid w:val="00B75300"/>
    <w:rsid w:val="00B7574F"/>
    <w:rsid w:val="00B75E64"/>
    <w:rsid w:val="00B762EE"/>
    <w:rsid w:val="00B76495"/>
    <w:rsid w:val="00B77484"/>
    <w:rsid w:val="00B77622"/>
    <w:rsid w:val="00B802A6"/>
    <w:rsid w:val="00B802DA"/>
    <w:rsid w:val="00B80619"/>
    <w:rsid w:val="00B80A47"/>
    <w:rsid w:val="00B80F67"/>
    <w:rsid w:val="00B819F0"/>
    <w:rsid w:val="00B81F89"/>
    <w:rsid w:val="00B822A8"/>
    <w:rsid w:val="00B826C0"/>
    <w:rsid w:val="00B827B9"/>
    <w:rsid w:val="00B828A9"/>
    <w:rsid w:val="00B82D98"/>
    <w:rsid w:val="00B82DDD"/>
    <w:rsid w:val="00B830E7"/>
    <w:rsid w:val="00B8397B"/>
    <w:rsid w:val="00B83BD9"/>
    <w:rsid w:val="00B841E3"/>
    <w:rsid w:val="00B842EC"/>
    <w:rsid w:val="00B8462D"/>
    <w:rsid w:val="00B8494A"/>
    <w:rsid w:val="00B84B63"/>
    <w:rsid w:val="00B8533E"/>
    <w:rsid w:val="00B853B2"/>
    <w:rsid w:val="00B85DFA"/>
    <w:rsid w:val="00B85FE8"/>
    <w:rsid w:val="00B8629E"/>
    <w:rsid w:val="00B86B25"/>
    <w:rsid w:val="00B86F12"/>
    <w:rsid w:val="00B8705E"/>
    <w:rsid w:val="00B87063"/>
    <w:rsid w:val="00B87495"/>
    <w:rsid w:val="00B87796"/>
    <w:rsid w:val="00B87B7C"/>
    <w:rsid w:val="00B87EED"/>
    <w:rsid w:val="00B87F24"/>
    <w:rsid w:val="00B87FA2"/>
    <w:rsid w:val="00B90134"/>
    <w:rsid w:val="00B90517"/>
    <w:rsid w:val="00B90C96"/>
    <w:rsid w:val="00B90E92"/>
    <w:rsid w:val="00B918FB"/>
    <w:rsid w:val="00B91E19"/>
    <w:rsid w:val="00B92AF6"/>
    <w:rsid w:val="00B93655"/>
    <w:rsid w:val="00B938B6"/>
    <w:rsid w:val="00B93B5E"/>
    <w:rsid w:val="00B93BA4"/>
    <w:rsid w:val="00B94072"/>
    <w:rsid w:val="00B9433F"/>
    <w:rsid w:val="00B94373"/>
    <w:rsid w:val="00B9441D"/>
    <w:rsid w:val="00B948C3"/>
    <w:rsid w:val="00B9499B"/>
    <w:rsid w:val="00B94C12"/>
    <w:rsid w:val="00B94C56"/>
    <w:rsid w:val="00B9574E"/>
    <w:rsid w:val="00B95A77"/>
    <w:rsid w:val="00B95A93"/>
    <w:rsid w:val="00B95B4C"/>
    <w:rsid w:val="00B96427"/>
    <w:rsid w:val="00B96983"/>
    <w:rsid w:val="00B96C27"/>
    <w:rsid w:val="00B96EDD"/>
    <w:rsid w:val="00B971A7"/>
    <w:rsid w:val="00B9740C"/>
    <w:rsid w:val="00B976B6"/>
    <w:rsid w:val="00B97790"/>
    <w:rsid w:val="00B97834"/>
    <w:rsid w:val="00B97BC5"/>
    <w:rsid w:val="00B97C0C"/>
    <w:rsid w:val="00B97DFD"/>
    <w:rsid w:val="00B97F9E"/>
    <w:rsid w:val="00BA0024"/>
    <w:rsid w:val="00BA00CB"/>
    <w:rsid w:val="00BA0102"/>
    <w:rsid w:val="00BA0842"/>
    <w:rsid w:val="00BA0B97"/>
    <w:rsid w:val="00BA0BD8"/>
    <w:rsid w:val="00BA13EE"/>
    <w:rsid w:val="00BA1526"/>
    <w:rsid w:val="00BA1698"/>
    <w:rsid w:val="00BA1C69"/>
    <w:rsid w:val="00BA1F30"/>
    <w:rsid w:val="00BA2151"/>
    <w:rsid w:val="00BA22D7"/>
    <w:rsid w:val="00BA3225"/>
    <w:rsid w:val="00BA344F"/>
    <w:rsid w:val="00BA35B2"/>
    <w:rsid w:val="00BA36AD"/>
    <w:rsid w:val="00BA3B4E"/>
    <w:rsid w:val="00BA461B"/>
    <w:rsid w:val="00BA4881"/>
    <w:rsid w:val="00BA4F4C"/>
    <w:rsid w:val="00BA516C"/>
    <w:rsid w:val="00BA5174"/>
    <w:rsid w:val="00BA5D21"/>
    <w:rsid w:val="00BA657A"/>
    <w:rsid w:val="00BA6BFC"/>
    <w:rsid w:val="00BA75D9"/>
    <w:rsid w:val="00BA7E34"/>
    <w:rsid w:val="00BB0B7A"/>
    <w:rsid w:val="00BB0C75"/>
    <w:rsid w:val="00BB1211"/>
    <w:rsid w:val="00BB14CD"/>
    <w:rsid w:val="00BB2547"/>
    <w:rsid w:val="00BB2847"/>
    <w:rsid w:val="00BB2A61"/>
    <w:rsid w:val="00BB2AAE"/>
    <w:rsid w:val="00BB34BA"/>
    <w:rsid w:val="00BB34BF"/>
    <w:rsid w:val="00BB3B70"/>
    <w:rsid w:val="00BB3B75"/>
    <w:rsid w:val="00BB3BB4"/>
    <w:rsid w:val="00BB41BE"/>
    <w:rsid w:val="00BB4569"/>
    <w:rsid w:val="00BB497F"/>
    <w:rsid w:val="00BB4D47"/>
    <w:rsid w:val="00BB50DA"/>
    <w:rsid w:val="00BB54C7"/>
    <w:rsid w:val="00BB56C6"/>
    <w:rsid w:val="00BB58CC"/>
    <w:rsid w:val="00BB600E"/>
    <w:rsid w:val="00BB63BB"/>
    <w:rsid w:val="00BB6598"/>
    <w:rsid w:val="00BB6CDD"/>
    <w:rsid w:val="00BB7431"/>
    <w:rsid w:val="00BB76A5"/>
    <w:rsid w:val="00BB799F"/>
    <w:rsid w:val="00BB7EF9"/>
    <w:rsid w:val="00BB7FF7"/>
    <w:rsid w:val="00BC01B7"/>
    <w:rsid w:val="00BC02FB"/>
    <w:rsid w:val="00BC09A4"/>
    <w:rsid w:val="00BC0F83"/>
    <w:rsid w:val="00BC106A"/>
    <w:rsid w:val="00BC134E"/>
    <w:rsid w:val="00BC140C"/>
    <w:rsid w:val="00BC1677"/>
    <w:rsid w:val="00BC18AC"/>
    <w:rsid w:val="00BC1ED8"/>
    <w:rsid w:val="00BC2364"/>
    <w:rsid w:val="00BC2A46"/>
    <w:rsid w:val="00BC2F2C"/>
    <w:rsid w:val="00BC344E"/>
    <w:rsid w:val="00BC3EC6"/>
    <w:rsid w:val="00BC41AF"/>
    <w:rsid w:val="00BC4375"/>
    <w:rsid w:val="00BC45C2"/>
    <w:rsid w:val="00BC4F0A"/>
    <w:rsid w:val="00BC5040"/>
    <w:rsid w:val="00BC5BB4"/>
    <w:rsid w:val="00BC5EE0"/>
    <w:rsid w:val="00BC60C5"/>
    <w:rsid w:val="00BC6207"/>
    <w:rsid w:val="00BC74FF"/>
    <w:rsid w:val="00BC7748"/>
    <w:rsid w:val="00BC7DDB"/>
    <w:rsid w:val="00BC7E57"/>
    <w:rsid w:val="00BD00EF"/>
    <w:rsid w:val="00BD04C0"/>
    <w:rsid w:val="00BD16B5"/>
    <w:rsid w:val="00BD16B7"/>
    <w:rsid w:val="00BD18C9"/>
    <w:rsid w:val="00BD1B13"/>
    <w:rsid w:val="00BD1E07"/>
    <w:rsid w:val="00BD2CCB"/>
    <w:rsid w:val="00BD2CF2"/>
    <w:rsid w:val="00BD2D1E"/>
    <w:rsid w:val="00BD3845"/>
    <w:rsid w:val="00BD3885"/>
    <w:rsid w:val="00BD3AA0"/>
    <w:rsid w:val="00BD4129"/>
    <w:rsid w:val="00BD4B7C"/>
    <w:rsid w:val="00BD51CF"/>
    <w:rsid w:val="00BD58C0"/>
    <w:rsid w:val="00BD6668"/>
    <w:rsid w:val="00BD69E2"/>
    <w:rsid w:val="00BD7113"/>
    <w:rsid w:val="00BD7AE1"/>
    <w:rsid w:val="00BD7F02"/>
    <w:rsid w:val="00BE0371"/>
    <w:rsid w:val="00BE06B8"/>
    <w:rsid w:val="00BE07CF"/>
    <w:rsid w:val="00BE08F8"/>
    <w:rsid w:val="00BE103A"/>
    <w:rsid w:val="00BE106B"/>
    <w:rsid w:val="00BE1590"/>
    <w:rsid w:val="00BE20D2"/>
    <w:rsid w:val="00BE291C"/>
    <w:rsid w:val="00BE2C07"/>
    <w:rsid w:val="00BE314A"/>
    <w:rsid w:val="00BE396A"/>
    <w:rsid w:val="00BE414F"/>
    <w:rsid w:val="00BE4282"/>
    <w:rsid w:val="00BE4A35"/>
    <w:rsid w:val="00BE4C53"/>
    <w:rsid w:val="00BE4D30"/>
    <w:rsid w:val="00BE5247"/>
    <w:rsid w:val="00BE5656"/>
    <w:rsid w:val="00BE58A6"/>
    <w:rsid w:val="00BE5E45"/>
    <w:rsid w:val="00BE61A6"/>
    <w:rsid w:val="00BE6241"/>
    <w:rsid w:val="00BE631B"/>
    <w:rsid w:val="00BE6560"/>
    <w:rsid w:val="00BE672D"/>
    <w:rsid w:val="00BE6E6E"/>
    <w:rsid w:val="00BE7104"/>
    <w:rsid w:val="00BE71C2"/>
    <w:rsid w:val="00BE7462"/>
    <w:rsid w:val="00BE78A9"/>
    <w:rsid w:val="00BE7CC1"/>
    <w:rsid w:val="00BE7FDD"/>
    <w:rsid w:val="00BE7FE6"/>
    <w:rsid w:val="00BE7FEE"/>
    <w:rsid w:val="00BF004E"/>
    <w:rsid w:val="00BF03D6"/>
    <w:rsid w:val="00BF06ED"/>
    <w:rsid w:val="00BF072C"/>
    <w:rsid w:val="00BF0898"/>
    <w:rsid w:val="00BF092E"/>
    <w:rsid w:val="00BF0B01"/>
    <w:rsid w:val="00BF1379"/>
    <w:rsid w:val="00BF149F"/>
    <w:rsid w:val="00BF14CB"/>
    <w:rsid w:val="00BF1768"/>
    <w:rsid w:val="00BF1975"/>
    <w:rsid w:val="00BF1FD6"/>
    <w:rsid w:val="00BF2031"/>
    <w:rsid w:val="00BF21BA"/>
    <w:rsid w:val="00BF257E"/>
    <w:rsid w:val="00BF2DCB"/>
    <w:rsid w:val="00BF2FA2"/>
    <w:rsid w:val="00BF329D"/>
    <w:rsid w:val="00BF36D2"/>
    <w:rsid w:val="00BF3B87"/>
    <w:rsid w:val="00BF3E47"/>
    <w:rsid w:val="00BF4921"/>
    <w:rsid w:val="00BF4C34"/>
    <w:rsid w:val="00BF4D22"/>
    <w:rsid w:val="00BF4F13"/>
    <w:rsid w:val="00BF51A8"/>
    <w:rsid w:val="00BF51B7"/>
    <w:rsid w:val="00BF5A30"/>
    <w:rsid w:val="00BF5B19"/>
    <w:rsid w:val="00BF5C4C"/>
    <w:rsid w:val="00BF5F3C"/>
    <w:rsid w:val="00BF5F9C"/>
    <w:rsid w:val="00BF5FA2"/>
    <w:rsid w:val="00BF608A"/>
    <w:rsid w:val="00BF60A6"/>
    <w:rsid w:val="00BF6AEB"/>
    <w:rsid w:val="00BF6B58"/>
    <w:rsid w:val="00BF6E1C"/>
    <w:rsid w:val="00BF70DB"/>
    <w:rsid w:val="00BF75C3"/>
    <w:rsid w:val="00BF7DF2"/>
    <w:rsid w:val="00BF7F5F"/>
    <w:rsid w:val="00C00189"/>
    <w:rsid w:val="00C0027B"/>
    <w:rsid w:val="00C003E8"/>
    <w:rsid w:val="00C00694"/>
    <w:rsid w:val="00C006AB"/>
    <w:rsid w:val="00C00D88"/>
    <w:rsid w:val="00C00E6B"/>
    <w:rsid w:val="00C00F11"/>
    <w:rsid w:val="00C01046"/>
    <w:rsid w:val="00C01180"/>
    <w:rsid w:val="00C0132C"/>
    <w:rsid w:val="00C013EB"/>
    <w:rsid w:val="00C0164D"/>
    <w:rsid w:val="00C01715"/>
    <w:rsid w:val="00C01E81"/>
    <w:rsid w:val="00C02207"/>
    <w:rsid w:val="00C022D6"/>
    <w:rsid w:val="00C02688"/>
    <w:rsid w:val="00C034A4"/>
    <w:rsid w:val="00C03F01"/>
    <w:rsid w:val="00C040AA"/>
    <w:rsid w:val="00C04113"/>
    <w:rsid w:val="00C0555D"/>
    <w:rsid w:val="00C05A4E"/>
    <w:rsid w:val="00C05C9B"/>
    <w:rsid w:val="00C05EC5"/>
    <w:rsid w:val="00C06184"/>
    <w:rsid w:val="00C068D1"/>
    <w:rsid w:val="00C06C30"/>
    <w:rsid w:val="00C06D71"/>
    <w:rsid w:val="00C06F7A"/>
    <w:rsid w:val="00C07834"/>
    <w:rsid w:val="00C0792B"/>
    <w:rsid w:val="00C079AA"/>
    <w:rsid w:val="00C07D79"/>
    <w:rsid w:val="00C07E17"/>
    <w:rsid w:val="00C101FE"/>
    <w:rsid w:val="00C105D6"/>
    <w:rsid w:val="00C10682"/>
    <w:rsid w:val="00C10FB1"/>
    <w:rsid w:val="00C11093"/>
    <w:rsid w:val="00C1148C"/>
    <w:rsid w:val="00C115C0"/>
    <w:rsid w:val="00C11735"/>
    <w:rsid w:val="00C11AB1"/>
    <w:rsid w:val="00C11ECD"/>
    <w:rsid w:val="00C120F4"/>
    <w:rsid w:val="00C128FC"/>
    <w:rsid w:val="00C129B9"/>
    <w:rsid w:val="00C136B9"/>
    <w:rsid w:val="00C13812"/>
    <w:rsid w:val="00C13CCE"/>
    <w:rsid w:val="00C13D6E"/>
    <w:rsid w:val="00C13E71"/>
    <w:rsid w:val="00C144B1"/>
    <w:rsid w:val="00C150E0"/>
    <w:rsid w:val="00C157BE"/>
    <w:rsid w:val="00C15D30"/>
    <w:rsid w:val="00C16003"/>
    <w:rsid w:val="00C16305"/>
    <w:rsid w:val="00C1721F"/>
    <w:rsid w:val="00C179F4"/>
    <w:rsid w:val="00C20305"/>
    <w:rsid w:val="00C205F4"/>
    <w:rsid w:val="00C20620"/>
    <w:rsid w:val="00C20CED"/>
    <w:rsid w:val="00C20FC2"/>
    <w:rsid w:val="00C210FE"/>
    <w:rsid w:val="00C21522"/>
    <w:rsid w:val="00C21979"/>
    <w:rsid w:val="00C21E37"/>
    <w:rsid w:val="00C22DC7"/>
    <w:rsid w:val="00C2302D"/>
    <w:rsid w:val="00C23B4C"/>
    <w:rsid w:val="00C23E50"/>
    <w:rsid w:val="00C24287"/>
    <w:rsid w:val="00C24623"/>
    <w:rsid w:val="00C247A7"/>
    <w:rsid w:val="00C25015"/>
    <w:rsid w:val="00C25206"/>
    <w:rsid w:val="00C2549D"/>
    <w:rsid w:val="00C25549"/>
    <w:rsid w:val="00C25A95"/>
    <w:rsid w:val="00C26272"/>
    <w:rsid w:val="00C2695C"/>
    <w:rsid w:val="00C26B7D"/>
    <w:rsid w:val="00C26C38"/>
    <w:rsid w:val="00C27331"/>
    <w:rsid w:val="00C27606"/>
    <w:rsid w:val="00C27B87"/>
    <w:rsid w:val="00C27CFF"/>
    <w:rsid w:val="00C3063C"/>
    <w:rsid w:val="00C307BA"/>
    <w:rsid w:val="00C308D9"/>
    <w:rsid w:val="00C309B1"/>
    <w:rsid w:val="00C309C9"/>
    <w:rsid w:val="00C30A4F"/>
    <w:rsid w:val="00C3119F"/>
    <w:rsid w:val="00C317C8"/>
    <w:rsid w:val="00C31B67"/>
    <w:rsid w:val="00C31F75"/>
    <w:rsid w:val="00C32413"/>
    <w:rsid w:val="00C324BE"/>
    <w:rsid w:val="00C324E2"/>
    <w:rsid w:val="00C32A4F"/>
    <w:rsid w:val="00C32C99"/>
    <w:rsid w:val="00C32DAC"/>
    <w:rsid w:val="00C32F1F"/>
    <w:rsid w:val="00C3300C"/>
    <w:rsid w:val="00C3316D"/>
    <w:rsid w:val="00C33178"/>
    <w:rsid w:val="00C33A78"/>
    <w:rsid w:val="00C3402E"/>
    <w:rsid w:val="00C346EC"/>
    <w:rsid w:val="00C348BB"/>
    <w:rsid w:val="00C35542"/>
    <w:rsid w:val="00C35776"/>
    <w:rsid w:val="00C35B9E"/>
    <w:rsid w:val="00C36290"/>
    <w:rsid w:val="00C36603"/>
    <w:rsid w:val="00C36B60"/>
    <w:rsid w:val="00C36BA0"/>
    <w:rsid w:val="00C36D2E"/>
    <w:rsid w:val="00C36F0D"/>
    <w:rsid w:val="00C374BF"/>
    <w:rsid w:val="00C3752C"/>
    <w:rsid w:val="00C375BE"/>
    <w:rsid w:val="00C3764D"/>
    <w:rsid w:val="00C37B1A"/>
    <w:rsid w:val="00C37F88"/>
    <w:rsid w:val="00C4148E"/>
    <w:rsid w:val="00C4157D"/>
    <w:rsid w:val="00C416A8"/>
    <w:rsid w:val="00C4193D"/>
    <w:rsid w:val="00C41B16"/>
    <w:rsid w:val="00C41D04"/>
    <w:rsid w:val="00C421FA"/>
    <w:rsid w:val="00C425D9"/>
    <w:rsid w:val="00C42936"/>
    <w:rsid w:val="00C42939"/>
    <w:rsid w:val="00C42BC2"/>
    <w:rsid w:val="00C42FD2"/>
    <w:rsid w:val="00C4413B"/>
    <w:rsid w:val="00C44775"/>
    <w:rsid w:val="00C447AC"/>
    <w:rsid w:val="00C44AE5"/>
    <w:rsid w:val="00C44AF5"/>
    <w:rsid w:val="00C44FF9"/>
    <w:rsid w:val="00C45014"/>
    <w:rsid w:val="00C457DB"/>
    <w:rsid w:val="00C45B71"/>
    <w:rsid w:val="00C45BE7"/>
    <w:rsid w:val="00C46565"/>
    <w:rsid w:val="00C466F1"/>
    <w:rsid w:val="00C46710"/>
    <w:rsid w:val="00C46A23"/>
    <w:rsid w:val="00C46F81"/>
    <w:rsid w:val="00C4721D"/>
    <w:rsid w:val="00C4722C"/>
    <w:rsid w:val="00C47422"/>
    <w:rsid w:val="00C474A6"/>
    <w:rsid w:val="00C47731"/>
    <w:rsid w:val="00C47946"/>
    <w:rsid w:val="00C50756"/>
    <w:rsid w:val="00C50894"/>
    <w:rsid w:val="00C50C74"/>
    <w:rsid w:val="00C50E09"/>
    <w:rsid w:val="00C51472"/>
    <w:rsid w:val="00C51544"/>
    <w:rsid w:val="00C5161E"/>
    <w:rsid w:val="00C5250B"/>
    <w:rsid w:val="00C526CF"/>
    <w:rsid w:val="00C52A0E"/>
    <w:rsid w:val="00C5326B"/>
    <w:rsid w:val="00C5364C"/>
    <w:rsid w:val="00C539A6"/>
    <w:rsid w:val="00C54024"/>
    <w:rsid w:val="00C547A8"/>
    <w:rsid w:val="00C54C9D"/>
    <w:rsid w:val="00C55448"/>
    <w:rsid w:val="00C55794"/>
    <w:rsid w:val="00C55E88"/>
    <w:rsid w:val="00C55EC5"/>
    <w:rsid w:val="00C560FC"/>
    <w:rsid w:val="00C564CE"/>
    <w:rsid w:val="00C5693C"/>
    <w:rsid w:val="00C56E0D"/>
    <w:rsid w:val="00C56EE3"/>
    <w:rsid w:val="00C5721B"/>
    <w:rsid w:val="00C5728E"/>
    <w:rsid w:val="00C5743D"/>
    <w:rsid w:val="00C57BD6"/>
    <w:rsid w:val="00C57CEE"/>
    <w:rsid w:val="00C57CFF"/>
    <w:rsid w:val="00C60164"/>
    <w:rsid w:val="00C6023E"/>
    <w:rsid w:val="00C6058F"/>
    <w:rsid w:val="00C60729"/>
    <w:rsid w:val="00C6144A"/>
    <w:rsid w:val="00C61492"/>
    <w:rsid w:val="00C61576"/>
    <w:rsid w:val="00C61797"/>
    <w:rsid w:val="00C6204E"/>
    <w:rsid w:val="00C6251F"/>
    <w:rsid w:val="00C62DFF"/>
    <w:rsid w:val="00C62E12"/>
    <w:rsid w:val="00C63294"/>
    <w:rsid w:val="00C63630"/>
    <w:rsid w:val="00C63DA3"/>
    <w:rsid w:val="00C6415B"/>
    <w:rsid w:val="00C6418F"/>
    <w:rsid w:val="00C64A09"/>
    <w:rsid w:val="00C64B10"/>
    <w:rsid w:val="00C64B4F"/>
    <w:rsid w:val="00C64D4B"/>
    <w:rsid w:val="00C651CE"/>
    <w:rsid w:val="00C65C29"/>
    <w:rsid w:val="00C65C38"/>
    <w:rsid w:val="00C65D3B"/>
    <w:rsid w:val="00C65D55"/>
    <w:rsid w:val="00C65F5D"/>
    <w:rsid w:val="00C65F7F"/>
    <w:rsid w:val="00C667CC"/>
    <w:rsid w:val="00C66B76"/>
    <w:rsid w:val="00C67322"/>
    <w:rsid w:val="00C67965"/>
    <w:rsid w:val="00C67BFE"/>
    <w:rsid w:val="00C701CA"/>
    <w:rsid w:val="00C702AF"/>
    <w:rsid w:val="00C70332"/>
    <w:rsid w:val="00C70622"/>
    <w:rsid w:val="00C70A7F"/>
    <w:rsid w:val="00C70BD5"/>
    <w:rsid w:val="00C70F0A"/>
    <w:rsid w:val="00C70FC1"/>
    <w:rsid w:val="00C7132A"/>
    <w:rsid w:val="00C71581"/>
    <w:rsid w:val="00C71A91"/>
    <w:rsid w:val="00C72073"/>
    <w:rsid w:val="00C720E8"/>
    <w:rsid w:val="00C7256C"/>
    <w:rsid w:val="00C72C8E"/>
    <w:rsid w:val="00C72CA3"/>
    <w:rsid w:val="00C73640"/>
    <w:rsid w:val="00C7367F"/>
    <w:rsid w:val="00C73758"/>
    <w:rsid w:val="00C739CE"/>
    <w:rsid w:val="00C73B9F"/>
    <w:rsid w:val="00C7430A"/>
    <w:rsid w:val="00C74B46"/>
    <w:rsid w:val="00C74D17"/>
    <w:rsid w:val="00C74DD0"/>
    <w:rsid w:val="00C759B6"/>
    <w:rsid w:val="00C75D7F"/>
    <w:rsid w:val="00C75F5A"/>
    <w:rsid w:val="00C7603D"/>
    <w:rsid w:val="00C7612D"/>
    <w:rsid w:val="00C76496"/>
    <w:rsid w:val="00C76572"/>
    <w:rsid w:val="00C765C7"/>
    <w:rsid w:val="00C7678E"/>
    <w:rsid w:val="00C76905"/>
    <w:rsid w:val="00C76BBD"/>
    <w:rsid w:val="00C770B7"/>
    <w:rsid w:val="00C77633"/>
    <w:rsid w:val="00C7770B"/>
    <w:rsid w:val="00C7776F"/>
    <w:rsid w:val="00C7779E"/>
    <w:rsid w:val="00C778FB"/>
    <w:rsid w:val="00C77A33"/>
    <w:rsid w:val="00C77B4F"/>
    <w:rsid w:val="00C77C14"/>
    <w:rsid w:val="00C77D2A"/>
    <w:rsid w:val="00C77EA3"/>
    <w:rsid w:val="00C80599"/>
    <w:rsid w:val="00C80A6F"/>
    <w:rsid w:val="00C81257"/>
    <w:rsid w:val="00C81470"/>
    <w:rsid w:val="00C81BC1"/>
    <w:rsid w:val="00C81D21"/>
    <w:rsid w:val="00C822F8"/>
    <w:rsid w:val="00C82345"/>
    <w:rsid w:val="00C82684"/>
    <w:rsid w:val="00C82809"/>
    <w:rsid w:val="00C82AA5"/>
    <w:rsid w:val="00C82B9A"/>
    <w:rsid w:val="00C82D8A"/>
    <w:rsid w:val="00C83D3C"/>
    <w:rsid w:val="00C83FBD"/>
    <w:rsid w:val="00C8422B"/>
    <w:rsid w:val="00C842BA"/>
    <w:rsid w:val="00C84A2B"/>
    <w:rsid w:val="00C84AA6"/>
    <w:rsid w:val="00C84B48"/>
    <w:rsid w:val="00C84E51"/>
    <w:rsid w:val="00C84FA5"/>
    <w:rsid w:val="00C852A8"/>
    <w:rsid w:val="00C858A6"/>
    <w:rsid w:val="00C859D0"/>
    <w:rsid w:val="00C85E25"/>
    <w:rsid w:val="00C85F86"/>
    <w:rsid w:val="00C861C2"/>
    <w:rsid w:val="00C86499"/>
    <w:rsid w:val="00C86E84"/>
    <w:rsid w:val="00C87874"/>
    <w:rsid w:val="00C87C80"/>
    <w:rsid w:val="00C87F82"/>
    <w:rsid w:val="00C90008"/>
    <w:rsid w:val="00C905A0"/>
    <w:rsid w:val="00C90A19"/>
    <w:rsid w:val="00C91533"/>
    <w:rsid w:val="00C9161C"/>
    <w:rsid w:val="00C91769"/>
    <w:rsid w:val="00C91A1B"/>
    <w:rsid w:val="00C91AC0"/>
    <w:rsid w:val="00C91B7A"/>
    <w:rsid w:val="00C92169"/>
    <w:rsid w:val="00C92438"/>
    <w:rsid w:val="00C925D8"/>
    <w:rsid w:val="00C928D3"/>
    <w:rsid w:val="00C929AA"/>
    <w:rsid w:val="00C92E54"/>
    <w:rsid w:val="00C930C8"/>
    <w:rsid w:val="00C93620"/>
    <w:rsid w:val="00C93A5A"/>
    <w:rsid w:val="00C94EF1"/>
    <w:rsid w:val="00C9506F"/>
    <w:rsid w:val="00C95112"/>
    <w:rsid w:val="00C954BB"/>
    <w:rsid w:val="00C9572A"/>
    <w:rsid w:val="00C957F4"/>
    <w:rsid w:val="00C95F39"/>
    <w:rsid w:val="00C9630C"/>
    <w:rsid w:val="00C96901"/>
    <w:rsid w:val="00C9756A"/>
    <w:rsid w:val="00C976FA"/>
    <w:rsid w:val="00C97B46"/>
    <w:rsid w:val="00C97C7B"/>
    <w:rsid w:val="00C97F65"/>
    <w:rsid w:val="00CA002F"/>
    <w:rsid w:val="00CA0291"/>
    <w:rsid w:val="00CA044F"/>
    <w:rsid w:val="00CA09DE"/>
    <w:rsid w:val="00CA09E2"/>
    <w:rsid w:val="00CA0E37"/>
    <w:rsid w:val="00CA1078"/>
    <w:rsid w:val="00CA12E8"/>
    <w:rsid w:val="00CA137F"/>
    <w:rsid w:val="00CA1711"/>
    <w:rsid w:val="00CA17BB"/>
    <w:rsid w:val="00CA1E9C"/>
    <w:rsid w:val="00CA245D"/>
    <w:rsid w:val="00CA2578"/>
    <w:rsid w:val="00CA26EE"/>
    <w:rsid w:val="00CA2C57"/>
    <w:rsid w:val="00CA2C69"/>
    <w:rsid w:val="00CA3299"/>
    <w:rsid w:val="00CA33C6"/>
    <w:rsid w:val="00CA34B9"/>
    <w:rsid w:val="00CA38BF"/>
    <w:rsid w:val="00CA38F4"/>
    <w:rsid w:val="00CA3CA6"/>
    <w:rsid w:val="00CA415E"/>
    <w:rsid w:val="00CA42C0"/>
    <w:rsid w:val="00CA459D"/>
    <w:rsid w:val="00CA45B9"/>
    <w:rsid w:val="00CA50C3"/>
    <w:rsid w:val="00CA588E"/>
    <w:rsid w:val="00CA59B0"/>
    <w:rsid w:val="00CA5E8E"/>
    <w:rsid w:val="00CA5EBA"/>
    <w:rsid w:val="00CA62C1"/>
    <w:rsid w:val="00CA65BB"/>
    <w:rsid w:val="00CA683E"/>
    <w:rsid w:val="00CA6E68"/>
    <w:rsid w:val="00CA7A58"/>
    <w:rsid w:val="00CA7BC8"/>
    <w:rsid w:val="00CB0034"/>
    <w:rsid w:val="00CB0F47"/>
    <w:rsid w:val="00CB11D5"/>
    <w:rsid w:val="00CB123D"/>
    <w:rsid w:val="00CB191E"/>
    <w:rsid w:val="00CB1C0B"/>
    <w:rsid w:val="00CB1C3C"/>
    <w:rsid w:val="00CB2389"/>
    <w:rsid w:val="00CB281B"/>
    <w:rsid w:val="00CB2903"/>
    <w:rsid w:val="00CB2BDE"/>
    <w:rsid w:val="00CB2C4A"/>
    <w:rsid w:val="00CB3167"/>
    <w:rsid w:val="00CB3216"/>
    <w:rsid w:val="00CB3CAD"/>
    <w:rsid w:val="00CB4098"/>
    <w:rsid w:val="00CB432F"/>
    <w:rsid w:val="00CB46B7"/>
    <w:rsid w:val="00CB4828"/>
    <w:rsid w:val="00CB48B3"/>
    <w:rsid w:val="00CB51ED"/>
    <w:rsid w:val="00CB5451"/>
    <w:rsid w:val="00CB64E6"/>
    <w:rsid w:val="00CB6B1B"/>
    <w:rsid w:val="00CB7268"/>
    <w:rsid w:val="00CB7273"/>
    <w:rsid w:val="00CB76B1"/>
    <w:rsid w:val="00CB7898"/>
    <w:rsid w:val="00CB7FFC"/>
    <w:rsid w:val="00CC026A"/>
    <w:rsid w:val="00CC0AE5"/>
    <w:rsid w:val="00CC163B"/>
    <w:rsid w:val="00CC18F0"/>
    <w:rsid w:val="00CC204A"/>
    <w:rsid w:val="00CC228A"/>
    <w:rsid w:val="00CC2A7B"/>
    <w:rsid w:val="00CC2B2A"/>
    <w:rsid w:val="00CC3A61"/>
    <w:rsid w:val="00CC4A74"/>
    <w:rsid w:val="00CC4B05"/>
    <w:rsid w:val="00CC4D0C"/>
    <w:rsid w:val="00CC4F1A"/>
    <w:rsid w:val="00CC56FD"/>
    <w:rsid w:val="00CC5759"/>
    <w:rsid w:val="00CC5A8D"/>
    <w:rsid w:val="00CC5C9F"/>
    <w:rsid w:val="00CC5EE2"/>
    <w:rsid w:val="00CC61F0"/>
    <w:rsid w:val="00CC63FB"/>
    <w:rsid w:val="00CC64BE"/>
    <w:rsid w:val="00CC657E"/>
    <w:rsid w:val="00CC668C"/>
    <w:rsid w:val="00CC6920"/>
    <w:rsid w:val="00CC6936"/>
    <w:rsid w:val="00CC6E8D"/>
    <w:rsid w:val="00CC6FA4"/>
    <w:rsid w:val="00CC7431"/>
    <w:rsid w:val="00CC7681"/>
    <w:rsid w:val="00CC787A"/>
    <w:rsid w:val="00CC7BE7"/>
    <w:rsid w:val="00CC7E8B"/>
    <w:rsid w:val="00CD0723"/>
    <w:rsid w:val="00CD0DCB"/>
    <w:rsid w:val="00CD0ECA"/>
    <w:rsid w:val="00CD1287"/>
    <w:rsid w:val="00CD1A82"/>
    <w:rsid w:val="00CD2299"/>
    <w:rsid w:val="00CD22A9"/>
    <w:rsid w:val="00CD22C9"/>
    <w:rsid w:val="00CD2BE7"/>
    <w:rsid w:val="00CD2C39"/>
    <w:rsid w:val="00CD33DC"/>
    <w:rsid w:val="00CD361B"/>
    <w:rsid w:val="00CD3BB7"/>
    <w:rsid w:val="00CD3C22"/>
    <w:rsid w:val="00CD3D99"/>
    <w:rsid w:val="00CD3FB9"/>
    <w:rsid w:val="00CD3FC8"/>
    <w:rsid w:val="00CD4245"/>
    <w:rsid w:val="00CD44CF"/>
    <w:rsid w:val="00CD4B92"/>
    <w:rsid w:val="00CD4CEE"/>
    <w:rsid w:val="00CD582F"/>
    <w:rsid w:val="00CD5BDB"/>
    <w:rsid w:val="00CD609B"/>
    <w:rsid w:val="00CD6BD8"/>
    <w:rsid w:val="00CD6C10"/>
    <w:rsid w:val="00CD7779"/>
    <w:rsid w:val="00CD7DE8"/>
    <w:rsid w:val="00CE0553"/>
    <w:rsid w:val="00CE0722"/>
    <w:rsid w:val="00CE0806"/>
    <w:rsid w:val="00CE0BEF"/>
    <w:rsid w:val="00CE0EC7"/>
    <w:rsid w:val="00CE14CC"/>
    <w:rsid w:val="00CE1718"/>
    <w:rsid w:val="00CE1996"/>
    <w:rsid w:val="00CE1A3D"/>
    <w:rsid w:val="00CE1D45"/>
    <w:rsid w:val="00CE1F26"/>
    <w:rsid w:val="00CE2200"/>
    <w:rsid w:val="00CE2866"/>
    <w:rsid w:val="00CE2B92"/>
    <w:rsid w:val="00CE2CBD"/>
    <w:rsid w:val="00CE2F33"/>
    <w:rsid w:val="00CE331E"/>
    <w:rsid w:val="00CE3C09"/>
    <w:rsid w:val="00CE3D11"/>
    <w:rsid w:val="00CE3E4D"/>
    <w:rsid w:val="00CE4301"/>
    <w:rsid w:val="00CE4C8D"/>
    <w:rsid w:val="00CE4D5D"/>
    <w:rsid w:val="00CE5072"/>
    <w:rsid w:val="00CE51FA"/>
    <w:rsid w:val="00CE5256"/>
    <w:rsid w:val="00CE5F59"/>
    <w:rsid w:val="00CE62C5"/>
    <w:rsid w:val="00CE6533"/>
    <w:rsid w:val="00CE67CB"/>
    <w:rsid w:val="00CE681F"/>
    <w:rsid w:val="00CE684C"/>
    <w:rsid w:val="00CE710C"/>
    <w:rsid w:val="00CE7AB3"/>
    <w:rsid w:val="00CE7D9F"/>
    <w:rsid w:val="00CF01B9"/>
    <w:rsid w:val="00CF03AB"/>
    <w:rsid w:val="00CF0C1F"/>
    <w:rsid w:val="00CF12FB"/>
    <w:rsid w:val="00CF1A12"/>
    <w:rsid w:val="00CF227E"/>
    <w:rsid w:val="00CF23D9"/>
    <w:rsid w:val="00CF2692"/>
    <w:rsid w:val="00CF2A0C"/>
    <w:rsid w:val="00CF365A"/>
    <w:rsid w:val="00CF38B4"/>
    <w:rsid w:val="00CF3BB7"/>
    <w:rsid w:val="00CF3C91"/>
    <w:rsid w:val="00CF3D63"/>
    <w:rsid w:val="00CF3DE8"/>
    <w:rsid w:val="00CF40E6"/>
    <w:rsid w:val="00CF4714"/>
    <w:rsid w:val="00CF4D4E"/>
    <w:rsid w:val="00CF4F44"/>
    <w:rsid w:val="00CF5109"/>
    <w:rsid w:val="00CF5598"/>
    <w:rsid w:val="00CF5E19"/>
    <w:rsid w:val="00CF6B1A"/>
    <w:rsid w:val="00CF79B9"/>
    <w:rsid w:val="00D00091"/>
    <w:rsid w:val="00D007CD"/>
    <w:rsid w:val="00D00A2A"/>
    <w:rsid w:val="00D00B8C"/>
    <w:rsid w:val="00D00E61"/>
    <w:rsid w:val="00D00E9A"/>
    <w:rsid w:val="00D0102C"/>
    <w:rsid w:val="00D01762"/>
    <w:rsid w:val="00D01EA8"/>
    <w:rsid w:val="00D01F69"/>
    <w:rsid w:val="00D02324"/>
    <w:rsid w:val="00D03060"/>
    <w:rsid w:val="00D03247"/>
    <w:rsid w:val="00D038FE"/>
    <w:rsid w:val="00D03B9E"/>
    <w:rsid w:val="00D03C20"/>
    <w:rsid w:val="00D0430C"/>
    <w:rsid w:val="00D045DF"/>
    <w:rsid w:val="00D0472F"/>
    <w:rsid w:val="00D04E3D"/>
    <w:rsid w:val="00D0536B"/>
    <w:rsid w:val="00D055C3"/>
    <w:rsid w:val="00D059B4"/>
    <w:rsid w:val="00D059D2"/>
    <w:rsid w:val="00D06032"/>
    <w:rsid w:val="00D06459"/>
    <w:rsid w:val="00D06B92"/>
    <w:rsid w:val="00D07234"/>
    <w:rsid w:val="00D0778E"/>
    <w:rsid w:val="00D0786B"/>
    <w:rsid w:val="00D0939A"/>
    <w:rsid w:val="00D1023A"/>
    <w:rsid w:val="00D108AC"/>
    <w:rsid w:val="00D10D29"/>
    <w:rsid w:val="00D110C3"/>
    <w:rsid w:val="00D1130D"/>
    <w:rsid w:val="00D118D4"/>
    <w:rsid w:val="00D11BAA"/>
    <w:rsid w:val="00D11BDF"/>
    <w:rsid w:val="00D12049"/>
    <w:rsid w:val="00D121DF"/>
    <w:rsid w:val="00D127C7"/>
    <w:rsid w:val="00D129BB"/>
    <w:rsid w:val="00D12D39"/>
    <w:rsid w:val="00D12DD7"/>
    <w:rsid w:val="00D13672"/>
    <w:rsid w:val="00D13C42"/>
    <w:rsid w:val="00D13F06"/>
    <w:rsid w:val="00D13F85"/>
    <w:rsid w:val="00D1454F"/>
    <w:rsid w:val="00D146AB"/>
    <w:rsid w:val="00D147F2"/>
    <w:rsid w:val="00D14941"/>
    <w:rsid w:val="00D15FD7"/>
    <w:rsid w:val="00D1658B"/>
    <w:rsid w:val="00D165E1"/>
    <w:rsid w:val="00D16C99"/>
    <w:rsid w:val="00D16D7A"/>
    <w:rsid w:val="00D177A0"/>
    <w:rsid w:val="00D17D80"/>
    <w:rsid w:val="00D20A2E"/>
    <w:rsid w:val="00D20D7E"/>
    <w:rsid w:val="00D20F3C"/>
    <w:rsid w:val="00D21ACD"/>
    <w:rsid w:val="00D21E39"/>
    <w:rsid w:val="00D225C7"/>
    <w:rsid w:val="00D23512"/>
    <w:rsid w:val="00D236FF"/>
    <w:rsid w:val="00D23FEE"/>
    <w:rsid w:val="00D2402F"/>
    <w:rsid w:val="00D25276"/>
    <w:rsid w:val="00D25ACB"/>
    <w:rsid w:val="00D25EA2"/>
    <w:rsid w:val="00D2670D"/>
    <w:rsid w:val="00D267FF"/>
    <w:rsid w:val="00D26BB9"/>
    <w:rsid w:val="00D26C0E"/>
    <w:rsid w:val="00D27331"/>
    <w:rsid w:val="00D27834"/>
    <w:rsid w:val="00D27914"/>
    <w:rsid w:val="00D27D73"/>
    <w:rsid w:val="00D308C4"/>
    <w:rsid w:val="00D31205"/>
    <w:rsid w:val="00D31333"/>
    <w:rsid w:val="00D31462"/>
    <w:rsid w:val="00D326F3"/>
    <w:rsid w:val="00D32878"/>
    <w:rsid w:val="00D32D68"/>
    <w:rsid w:val="00D330DE"/>
    <w:rsid w:val="00D3313A"/>
    <w:rsid w:val="00D332E8"/>
    <w:rsid w:val="00D33369"/>
    <w:rsid w:val="00D333EB"/>
    <w:rsid w:val="00D33513"/>
    <w:rsid w:val="00D3398A"/>
    <w:rsid w:val="00D3467A"/>
    <w:rsid w:val="00D346D2"/>
    <w:rsid w:val="00D3488A"/>
    <w:rsid w:val="00D34B29"/>
    <w:rsid w:val="00D34D65"/>
    <w:rsid w:val="00D35329"/>
    <w:rsid w:val="00D355B5"/>
    <w:rsid w:val="00D35DE2"/>
    <w:rsid w:val="00D35E48"/>
    <w:rsid w:val="00D3615F"/>
    <w:rsid w:val="00D365FA"/>
    <w:rsid w:val="00D370A8"/>
    <w:rsid w:val="00D37979"/>
    <w:rsid w:val="00D37AD4"/>
    <w:rsid w:val="00D4057B"/>
    <w:rsid w:val="00D406C1"/>
    <w:rsid w:val="00D40920"/>
    <w:rsid w:val="00D40CFB"/>
    <w:rsid w:val="00D40F74"/>
    <w:rsid w:val="00D40FB7"/>
    <w:rsid w:val="00D410F2"/>
    <w:rsid w:val="00D41B52"/>
    <w:rsid w:val="00D41C01"/>
    <w:rsid w:val="00D41C49"/>
    <w:rsid w:val="00D41FC6"/>
    <w:rsid w:val="00D4221C"/>
    <w:rsid w:val="00D42370"/>
    <w:rsid w:val="00D428B9"/>
    <w:rsid w:val="00D43307"/>
    <w:rsid w:val="00D43339"/>
    <w:rsid w:val="00D43865"/>
    <w:rsid w:val="00D44045"/>
    <w:rsid w:val="00D44250"/>
    <w:rsid w:val="00D44348"/>
    <w:rsid w:val="00D45263"/>
    <w:rsid w:val="00D4558F"/>
    <w:rsid w:val="00D45A09"/>
    <w:rsid w:val="00D464CC"/>
    <w:rsid w:val="00D46B22"/>
    <w:rsid w:val="00D46B63"/>
    <w:rsid w:val="00D46B6E"/>
    <w:rsid w:val="00D46CB1"/>
    <w:rsid w:val="00D47A80"/>
    <w:rsid w:val="00D47C41"/>
    <w:rsid w:val="00D5051F"/>
    <w:rsid w:val="00D506CD"/>
    <w:rsid w:val="00D50763"/>
    <w:rsid w:val="00D50C03"/>
    <w:rsid w:val="00D51379"/>
    <w:rsid w:val="00D514A5"/>
    <w:rsid w:val="00D51B89"/>
    <w:rsid w:val="00D51FDE"/>
    <w:rsid w:val="00D52174"/>
    <w:rsid w:val="00D524E9"/>
    <w:rsid w:val="00D52B57"/>
    <w:rsid w:val="00D531BC"/>
    <w:rsid w:val="00D5342F"/>
    <w:rsid w:val="00D5384B"/>
    <w:rsid w:val="00D53A1F"/>
    <w:rsid w:val="00D53BD9"/>
    <w:rsid w:val="00D53CB9"/>
    <w:rsid w:val="00D54094"/>
    <w:rsid w:val="00D54312"/>
    <w:rsid w:val="00D544B8"/>
    <w:rsid w:val="00D54838"/>
    <w:rsid w:val="00D54F3C"/>
    <w:rsid w:val="00D55065"/>
    <w:rsid w:val="00D55263"/>
    <w:rsid w:val="00D552E1"/>
    <w:rsid w:val="00D5534B"/>
    <w:rsid w:val="00D553C9"/>
    <w:rsid w:val="00D55737"/>
    <w:rsid w:val="00D5581F"/>
    <w:rsid w:val="00D55942"/>
    <w:rsid w:val="00D565F7"/>
    <w:rsid w:val="00D5667A"/>
    <w:rsid w:val="00D566E0"/>
    <w:rsid w:val="00D56769"/>
    <w:rsid w:val="00D56AF1"/>
    <w:rsid w:val="00D57AE3"/>
    <w:rsid w:val="00D60170"/>
    <w:rsid w:val="00D60979"/>
    <w:rsid w:val="00D6101C"/>
    <w:rsid w:val="00D6117F"/>
    <w:rsid w:val="00D61842"/>
    <w:rsid w:val="00D619CB"/>
    <w:rsid w:val="00D61FD2"/>
    <w:rsid w:val="00D62066"/>
    <w:rsid w:val="00D6212A"/>
    <w:rsid w:val="00D6262D"/>
    <w:rsid w:val="00D629EF"/>
    <w:rsid w:val="00D62C4B"/>
    <w:rsid w:val="00D62F64"/>
    <w:rsid w:val="00D62FE5"/>
    <w:rsid w:val="00D6316C"/>
    <w:rsid w:val="00D63302"/>
    <w:rsid w:val="00D63639"/>
    <w:rsid w:val="00D63BDF"/>
    <w:rsid w:val="00D63C3C"/>
    <w:rsid w:val="00D64174"/>
    <w:rsid w:val="00D64461"/>
    <w:rsid w:val="00D6456D"/>
    <w:rsid w:val="00D645A1"/>
    <w:rsid w:val="00D65021"/>
    <w:rsid w:val="00D65113"/>
    <w:rsid w:val="00D652ED"/>
    <w:rsid w:val="00D656CD"/>
    <w:rsid w:val="00D65B9B"/>
    <w:rsid w:val="00D65E0A"/>
    <w:rsid w:val="00D66216"/>
    <w:rsid w:val="00D666F3"/>
    <w:rsid w:val="00D677FE"/>
    <w:rsid w:val="00D67826"/>
    <w:rsid w:val="00D67978"/>
    <w:rsid w:val="00D67AB7"/>
    <w:rsid w:val="00D70413"/>
    <w:rsid w:val="00D709A0"/>
    <w:rsid w:val="00D71080"/>
    <w:rsid w:val="00D71714"/>
    <w:rsid w:val="00D71BA1"/>
    <w:rsid w:val="00D71CD7"/>
    <w:rsid w:val="00D71DDB"/>
    <w:rsid w:val="00D71EC1"/>
    <w:rsid w:val="00D71F7F"/>
    <w:rsid w:val="00D72748"/>
    <w:rsid w:val="00D72DA8"/>
    <w:rsid w:val="00D736E1"/>
    <w:rsid w:val="00D7397F"/>
    <w:rsid w:val="00D73FEF"/>
    <w:rsid w:val="00D74213"/>
    <w:rsid w:val="00D74722"/>
    <w:rsid w:val="00D7477B"/>
    <w:rsid w:val="00D7487C"/>
    <w:rsid w:val="00D74979"/>
    <w:rsid w:val="00D74C06"/>
    <w:rsid w:val="00D74FEC"/>
    <w:rsid w:val="00D7500C"/>
    <w:rsid w:val="00D750D4"/>
    <w:rsid w:val="00D75546"/>
    <w:rsid w:val="00D7566F"/>
    <w:rsid w:val="00D75E2C"/>
    <w:rsid w:val="00D7647E"/>
    <w:rsid w:val="00D7729A"/>
    <w:rsid w:val="00D77E6D"/>
    <w:rsid w:val="00D802A2"/>
    <w:rsid w:val="00D804C3"/>
    <w:rsid w:val="00D80512"/>
    <w:rsid w:val="00D806BB"/>
    <w:rsid w:val="00D809C8"/>
    <w:rsid w:val="00D80E61"/>
    <w:rsid w:val="00D81136"/>
    <w:rsid w:val="00D811CE"/>
    <w:rsid w:val="00D817D8"/>
    <w:rsid w:val="00D8186B"/>
    <w:rsid w:val="00D81970"/>
    <w:rsid w:val="00D819A9"/>
    <w:rsid w:val="00D81F83"/>
    <w:rsid w:val="00D81FB8"/>
    <w:rsid w:val="00D82444"/>
    <w:rsid w:val="00D828BD"/>
    <w:rsid w:val="00D832DD"/>
    <w:rsid w:val="00D836B1"/>
    <w:rsid w:val="00D838AA"/>
    <w:rsid w:val="00D84561"/>
    <w:rsid w:val="00D84AA2"/>
    <w:rsid w:val="00D84C4B"/>
    <w:rsid w:val="00D84F55"/>
    <w:rsid w:val="00D85143"/>
    <w:rsid w:val="00D8538D"/>
    <w:rsid w:val="00D854B3"/>
    <w:rsid w:val="00D856B3"/>
    <w:rsid w:val="00D8589D"/>
    <w:rsid w:val="00D85989"/>
    <w:rsid w:val="00D86158"/>
    <w:rsid w:val="00D86645"/>
    <w:rsid w:val="00D875C4"/>
    <w:rsid w:val="00D87BA6"/>
    <w:rsid w:val="00D904B8"/>
    <w:rsid w:val="00D9112B"/>
    <w:rsid w:val="00D9154A"/>
    <w:rsid w:val="00D9187B"/>
    <w:rsid w:val="00D91E51"/>
    <w:rsid w:val="00D9246C"/>
    <w:rsid w:val="00D92886"/>
    <w:rsid w:val="00D92C95"/>
    <w:rsid w:val="00D92D77"/>
    <w:rsid w:val="00D9301C"/>
    <w:rsid w:val="00D934C3"/>
    <w:rsid w:val="00D94018"/>
    <w:rsid w:val="00D940C4"/>
    <w:rsid w:val="00D941D6"/>
    <w:rsid w:val="00D9432A"/>
    <w:rsid w:val="00D94A33"/>
    <w:rsid w:val="00D94AD9"/>
    <w:rsid w:val="00D94F11"/>
    <w:rsid w:val="00D956CD"/>
    <w:rsid w:val="00D95862"/>
    <w:rsid w:val="00D95CC0"/>
    <w:rsid w:val="00D967AA"/>
    <w:rsid w:val="00D970DE"/>
    <w:rsid w:val="00D974D5"/>
    <w:rsid w:val="00D975D6"/>
    <w:rsid w:val="00D97A69"/>
    <w:rsid w:val="00D97B94"/>
    <w:rsid w:val="00DA0324"/>
    <w:rsid w:val="00DA0330"/>
    <w:rsid w:val="00DA04A4"/>
    <w:rsid w:val="00DA04D4"/>
    <w:rsid w:val="00DA0886"/>
    <w:rsid w:val="00DA097F"/>
    <w:rsid w:val="00DA0983"/>
    <w:rsid w:val="00DA1280"/>
    <w:rsid w:val="00DA226F"/>
    <w:rsid w:val="00DA24C7"/>
    <w:rsid w:val="00DA26B2"/>
    <w:rsid w:val="00DA2DDD"/>
    <w:rsid w:val="00DA3760"/>
    <w:rsid w:val="00DA39E4"/>
    <w:rsid w:val="00DA3ADF"/>
    <w:rsid w:val="00DA3D9F"/>
    <w:rsid w:val="00DA4CBA"/>
    <w:rsid w:val="00DA4D15"/>
    <w:rsid w:val="00DA4F38"/>
    <w:rsid w:val="00DA5284"/>
    <w:rsid w:val="00DA538F"/>
    <w:rsid w:val="00DA594E"/>
    <w:rsid w:val="00DA5A51"/>
    <w:rsid w:val="00DA5ED0"/>
    <w:rsid w:val="00DA5F54"/>
    <w:rsid w:val="00DA5F8A"/>
    <w:rsid w:val="00DA622D"/>
    <w:rsid w:val="00DA670B"/>
    <w:rsid w:val="00DA68AD"/>
    <w:rsid w:val="00DA6A30"/>
    <w:rsid w:val="00DA715B"/>
    <w:rsid w:val="00DA759C"/>
    <w:rsid w:val="00DA780E"/>
    <w:rsid w:val="00DA7D2B"/>
    <w:rsid w:val="00DB01E1"/>
    <w:rsid w:val="00DB0A1D"/>
    <w:rsid w:val="00DB0BBB"/>
    <w:rsid w:val="00DB127F"/>
    <w:rsid w:val="00DB12FE"/>
    <w:rsid w:val="00DB130B"/>
    <w:rsid w:val="00DB159E"/>
    <w:rsid w:val="00DB15B3"/>
    <w:rsid w:val="00DB18A0"/>
    <w:rsid w:val="00DB1B0E"/>
    <w:rsid w:val="00DB2DCB"/>
    <w:rsid w:val="00DB35EA"/>
    <w:rsid w:val="00DB38DC"/>
    <w:rsid w:val="00DB3937"/>
    <w:rsid w:val="00DB3A9D"/>
    <w:rsid w:val="00DB3C31"/>
    <w:rsid w:val="00DB44C9"/>
    <w:rsid w:val="00DB48CE"/>
    <w:rsid w:val="00DB53BE"/>
    <w:rsid w:val="00DB5C7F"/>
    <w:rsid w:val="00DB5E00"/>
    <w:rsid w:val="00DB6309"/>
    <w:rsid w:val="00DB6A68"/>
    <w:rsid w:val="00DB6BEC"/>
    <w:rsid w:val="00DB6E90"/>
    <w:rsid w:val="00DB7105"/>
    <w:rsid w:val="00DB78E2"/>
    <w:rsid w:val="00DB7E79"/>
    <w:rsid w:val="00DC04F1"/>
    <w:rsid w:val="00DC05CF"/>
    <w:rsid w:val="00DC0AC0"/>
    <w:rsid w:val="00DC0ACA"/>
    <w:rsid w:val="00DC0CF9"/>
    <w:rsid w:val="00DC1294"/>
    <w:rsid w:val="00DC129A"/>
    <w:rsid w:val="00DC1988"/>
    <w:rsid w:val="00DC19CC"/>
    <w:rsid w:val="00DC1C97"/>
    <w:rsid w:val="00DC2281"/>
    <w:rsid w:val="00DC238D"/>
    <w:rsid w:val="00DC245E"/>
    <w:rsid w:val="00DC2BFE"/>
    <w:rsid w:val="00DC2EC5"/>
    <w:rsid w:val="00DC318D"/>
    <w:rsid w:val="00DC321A"/>
    <w:rsid w:val="00DC3A3C"/>
    <w:rsid w:val="00DC3A67"/>
    <w:rsid w:val="00DC4917"/>
    <w:rsid w:val="00DC4D49"/>
    <w:rsid w:val="00DC4EAD"/>
    <w:rsid w:val="00DC50AE"/>
    <w:rsid w:val="00DC5376"/>
    <w:rsid w:val="00DC5F4E"/>
    <w:rsid w:val="00DC6528"/>
    <w:rsid w:val="00DC6575"/>
    <w:rsid w:val="00DC6E10"/>
    <w:rsid w:val="00DC79BC"/>
    <w:rsid w:val="00DC7A0A"/>
    <w:rsid w:val="00DC7D05"/>
    <w:rsid w:val="00DD08E6"/>
    <w:rsid w:val="00DD0A1E"/>
    <w:rsid w:val="00DD0A69"/>
    <w:rsid w:val="00DD0BEF"/>
    <w:rsid w:val="00DD0F39"/>
    <w:rsid w:val="00DD17AE"/>
    <w:rsid w:val="00DD1D87"/>
    <w:rsid w:val="00DD22DB"/>
    <w:rsid w:val="00DD246C"/>
    <w:rsid w:val="00DD2608"/>
    <w:rsid w:val="00DD2C92"/>
    <w:rsid w:val="00DD311F"/>
    <w:rsid w:val="00DD3476"/>
    <w:rsid w:val="00DD3795"/>
    <w:rsid w:val="00DD3802"/>
    <w:rsid w:val="00DD3CD9"/>
    <w:rsid w:val="00DD42D5"/>
    <w:rsid w:val="00DD45A0"/>
    <w:rsid w:val="00DD529D"/>
    <w:rsid w:val="00DD5871"/>
    <w:rsid w:val="00DD60A7"/>
    <w:rsid w:val="00DD6169"/>
    <w:rsid w:val="00DD689C"/>
    <w:rsid w:val="00DD68D2"/>
    <w:rsid w:val="00DD6BCD"/>
    <w:rsid w:val="00DD6F99"/>
    <w:rsid w:val="00DD6FB0"/>
    <w:rsid w:val="00DD7182"/>
    <w:rsid w:val="00DD7552"/>
    <w:rsid w:val="00DD7917"/>
    <w:rsid w:val="00DD7BB1"/>
    <w:rsid w:val="00DD7C0B"/>
    <w:rsid w:val="00DD7CAC"/>
    <w:rsid w:val="00DD7CB0"/>
    <w:rsid w:val="00DD7ECE"/>
    <w:rsid w:val="00DE03B3"/>
    <w:rsid w:val="00DE074B"/>
    <w:rsid w:val="00DE0854"/>
    <w:rsid w:val="00DE0FAF"/>
    <w:rsid w:val="00DE13AC"/>
    <w:rsid w:val="00DE13B5"/>
    <w:rsid w:val="00DE1401"/>
    <w:rsid w:val="00DE16AC"/>
    <w:rsid w:val="00DE1938"/>
    <w:rsid w:val="00DE1E15"/>
    <w:rsid w:val="00DE21B9"/>
    <w:rsid w:val="00DE2210"/>
    <w:rsid w:val="00DE2253"/>
    <w:rsid w:val="00DE23A6"/>
    <w:rsid w:val="00DE290E"/>
    <w:rsid w:val="00DE2B2D"/>
    <w:rsid w:val="00DE2C16"/>
    <w:rsid w:val="00DE2EE7"/>
    <w:rsid w:val="00DE3353"/>
    <w:rsid w:val="00DE3EBF"/>
    <w:rsid w:val="00DE3EE8"/>
    <w:rsid w:val="00DE45CE"/>
    <w:rsid w:val="00DE4D5F"/>
    <w:rsid w:val="00DE4F41"/>
    <w:rsid w:val="00DE5034"/>
    <w:rsid w:val="00DE5232"/>
    <w:rsid w:val="00DE6072"/>
    <w:rsid w:val="00DE6142"/>
    <w:rsid w:val="00DE69BA"/>
    <w:rsid w:val="00DE6B9D"/>
    <w:rsid w:val="00DE6C8B"/>
    <w:rsid w:val="00DE6CD5"/>
    <w:rsid w:val="00DE7791"/>
    <w:rsid w:val="00DE7A7A"/>
    <w:rsid w:val="00DE7C8F"/>
    <w:rsid w:val="00DE7CB5"/>
    <w:rsid w:val="00DF00AF"/>
    <w:rsid w:val="00DF0667"/>
    <w:rsid w:val="00DF077E"/>
    <w:rsid w:val="00DF0987"/>
    <w:rsid w:val="00DF0B1F"/>
    <w:rsid w:val="00DF0F49"/>
    <w:rsid w:val="00DF12F6"/>
    <w:rsid w:val="00DF19AC"/>
    <w:rsid w:val="00DF1CF8"/>
    <w:rsid w:val="00DF23BB"/>
    <w:rsid w:val="00DF2D83"/>
    <w:rsid w:val="00DF3300"/>
    <w:rsid w:val="00DF3CED"/>
    <w:rsid w:val="00DF3E22"/>
    <w:rsid w:val="00DF3E29"/>
    <w:rsid w:val="00DF41D1"/>
    <w:rsid w:val="00DF4311"/>
    <w:rsid w:val="00DF4BCA"/>
    <w:rsid w:val="00DF5113"/>
    <w:rsid w:val="00DF5215"/>
    <w:rsid w:val="00DF5B05"/>
    <w:rsid w:val="00DF6082"/>
    <w:rsid w:val="00DF67E1"/>
    <w:rsid w:val="00DF68B9"/>
    <w:rsid w:val="00DF6BEC"/>
    <w:rsid w:val="00DF6D10"/>
    <w:rsid w:val="00DF70AB"/>
    <w:rsid w:val="00DF7188"/>
    <w:rsid w:val="00DF720B"/>
    <w:rsid w:val="00DF7B04"/>
    <w:rsid w:val="00DF7FCA"/>
    <w:rsid w:val="00E0022D"/>
    <w:rsid w:val="00E00314"/>
    <w:rsid w:val="00E006C0"/>
    <w:rsid w:val="00E00AB9"/>
    <w:rsid w:val="00E01881"/>
    <w:rsid w:val="00E01CBE"/>
    <w:rsid w:val="00E01DBF"/>
    <w:rsid w:val="00E020B8"/>
    <w:rsid w:val="00E02421"/>
    <w:rsid w:val="00E032BF"/>
    <w:rsid w:val="00E03618"/>
    <w:rsid w:val="00E04110"/>
    <w:rsid w:val="00E04535"/>
    <w:rsid w:val="00E045DE"/>
    <w:rsid w:val="00E04CA1"/>
    <w:rsid w:val="00E050E4"/>
    <w:rsid w:val="00E0520E"/>
    <w:rsid w:val="00E05694"/>
    <w:rsid w:val="00E056E3"/>
    <w:rsid w:val="00E057CB"/>
    <w:rsid w:val="00E05947"/>
    <w:rsid w:val="00E05E59"/>
    <w:rsid w:val="00E060F3"/>
    <w:rsid w:val="00E06745"/>
    <w:rsid w:val="00E06816"/>
    <w:rsid w:val="00E06A3E"/>
    <w:rsid w:val="00E06A8C"/>
    <w:rsid w:val="00E06CCF"/>
    <w:rsid w:val="00E072DD"/>
    <w:rsid w:val="00E07815"/>
    <w:rsid w:val="00E079D3"/>
    <w:rsid w:val="00E07C1E"/>
    <w:rsid w:val="00E07D61"/>
    <w:rsid w:val="00E1068D"/>
    <w:rsid w:val="00E10E84"/>
    <w:rsid w:val="00E1124F"/>
    <w:rsid w:val="00E11409"/>
    <w:rsid w:val="00E1173E"/>
    <w:rsid w:val="00E119EB"/>
    <w:rsid w:val="00E11D72"/>
    <w:rsid w:val="00E12879"/>
    <w:rsid w:val="00E12C74"/>
    <w:rsid w:val="00E1322C"/>
    <w:rsid w:val="00E1342A"/>
    <w:rsid w:val="00E13AB1"/>
    <w:rsid w:val="00E13D35"/>
    <w:rsid w:val="00E1413E"/>
    <w:rsid w:val="00E142C8"/>
    <w:rsid w:val="00E1445A"/>
    <w:rsid w:val="00E1484C"/>
    <w:rsid w:val="00E14B50"/>
    <w:rsid w:val="00E14CF2"/>
    <w:rsid w:val="00E15001"/>
    <w:rsid w:val="00E151A0"/>
    <w:rsid w:val="00E1664F"/>
    <w:rsid w:val="00E16969"/>
    <w:rsid w:val="00E16BA7"/>
    <w:rsid w:val="00E16D6D"/>
    <w:rsid w:val="00E1701E"/>
    <w:rsid w:val="00E17149"/>
    <w:rsid w:val="00E171DD"/>
    <w:rsid w:val="00E17272"/>
    <w:rsid w:val="00E177AE"/>
    <w:rsid w:val="00E17E49"/>
    <w:rsid w:val="00E20437"/>
    <w:rsid w:val="00E205C8"/>
    <w:rsid w:val="00E21448"/>
    <w:rsid w:val="00E21BEA"/>
    <w:rsid w:val="00E223CC"/>
    <w:rsid w:val="00E22A59"/>
    <w:rsid w:val="00E22EB2"/>
    <w:rsid w:val="00E23665"/>
    <w:rsid w:val="00E23B3A"/>
    <w:rsid w:val="00E23C48"/>
    <w:rsid w:val="00E23E7F"/>
    <w:rsid w:val="00E23EB0"/>
    <w:rsid w:val="00E23F90"/>
    <w:rsid w:val="00E247D6"/>
    <w:rsid w:val="00E25408"/>
    <w:rsid w:val="00E261BB"/>
    <w:rsid w:val="00E2628D"/>
    <w:rsid w:val="00E26392"/>
    <w:rsid w:val="00E26CD7"/>
    <w:rsid w:val="00E27309"/>
    <w:rsid w:val="00E2788E"/>
    <w:rsid w:val="00E3005F"/>
    <w:rsid w:val="00E30360"/>
    <w:rsid w:val="00E30644"/>
    <w:rsid w:val="00E30B8B"/>
    <w:rsid w:val="00E312EA"/>
    <w:rsid w:val="00E31699"/>
    <w:rsid w:val="00E31B0B"/>
    <w:rsid w:val="00E31C73"/>
    <w:rsid w:val="00E31FD3"/>
    <w:rsid w:val="00E32914"/>
    <w:rsid w:val="00E32AAE"/>
    <w:rsid w:val="00E33539"/>
    <w:rsid w:val="00E33BD7"/>
    <w:rsid w:val="00E343FE"/>
    <w:rsid w:val="00E348D2"/>
    <w:rsid w:val="00E348E0"/>
    <w:rsid w:val="00E3493F"/>
    <w:rsid w:val="00E35168"/>
    <w:rsid w:val="00E35326"/>
    <w:rsid w:val="00E35579"/>
    <w:rsid w:val="00E35CA7"/>
    <w:rsid w:val="00E369CE"/>
    <w:rsid w:val="00E36D77"/>
    <w:rsid w:val="00E36EE6"/>
    <w:rsid w:val="00E36F2B"/>
    <w:rsid w:val="00E37266"/>
    <w:rsid w:val="00E37D32"/>
    <w:rsid w:val="00E37D56"/>
    <w:rsid w:val="00E37E41"/>
    <w:rsid w:val="00E37F57"/>
    <w:rsid w:val="00E401FE"/>
    <w:rsid w:val="00E404BB"/>
    <w:rsid w:val="00E40812"/>
    <w:rsid w:val="00E40AFA"/>
    <w:rsid w:val="00E40C2C"/>
    <w:rsid w:val="00E41507"/>
    <w:rsid w:val="00E416EE"/>
    <w:rsid w:val="00E4177F"/>
    <w:rsid w:val="00E420A0"/>
    <w:rsid w:val="00E422F0"/>
    <w:rsid w:val="00E42801"/>
    <w:rsid w:val="00E42CC2"/>
    <w:rsid w:val="00E42DB6"/>
    <w:rsid w:val="00E43333"/>
    <w:rsid w:val="00E4337F"/>
    <w:rsid w:val="00E4342A"/>
    <w:rsid w:val="00E43723"/>
    <w:rsid w:val="00E43B4C"/>
    <w:rsid w:val="00E43C75"/>
    <w:rsid w:val="00E44AEC"/>
    <w:rsid w:val="00E44D38"/>
    <w:rsid w:val="00E4570D"/>
    <w:rsid w:val="00E45741"/>
    <w:rsid w:val="00E457DD"/>
    <w:rsid w:val="00E45B14"/>
    <w:rsid w:val="00E45EA6"/>
    <w:rsid w:val="00E4655D"/>
    <w:rsid w:val="00E46CC1"/>
    <w:rsid w:val="00E46EB2"/>
    <w:rsid w:val="00E47178"/>
    <w:rsid w:val="00E4720A"/>
    <w:rsid w:val="00E47707"/>
    <w:rsid w:val="00E47E4F"/>
    <w:rsid w:val="00E5003E"/>
    <w:rsid w:val="00E50B06"/>
    <w:rsid w:val="00E51036"/>
    <w:rsid w:val="00E518CB"/>
    <w:rsid w:val="00E51C46"/>
    <w:rsid w:val="00E52901"/>
    <w:rsid w:val="00E52B8A"/>
    <w:rsid w:val="00E52DB9"/>
    <w:rsid w:val="00E52DF0"/>
    <w:rsid w:val="00E53737"/>
    <w:rsid w:val="00E54165"/>
    <w:rsid w:val="00E5473C"/>
    <w:rsid w:val="00E547D0"/>
    <w:rsid w:val="00E5482F"/>
    <w:rsid w:val="00E54DB9"/>
    <w:rsid w:val="00E55001"/>
    <w:rsid w:val="00E553AE"/>
    <w:rsid w:val="00E553FC"/>
    <w:rsid w:val="00E5570D"/>
    <w:rsid w:val="00E55808"/>
    <w:rsid w:val="00E55859"/>
    <w:rsid w:val="00E55957"/>
    <w:rsid w:val="00E559EE"/>
    <w:rsid w:val="00E55A0A"/>
    <w:rsid w:val="00E55CA0"/>
    <w:rsid w:val="00E56013"/>
    <w:rsid w:val="00E560B1"/>
    <w:rsid w:val="00E565A5"/>
    <w:rsid w:val="00E56697"/>
    <w:rsid w:val="00E569C2"/>
    <w:rsid w:val="00E56A42"/>
    <w:rsid w:val="00E56E1F"/>
    <w:rsid w:val="00E571D4"/>
    <w:rsid w:val="00E57304"/>
    <w:rsid w:val="00E576D2"/>
    <w:rsid w:val="00E57AFE"/>
    <w:rsid w:val="00E57DEA"/>
    <w:rsid w:val="00E60607"/>
    <w:rsid w:val="00E6076E"/>
    <w:rsid w:val="00E60DF5"/>
    <w:rsid w:val="00E60EBC"/>
    <w:rsid w:val="00E612E2"/>
    <w:rsid w:val="00E6153A"/>
    <w:rsid w:val="00E6154F"/>
    <w:rsid w:val="00E6172A"/>
    <w:rsid w:val="00E61899"/>
    <w:rsid w:val="00E61F8F"/>
    <w:rsid w:val="00E628DB"/>
    <w:rsid w:val="00E62919"/>
    <w:rsid w:val="00E62942"/>
    <w:rsid w:val="00E62A2A"/>
    <w:rsid w:val="00E62AFE"/>
    <w:rsid w:val="00E6355B"/>
    <w:rsid w:val="00E6397C"/>
    <w:rsid w:val="00E63AED"/>
    <w:rsid w:val="00E640F5"/>
    <w:rsid w:val="00E64439"/>
    <w:rsid w:val="00E645CE"/>
    <w:rsid w:val="00E64FAF"/>
    <w:rsid w:val="00E64FDA"/>
    <w:rsid w:val="00E65565"/>
    <w:rsid w:val="00E65689"/>
    <w:rsid w:val="00E661D6"/>
    <w:rsid w:val="00E665C3"/>
    <w:rsid w:val="00E666CF"/>
    <w:rsid w:val="00E66B8D"/>
    <w:rsid w:val="00E66CC6"/>
    <w:rsid w:val="00E66EFC"/>
    <w:rsid w:val="00E6713B"/>
    <w:rsid w:val="00E675B8"/>
    <w:rsid w:val="00E67BF8"/>
    <w:rsid w:val="00E67C7D"/>
    <w:rsid w:val="00E67DF3"/>
    <w:rsid w:val="00E70377"/>
    <w:rsid w:val="00E70688"/>
    <w:rsid w:val="00E7096F"/>
    <w:rsid w:val="00E70B18"/>
    <w:rsid w:val="00E70C05"/>
    <w:rsid w:val="00E70C43"/>
    <w:rsid w:val="00E70CC3"/>
    <w:rsid w:val="00E70EE2"/>
    <w:rsid w:val="00E713C2"/>
    <w:rsid w:val="00E71417"/>
    <w:rsid w:val="00E71463"/>
    <w:rsid w:val="00E717CD"/>
    <w:rsid w:val="00E720ED"/>
    <w:rsid w:val="00E724CE"/>
    <w:rsid w:val="00E72F6D"/>
    <w:rsid w:val="00E734B4"/>
    <w:rsid w:val="00E736BC"/>
    <w:rsid w:val="00E7375F"/>
    <w:rsid w:val="00E737C8"/>
    <w:rsid w:val="00E73BF5"/>
    <w:rsid w:val="00E7415A"/>
    <w:rsid w:val="00E74440"/>
    <w:rsid w:val="00E74552"/>
    <w:rsid w:val="00E751BE"/>
    <w:rsid w:val="00E7531C"/>
    <w:rsid w:val="00E755DC"/>
    <w:rsid w:val="00E75B12"/>
    <w:rsid w:val="00E75EEE"/>
    <w:rsid w:val="00E761D6"/>
    <w:rsid w:val="00E7644C"/>
    <w:rsid w:val="00E7660D"/>
    <w:rsid w:val="00E7661E"/>
    <w:rsid w:val="00E76975"/>
    <w:rsid w:val="00E76CFD"/>
    <w:rsid w:val="00E76DDA"/>
    <w:rsid w:val="00E77035"/>
    <w:rsid w:val="00E77DD7"/>
    <w:rsid w:val="00E8015C"/>
    <w:rsid w:val="00E802AE"/>
    <w:rsid w:val="00E8033A"/>
    <w:rsid w:val="00E80340"/>
    <w:rsid w:val="00E80C69"/>
    <w:rsid w:val="00E80D79"/>
    <w:rsid w:val="00E80E68"/>
    <w:rsid w:val="00E812C8"/>
    <w:rsid w:val="00E8130D"/>
    <w:rsid w:val="00E81BB4"/>
    <w:rsid w:val="00E81FD1"/>
    <w:rsid w:val="00E82260"/>
    <w:rsid w:val="00E82402"/>
    <w:rsid w:val="00E8312A"/>
    <w:rsid w:val="00E8350E"/>
    <w:rsid w:val="00E83918"/>
    <w:rsid w:val="00E83F94"/>
    <w:rsid w:val="00E84651"/>
    <w:rsid w:val="00E8490D"/>
    <w:rsid w:val="00E84F40"/>
    <w:rsid w:val="00E85382"/>
    <w:rsid w:val="00E8553C"/>
    <w:rsid w:val="00E85E87"/>
    <w:rsid w:val="00E86733"/>
    <w:rsid w:val="00E86AA0"/>
    <w:rsid w:val="00E86D11"/>
    <w:rsid w:val="00E86F59"/>
    <w:rsid w:val="00E87220"/>
    <w:rsid w:val="00E87269"/>
    <w:rsid w:val="00E877CA"/>
    <w:rsid w:val="00E87BFE"/>
    <w:rsid w:val="00E87D90"/>
    <w:rsid w:val="00E906DB"/>
    <w:rsid w:val="00E9089E"/>
    <w:rsid w:val="00E90FB6"/>
    <w:rsid w:val="00E924B2"/>
    <w:rsid w:val="00E924C4"/>
    <w:rsid w:val="00E9305E"/>
    <w:rsid w:val="00E9307F"/>
    <w:rsid w:val="00E9380B"/>
    <w:rsid w:val="00E941A1"/>
    <w:rsid w:val="00E9435A"/>
    <w:rsid w:val="00E945E8"/>
    <w:rsid w:val="00E947F7"/>
    <w:rsid w:val="00E94DB0"/>
    <w:rsid w:val="00E94DD6"/>
    <w:rsid w:val="00E94F37"/>
    <w:rsid w:val="00E94F96"/>
    <w:rsid w:val="00E95941"/>
    <w:rsid w:val="00E95944"/>
    <w:rsid w:val="00E95D71"/>
    <w:rsid w:val="00E95D75"/>
    <w:rsid w:val="00E9615F"/>
    <w:rsid w:val="00E96166"/>
    <w:rsid w:val="00E961A2"/>
    <w:rsid w:val="00E962B4"/>
    <w:rsid w:val="00E9633B"/>
    <w:rsid w:val="00E96757"/>
    <w:rsid w:val="00E9679C"/>
    <w:rsid w:val="00E96826"/>
    <w:rsid w:val="00E96C38"/>
    <w:rsid w:val="00E96C44"/>
    <w:rsid w:val="00E96ECC"/>
    <w:rsid w:val="00E96FE5"/>
    <w:rsid w:val="00E97D6B"/>
    <w:rsid w:val="00EA0097"/>
    <w:rsid w:val="00EA0145"/>
    <w:rsid w:val="00EA0284"/>
    <w:rsid w:val="00EA0690"/>
    <w:rsid w:val="00EA090F"/>
    <w:rsid w:val="00EA0B78"/>
    <w:rsid w:val="00EA0BCF"/>
    <w:rsid w:val="00EA0C8A"/>
    <w:rsid w:val="00EA14E3"/>
    <w:rsid w:val="00EA1561"/>
    <w:rsid w:val="00EA16A5"/>
    <w:rsid w:val="00EA1D7E"/>
    <w:rsid w:val="00EA1DAC"/>
    <w:rsid w:val="00EA2767"/>
    <w:rsid w:val="00EA29C9"/>
    <w:rsid w:val="00EA30A2"/>
    <w:rsid w:val="00EA3F5D"/>
    <w:rsid w:val="00EA404A"/>
    <w:rsid w:val="00EA4293"/>
    <w:rsid w:val="00EA4664"/>
    <w:rsid w:val="00EA488B"/>
    <w:rsid w:val="00EA497F"/>
    <w:rsid w:val="00EA4C3A"/>
    <w:rsid w:val="00EA54E3"/>
    <w:rsid w:val="00EA5BDD"/>
    <w:rsid w:val="00EA5DB9"/>
    <w:rsid w:val="00EA6972"/>
    <w:rsid w:val="00EA6F04"/>
    <w:rsid w:val="00EA7022"/>
    <w:rsid w:val="00EA74C5"/>
    <w:rsid w:val="00EA7AEE"/>
    <w:rsid w:val="00EA7BDF"/>
    <w:rsid w:val="00EB00AF"/>
    <w:rsid w:val="00EB05EC"/>
    <w:rsid w:val="00EB072F"/>
    <w:rsid w:val="00EB0E89"/>
    <w:rsid w:val="00EB0FB0"/>
    <w:rsid w:val="00EB1676"/>
    <w:rsid w:val="00EB1C49"/>
    <w:rsid w:val="00EB211B"/>
    <w:rsid w:val="00EB2670"/>
    <w:rsid w:val="00EB2933"/>
    <w:rsid w:val="00EB2A9C"/>
    <w:rsid w:val="00EB3094"/>
    <w:rsid w:val="00EB34DE"/>
    <w:rsid w:val="00EB3700"/>
    <w:rsid w:val="00EB3BAA"/>
    <w:rsid w:val="00EB3D20"/>
    <w:rsid w:val="00EB3F75"/>
    <w:rsid w:val="00EB4182"/>
    <w:rsid w:val="00EB4C48"/>
    <w:rsid w:val="00EB50B2"/>
    <w:rsid w:val="00EB53CE"/>
    <w:rsid w:val="00EB5D64"/>
    <w:rsid w:val="00EB636A"/>
    <w:rsid w:val="00EB63B4"/>
    <w:rsid w:val="00EB6636"/>
    <w:rsid w:val="00EB66A4"/>
    <w:rsid w:val="00EB6A47"/>
    <w:rsid w:val="00EC00B0"/>
    <w:rsid w:val="00EC086A"/>
    <w:rsid w:val="00EC0B40"/>
    <w:rsid w:val="00EC0BD0"/>
    <w:rsid w:val="00EC13E6"/>
    <w:rsid w:val="00EC183B"/>
    <w:rsid w:val="00EC1A39"/>
    <w:rsid w:val="00EC1DBE"/>
    <w:rsid w:val="00EC1FA2"/>
    <w:rsid w:val="00EC215F"/>
    <w:rsid w:val="00EC2E97"/>
    <w:rsid w:val="00EC2F98"/>
    <w:rsid w:val="00EC32CF"/>
    <w:rsid w:val="00EC3319"/>
    <w:rsid w:val="00EC3438"/>
    <w:rsid w:val="00EC352D"/>
    <w:rsid w:val="00EC3A5D"/>
    <w:rsid w:val="00EC3B3F"/>
    <w:rsid w:val="00EC43D7"/>
    <w:rsid w:val="00EC4463"/>
    <w:rsid w:val="00EC49BB"/>
    <w:rsid w:val="00EC4E89"/>
    <w:rsid w:val="00EC4EDB"/>
    <w:rsid w:val="00EC5537"/>
    <w:rsid w:val="00EC55DE"/>
    <w:rsid w:val="00EC57F9"/>
    <w:rsid w:val="00EC5EBA"/>
    <w:rsid w:val="00EC652E"/>
    <w:rsid w:val="00EC67F3"/>
    <w:rsid w:val="00EC68BD"/>
    <w:rsid w:val="00EC6A73"/>
    <w:rsid w:val="00EC6BCD"/>
    <w:rsid w:val="00EC6BE2"/>
    <w:rsid w:val="00EC6D52"/>
    <w:rsid w:val="00EC6E59"/>
    <w:rsid w:val="00EC7163"/>
    <w:rsid w:val="00EC7668"/>
    <w:rsid w:val="00EC78E4"/>
    <w:rsid w:val="00EC7CFD"/>
    <w:rsid w:val="00EC7D92"/>
    <w:rsid w:val="00ED0BF6"/>
    <w:rsid w:val="00ED1107"/>
    <w:rsid w:val="00ED1266"/>
    <w:rsid w:val="00ED197C"/>
    <w:rsid w:val="00ED229A"/>
    <w:rsid w:val="00ED25F7"/>
    <w:rsid w:val="00ED28C4"/>
    <w:rsid w:val="00ED2A9C"/>
    <w:rsid w:val="00ED2FBC"/>
    <w:rsid w:val="00ED3700"/>
    <w:rsid w:val="00ED3A49"/>
    <w:rsid w:val="00ED3D9C"/>
    <w:rsid w:val="00ED41B9"/>
    <w:rsid w:val="00ED47FB"/>
    <w:rsid w:val="00ED56CF"/>
    <w:rsid w:val="00ED5BEA"/>
    <w:rsid w:val="00ED6890"/>
    <w:rsid w:val="00ED68EC"/>
    <w:rsid w:val="00ED6951"/>
    <w:rsid w:val="00ED6F72"/>
    <w:rsid w:val="00ED6FA4"/>
    <w:rsid w:val="00ED70EB"/>
    <w:rsid w:val="00ED7C04"/>
    <w:rsid w:val="00EE0437"/>
    <w:rsid w:val="00EE0795"/>
    <w:rsid w:val="00EE0A84"/>
    <w:rsid w:val="00EE0B48"/>
    <w:rsid w:val="00EE1323"/>
    <w:rsid w:val="00EE13CC"/>
    <w:rsid w:val="00EE25CB"/>
    <w:rsid w:val="00EE2A06"/>
    <w:rsid w:val="00EE2BA3"/>
    <w:rsid w:val="00EE3435"/>
    <w:rsid w:val="00EE3860"/>
    <w:rsid w:val="00EE3AF4"/>
    <w:rsid w:val="00EE3B4F"/>
    <w:rsid w:val="00EE3C1A"/>
    <w:rsid w:val="00EE3C9B"/>
    <w:rsid w:val="00EE3CAD"/>
    <w:rsid w:val="00EE3D44"/>
    <w:rsid w:val="00EE4472"/>
    <w:rsid w:val="00EE48AA"/>
    <w:rsid w:val="00EE4BF1"/>
    <w:rsid w:val="00EE4D31"/>
    <w:rsid w:val="00EE510D"/>
    <w:rsid w:val="00EE5B50"/>
    <w:rsid w:val="00EE5E63"/>
    <w:rsid w:val="00EE5EAC"/>
    <w:rsid w:val="00EE62C0"/>
    <w:rsid w:val="00EE6820"/>
    <w:rsid w:val="00EE73AD"/>
    <w:rsid w:val="00EE7480"/>
    <w:rsid w:val="00EE77A8"/>
    <w:rsid w:val="00EE7E10"/>
    <w:rsid w:val="00EE7EFD"/>
    <w:rsid w:val="00EF0271"/>
    <w:rsid w:val="00EF088B"/>
    <w:rsid w:val="00EF08D4"/>
    <w:rsid w:val="00EF0AE7"/>
    <w:rsid w:val="00EF1188"/>
    <w:rsid w:val="00EF1402"/>
    <w:rsid w:val="00EF1A0C"/>
    <w:rsid w:val="00EF1A59"/>
    <w:rsid w:val="00EF1C26"/>
    <w:rsid w:val="00EF1E6F"/>
    <w:rsid w:val="00EF20A6"/>
    <w:rsid w:val="00EF20F2"/>
    <w:rsid w:val="00EF249F"/>
    <w:rsid w:val="00EF26DC"/>
    <w:rsid w:val="00EF2C8E"/>
    <w:rsid w:val="00EF2C98"/>
    <w:rsid w:val="00EF31FA"/>
    <w:rsid w:val="00EF35C8"/>
    <w:rsid w:val="00EF35FE"/>
    <w:rsid w:val="00EF466D"/>
    <w:rsid w:val="00EF4C0D"/>
    <w:rsid w:val="00EF4F82"/>
    <w:rsid w:val="00EF54C8"/>
    <w:rsid w:val="00EF564C"/>
    <w:rsid w:val="00EF5E23"/>
    <w:rsid w:val="00EF612D"/>
    <w:rsid w:val="00EF61AF"/>
    <w:rsid w:val="00EF6213"/>
    <w:rsid w:val="00EF63F7"/>
    <w:rsid w:val="00EF6A42"/>
    <w:rsid w:val="00EF6AE3"/>
    <w:rsid w:val="00EF6EAE"/>
    <w:rsid w:val="00EF72E1"/>
    <w:rsid w:val="00EF74B9"/>
    <w:rsid w:val="00EF77C6"/>
    <w:rsid w:val="00EF7BA8"/>
    <w:rsid w:val="00F00305"/>
    <w:rsid w:val="00F004CD"/>
    <w:rsid w:val="00F00738"/>
    <w:rsid w:val="00F0087A"/>
    <w:rsid w:val="00F01BDF"/>
    <w:rsid w:val="00F01CDC"/>
    <w:rsid w:val="00F021D0"/>
    <w:rsid w:val="00F025CB"/>
    <w:rsid w:val="00F027DB"/>
    <w:rsid w:val="00F03114"/>
    <w:rsid w:val="00F03CD4"/>
    <w:rsid w:val="00F04146"/>
    <w:rsid w:val="00F0417B"/>
    <w:rsid w:val="00F041F0"/>
    <w:rsid w:val="00F043EA"/>
    <w:rsid w:val="00F04965"/>
    <w:rsid w:val="00F04A28"/>
    <w:rsid w:val="00F04CFF"/>
    <w:rsid w:val="00F04DF0"/>
    <w:rsid w:val="00F04E6C"/>
    <w:rsid w:val="00F05516"/>
    <w:rsid w:val="00F05657"/>
    <w:rsid w:val="00F057BE"/>
    <w:rsid w:val="00F05A39"/>
    <w:rsid w:val="00F05A5E"/>
    <w:rsid w:val="00F05A8A"/>
    <w:rsid w:val="00F05AE7"/>
    <w:rsid w:val="00F05C56"/>
    <w:rsid w:val="00F05CC4"/>
    <w:rsid w:val="00F05D12"/>
    <w:rsid w:val="00F05D15"/>
    <w:rsid w:val="00F06472"/>
    <w:rsid w:val="00F06562"/>
    <w:rsid w:val="00F076DA"/>
    <w:rsid w:val="00F100D0"/>
    <w:rsid w:val="00F10B77"/>
    <w:rsid w:val="00F10BF1"/>
    <w:rsid w:val="00F110BF"/>
    <w:rsid w:val="00F1197F"/>
    <w:rsid w:val="00F11A44"/>
    <w:rsid w:val="00F11CC8"/>
    <w:rsid w:val="00F11D26"/>
    <w:rsid w:val="00F13097"/>
    <w:rsid w:val="00F13424"/>
    <w:rsid w:val="00F1344A"/>
    <w:rsid w:val="00F13CFB"/>
    <w:rsid w:val="00F142DF"/>
    <w:rsid w:val="00F14847"/>
    <w:rsid w:val="00F14947"/>
    <w:rsid w:val="00F14BA2"/>
    <w:rsid w:val="00F14C86"/>
    <w:rsid w:val="00F14EC6"/>
    <w:rsid w:val="00F15083"/>
    <w:rsid w:val="00F1592F"/>
    <w:rsid w:val="00F15C63"/>
    <w:rsid w:val="00F15EF4"/>
    <w:rsid w:val="00F1641D"/>
    <w:rsid w:val="00F167A3"/>
    <w:rsid w:val="00F16C17"/>
    <w:rsid w:val="00F1714F"/>
    <w:rsid w:val="00F172AD"/>
    <w:rsid w:val="00F17AC9"/>
    <w:rsid w:val="00F2022F"/>
    <w:rsid w:val="00F20244"/>
    <w:rsid w:val="00F2092C"/>
    <w:rsid w:val="00F20C5C"/>
    <w:rsid w:val="00F20CDF"/>
    <w:rsid w:val="00F20EF4"/>
    <w:rsid w:val="00F211D8"/>
    <w:rsid w:val="00F2126A"/>
    <w:rsid w:val="00F21499"/>
    <w:rsid w:val="00F21FDE"/>
    <w:rsid w:val="00F22235"/>
    <w:rsid w:val="00F2275F"/>
    <w:rsid w:val="00F227C7"/>
    <w:rsid w:val="00F22A85"/>
    <w:rsid w:val="00F22BC4"/>
    <w:rsid w:val="00F22DD5"/>
    <w:rsid w:val="00F22EC7"/>
    <w:rsid w:val="00F22F9F"/>
    <w:rsid w:val="00F2320F"/>
    <w:rsid w:val="00F23A83"/>
    <w:rsid w:val="00F23B3F"/>
    <w:rsid w:val="00F23D65"/>
    <w:rsid w:val="00F23E8B"/>
    <w:rsid w:val="00F24923"/>
    <w:rsid w:val="00F24BD8"/>
    <w:rsid w:val="00F24E5C"/>
    <w:rsid w:val="00F254E2"/>
    <w:rsid w:val="00F255B3"/>
    <w:rsid w:val="00F2562E"/>
    <w:rsid w:val="00F25910"/>
    <w:rsid w:val="00F25EE2"/>
    <w:rsid w:val="00F261FC"/>
    <w:rsid w:val="00F2632A"/>
    <w:rsid w:val="00F26FB2"/>
    <w:rsid w:val="00F2735C"/>
    <w:rsid w:val="00F302D2"/>
    <w:rsid w:val="00F30355"/>
    <w:rsid w:val="00F30782"/>
    <w:rsid w:val="00F313BF"/>
    <w:rsid w:val="00F31506"/>
    <w:rsid w:val="00F31A8D"/>
    <w:rsid w:val="00F31B10"/>
    <w:rsid w:val="00F320C3"/>
    <w:rsid w:val="00F32153"/>
    <w:rsid w:val="00F32433"/>
    <w:rsid w:val="00F3277B"/>
    <w:rsid w:val="00F327FA"/>
    <w:rsid w:val="00F32CBB"/>
    <w:rsid w:val="00F33403"/>
    <w:rsid w:val="00F33B05"/>
    <w:rsid w:val="00F33E66"/>
    <w:rsid w:val="00F340BF"/>
    <w:rsid w:val="00F3431A"/>
    <w:rsid w:val="00F34ABE"/>
    <w:rsid w:val="00F3524D"/>
    <w:rsid w:val="00F35259"/>
    <w:rsid w:val="00F353EC"/>
    <w:rsid w:val="00F35659"/>
    <w:rsid w:val="00F35AD6"/>
    <w:rsid w:val="00F35B70"/>
    <w:rsid w:val="00F365A5"/>
    <w:rsid w:val="00F366CB"/>
    <w:rsid w:val="00F36EB7"/>
    <w:rsid w:val="00F36FCD"/>
    <w:rsid w:val="00F3734B"/>
    <w:rsid w:val="00F377C1"/>
    <w:rsid w:val="00F40099"/>
    <w:rsid w:val="00F40138"/>
    <w:rsid w:val="00F402AC"/>
    <w:rsid w:val="00F4069A"/>
    <w:rsid w:val="00F40826"/>
    <w:rsid w:val="00F409BD"/>
    <w:rsid w:val="00F40C00"/>
    <w:rsid w:val="00F40F51"/>
    <w:rsid w:val="00F41276"/>
    <w:rsid w:val="00F419B1"/>
    <w:rsid w:val="00F41A41"/>
    <w:rsid w:val="00F41D54"/>
    <w:rsid w:val="00F4201F"/>
    <w:rsid w:val="00F42217"/>
    <w:rsid w:val="00F4269A"/>
    <w:rsid w:val="00F42A5D"/>
    <w:rsid w:val="00F42E99"/>
    <w:rsid w:val="00F434EA"/>
    <w:rsid w:val="00F434FC"/>
    <w:rsid w:val="00F4369F"/>
    <w:rsid w:val="00F436AB"/>
    <w:rsid w:val="00F43C48"/>
    <w:rsid w:val="00F43F01"/>
    <w:rsid w:val="00F44319"/>
    <w:rsid w:val="00F444AE"/>
    <w:rsid w:val="00F445E3"/>
    <w:rsid w:val="00F44A16"/>
    <w:rsid w:val="00F4556D"/>
    <w:rsid w:val="00F4570D"/>
    <w:rsid w:val="00F45785"/>
    <w:rsid w:val="00F45822"/>
    <w:rsid w:val="00F45931"/>
    <w:rsid w:val="00F45E2A"/>
    <w:rsid w:val="00F46054"/>
    <w:rsid w:val="00F460F0"/>
    <w:rsid w:val="00F461EE"/>
    <w:rsid w:val="00F4697F"/>
    <w:rsid w:val="00F469FA"/>
    <w:rsid w:val="00F46A7A"/>
    <w:rsid w:val="00F46B41"/>
    <w:rsid w:val="00F46B8C"/>
    <w:rsid w:val="00F46E97"/>
    <w:rsid w:val="00F4704D"/>
    <w:rsid w:val="00F4750B"/>
    <w:rsid w:val="00F47943"/>
    <w:rsid w:val="00F47C89"/>
    <w:rsid w:val="00F47DFD"/>
    <w:rsid w:val="00F501BF"/>
    <w:rsid w:val="00F502D4"/>
    <w:rsid w:val="00F504D6"/>
    <w:rsid w:val="00F5114A"/>
    <w:rsid w:val="00F515AB"/>
    <w:rsid w:val="00F52661"/>
    <w:rsid w:val="00F53A59"/>
    <w:rsid w:val="00F53E03"/>
    <w:rsid w:val="00F54A87"/>
    <w:rsid w:val="00F54ABE"/>
    <w:rsid w:val="00F5511B"/>
    <w:rsid w:val="00F55439"/>
    <w:rsid w:val="00F55864"/>
    <w:rsid w:val="00F55A0F"/>
    <w:rsid w:val="00F55BDC"/>
    <w:rsid w:val="00F55CC1"/>
    <w:rsid w:val="00F55DDA"/>
    <w:rsid w:val="00F56351"/>
    <w:rsid w:val="00F56BAC"/>
    <w:rsid w:val="00F56D35"/>
    <w:rsid w:val="00F56D99"/>
    <w:rsid w:val="00F572C9"/>
    <w:rsid w:val="00F57455"/>
    <w:rsid w:val="00F576B5"/>
    <w:rsid w:val="00F601AC"/>
    <w:rsid w:val="00F60578"/>
    <w:rsid w:val="00F606D2"/>
    <w:rsid w:val="00F609A7"/>
    <w:rsid w:val="00F60B2F"/>
    <w:rsid w:val="00F60B67"/>
    <w:rsid w:val="00F60C0E"/>
    <w:rsid w:val="00F60E33"/>
    <w:rsid w:val="00F60F46"/>
    <w:rsid w:val="00F61397"/>
    <w:rsid w:val="00F615CC"/>
    <w:rsid w:val="00F617B2"/>
    <w:rsid w:val="00F620FC"/>
    <w:rsid w:val="00F623A3"/>
    <w:rsid w:val="00F6331B"/>
    <w:rsid w:val="00F638DD"/>
    <w:rsid w:val="00F63957"/>
    <w:rsid w:val="00F63A9A"/>
    <w:rsid w:val="00F63BC2"/>
    <w:rsid w:val="00F6414D"/>
    <w:rsid w:val="00F64B91"/>
    <w:rsid w:val="00F64DBD"/>
    <w:rsid w:val="00F6513F"/>
    <w:rsid w:val="00F65745"/>
    <w:rsid w:val="00F65884"/>
    <w:rsid w:val="00F65AE3"/>
    <w:rsid w:val="00F661EA"/>
    <w:rsid w:val="00F669E5"/>
    <w:rsid w:val="00F66AE6"/>
    <w:rsid w:val="00F66C97"/>
    <w:rsid w:val="00F67100"/>
    <w:rsid w:val="00F67110"/>
    <w:rsid w:val="00F6711F"/>
    <w:rsid w:val="00F6727D"/>
    <w:rsid w:val="00F675CC"/>
    <w:rsid w:val="00F678E9"/>
    <w:rsid w:val="00F67C88"/>
    <w:rsid w:val="00F7020B"/>
    <w:rsid w:val="00F70F64"/>
    <w:rsid w:val="00F70FC0"/>
    <w:rsid w:val="00F7152F"/>
    <w:rsid w:val="00F71553"/>
    <w:rsid w:val="00F71B4B"/>
    <w:rsid w:val="00F72173"/>
    <w:rsid w:val="00F72707"/>
    <w:rsid w:val="00F72C96"/>
    <w:rsid w:val="00F72EB3"/>
    <w:rsid w:val="00F73246"/>
    <w:rsid w:val="00F73A9D"/>
    <w:rsid w:val="00F73BD0"/>
    <w:rsid w:val="00F73F04"/>
    <w:rsid w:val="00F74555"/>
    <w:rsid w:val="00F747D4"/>
    <w:rsid w:val="00F74AFF"/>
    <w:rsid w:val="00F756A3"/>
    <w:rsid w:val="00F761A0"/>
    <w:rsid w:val="00F76493"/>
    <w:rsid w:val="00F766D8"/>
    <w:rsid w:val="00F768FC"/>
    <w:rsid w:val="00F76B2B"/>
    <w:rsid w:val="00F77050"/>
    <w:rsid w:val="00F7732B"/>
    <w:rsid w:val="00F774CD"/>
    <w:rsid w:val="00F77A5F"/>
    <w:rsid w:val="00F77E8D"/>
    <w:rsid w:val="00F77FAC"/>
    <w:rsid w:val="00F8033F"/>
    <w:rsid w:val="00F8043C"/>
    <w:rsid w:val="00F806D7"/>
    <w:rsid w:val="00F8089B"/>
    <w:rsid w:val="00F80A6E"/>
    <w:rsid w:val="00F80CA8"/>
    <w:rsid w:val="00F80E80"/>
    <w:rsid w:val="00F80F1D"/>
    <w:rsid w:val="00F8137C"/>
    <w:rsid w:val="00F813C4"/>
    <w:rsid w:val="00F81992"/>
    <w:rsid w:val="00F8199E"/>
    <w:rsid w:val="00F81CDC"/>
    <w:rsid w:val="00F81EC9"/>
    <w:rsid w:val="00F82659"/>
    <w:rsid w:val="00F82919"/>
    <w:rsid w:val="00F829D8"/>
    <w:rsid w:val="00F82F2C"/>
    <w:rsid w:val="00F82FE7"/>
    <w:rsid w:val="00F83338"/>
    <w:rsid w:val="00F833F1"/>
    <w:rsid w:val="00F83582"/>
    <w:rsid w:val="00F83E2F"/>
    <w:rsid w:val="00F845E2"/>
    <w:rsid w:val="00F84CE0"/>
    <w:rsid w:val="00F852A7"/>
    <w:rsid w:val="00F852AA"/>
    <w:rsid w:val="00F85446"/>
    <w:rsid w:val="00F85595"/>
    <w:rsid w:val="00F857CB"/>
    <w:rsid w:val="00F85E42"/>
    <w:rsid w:val="00F85FDD"/>
    <w:rsid w:val="00F8608F"/>
    <w:rsid w:val="00F862EC"/>
    <w:rsid w:val="00F862F8"/>
    <w:rsid w:val="00F863A8"/>
    <w:rsid w:val="00F8672E"/>
    <w:rsid w:val="00F86A78"/>
    <w:rsid w:val="00F875B9"/>
    <w:rsid w:val="00F875C3"/>
    <w:rsid w:val="00F87722"/>
    <w:rsid w:val="00F87A6B"/>
    <w:rsid w:val="00F90882"/>
    <w:rsid w:val="00F90D20"/>
    <w:rsid w:val="00F90D7E"/>
    <w:rsid w:val="00F917E0"/>
    <w:rsid w:val="00F917F1"/>
    <w:rsid w:val="00F91810"/>
    <w:rsid w:val="00F91BC6"/>
    <w:rsid w:val="00F92164"/>
    <w:rsid w:val="00F921FD"/>
    <w:rsid w:val="00F92C05"/>
    <w:rsid w:val="00F92F4D"/>
    <w:rsid w:val="00F934A2"/>
    <w:rsid w:val="00F93AB9"/>
    <w:rsid w:val="00F93EC2"/>
    <w:rsid w:val="00F941F1"/>
    <w:rsid w:val="00F94224"/>
    <w:rsid w:val="00F942EB"/>
    <w:rsid w:val="00F94904"/>
    <w:rsid w:val="00F95065"/>
    <w:rsid w:val="00F959EA"/>
    <w:rsid w:val="00F95B08"/>
    <w:rsid w:val="00F95D1E"/>
    <w:rsid w:val="00F95E81"/>
    <w:rsid w:val="00F95EFD"/>
    <w:rsid w:val="00F960CA"/>
    <w:rsid w:val="00F961BF"/>
    <w:rsid w:val="00F965EC"/>
    <w:rsid w:val="00F96846"/>
    <w:rsid w:val="00F96EA1"/>
    <w:rsid w:val="00F96F19"/>
    <w:rsid w:val="00F96F2C"/>
    <w:rsid w:val="00F970A6"/>
    <w:rsid w:val="00F97299"/>
    <w:rsid w:val="00F97510"/>
    <w:rsid w:val="00F97988"/>
    <w:rsid w:val="00F97BFB"/>
    <w:rsid w:val="00FA0074"/>
    <w:rsid w:val="00FA075C"/>
    <w:rsid w:val="00FA09EF"/>
    <w:rsid w:val="00FA1743"/>
    <w:rsid w:val="00FA20BD"/>
    <w:rsid w:val="00FA2253"/>
    <w:rsid w:val="00FA22D0"/>
    <w:rsid w:val="00FA2355"/>
    <w:rsid w:val="00FA2EB1"/>
    <w:rsid w:val="00FA31FF"/>
    <w:rsid w:val="00FA34B9"/>
    <w:rsid w:val="00FA3736"/>
    <w:rsid w:val="00FA3C43"/>
    <w:rsid w:val="00FA3D34"/>
    <w:rsid w:val="00FA3D5D"/>
    <w:rsid w:val="00FA3D9B"/>
    <w:rsid w:val="00FA3FF8"/>
    <w:rsid w:val="00FA4320"/>
    <w:rsid w:val="00FA5508"/>
    <w:rsid w:val="00FA55D7"/>
    <w:rsid w:val="00FA568A"/>
    <w:rsid w:val="00FA57BF"/>
    <w:rsid w:val="00FA644E"/>
    <w:rsid w:val="00FA66D9"/>
    <w:rsid w:val="00FA6F49"/>
    <w:rsid w:val="00FA6FEC"/>
    <w:rsid w:val="00FA74BF"/>
    <w:rsid w:val="00FA77A5"/>
    <w:rsid w:val="00FB016C"/>
    <w:rsid w:val="00FB01A6"/>
    <w:rsid w:val="00FB0259"/>
    <w:rsid w:val="00FB042A"/>
    <w:rsid w:val="00FB0F59"/>
    <w:rsid w:val="00FB1644"/>
    <w:rsid w:val="00FB179C"/>
    <w:rsid w:val="00FB1AAD"/>
    <w:rsid w:val="00FB1BDB"/>
    <w:rsid w:val="00FB1D8A"/>
    <w:rsid w:val="00FB2247"/>
    <w:rsid w:val="00FB252A"/>
    <w:rsid w:val="00FB2F86"/>
    <w:rsid w:val="00FB308A"/>
    <w:rsid w:val="00FB3129"/>
    <w:rsid w:val="00FB32E0"/>
    <w:rsid w:val="00FB3349"/>
    <w:rsid w:val="00FB342E"/>
    <w:rsid w:val="00FB3741"/>
    <w:rsid w:val="00FB3BE5"/>
    <w:rsid w:val="00FB452C"/>
    <w:rsid w:val="00FB4870"/>
    <w:rsid w:val="00FB49C5"/>
    <w:rsid w:val="00FB4A7E"/>
    <w:rsid w:val="00FB52D4"/>
    <w:rsid w:val="00FB5578"/>
    <w:rsid w:val="00FB57ED"/>
    <w:rsid w:val="00FB5A89"/>
    <w:rsid w:val="00FB5C17"/>
    <w:rsid w:val="00FB5E5F"/>
    <w:rsid w:val="00FB66E7"/>
    <w:rsid w:val="00FB6777"/>
    <w:rsid w:val="00FB6B8B"/>
    <w:rsid w:val="00FB6DAB"/>
    <w:rsid w:val="00FB6F93"/>
    <w:rsid w:val="00FB6FDC"/>
    <w:rsid w:val="00FB725B"/>
    <w:rsid w:val="00FB785B"/>
    <w:rsid w:val="00FB7912"/>
    <w:rsid w:val="00FB7ADD"/>
    <w:rsid w:val="00FC07C0"/>
    <w:rsid w:val="00FC0DB2"/>
    <w:rsid w:val="00FC1309"/>
    <w:rsid w:val="00FC17FE"/>
    <w:rsid w:val="00FC18BF"/>
    <w:rsid w:val="00FC193C"/>
    <w:rsid w:val="00FC1B0D"/>
    <w:rsid w:val="00FC1DA3"/>
    <w:rsid w:val="00FC23B4"/>
    <w:rsid w:val="00FC29BE"/>
    <w:rsid w:val="00FC2B29"/>
    <w:rsid w:val="00FC2F86"/>
    <w:rsid w:val="00FC3A76"/>
    <w:rsid w:val="00FC3AB6"/>
    <w:rsid w:val="00FC3B28"/>
    <w:rsid w:val="00FC3E1E"/>
    <w:rsid w:val="00FC42AB"/>
    <w:rsid w:val="00FC4857"/>
    <w:rsid w:val="00FC4977"/>
    <w:rsid w:val="00FC575D"/>
    <w:rsid w:val="00FC621C"/>
    <w:rsid w:val="00FC625C"/>
    <w:rsid w:val="00FC6690"/>
    <w:rsid w:val="00FC67C1"/>
    <w:rsid w:val="00FC6E69"/>
    <w:rsid w:val="00FC72DB"/>
    <w:rsid w:val="00FC7803"/>
    <w:rsid w:val="00FC78E4"/>
    <w:rsid w:val="00FC7CFB"/>
    <w:rsid w:val="00FC7DDF"/>
    <w:rsid w:val="00FD041A"/>
    <w:rsid w:val="00FD0DB3"/>
    <w:rsid w:val="00FD1032"/>
    <w:rsid w:val="00FD103F"/>
    <w:rsid w:val="00FD10DA"/>
    <w:rsid w:val="00FD1260"/>
    <w:rsid w:val="00FD1798"/>
    <w:rsid w:val="00FD1913"/>
    <w:rsid w:val="00FD1A1C"/>
    <w:rsid w:val="00FD202D"/>
    <w:rsid w:val="00FD2259"/>
    <w:rsid w:val="00FD22FA"/>
    <w:rsid w:val="00FD2A6F"/>
    <w:rsid w:val="00FD36D5"/>
    <w:rsid w:val="00FD3727"/>
    <w:rsid w:val="00FD3A38"/>
    <w:rsid w:val="00FD5062"/>
    <w:rsid w:val="00FD514C"/>
    <w:rsid w:val="00FD5316"/>
    <w:rsid w:val="00FD58E1"/>
    <w:rsid w:val="00FD5958"/>
    <w:rsid w:val="00FD5FB8"/>
    <w:rsid w:val="00FD6162"/>
    <w:rsid w:val="00FD68AA"/>
    <w:rsid w:val="00FD692B"/>
    <w:rsid w:val="00FD6B99"/>
    <w:rsid w:val="00FD6C14"/>
    <w:rsid w:val="00FD6CE1"/>
    <w:rsid w:val="00FD6E22"/>
    <w:rsid w:val="00FD7052"/>
    <w:rsid w:val="00FD7877"/>
    <w:rsid w:val="00FD7953"/>
    <w:rsid w:val="00FD7C5F"/>
    <w:rsid w:val="00FD7E58"/>
    <w:rsid w:val="00FD7E8C"/>
    <w:rsid w:val="00FD7F93"/>
    <w:rsid w:val="00FE0453"/>
    <w:rsid w:val="00FE05A2"/>
    <w:rsid w:val="00FE0DEC"/>
    <w:rsid w:val="00FE0F0B"/>
    <w:rsid w:val="00FE19B3"/>
    <w:rsid w:val="00FE2078"/>
    <w:rsid w:val="00FE24B0"/>
    <w:rsid w:val="00FE28CE"/>
    <w:rsid w:val="00FE2AFB"/>
    <w:rsid w:val="00FE2C5F"/>
    <w:rsid w:val="00FE2D39"/>
    <w:rsid w:val="00FE2DAE"/>
    <w:rsid w:val="00FE363B"/>
    <w:rsid w:val="00FE3825"/>
    <w:rsid w:val="00FE3C51"/>
    <w:rsid w:val="00FE3CE8"/>
    <w:rsid w:val="00FE3EC1"/>
    <w:rsid w:val="00FE449C"/>
    <w:rsid w:val="00FE4761"/>
    <w:rsid w:val="00FE47F2"/>
    <w:rsid w:val="00FE50CC"/>
    <w:rsid w:val="00FE518A"/>
    <w:rsid w:val="00FE5680"/>
    <w:rsid w:val="00FE5CB0"/>
    <w:rsid w:val="00FE5F7A"/>
    <w:rsid w:val="00FE6399"/>
    <w:rsid w:val="00FE65F5"/>
    <w:rsid w:val="00FE7002"/>
    <w:rsid w:val="00FE71E6"/>
    <w:rsid w:val="00FE73C9"/>
    <w:rsid w:val="00FE7584"/>
    <w:rsid w:val="00FE77D8"/>
    <w:rsid w:val="00FE7D51"/>
    <w:rsid w:val="00FE7E2A"/>
    <w:rsid w:val="00FF00B6"/>
    <w:rsid w:val="00FF047C"/>
    <w:rsid w:val="00FF0882"/>
    <w:rsid w:val="00FF0A7A"/>
    <w:rsid w:val="00FF0CC0"/>
    <w:rsid w:val="00FF0D88"/>
    <w:rsid w:val="00FF0E61"/>
    <w:rsid w:val="00FF1527"/>
    <w:rsid w:val="00FF153D"/>
    <w:rsid w:val="00FF16C4"/>
    <w:rsid w:val="00FF1759"/>
    <w:rsid w:val="00FF217E"/>
    <w:rsid w:val="00FF22CC"/>
    <w:rsid w:val="00FF28B8"/>
    <w:rsid w:val="00FF2A68"/>
    <w:rsid w:val="00FF2D1A"/>
    <w:rsid w:val="00FF342F"/>
    <w:rsid w:val="00FF345D"/>
    <w:rsid w:val="00FF3678"/>
    <w:rsid w:val="00FF3F56"/>
    <w:rsid w:val="00FF43C2"/>
    <w:rsid w:val="00FF4650"/>
    <w:rsid w:val="00FF46CB"/>
    <w:rsid w:val="00FF476E"/>
    <w:rsid w:val="00FF4828"/>
    <w:rsid w:val="00FF48B6"/>
    <w:rsid w:val="00FF4905"/>
    <w:rsid w:val="00FF49A2"/>
    <w:rsid w:val="00FF4C87"/>
    <w:rsid w:val="00FF504A"/>
    <w:rsid w:val="00FF5A71"/>
    <w:rsid w:val="00FF5F3B"/>
    <w:rsid w:val="00FF6044"/>
    <w:rsid w:val="00FF618A"/>
    <w:rsid w:val="00FF6194"/>
    <w:rsid w:val="00FF6589"/>
    <w:rsid w:val="00FF663F"/>
    <w:rsid w:val="00FF6E02"/>
    <w:rsid w:val="00FF6EB5"/>
    <w:rsid w:val="00FF76A7"/>
    <w:rsid w:val="00FF77CC"/>
    <w:rsid w:val="00FF7AD3"/>
    <w:rsid w:val="010A2764"/>
    <w:rsid w:val="013B6E86"/>
    <w:rsid w:val="0151FDA5"/>
    <w:rsid w:val="01770538"/>
    <w:rsid w:val="01A23EB5"/>
    <w:rsid w:val="01B0E16D"/>
    <w:rsid w:val="01BD2DBB"/>
    <w:rsid w:val="01C1F568"/>
    <w:rsid w:val="01C2BC25"/>
    <w:rsid w:val="01C8F7D9"/>
    <w:rsid w:val="01D25035"/>
    <w:rsid w:val="0213CD84"/>
    <w:rsid w:val="022511B3"/>
    <w:rsid w:val="02280AB2"/>
    <w:rsid w:val="024A986D"/>
    <w:rsid w:val="025709DE"/>
    <w:rsid w:val="025BF9D6"/>
    <w:rsid w:val="025DBE8B"/>
    <w:rsid w:val="02697438"/>
    <w:rsid w:val="02854687"/>
    <w:rsid w:val="02A31353"/>
    <w:rsid w:val="02D8C5F5"/>
    <w:rsid w:val="02F1C195"/>
    <w:rsid w:val="02F71E1F"/>
    <w:rsid w:val="0310029A"/>
    <w:rsid w:val="031013F6"/>
    <w:rsid w:val="033044A3"/>
    <w:rsid w:val="03459BC6"/>
    <w:rsid w:val="034B15B6"/>
    <w:rsid w:val="035E87F6"/>
    <w:rsid w:val="0387A710"/>
    <w:rsid w:val="0390F0E0"/>
    <w:rsid w:val="03976550"/>
    <w:rsid w:val="03A9C5DB"/>
    <w:rsid w:val="03B797E4"/>
    <w:rsid w:val="03B959D4"/>
    <w:rsid w:val="03C8B48C"/>
    <w:rsid w:val="03D64E46"/>
    <w:rsid w:val="03ED3FC1"/>
    <w:rsid w:val="03EE8DC6"/>
    <w:rsid w:val="041FB76D"/>
    <w:rsid w:val="042B8EBF"/>
    <w:rsid w:val="044BB7E8"/>
    <w:rsid w:val="0450480E"/>
    <w:rsid w:val="0458DDF0"/>
    <w:rsid w:val="04652A4A"/>
    <w:rsid w:val="0479BA89"/>
    <w:rsid w:val="0490E4FD"/>
    <w:rsid w:val="04C6C3AE"/>
    <w:rsid w:val="04CDEBF8"/>
    <w:rsid w:val="0513ECEC"/>
    <w:rsid w:val="05148E25"/>
    <w:rsid w:val="051860A4"/>
    <w:rsid w:val="0539596B"/>
    <w:rsid w:val="055A4CA2"/>
    <w:rsid w:val="05812218"/>
    <w:rsid w:val="058BC0CA"/>
    <w:rsid w:val="0593209B"/>
    <w:rsid w:val="059FD053"/>
    <w:rsid w:val="05BEF733"/>
    <w:rsid w:val="05E214EA"/>
    <w:rsid w:val="05EC4828"/>
    <w:rsid w:val="05FCD86B"/>
    <w:rsid w:val="0648BA80"/>
    <w:rsid w:val="0648EB2D"/>
    <w:rsid w:val="066F35AC"/>
    <w:rsid w:val="0675D0A2"/>
    <w:rsid w:val="067C55DF"/>
    <w:rsid w:val="06B8C396"/>
    <w:rsid w:val="06BA6645"/>
    <w:rsid w:val="06D82EDF"/>
    <w:rsid w:val="06D914F5"/>
    <w:rsid w:val="06DC96AF"/>
    <w:rsid w:val="06EDB027"/>
    <w:rsid w:val="0703086C"/>
    <w:rsid w:val="070DE2B1"/>
    <w:rsid w:val="0713EFCA"/>
    <w:rsid w:val="071FCF3E"/>
    <w:rsid w:val="07231A1B"/>
    <w:rsid w:val="075803A4"/>
    <w:rsid w:val="07A02340"/>
    <w:rsid w:val="07B39482"/>
    <w:rsid w:val="07DE4E3F"/>
    <w:rsid w:val="07E68795"/>
    <w:rsid w:val="07F13C51"/>
    <w:rsid w:val="07FAD056"/>
    <w:rsid w:val="08786535"/>
    <w:rsid w:val="08A0C5E3"/>
    <w:rsid w:val="08BCBF6D"/>
    <w:rsid w:val="08D330B2"/>
    <w:rsid w:val="08D58160"/>
    <w:rsid w:val="08D721AB"/>
    <w:rsid w:val="08D8EA56"/>
    <w:rsid w:val="08FB58A6"/>
    <w:rsid w:val="09090807"/>
    <w:rsid w:val="0926A263"/>
    <w:rsid w:val="093A600A"/>
    <w:rsid w:val="09424EF3"/>
    <w:rsid w:val="0956D1C7"/>
    <w:rsid w:val="09581AF3"/>
    <w:rsid w:val="095C80A2"/>
    <w:rsid w:val="096B838B"/>
    <w:rsid w:val="096C8790"/>
    <w:rsid w:val="09794564"/>
    <w:rsid w:val="097AC774"/>
    <w:rsid w:val="09BE4E3B"/>
    <w:rsid w:val="09CDDF0D"/>
    <w:rsid w:val="09D057A2"/>
    <w:rsid w:val="09F2AC30"/>
    <w:rsid w:val="09FB1697"/>
    <w:rsid w:val="0A199948"/>
    <w:rsid w:val="0A20FE7F"/>
    <w:rsid w:val="0A37F097"/>
    <w:rsid w:val="0A3CDBA9"/>
    <w:rsid w:val="0A3E7079"/>
    <w:rsid w:val="0A72C045"/>
    <w:rsid w:val="0A7837B4"/>
    <w:rsid w:val="0A813D79"/>
    <w:rsid w:val="0A87DE9B"/>
    <w:rsid w:val="0A979A64"/>
    <w:rsid w:val="0AB82569"/>
    <w:rsid w:val="0AB97EAA"/>
    <w:rsid w:val="0AC76802"/>
    <w:rsid w:val="0AD958F8"/>
    <w:rsid w:val="0B32BC51"/>
    <w:rsid w:val="0B3D98AF"/>
    <w:rsid w:val="0B5AAC64"/>
    <w:rsid w:val="0B665415"/>
    <w:rsid w:val="0B88D174"/>
    <w:rsid w:val="0BA7BA77"/>
    <w:rsid w:val="0BED439A"/>
    <w:rsid w:val="0C0C3401"/>
    <w:rsid w:val="0C0CFE8F"/>
    <w:rsid w:val="0C14ABC9"/>
    <w:rsid w:val="0C17082A"/>
    <w:rsid w:val="0C1CFC77"/>
    <w:rsid w:val="0C3F05FF"/>
    <w:rsid w:val="0C444A9A"/>
    <w:rsid w:val="0C53F5CA"/>
    <w:rsid w:val="0C5780E4"/>
    <w:rsid w:val="0C841785"/>
    <w:rsid w:val="0C9474D5"/>
    <w:rsid w:val="0C9F676E"/>
    <w:rsid w:val="0CAAFCCE"/>
    <w:rsid w:val="0CBC61B3"/>
    <w:rsid w:val="0CC90678"/>
    <w:rsid w:val="0CC9336A"/>
    <w:rsid w:val="0CCD4920"/>
    <w:rsid w:val="0CD75227"/>
    <w:rsid w:val="0CDDDFB8"/>
    <w:rsid w:val="0CEA8587"/>
    <w:rsid w:val="0D131DCE"/>
    <w:rsid w:val="0D571193"/>
    <w:rsid w:val="0D825435"/>
    <w:rsid w:val="0D83CA6C"/>
    <w:rsid w:val="0DB06140"/>
    <w:rsid w:val="0DB516B2"/>
    <w:rsid w:val="0DDBD6BB"/>
    <w:rsid w:val="0E03C9D4"/>
    <w:rsid w:val="0E0A3F1B"/>
    <w:rsid w:val="0E0E5D8B"/>
    <w:rsid w:val="0E29F3BD"/>
    <w:rsid w:val="0E2C0D05"/>
    <w:rsid w:val="0E2E354D"/>
    <w:rsid w:val="0E31E026"/>
    <w:rsid w:val="0E9047B6"/>
    <w:rsid w:val="0EAA0952"/>
    <w:rsid w:val="0EAEFD73"/>
    <w:rsid w:val="0EB2270F"/>
    <w:rsid w:val="0EDA3C14"/>
    <w:rsid w:val="0EDE46F2"/>
    <w:rsid w:val="0EDEF781"/>
    <w:rsid w:val="0EFAF75A"/>
    <w:rsid w:val="0F7A5E3B"/>
    <w:rsid w:val="0F8FE7FB"/>
    <w:rsid w:val="0F9A50A6"/>
    <w:rsid w:val="0FAAAEFB"/>
    <w:rsid w:val="0FB1778C"/>
    <w:rsid w:val="0FDC54FD"/>
    <w:rsid w:val="0FE44C93"/>
    <w:rsid w:val="100616D2"/>
    <w:rsid w:val="103FA2FF"/>
    <w:rsid w:val="1048416C"/>
    <w:rsid w:val="10672299"/>
    <w:rsid w:val="1095E3DA"/>
    <w:rsid w:val="1098D546"/>
    <w:rsid w:val="10A260C7"/>
    <w:rsid w:val="10D1E1DA"/>
    <w:rsid w:val="10D346D0"/>
    <w:rsid w:val="10E0178C"/>
    <w:rsid w:val="10E21B00"/>
    <w:rsid w:val="111C1554"/>
    <w:rsid w:val="118C3D80"/>
    <w:rsid w:val="1197BA90"/>
    <w:rsid w:val="119B8134"/>
    <w:rsid w:val="11AB144F"/>
    <w:rsid w:val="11C31A5A"/>
    <w:rsid w:val="11CF191C"/>
    <w:rsid w:val="11D5805C"/>
    <w:rsid w:val="11F41E3E"/>
    <w:rsid w:val="12125D83"/>
    <w:rsid w:val="12238C49"/>
    <w:rsid w:val="123EA828"/>
    <w:rsid w:val="12492542"/>
    <w:rsid w:val="128C1C84"/>
    <w:rsid w:val="12BFFA97"/>
    <w:rsid w:val="12DE9495"/>
    <w:rsid w:val="12E3F869"/>
    <w:rsid w:val="12E7F32F"/>
    <w:rsid w:val="1312F8B6"/>
    <w:rsid w:val="13162BD3"/>
    <w:rsid w:val="13225E68"/>
    <w:rsid w:val="1323F18A"/>
    <w:rsid w:val="134B366F"/>
    <w:rsid w:val="13504C5A"/>
    <w:rsid w:val="135F2A19"/>
    <w:rsid w:val="13AEF446"/>
    <w:rsid w:val="13B3E6BA"/>
    <w:rsid w:val="13E4DDD5"/>
    <w:rsid w:val="13FB6997"/>
    <w:rsid w:val="14160FD9"/>
    <w:rsid w:val="1420B34B"/>
    <w:rsid w:val="142712C1"/>
    <w:rsid w:val="1433F3B3"/>
    <w:rsid w:val="1460369F"/>
    <w:rsid w:val="14658E67"/>
    <w:rsid w:val="146D8157"/>
    <w:rsid w:val="148210AA"/>
    <w:rsid w:val="1489904C"/>
    <w:rsid w:val="149765A9"/>
    <w:rsid w:val="14B18B0C"/>
    <w:rsid w:val="14D22720"/>
    <w:rsid w:val="14EAA74F"/>
    <w:rsid w:val="14EDD904"/>
    <w:rsid w:val="15459D6A"/>
    <w:rsid w:val="15514701"/>
    <w:rsid w:val="1575355F"/>
    <w:rsid w:val="157E7E3D"/>
    <w:rsid w:val="158CB1E6"/>
    <w:rsid w:val="15D73FBF"/>
    <w:rsid w:val="15DA3275"/>
    <w:rsid w:val="15EDD32A"/>
    <w:rsid w:val="160490DC"/>
    <w:rsid w:val="1637E25B"/>
    <w:rsid w:val="163C20B0"/>
    <w:rsid w:val="16450F8C"/>
    <w:rsid w:val="16529996"/>
    <w:rsid w:val="165C6516"/>
    <w:rsid w:val="165F705F"/>
    <w:rsid w:val="1661C147"/>
    <w:rsid w:val="168D76AD"/>
    <w:rsid w:val="16A3FB72"/>
    <w:rsid w:val="16A59FB5"/>
    <w:rsid w:val="16B0B018"/>
    <w:rsid w:val="16B65744"/>
    <w:rsid w:val="16D69100"/>
    <w:rsid w:val="16E33F42"/>
    <w:rsid w:val="16EE9B03"/>
    <w:rsid w:val="16F42011"/>
    <w:rsid w:val="1716BC7C"/>
    <w:rsid w:val="175416A7"/>
    <w:rsid w:val="17550090"/>
    <w:rsid w:val="175660D2"/>
    <w:rsid w:val="17669411"/>
    <w:rsid w:val="1772FD95"/>
    <w:rsid w:val="1773DA2B"/>
    <w:rsid w:val="17A2CA3B"/>
    <w:rsid w:val="18271E2C"/>
    <w:rsid w:val="182B8C41"/>
    <w:rsid w:val="18412844"/>
    <w:rsid w:val="1857B6FE"/>
    <w:rsid w:val="1878E7AF"/>
    <w:rsid w:val="187F05BC"/>
    <w:rsid w:val="1881E748"/>
    <w:rsid w:val="18A75EB0"/>
    <w:rsid w:val="18B76179"/>
    <w:rsid w:val="18BABD20"/>
    <w:rsid w:val="18BC2BFD"/>
    <w:rsid w:val="18CEA857"/>
    <w:rsid w:val="18DA92B8"/>
    <w:rsid w:val="18DFA61B"/>
    <w:rsid w:val="18F602F1"/>
    <w:rsid w:val="18F8B60F"/>
    <w:rsid w:val="1908AE69"/>
    <w:rsid w:val="19094FFF"/>
    <w:rsid w:val="191BB275"/>
    <w:rsid w:val="1936EE17"/>
    <w:rsid w:val="1953947B"/>
    <w:rsid w:val="19915888"/>
    <w:rsid w:val="199F435E"/>
    <w:rsid w:val="19BE780B"/>
    <w:rsid w:val="19CEF6D8"/>
    <w:rsid w:val="19ECCAB4"/>
    <w:rsid w:val="19F3AE5F"/>
    <w:rsid w:val="19F6CA56"/>
    <w:rsid w:val="1A055E09"/>
    <w:rsid w:val="1A36CFA3"/>
    <w:rsid w:val="1A3EA0B6"/>
    <w:rsid w:val="1A6BC847"/>
    <w:rsid w:val="1A766D2F"/>
    <w:rsid w:val="1AA30932"/>
    <w:rsid w:val="1AC98AB2"/>
    <w:rsid w:val="1AE9FEEC"/>
    <w:rsid w:val="1AFBB16A"/>
    <w:rsid w:val="1AFFCBCD"/>
    <w:rsid w:val="1B0719C6"/>
    <w:rsid w:val="1B15E56B"/>
    <w:rsid w:val="1B270213"/>
    <w:rsid w:val="1B475259"/>
    <w:rsid w:val="1B529FD2"/>
    <w:rsid w:val="1B929D67"/>
    <w:rsid w:val="1B949415"/>
    <w:rsid w:val="1BA4DBCE"/>
    <w:rsid w:val="1BEF428E"/>
    <w:rsid w:val="1BF476A8"/>
    <w:rsid w:val="1C140162"/>
    <w:rsid w:val="1C47BF92"/>
    <w:rsid w:val="1C680A43"/>
    <w:rsid w:val="1C75ECA5"/>
    <w:rsid w:val="1C77987B"/>
    <w:rsid w:val="1C99CEAC"/>
    <w:rsid w:val="1CB394D5"/>
    <w:rsid w:val="1CBBC8EE"/>
    <w:rsid w:val="1CF17632"/>
    <w:rsid w:val="1D0C1028"/>
    <w:rsid w:val="1D2D6F7D"/>
    <w:rsid w:val="1D580B58"/>
    <w:rsid w:val="1D6BBE41"/>
    <w:rsid w:val="1D6FFC2C"/>
    <w:rsid w:val="1D78BEDC"/>
    <w:rsid w:val="1D7AEA6F"/>
    <w:rsid w:val="1DA30175"/>
    <w:rsid w:val="1DFA342C"/>
    <w:rsid w:val="1E289737"/>
    <w:rsid w:val="1E399B59"/>
    <w:rsid w:val="1E41DB24"/>
    <w:rsid w:val="1E4258F1"/>
    <w:rsid w:val="1E5CD3D9"/>
    <w:rsid w:val="1E84B16E"/>
    <w:rsid w:val="1E91EAA0"/>
    <w:rsid w:val="1E9C2AD3"/>
    <w:rsid w:val="1EA15D75"/>
    <w:rsid w:val="1EAA2A98"/>
    <w:rsid w:val="1EB12109"/>
    <w:rsid w:val="1EC0A0AE"/>
    <w:rsid w:val="1ED1A049"/>
    <w:rsid w:val="1EDC5BD8"/>
    <w:rsid w:val="1EDD92E7"/>
    <w:rsid w:val="1EE8C55C"/>
    <w:rsid w:val="1EFC1507"/>
    <w:rsid w:val="1F0A1A81"/>
    <w:rsid w:val="1F1DB70F"/>
    <w:rsid w:val="1F529644"/>
    <w:rsid w:val="1F637188"/>
    <w:rsid w:val="1F669E3A"/>
    <w:rsid w:val="1F96048D"/>
    <w:rsid w:val="1FAFFCE0"/>
    <w:rsid w:val="1FD52A53"/>
    <w:rsid w:val="1FE07087"/>
    <w:rsid w:val="1FEA7B5B"/>
    <w:rsid w:val="1FF3FA12"/>
    <w:rsid w:val="1FF8357E"/>
    <w:rsid w:val="200D950B"/>
    <w:rsid w:val="201DC67C"/>
    <w:rsid w:val="20318749"/>
    <w:rsid w:val="205AEABB"/>
    <w:rsid w:val="2067A2F7"/>
    <w:rsid w:val="20735C9A"/>
    <w:rsid w:val="20784E6C"/>
    <w:rsid w:val="20957D49"/>
    <w:rsid w:val="209A2D1D"/>
    <w:rsid w:val="20E0B7A3"/>
    <w:rsid w:val="2110C9CD"/>
    <w:rsid w:val="2124ACE5"/>
    <w:rsid w:val="21423A8B"/>
    <w:rsid w:val="215AB1E2"/>
    <w:rsid w:val="216ABE57"/>
    <w:rsid w:val="218884C5"/>
    <w:rsid w:val="21957770"/>
    <w:rsid w:val="21A1AEA9"/>
    <w:rsid w:val="21A41D36"/>
    <w:rsid w:val="21E1F6C7"/>
    <w:rsid w:val="225E35A3"/>
    <w:rsid w:val="22612924"/>
    <w:rsid w:val="226670FA"/>
    <w:rsid w:val="226C8F4F"/>
    <w:rsid w:val="22AB2E87"/>
    <w:rsid w:val="22C19653"/>
    <w:rsid w:val="22E10D7B"/>
    <w:rsid w:val="22E85EA9"/>
    <w:rsid w:val="2303B35B"/>
    <w:rsid w:val="230824BE"/>
    <w:rsid w:val="231F3339"/>
    <w:rsid w:val="231F3B82"/>
    <w:rsid w:val="2327D30B"/>
    <w:rsid w:val="23497398"/>
    <w:rsid w:val="2368FC98"/>
    <w:rsid w:val="238980B7"/>
    <w:rsid w:val="23966D96"/>
    <w:rsid w:val="23AE7877"/>
    <w:rsid w:val="23BFDF86"/>
    <w:rsid w:val="23C352BF"/>
    <w:rsid w:val="23E6AEE7"/>
    <w:rsid w:val="2434AD27"/>
    <w:rsid w:val="245F48A9"/>
    <w:rsid w:val="24647291"/>
    <w:rsid w:val="247FCEBC"/>
    <w:rsid w:val="2493EDD9"/>
    <w:rsid w:val="24BAA127"/>
    <w:rsid w:val="24C9D372"/>
    <w:rsid w:val="24CD701A"/>
    <w:rsid w:val="24E0CA9D"/>
    <w:rsid w:val="24F1ED4F"/>
    <w:rsid w:val="24F39DF5"/>
    <w:rsid w:val="24FA1BD0"/>
    <w:rsid w:val="24FA5118"/>
    <w:rsid w:val="252A824C"/>
    <w:rsid w:val="254B599D"/>
    <w:rsid w:val="2570B7CA"/>
    <w:rsid w:val="257B8013"/>
    <w:rsid w:val="2585C112"/>
    <w:rsid w:val="25914908"/>
    <w:rsid w:val="25E8F296"/>
    <w:rsid w:val="25FA4380"/>
    <w:rsid w:val="26366043"/>
    <w:rsid w:val="26697054"/>
    <w:rsid w:val="266E5363"/>
    <w:rsid w:val="2697C769"/>
    <w:rsid w:val="26A9CB3C"/>
    <w:rsid w:val="2726E625"/>
    <w:rsid w:val="273B4495"/>
    <w:rsid w:val="27771863"/>
    <w:rsid w:val="2791F3E0"/>
    <w:rsid w:val="27F383D3"/>
    <w:rsid w:val="2800798C"/>
    <w:rsid w:val="280C91AB"/>
    <w:rsid w:val="282E1DC5"/>
    <w:rsid w:val="2832B319"/>
    <w:rsid w:val="283D525D"/>
    <w:rsid w:val="2846A972"/>
    <w:rsid w:val="28519DDC"/>
    <w:rsid w:val="289BF7D0"/>
    <w:rsid w:val="28A67F8B"/>
    <w:rsid w:val="28A710BF"/>
    <w:rsid w:val="28C57C7B"/>
    <w:rsid w:val="28CF2BE5"/>
    <w:rsid w:val="290C5E81"/>
    <w:rsid w:val="290F74F7"/>
    <w:rsid w:val="292EFDFD"/>
    <w:rsid w:val="294E534A"/>
    <w:rsid w:val="29508A22"/>
    <w:rsid w:val="2954A1FA"/>
    <w:rsid w:val="296AD678"/>
    <w:rsid w:val="2987C579"/>
    <w:rsid w:val="29917A11"/>
    <w:rsid w:val="299B0134"/>
    <w:rsid w:val="29A43AB3"/>
    <w:rsid w:val="29C2C868"/>
    <w:rsid w:val="29C75A33"/>
    <w:rsid w:val="29DBD03A"/>
    <w:rsid w:val="29DF069C"/>
    <w:rsid w:val="2A2E433F"/>
    <w:rsid w:val="2A47742A"/>
    <w:rsid w:val="2A583645"/>
    <w:rsid w:val="2A6DA7BA"/>
    <w:rsid w:val="2A6EFFC1"/>
    <w:rsid w:val="2A90203A"/>
    <w:rsid w:val="2A988403"/>
    <w:rsid w:val="2AD429EF"/>
    <w:rsid w:val="2AE408B5"/>
    <w:rsid w:val="2AF9D760"/>
    <w:rsid w:val="2B04F5A7"/>
    <w:rsid w:val="2B41A59B"/>
    <w:rsid w:val="2B4A1C24"/>
    <w:rsid w:val="2B5C5E25"/>
    <w:rsid w:val="2B86E0CF"/>
    <w:rsid w:val="2BAC18E8"/>
    <w:rsid w:val="2BBF538D"/>
    <w:rsid w:val="2BD9AB8C"/>
    <w:rsid w:val="2C1F39AB"/>
    <w:rsid w:val="2C2F85E2"/>
    <w:rsid w:val="2C400216"/>
    <w:rsid w:val="2C52CB9E"/>
    <w:rsid w:val="2C548E76"/>
    <w:rsid w:val="2C678D83"/>
    <w:rsid w:val="2C6B3CA2"/>
    <w:rsid w:val="2C6F5E1E"/>
    <w:rsid w:val="2C726D00"/>
    <w:rsid w:val="2C986353"/>
    <w:rsid w:val="2C9C38B3"/>
    <w:rsid w:val="2CB9EA5C"/>
    <w:rsid w:val="2CBBA5DA"/>
    <w:rsid w:val="2D0E37ED"/>
    <w:rsid w:val="2D164E3B"/>
    <w:rsid w:val="2D1A42F9"/>
    <w:rsid w:val="2D24197A"/>
    <w:rsid w:val="2D47826F"/>
    <w:rsid w:val="2D4FB494"/>
    <w:rsid w:val="2D5F92F1"/>
    <w:rsid w:val="2D8A1FCD"/>
    <w:rsid w:val="2D90F341"/>
    <w:rsid w:val="2DC0D513"/>
    <w:rsid w:val="2DC722F4"/>
    <w:rsid w:val="2DC9A02E"/>
    <w:rsid w:val="2DCFC1BD"/>
    <w:rsid w:val="2DD43269"/>
    <w:rsid w:val="2DEC3F2E"/>
    <w:rsid w:val="2DF05421"/>
    <w:rsid w:val="2E04646B"/>
    <w:rsid w:val="2E0C24F6"/>
    <w:rsid w:val="2E30E936"/>
    <w:rsid w:val="2E4704B2"/>
    <w:rsid w:val="2E6C241C"/>
    <w:rsid w:val="2E901247"/>
    <w:rsid w:val="2E933ED0"/>
    <w:rsid w:val="2E949C96"/>
    <w:rsid w:val="2ED19469"/>
    <w:rsid w:val="2EE3864D"/>
    <w:rsid w:val="2F00367B"/>
    <w:rsid w:val="2F7338B2"/>
    <w:rsid w:val="2F8A3A2B"/>
    <w:rsid w:val="2F94554B"/>
    <w:rsid w:val="2F985896"/>
    <w:rsid w:val="2FD32B30"/>
    <w:rsid w:val="2FE06414"/>
    <w:rsid w:val="2FE5F7AE"/>
    <w:rsid w:val="2FFD1F49"/>
    <w:rsid w:val="2FFD8308"/>
    <w:rsid w:val="30037E1C"/>
    <w:rsid w:val="300654C1"/>
    <w:rsid w:val="30093F98"/>
    <w:rsid w:val="30313059"/>
    <w:rsid w:val="30356819"/>
    <w:rsid w:val="3055208D"/>
    <w:rsid w:val="305F83F2"/>
    <w:rsid w:val="306887F1"/>
    <w:rsid w:val="3092866C"/>
    <w:rsid w:val="309A2212"/>
    <w:rsid w:val="30A99EC4"/>
    <w:rsid w:val="30ACA586"/>
    <w:rsid w:val="30CAB997"/>
    <w:rsid w:val="30CDA6A5"/>
    <w:rsid w:val="30EA0866"/>
    <w:rsid w:val="31069931"/>
    <w:rsid w:val="31265F75"/>
    <w:rsid w:val="31279684"/>
    <w:rsid w:val="314EFF1C"/>
    <w:rsid w:val="315E6962"/>
    <w:rsid w:val="31635B7E"/>
    <w:rsid w:val="316C4172"/>
    <w:rsid w:val="3187BDAD"/>
    <w:rsid w:val="31936EFC"/>
    <w:rsid w:val="31A5F583"/>
    <w:rsid w:val="31AE9A81"/>
    <w:rsid w:val="31B25A54"/>
    <w:rsid w:val="31D6D254"/>
    <w:rsid w:val="31DFE46D"/>
    <w:rsid w:val="31FC7B47"/>
    <w:rsid w:val="323155D5"/>
    <w:rsid w:val="3253DBD2"/>
    <w:rsid w:val="32573C71"/>
    <w:rsid w:val="32883127"/>
    <w:rsid w:val="32901B94"/>
    <w:rsid w:val="329BE2F9"/>
    <w:rsid w:val="329D38CE"/>
    <w:rsid w:val="32D10FAF"/>
    <w:rsid w:val="32D15F52"/>
    <w:rsid w:val="32D6EA26"/>
    <w:rsid w:val="32F42F61"/>
    <w:rsid w:val="330F52D8"/>
    <w:rsid w:val="333888C9"/>
    <w:rsid w:val="335370C5"/>
    <w:rsid w:val="336D0D58"/>
    <w:rsid w:val="33740CB2"/>
    <w:rsid w:val="33D4277B"/>
    <w:rsid w:val="340680CC"/>
    <w:rsid w:val="342A517A"/>
    <w:rsid w:val="34415EB1"/>
    <w:rsid w:val="3479FA45"/>
    <w:rsid w:val="34851CB0"/>
    <w:rsid w:val="34C19255"/>
    <w:rsid w:val="34C6CBC0"/>
    <w:rsid w:val="34F44581"/>
    <w:rsid w:val="3527047F"/>
    <w:rsid w:val="35BDBDF3"/>
    <w:rsid w:val="35C41EA3"/>
    <w:rsid w:val="35D1417D"/>
    <w:rsid w:val="35D7D57E"/>
    <w:rsid w:val="35E040AA"/>
    <w:rsid w:val="360930F2"/>
    <w:rsid w:val="361B5AD9"/>
    <w:rsid w:val="362736E9"/>
    <w:rsid w:val="3636631F"/>
    <w:rsid w:val="3668A1F1"/>
    <w:rsid w:val="366CD5EB"/>
    <w:rsid w:val="3675DF74"/>
    <w:rsid w:val="369291C3"/>
    <w:rsid w:val="36C76E28"/>
    <w:rsid w:val="36C79676"/>
    <w:rsid w:val="36EC5C59"/>
    <w:rsid w:val="37007F17"/>
    <w:rsid w:val="3731B5C7"/>
    <w:rsid w:val="373F8686"/>
    <w:rsid w:val="374263D2"/>
    <w:rsid w:val="3758E7AC"/>
    <w:rsid w:val="3779B20E"/>
    <w:rsid w:val="379259D0"/>
    <w:rsid w:val="37A24734"/>
    <w:rsid w:val="37B1C925"/>
    <w:rsid w:val="37C200EA"/>
    <w:rsid w:val="37DBF917"/>
    <w:rsid w:val="38184D8C"/>
    <w:rsid w:val="38200D43"/>
    <w:rsid w:val="384A0CD4"/>
    <w:rsid w:val="385DEC7B"/>
    <w:rsid w:val="38616FED"/>
    <w:rsid w:val="3868265E"/>
    <w:rsid w:val="38760B97"/>
    <w:rsid w:val="38AE7F98"/>
    <w:rsid w:val="38CCE653"/>
    <w:rsid w:val="38E8C000"/>
    <w:rsid w:val="39023F25"/>
    <w:rsid w:val="3905E961"/>
    <w:rsid w:val="39089A4E"/>
    <w:rsid w:val="3932BAD3"/>
    <w:rsid w:val="39331641"/>
    <w:rsid w:val="3945EFF5"/>
    <w:rsid w:val="39529986"/>
    <w:rsid w:val="399A89C5"/>
    <w:rsid w:val="39A80282"/>
    <w:rsid w:val="39B8D057"/>
    <w:rsid w:val="39D56E94"/>
    <w:rsid w:val="39DB6CED"/>
    <w:rsid w:val="39DCA7EC"/>
    <w:rsid w:val="3A00EC09"/>
    <w:rsid w:val="3A1F0B2B"/>
    <w:rsid w:val="3A3C1292"/>
    <w:rsid w:val="3A875CCD"/>
    <w:rsid w:val="3A8E55E0"/>
    <w:rsid w:val="3AA0F6D1"/>
    <w:rsid w:val="3ABCB93E"/>
    <w:rsid w:val="3ADEE25F"/>
    <w:rsid w:val="3AF7094D"/>
    <w:rsid w:val="3B036E7D"/>
    <w:rsid w:val="3B11DA3E"/>
    <w:rsid w:val="3B3A24B5"/>
    <w:rsid w:val="3B445DB6"/>
    <w:rsid w:val="3B4601A2"/>
    <w:rsid w:val="3B5EA8BC"/>
    <w:rsid w:val="3B963474"/>
    <w:rsid w:val="3BD38A49"/>
    <w:rsid w:val="3BDC3E1D"/>
    <w:rsid w:val="3BDE725A"/>
    <w:rsid w:val="3C10ACCF"/>
    <w:rsid w:val="3C1FF12F"/>
    <w:rsid w:val="3C5D0B74"/>
    <w:rsid w:val="3C72242A"/>
    <w:rsid w:val="3C75074F"/>
    <w:rsid w:val="3C9172A4"/>
    <w:rsid w:val="3CAE7973"/>
    <w:rsid w:val="3CC0B4A4"/>
    <w:rsid w:val="3CCC35DF"/>
    <w:rsid w:val="3CD1C26C"/>
    <w:rsid w:val="3CF9FE25"/>
    <w:rsid w:val="3D054023"/>
    <w:rsid w:val="3D0CBCF6"/>
    <w:rsid w:val="3D1BF1E7"/>
    <w:rsid w:val="3D30C076"/>
    <w:rsid w:val="3D787FCB"/>
    <w:rsid w:val="3D78E944"/>
    <w:rsid w:val="3D829A88"/>
    <w:rsid w:val="3D847E12"/>
    <w:rsid w:val="3DBBC798"/>
    <w:rsid w:val="3DD66099"/>
    <w:rsid w:val="3DD76BFE"/>
    <w:rsid w:val="3DE0866C"/>
    <w:rsid w:val="3DE2485C"/>
    <w:rsid w:val="3E00C014"/>
    <w:rsid w:val="3E03FB07"/>
    <w:rsid w:val="3E0B990F"/>
    <w:rsid w:val="3E1B5C1B"/>
    <w:rsid w:val="3E20EE98"/>
    <w:rsid w:val="3E4AFBB8"/>
    <w:rsid w:val="3E6B126B"/>
    <w:rsid w:val="3E705E6D"/>
    <w:rsid w:val="3E7E5D09"/>
    <w:rsid w:val="3E7F8B3F"/>
    <w:rsid w:val="3E8A8F57"/>
    <w:rsid w:val="3EB635B2"/>
    <w:rsid w:val="3EB71559"/>
    <w:rsid w:val="3EB9CD37"/>
    <w:rsid w:val="3ED96DCB"/>
    <w:rsid w:val="3EE31D27"/>
    <w:rsid w:val="3F0E8890"/>
    <w:rsid w:val="3F1FC09E"/>
    <w:rsid w:val="3F2A3DC9"/>
    <w:rsid w:val="3F403FDD"/>
    <w:rsid w:val="3F58D06C"/>
    <w:rsid w:val="3F5AE5BB"/>
    <w:rsid w:val="3F6423B1"/>
    <w:rsid w:val="3F66F21F"/>
    <w:rsid w:val="3FAB7911"/>
    <w:rsid w:val="3FADBED1"/>
    <w:rsid w:val="3FCD4588"/>
    <w:rsid w:val="3FE66FE5"/>
    <w:rsid w:val="3FE898C0"/>
    <w:rsid w:val="3FFB93EF"/>
    <w:rsid w:val="401B90AD"/>
    <w:rsid w:val="401E7D81"/>
    <w:rsid w:val="40504EAD"/>
    <w:rsid w:val="4063ACC8"/>
    <w:rsid w:val="406CD066"/>
    <w:rsid w:val="407CE739"/>
    <w:rsid w:val="40B59588"/>
    <w:rsid w:val="40DF2441"/>
    <w:rsid w:val="40E13C48"/>
    <w:rsid w:val="4111006A"/>
    <w:rsid w:val="41262E46"/>
    <w:rsid w:val="41459324"/>
    <w:rsid w:val="4145B3F3"/>
    <w:rsid w:val="4160C4C5"/>
    <w:rsid w:val="4169255F"/>
    <w:rsid w:val="41A27108"/>
    <w:rsid w:val="41B71076"/>
    <w:rsid w:val="41B921B2"/>
    <w:rsid w:val="41F37F45"/>
    <w:rsid w:val="42043198"/>
    <w:rsid w:val="42241872"/>
    <w:rsid w:val="425379B4"/>
    <w:rsid w:val="425DF60E"/>
    <w:rsid w:val="426C033C"/>
    <w:rsid w:val="42A3E930"/>
    <w:rsid w:val="42A5984E"/>
    <w:rsid w:val="42BADCE1"/>
    <w:rsid w:val="430212E7"/>
    <w:rsid w:val="432EEEA6"/>
    <w:rsid w:val="432EF8A1"/>
    <w:rsid w:val="433587C6"/>
    <w:rsid w:val="434E125D"/>
    <w:rsid w:val="43919A1B"/>
    <w:rsid w:val="43A9BBAE"/>
    <w:rsid w:val="43C98FAD"/>
    <w:rsid w:val="43D04EA3"/>
    <w:rsid w:val="43EA15C0"/>
    <w:rsid w:val="4409C775"/>
    <w:rsid w:val="441146C9"/>
    <w:rsid w:val="4415B5AD"/>
    <w:rsid w:val="441908F1"/>
    <w:rsid w:val="4431962D"/>
    <w:rsid w:val="4434AC57"/>
    <w:rsid w:val="4460D068"/>
    <w:rsid w:val="448B648E"/>
    <w:rsid w:val="449AA4A2"/>
    <w:rsid w:val="449DC244"/>
    <w:rsid w:val="44A54EA1"/>
    <w:rsid w:val="44A70803"/>
    <w:rsid w:val="44A983F2"/>
    <w:rsid w:val="44AFFD75"/>
    <w:rsid w:val="44B381D3"/>
    <w:rsid w:val="44BD4CF3"/>
    <w:rsid w:val="44DF14D0"/>
    <w:rsid w:val="44F0C467"/>
    <w:rsid w:val="44FB0913"/>
    <w:rsid w:val="4541766F"/>
    <w:rsid w:val="455C6CF3"/>
    <w:rsid w:val="45A85793"/>
    <w:rsid w:val="45BDB622"/>
    <w:rsid w:val="45BDFAAC"/>
    <w:rsid w:val="45F219EC"/>
    <w:rsid w:val="45FE1E01"/>
    <w:rsid w:val="4633F61D"/>
    <w:rsid w:val="466B0048"/>
    <w:rsid w:val="467AFA4C"/>
    <w:rsid w:val="46923ACF"/>
    <w:rsid w:val="46ACD18E"/>
    <w:rsid w:val="46C04EEA"/>
    <w:rsid w:val="46C1320E"/>
    <w:rsid w:val="46E7D5CB"/>
    <w:rsid w:val="46E8D2BB"/>
    <w:rsid w:val="46F02D93"/>
    <w:rsid w:val="46F05A9F"/>
    <w:rsid w:val="46F5908F"/>
    <w:rsid w:val="4714A14D"/>
    <w:rsid w:val="47233F9D"/>
    <w:rsid w:val="47423647"/>
    <w:rsid w:val="4760AD8D"/>
    <w:rsid w:val="47624C26"/>
    <w:rsid w:val="4763AB4D"/>
    <w:rsid w:val="476970DE"/>
    <w:rsid w:val="4787F77F"/>
    <w:rsid w:val="47A552E5"/>
    <w:rsid w:val="47BACBE2"/>
    <w:rsid w:val="47BCE1FE"/>
    <w:rsid w:val="47D0F6EC"/>
    <w:rsid w:val="47DD9EF8"/>
    <w:rsid w:val="480CEB31"/>
    <w:rsid w:val="48194C09"/>
    <w:rsid w:val="482805CD"/>
    <w:rsid w:val="483FABA9"/>
    <w:rsid w:val="4855B381"/>
    <w:rsid w:val="4870A39E"/>
    <w:rsid w:val="4881491D"/>
    <w:rsid w:val="48873BD5"/>
    <w:rsid w:val="489FD569"/>
    <w:rsid w:val="48DA564B"/>
    <w:rsid w:val="49349C36"/>
    <w:rsid w:val="49384836"/>
    <w:rsid w:val="494B4094"/>
    <w:rsid w:val="495E09DE"/>
    <w:rsid w:val="497AA242"/>
    <w:rsid w:val="4994334F"/>
    <w:rsid w:val="49A00824"/>
    <w:rsid w:val="49C2C127"/>
    <w:rsid w:val="49C91F1C"/>
    <w:rsid w:val="49CABE67"/>
    <w:rsid w:val="49CDE5C3"/>
    <w:rsid w:val="4A6F2264"/>
    <w:rsid w:val="4A734ECE"/>
    <w:rsid w:val="4A7B345B"/>
    <w:rsid w:val="4A8264B9"/>
    <w:rsid w:val="4A8E5CE7"/>
    <w:rsid w:val="4AAB992D"/>
    <w:rsid w:val="4ABDD155"/>
    <w:rsid w:val="4B1C8983"/>
    <w:rsid w:val="4B280B11"/>
    <w:rsid w:val="4B521BBB"/>
    <w:rsid w:val="4B537D7C"/>
    <w:rsid w:val="4B627036"/>
    <w:rsid w:val="4B68E62D"/>
    <w:rsid w:val="4BB597DC"/>
    <w:rsid w:val="4BC3E259"/>
    <w:rsid w:val="4BF0649D"/>
    <w:rsid w:val="4C2EE6F3"/>
    <w:rsid w:val="4C37833A"/>
    <w:rsid w:val="4C4E0E40"/>
    <w:rsid w:val="4C514F89"/>
    <w:rsid w:val="4C8EDC3D"/>
    <w:rsid w:val="4CA26666"/>
    <w:rsid w:val="4CA8D979"/>
    <w:rsid w:val="4CDA89BD"/>
    <w:rsid w:val="4D2472F6"/>
    <w:rsid w:val="4D25F93A"/>
    <w:rsid w:val="4D717F6F"/>
    <w:rsid w:val="4D7BC375"/>
    <w:rsid w:val="4D922551"/>
    <w:rsid w:val="4DA234AE"/>
    <w:rsid w:val="4DA79619"/>
    <w:rsid w:val="4DEBD734"/>
    <w:rsid w:val="4DFEBBF7"/>
    <w:rsid w:val="4E272FCC"/>
    <w:rsid w:val="4E35B4A0"/>
    <w:rsid w:val="4E5CCDC6"/>
    <w:rsid w:val="4E7B8874"/>
    <w:rsid w:val="4E9EAEF9"/>
    <w:rsid w:val="4EF13884"/>
    <w:rsid w:val="4F0A208B"/>
    <w:rsid w:val="4F2EF547"/>
    <w:rsid w:val="4F30BF71"/>
    <w:rsid w:val="4F570565"/>
    <w:rsid w:val="4F57AD71"/>
    <w:rsid w:val="4F8B30D6"/>
    <w:rsid w:val="4F8D3B30"/>
    <w:rsid w:val="4F9E6BD6"/>
    <w:rsid w:val="4FAD46A7"/>
    <w:rsid w:val="4FB2C307"/>
    <w:rsid w:val="4FE5121E"/>
    <w:rsid w:val="500C5264"/>
    <w:rsid w:val="502CB01B"/>
    <w:rsid w:val="502D7A64"/>
    <w:rsid w:val="503E3EC8"/>
    <w:rsid w:val="504D8B62"/>
    <w:rsid w:val="5051AA26"/>
    <w:rsid w:val="50543DFB"/>
    <w:rsid w:val="505A4515"/>
    <w:rsid w:val="50653AB2"/>
    <w:rsid w:val="50949D9B"/>
    <w:rsid w:val="5099DD94"/>
    <w:rsid w:val="50BEEA89"/>
    <w:rsid w:val="50D6B6EB"/>
    <w:rsid w:val="50E468B9"/>
    <w:rsid w:val="5140DC45"/>
    <w:rsid w:val="5152DC8A"/>
    <w:rsid w:val="51532073"/>
    <w:rsid w:val="518D5095"/>
    <w:rsid w:val="518E2ABA"/>
    <w:rsid w:val="51B2130D"/>
    <w:rsid w:val="51D25C23"/>
    <w:rsid w:val="51E89123"/>
    <w:rsid w:val="51EDB1B0"/>
    <w:rsid w:val="51F4FB83"/>
    <w:rsid w:val="51FA7E73"/>
    <w:rsid w:val="521EB8BB"/>
    <w:rsid w:val="52205187"/>
    <w:rsid w:val="5255637B"/>
    <w:rsid w:val="52742720"/>
    <w:rsid w:val="529135AB"/>
    <w:rsid w:val="52942C36"/>
    <w:rsid w:val="52AD4DA4"/>
    <w:rsid w:val="52B3FCD9"/>
    <w:rsid w:val="52D9A765"/>
    <w:rsid w:val="52DBD4D6"/>
    <w:rsid w:val="52F1A475"/>
    <w:rsid w:val="53171EE0"/>
    <w:rsid w:val="5338FBC4"/>
    <w:rsid w:val="533BBBB9"/>
    <w:rsid w:val="533BC8FA"/>
    <w:rsid w:val="53446DF8"/>
    <w:rsid w:val="536D3D77"/>
    <w:rsid w:val="537D1707"/>
    <w:rsid w:val="538ED08A"/>
    <w:rsid w:val="540836D3"/>
    <w:rsid w:val="5413BB3D"/>
    <w:rsid w:val="5417FD13"/>
    <w:rsid w:val="541DC4F2"/>
    <w:rsid w:val="542526C0"/>
    <w:rsid w:val="543761F1"/>
    <w:rsid w:val="544CF85B"/>
    <w:rsid w:val="545220B3"/>
    <w:rsid w:val="547AB6B1"/>
    <w:rsid w:val="54981501"/>
    <w:rsid w:val="551435CD"/>
    <w:rsid w:val="553B232E"/>
    <w:rsid w:val="553E0445"/>
    <w:rsid w:val="5540DFED"/>
    <w:rsid w:val="5545053A"/>
    <w:rsid w:val="554B7992"/>
    <w:rsid w:val="556943A4"/>
    <w:rsid w:val="55DC222B"/>
    <w:rsid w:val="55EA844C"/>
    <w:rsid w:val="56363837"/>
    <w:rsid w:val="563D127E"/>
    <w:rsid w:val="564A8E9E"/>
    <w:rsid w:val="56D38D94"/>
    <w:rsid w:val="56FFD2BF"/>
    <w:rsid w:val="5706F4D9"/>
    <w:rsid w:val="57080613"/>
    <w:rsid w:val="5710F63A"/>
    <w:rsid w:val="572B121E"/>
    <w:rsid w:val="578B593D"/>
    <w:rsid w:val="57935F99"/>
    <w:rsid w:val="57AB29E5"/>
    <w:rsid w:val="57ACC87C"/>
    <w:rsid w:val="57BE7026"/>
    <w:rsid w:val="57DB972E"/>
    <w:rsid w:val="57F0629B"/>
    <w:rsid w:val="58029A9E"/>
    <w:rsid w:val="5814B49D"/>
    <w:rsid w:val="582E621B"/>
    <w:rsid w:val="5853F8D0"/>
    <w:rsid w:val="58559FF3"/>
    <w:rsid w:val="586B09D8"/>
    <w:rsid w:val="587584B8"/>
    <w:rsid w:val="587B5CF2"/>
    <w:rsid w:val="58A02032"/>
    <w:rsid w:val="58B7E6EE"/>
    <w:rsid w:val="58D9A869"/>
    <w:rsid w:val="58EF8639"/>
    <w:rsid w:val="59030AC2"/>
    <w:rsid w:val="591BC094"/>
    <w:rsid w:val="5936C2FD"/>
    <w:rsid w:val="5964EF6F"/>
    <w:rsid w:val="597F4E41"/>
    <w:rsid w:val="597FC98D"/>
    <w:rsid w:val="599283F4"/>
    <w:rsid w:val="59A73ECD"/>
    <w:rsid w:val="59C6A0C8"/>
    <w:rsid w:val="59E8B7AE"/>
    <w:rsid w:val="5A2448D6"/>
    <w:rsid w:val="5A2815A5"/>
    <w:rsid w:val="5A38B0E4"/>
    <w:rsid w:val="5A3DED1F"/>
    <w:rsid w:val="5A461D68"/>
    <w:rsid w:val="5A478F15"/>
    <w:rsid w:val="5A47C0ED"/>
    <w:rsid w:val="5A92CFEE"/>
    <w:rsid w:val="5A99B258"/>
    <w:rsid w:val="5AA4BD2B"/>
    <w:rsid w:val="5AE021EF"/>
    <w:rsid w:val="5AE10D2D"/>
    <w:rsid w:val="5B0FAD2A"/>
    <w:rsid w:val="5B12E1F0"/>
    <w:rsid w:val="5B39A5A1"/>
    <w:rsid w:val="5B4D0D6A"/>
    <w:rsid w:val="5B84D8E1"/>
    <w:rsid w:val="5B8B7ABA"/>
    <w:rsid w:val="5BAEBDB1"/>
    <w:rsid w:val="5BB863B1"/>
    <w:rsid w:val="5BC2FF9F"/>
    <w:rsid w:val="5BCBD61B"/>
    <w:rsid w:val="5BE66F9E"/>
    <w:rsid w:val="5BE80AE8"/>
    <w:rsid w:val="5BF57EE2"/>
    <w:rsid w:val="5C009FF1"/>
    <w:rsid w:val="5C1C1D33"/>
    <w:rsid w:val="5C37A887"/>
    <w:rsid w:val="5C40DB35"/>
    <w:rsid w:val="5C6D5D44"/>
    <w:rsid w:val="5C8870EC"/>
    <w:rsid w:val="5CBFD979"/>
    <w:rsid w:val="5CFE2182"/>
    <w:rsid w:val="5D182B1C"/>
    <w:rsid w:val="5D4CB545"/>
    <w:rsid w:val="5D61083C"/>
    <w:rsid w:val="5D671F64"/>
    <w:rsid w:val="5D928F6A"/>
    <w:rsid w:val="5D9614A0"/>
    <w:rsid w:val="5DBA678D"/>
    <w:rsid w:val="5DCB002C"/>
    <w:rsid w:val="5DCEFF6A"/>
    <w:rsid w:val="5DF050AE"/>
    <w:rsid w:val="5E0582B0"/>
    <w:rsid w:val="5E20AAB5"/>
    <w:rsid w:val="5E28ECA7"/>
    <w:rsid w:val="5E3E9EFB"/>
    <w:rsid w:val="5E4FDA3A"/>
    <w:rsid w:val="5E763BBF"/>
    <w:rsid w:val="5E7726AC"/>
    <w:rsid w:val="5E7A1634"/>
    <w:rsid w:val="5E91AECF"/>
    <w:rsid w:val="5E95A599"/>
    <w:rsid w:val="5E97A2CA"/>
    <w:rsid w:val="5E9DF230"/>
    <w:rsid w:val="5EAEE7A4"/>
    <w:rsid w:val="5EC6F1E5"/>
    <w:rsid w:val="5F22C609"/>
    <w:rsid w:val="5F312A69"/>
    <w:rsid w:val="5F4FF6E2"/>
    <w:rsid w:val="5F60CBC4"/>
    <w:rsid w:val="5F6EABCC"/>
    <w:rsid w:val="5F78A2DC"/>
    <w:rsid w:val="5F91C3C9"/>
    <w:rsid w:val="5F9B272D"/>
    <w:rsid w:val="5FA6AC7F"/>
    <w:rsid w:val="5FCD8D66"/>
    <w:rsid w:val="5FD224CA"/>
    <w:rsid w:val="5FE74F0C"/>
    <w:rsid w:val="5FF30AAE"/>
    <w:rsid w:val="5FFEEB57"/>
    <w:rsid w:val="600AB016"/>
    <w:rsid w:val="602F0A8A"/>
    <w:rsid w:val="603738A4"/>
    <w:rsid w:val="605A4193"/>
    <w:rsid w:val="60B0C546"/>
    <w:rsid w:val="60BB3C93"/>
    <w:rsid w:val="60EDE15C"/>
    <w:rsid w:val="6100E282"/>
    <w:rsid w:val="611219D4"/>
    <w:rsid w:val="61195E18"/>
    <w:rsid w:val="613E4A60"/>
    <w:rsid w:val="61414FF3"/>
    <w:rsid w:val="61456A27"/>
    <w:rsid w:val="6167B5B4"/>
    <w:rsid w:val="61846578"/>
    <w:rsid w:val="61915068"/>
    <w:rsid w:val="61AE86D7"/>
    <w:rsid w:val="61CFE4DC"/>
    <w:rsid w:val="61D9EA43"/>
    <w:rsid w:val="621D5070"/>
    <w:rsid w:val="621F1E4D"/>
    <w:rsid w:val="6225EA60"/>
    <w:rsid w:val="6254E7D4"/>
    <w:rsid w:val="62593170"/>
    <w:rsid w:val="62620286"/>
    <w:rsid w:val="626B550E"/>
    <w:rsid w:val="626C04EC"/>
    <w:rsid w:val="62808395"/>
    <w:rsid w:val="62AA6B0F"/>
    <w:rsid w:val="62C5A267"/>
    <w:rsid w:val="62D8767D"/>
    <w:rsid w:val="63184396"/>
    <w:rsid w:val="63382851"/>
    <w:rsid w:val="638C6213"/>
    <w:rsid w:val="6397658D"/>
    <w:rsid w:val="639AA622"/>
    <w:rsid w:val="63AAC527"/>
    <w:rsid w:val="63BB0EB7"/>
    <w:rsid w:val="63C7804D"/>
    <w:rsid w:val="63D40F0A"/>
    <w:rsid w:val="63FDDA97"/>
    <w:rsid w:val="64113815"/>
    <w:rsid w:val="642A358A"/>
    <w:rsid w:val="6479D4F2"/>
    <w:rsid w:val="64824367"/>
    <w:rsid w:val="648FDB7A"/>
    <w:rsid w:val="64935C33"/>
    <w:rsid w:val="64A46FEA"/>
    <w:rsid w:val="64AA6594"/>
    <w:rsid w:val="64B5740C"/>
    <w:rsid w:val="64F3579B"/>
    <w:rsid w:val="6518BB00"/>
    <w:rsid w:val="65190F38"/>
    <w:rsid w:val="658C1BFD"/>
    <w:rsid w:val="6590CCB4"/>
    <w:rsid w:val="65E67DBB"/>
    <w:rsid w:val="65F86782"/>
    <w:rsid w:val="65FA0EA9"/>
    <w:rsid w:val="66033B13"/>
    <w:rsid w:val="660DFBC3"/>
    <w:rsid w:val="661C65FF"/>
    <w:rsid w:val="661FF506"/>
    <w:rsid w:val="662375C0"/>
    <w:rsid w:val="6650A7A6"/>
    <w:rsid w:val="665517ED"/>
    <w:rsid w:val="6664D03D"/>
    <w:rsid w:val="6672DDB4"/>
    <w:rsid w:val="667AAEC7"/>
    <w:rsid w:val="6692BFE2"/>
    <w:rsid w:val="66B67A0F"/>
    <w:rsid w:val="66D61BD2"/>
    <w:rsid w:val="66E0395B"/>
    <w:rsid w:val="66F0B91E"/>
    <w:rsid w:val="66F9A16E"/>
    <w:rsid w:val="6709FEEE"/>
    <w:rsid w:val="670DBD73"/>
    <w:rsid w:val="67167E31"/>
    <w:rsid w:val="672ED76A"/>
    <w:rsid w:val="673BE1E2"/>
    <w:rsid w:val="67489BF9"/>
    <w:rsid w:val="676AFCF7"/>
    <w:rsid w:val="677170DE"/>
    <w:rsid w:val="677270B2"/>
    <w:rsid w:val="67A2AA6D"/>
    <w:rsid w:val="67AA0206"/>
    <w:rsid w:val="67AEC4F6"/>
    <w:rsid w:val="67B8E3A6"/>
    <w:rsid w:val="67E1988D"/>
    <w:rsid w:val="67FE6723"/>
    <w:rsid w:val="680EDD6A"/>
    <w:rsid w:val="68114B88"/>
    <w:rsid w:val="681BE919"/>
    <w:rsid w:val="682BF500"/>
    <w:rsid w:val="684117DF"/>
    <w:rsid w:val="684AE395"/>
    <w:rsid w:val="6860CEA5"/>
    <w:rsid w:val="68ACC216"/>
    <w:rsid w:val="68B9C8C5"/>
    <w:rsid w:val="68D912B1"/>
    <w:rsid w:val="68E9EAB1"/>
    <w:rsid w:val="6902729C"/>
    <w:rsid w:val="690FDDE2"/>
    <w:rsid w:val="6935B827"/>
    <w:rsid w:val="6941E58F"/>
    <w:rsid w:val="695C41EF"/>
    <w:rsid w:val="69662613"/>
    <w:rsid w:val="69A715FC"/>
    <w:rsid w:val="69AFFE41"/>
    <w:rsid w:val="69C50D77"/>
    <w:rsid w:val="69DB60A0"/>
    <w:rsid w:val="6A134791"/>
    <w:rsid w:val="6A182439"/>
    <w:rsid w:val="6A30A571"/>
    <w:rsid w:val="6A3B91D0"/>
    <w:rsid w:val="6A4636B8"/>
    <w:rsid w:val="6A6C652B"/>
    <w:rsid w:val="6A826ED6"/>
    <w:rsid w:val="6A8AA42A"/>
    <w:rsid w:val="6AE69870"/>
    <w:rsid w:val="6AF51B78"/>
    <w:rsid w:val="6AFB3C81"/>
    <w:rsid w:val="6B1EE33D"/>
    <w:rsid w:val="6B29C872"/>
    <w:rsid w:val="6B51F4C5"/>
    <w:rsid w:val="6B56D56E"/>
    <w:rsid w:val="6B5AC4BC"/>
    <w:rsid w:val="6B6E589D"/>
    <w:rsid w:val="6B730D8A"/>
    <w:rsid w:val="6BE45CF9"/>
    <w:rsid w:val="6C0287BD"/>
    <w:rsid w:val="6C1725F5"/>
    <w:rsid w:val="6C32BEA3"/>
    <w:rsid w:val="6C5125F3"/>
    <w:rsid w:val="6C5B5345"/>
    <w:rsid w:val="6C75A065"/>
    <w:rsid w:val="6C900764"/>
    <w:rsid w:val="6C992385"/>
    <w:rsid w:val="6CBBC62F"/>
    <w:rsid w:val="6CBD1113"/>
    <w:rsid w:val="6CCE7E44"/>
    <w:rsid w:val="6CE0A3F2"/>
    <w:rsid w:val="6CF38F3B"/>
    <w:rsid w:val="6CF7663E"/>
    <w:rsid w:val="6CFFE122"/>
    <w:rsid w:val="6D0A2B1C"/>
    <w:rsid w:val="6D1EB458"/>
    <w:rsid w:val="6D356B37"/>
    <w:rsid w:val="6D370831"/>
    <w:rsid w:val="6D700BB7"/>
    <w:rsid w:val="6D85F2E9"/>
    <w:rsid w:val="6D8B3686"/>
    <w:rsid w:val="6D9E5982"/>
    <w:rsid w:val="6DB2C42F"/>
    <w:rsid w:val="6DDA0087"/>
    <w:rsid w:val="6E0B1FCC"/>
    <w:rsid w:val="6E171D92"/>
    <w:rsid w:val="6E1B5DBE"/>
    <w:rsid w:val="6E387CDA"/>
    <w:rsid w:val="6E446567"/>
    <w:rsid w:val="6E4994AE"/>
    <w:rsid w:val="6E9FC42C"/>
    <w:rsid w:val="6ECE6615"/>
    <w:rsid w:val="6EDA18E9"/>
    <w:rsid w:val="6EE22398"/>
    <w:rsid w:val="6F1401FC"/>
    <w:rsid w:val="6F3A4D91"/>
    <w:rsid w:val="6F870F45"/>
    <w:rsid w:val="6F98CD22"/>
    <w:rsid w:val="6FAC132A"/>
    <w:rsid w:val="6FB2C0E2"/>
    <w:rsid w:val="6FCEBA16"/>
    <w:rsid w:val="6FFD1430"/>
    <w:rsid w:val="702AA3E5"/>
    <w:rsid w:val="7036A23E"/>
    <w:rsid w:val="704A8CE6"/>
    <w:rsid w:val="7051CD71"/>
    <w:rsid w:val="709D1B76"/>
    <w:rsid w:val="70AB4747"/>
    <w:rsid w:val="70AD30D9"/>
    <w:rsid w:val="70C5EC6D"/>
    <w:rsid w:val="70DEFF5D"/>
    <w:rsid w:val="70F3A76A"/>
    <w:rsid w:val="7130B41C"/>
    <w:rsid w:val="713783EC"/>
    <w:rsid w:val="713F3B04"/>
    <w:rsid w:val="71624808"/>
    <w:rsid w:val="7166A54C"/>
    <w:rsid w:val="716E6CD0"/>
    <w:rsid w:val="7182C6A7"/>
    <w:rsid w:val="71CAD09D"/>
    <w:rsid w:val="71D893DE"/>
    <w:rsid w:val="71DC0555"/>
    <w:rsid w:val="71E1BD46"/>
    <w:rsid w:val="72125B76"/>
    <w:rsid w:val="721DC282"/>
    <w:rsid w:val="72278114"/>
    <w:rsid w:val="72368B52"/>
    <w:rsid w:val="726A4525"/>
    <w:rsid w:val="72770C7A"/>
    <w:rsid w:val="7280C4B4"/>
    <w:rsid w:val="72AD405C"/>
    <w:rsid w:val="72C770B8"/>
    <w:rsid w:val="72E0706E"/>
    <w:rsid w:val="72EC40D6"/>
    <w:rsid w:val="72EF0F0C"/>
    <w:rsid w:val="7306341F"/>
    <w:rsid w:val="735D5E26"/>
    <w:rsid w:val="738CE47D"/>
    <w:rsid w:val="73A19C3E"/>
    <w:rsid w:val="73A455F1"/>
    <w:rsid w:val="73B18337"/>
    <w:rsid w:val="73C18069"/>
    <w:rsid w:val="73C824C6"/>
    <w:rsid w:val="73FF70AC"/>
    <w:rsid w:val="7426105F"/>
    <w:rsid w:val="744C9C0F"/>
    <w:rsid w:val="745241F4"/>
    <w:rsid w:val="746CF7D1"/>
    <w:rsid w:val="74DA85BE"/>
    <w:rsid w:val="74E389D4"/>
    <w:rsid w:val="74E539E5"/>
    <w:rsid w:val="74E93C91"/>
    <w:rsid w:val="74E9997B"/>
    <w:rsid w:val="74F9A97B"/>
    <w:rsid w:val="75000B8D"/>
    <w:rsid w:val="7517B52C"/>
    <w:rsid w:val="7529B257"/>
    <w:rsid w:val="7537E183"/>
    <w:rsid w:val="753FC733"/>
    <w:rsid w:val="75484CA1"/>
    <w:rsid w:val="7556CE2C"/>
    <w:rsid w:val="75670973"/>
    <w:rsid w:val="756744C0"/>
    <w:rsid w:val="756A66D5"/>
    <w:rsid w:val="757EE8E6"/>
    <w:rsid w:val="75820228"/>
    <w:rsid w:val="758FE825"/>
    <w:rsid w:val="75904D8A"/>
    <w:rsid w:val="7598347B"/>
    <w:rsid w:val="759AEA9F"/>
    <w:rsid w:val="75AF00BB"/>
    <w:rsid w:val="75CC194B"/>
    <w:rsid w:val="7623A8C3"/>
    <w:rsid w:val="7647D049"/>
    <w:rsid w:val="76657573"/>
    <w:rsid w:val="767BD3A1"/>
    <w:rsid w:val="76950D0E"/>
    <w:rsid w:val="769C61DE"/>
    <w:rsid w:val="76CC08B3"/>
    <w:rsid w:val="76F875C0"/>
    <w:rsid w:val="77041596"/>
    <w:rsid w:val="7713E6BC"/>
    <w:rsid w:val="7717CF96"/>
    <w:rsid w:val="7738E7AA"/>
    <w:rsid w:val="773C228B"/>
    <w:rsid w:val="77450886"/>
    <w:rsid w:val="7752578A"/>
    <w:rsid w:val="775921FD"/>
    <w:rsid w:val="7781A3C1"/>
    <w:rsid w:val="779A0B5C"/>
    <w:rsid w:val="77F2F13A"/>
    <w:rsid w:val="77FA46B8"/>
    <w:rsid w:val="7800E989"/>
    <w:rsid w:val="781124D0"/>
    <w:rsid w:val="783B0C50"/>
    <w:rsid w:val="7853A591"/>
    <w:rsid w:val="7863B010"/>
    <w:rsid w:val="78B6244E"/>
    <w:rsid w:val="78C26336"/>
    <w:rsid w:val="790EA81E"/>
    <w:rsid w:val="79131734"/>
    <w:rsid w:val="792069D9"/>
    <w:rsid w:val="793B5E40"/>
    <w:rsid w:val="79504BE0"/>
    <w:rsid w:val="799D0A92"/>
    <w:rsid w:val="79C93755"/>
    <w:rsid w:val="79D462CF"/>
    <w:rsid w:val="79E49BEB"/>
    <w:rsid w:val="79F08309"/>
    <w:rsid w:val="7A27C835"/>
    <w:rsid w:val="7A3CAA70"/>
    <w:rsid w:val="7A694880"/>
    <w:rsid w:val="7A8CED1C"/>
    <w:rsid w:val="7A9373C5"/>
    <w:rsid w:val="7AAE761A"/>
    <w:rsid w:val="7AB9AC34"/>
    <w:rsid w:val="7AD4E4FE"/>
    <w:rsid w:val="7B059368"/>
    <w:rsid w:val="7B6DB1FD"/>
    <w:rsid w:val="7B756A8C"/>
    <w:rsid w:val="7B877461"/>
    <w:rsid w:val="7BA46390"/>
    <w:rsid w:val="7BD758D6"/>
    <w:rsid w:val="7BF10AD2"/>
    <w:rsid w:val="7C03B7E3"/>
    <w:rsid w:val="7C1ED72B"/>
    <w:rsid w:val="7C2D84D8"/>
    <w:rsid w:val="7C466715"/>
    <w:rsid w:val="7C95356F"/>
    <w:rsid w:val="7CAF3EEE"/>
    <w:rsid w:val="7CD3BD2C"/>
    <w:rsid w:val="7CE60E4E"/>
    <w:rsid w:val="7CEF12AB"/>
    <w:rsid w:val="7D0BA3A5"/>
    <w:rsid w:val="7D2BF1C5"/>
    <w:rsid w:val="7D95DA61"/>
    <w:rsid w:val="7DB1BFDE"/>
    <w:rsid w:val="7DBD2CAB"/>
    <w:rsid w:val="7DDAD006"/>
    <w:rsid w:val="7E25CE7C"/>
    <w:rsid w:val="7E267051"/>
    <w:rsid w:val="7E350A8C"/>
    <w:rsid w:val="7E3E301E"/>
    <w:rsid w:val="7E6413FD"/>
    <w:rsid w:val="7E75D0C5"/>
    <w:rsid w:val="7E8F82AB"/>
    <w:rsid w:val="7E9DC365"/>
    <w:rsid w:val="7EE61C7D"/>
    <w:rsid w:val="7EEBD4FC"/>
    <w:rsid w:val="7F30C4DC"/>
    <w:rsid w:val="7F3AE1A3"/>
    <w:rsid w:val="7F3F7DDD"/>
    <w:rsid w:val="7F4A261E"/>
    <w:rsid w:val="7F709EDC"/>
    <w:rsid w:val="7F74C7BE"/>
    <w:rsid w:val="7F87D0F9"/>
    <w:rsid w:val="7F921F0C"/>
    <w:rsid w:val="7FA25810"/>
    <w:rsid w:val="7FA26934"/>
    <w:rsid w:val="7FA841CE"/>
    <w:rsid w:val="7FAF40A0"/>
    <w:rsid w:val="7FD46D1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A92CD4"/>
  <w15:docId w15:val="{4E827F53-17C7-490F-B4F8-81F8D321AF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262C94"/>
    <w:pPr>
      <w:spacing w:before="240" w:after="240" w:line="240" w:lineRule="auto"/>
    </w:pPr>
    <w:rPr>
      <w:rFonts w:ascii="Arial" w:hAnsi="Arial"/>
      <w:sz w:val="24"/>
    </w:rPr>
  </w:style>
  <w:style w:type="paragraph" w:styleId="Heading1">
    <w:name w:val="heading 1"/>
    <w:basedOn w:val="Normal"/>
    <w:next w:val="Normal"/>
    <w:link w:val="Heading1Char"/>
    <w:uiPriority w:val="9"/>
    <w:qFormat/>
    <w:rsid w:val="008E3F05"/>
    <w:pPr>
      <w:spacing w:after="120"/>
      <w:outlineLvl w:val="0"/>
    </w:pPr>
    <w:rPr>
      <w:rFonts w:eastAsia="Times" w:cs="Times New Roman"/>
      <w:color w:val="000000" w:themeColor="text1"/>
      <w:sz w:val="44"/>
      <w:szCs w:val="44"/>
    </w:rPr>
  </w:style>
  <w:style w:type="paragraph" w:styleId="Heading2">
    <w:name w:val="heading 2"/>
    <w:basedOn w:val="Heading3"/>
    <w:next w:val="Normal"/>
    <w:link w:val="Heading2Char"/>
    <w:uiPriority w:val="9"/>
    <w:unhideWhenUsed/>
    <w:qFormat/>
    <w:rsid w:val="008E3F05"/>
    <w:pPr>
      <w:outlineLvl w:val="1"/>
    </w:pPr>
    <w:rPr>
      <w:color w:val="0070C0"/>
      <w:sz w:val="28"/>
      <w:szCs w:val="28"/>
    </w:rPr>
  </w:style>
  <w:style w:type="paragraph" w:styleId="Heading3">
    <w:name w:val="heading 3"/>
    <w:basedOn w:val="NHSCBChapterAnnex"/>
    <w:next w:val="Normal"/>
    <w:link w:val="Heading3Char"/>
    <w:uiPriority w:val="9"/>
    <w:unhideWhenUsed/>
    <w:qFormat/>
    <w:rsid w:val="008E3F05"/>
    <w:pPr>
      <w:outlineLvl w:val="2"/>
    </w:pPr>
    <w:rPr>
      <w:b/>
      <w:bCs/>
      <w:color w:val="000000" w:themeColor="text1"/>
      <w:sz w:val="24"/>
      <w:szCs w:val="24"/>
    </w:rPr>
  </w:style>
  <w:style w:type="paragraph" w:styleId="Heading4">
    <w:name w:val="heading 4"/>
    <w:basedOn w:val="Normal"/>
    <w:next w:val="Normal"/>
    <w:link w:val="Heading4Char"/>
    <w:uiPriority w:val="9"/>
    <w:unhideWhenUsed/>
    <w:qFormat/>
    <w:rsid w:val="008E3F05"/>
    <w:pPr>
      <w:keepNext/>
      <w:keepLines/>
      <w:spacing w:before="200" w:after="0"/>
      <w:outlineLvl w:val="3"/>
    </w:pPr>
    <w:rPr>
      <w:rFonts w:eastAsiaTheme="majorEastAsia" w:cs="Arial"/>
      <w:b/>
      <w:bCs/>
      <w:color w:val="000000" w:themeColor="text1"/>
    </w:rPr>
  </w:style>
  <w:style w:type="paragraph" w:styleId="Heading5">
    <w:name w:val="heading 5"/>
    <w:basedOn w:val="Normal"/>
    <w:next w:val="Normal"/>
    <w:link w:val="Heading5Char"/>
    <w:uiPriority w:val="9"/>
    <w:unhideWhenUsed/>
    <w:rsid w:val="008E3F05"/>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rsid w:val="008E3F05"/>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rsid w:val="001C0486"/>
    <w:pPr>
      <w:keepNext/>
      <w:keepLines/>
      <w:spacing w:before="40" w:after="0"/>
      <w:ind w:left="1296" w:hanging="1296"/>
      <w:outlineLvl w:val="6"/>
    </w:pPr>
    <w:rPr>
      <w:rFonts w:asciiTheme="majorHAnsi" w:eastAsiaTheme="majorEastAsia" w:hAnsiTheme="majorHAnsi" w:cstheme="majorBidi"/>
      <w:i/>
      <w:iCs/>
      <w:color w:val="243F60" w:themeColor="accent1" w:themeShade="7F"/>
      <w:szCs w:val="24"/>
    </w:rPr>
  </w:style>
  <w:style w:type="paragraph" w:styleId="Heading8">
    <w:name w:val="heading 8"/>
    <w:basedOn w:val="Normal"/>
    <w:next w:val="Normal"/>
    <w:link w:val="Heading8Char"/>
    <w:uiPriority w:val="9"/>
    <w:semiHidden/>
    <w:unhideWhenUsed/>
    <w:qFormat/>
    <w:rsid w:val="001C048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C048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 list,F5 List Paragraph,List Paragraph1,Dot pt,No Spacing1,List Paragraph Char Char Char,Indicator Text,Colorful List - Accent 11,Numbered Para 1,Bullet 1,Bullet Points,MAIN CONTENT,List Paragraph2,Normal numbered,List Paragraph11,L"/>
    <w:basedOn w:val="Normal"/>
    <w:link w:val="ListParagraphChar"/>
    <w:uiPriority w:val="34"/>
    <w:qFormat/>
    <w:rsid w:val="00545190"/>
    <w:pPr>
      <w:numPr>
        <w:numId w:val="12"/>
      </w:numPr>
      <w:spacing w:before="0"/>
      <w:contextualSpacing/>
    </w:pPr>
  </w:style>
  <w:style w:type="character" w:customStyle="1" w:styleId="Heading1Char">
    <w:name w:val="Heading 1 Char"/>
    <w:basedOn w:val="DefaultParagraphFont"/>
    <w:link w:val="Heading1"/>
    <w:uiPriority w:val="9"/>
    <w:rsid w:val="008E3F05"/>
    <w:rPr>
      <w:rFonts w:ascii="Arial" w:eastAsia="Times" w:hAnsi="Arial" w:cs="Times New Roman"/>
      <w:color w:val="000000" w:themeColor="text1"/>
      <w:sz w:val="44"/>
      <w:szCs w:val="44"/>
    </w:rPr>
  </w:style>
  <w:style w:type="paragraph" w:styleId="TOC1">
    <w:name w:val="toc 1"/>
    <w:basedOn w:val="Normal"/>
    <w:next w:val="Normal"/>
    <w:autoRedefine/>
    <w:uiPriority w:val="39"/>
    <w:unhideWhenUsed/>
    <w:qFormat/>
    <w:rsid w:val="00B33BF1"/>
    <w:pPr>
      <w:tabs>
        <w:tab w:val="right" w:leader="dot" w:pos="9214"/>
      </w:tabs>
      <w:spacing w:after="100"/>
    </w:pPr>
    <w:rPr>
      <w:rFonts w:eastAsiaTheme="majorEastAsia" w:cs="Arial"/>
      <w:bCs/>
      <w:noProof/>
    </w:rPr>
  </w:style>
  <w:style w:type="character" w:styleId="Hyperlink">
    <w:name w:val="Hyperlink"/>
    <w:basedOn w:val="DefaultParagraphFont"/>
    <w:unhideWhenUsed/>
    <w:rsid w:val="00717953"/>
    <w:rPr>
      <w:color w:val="0000FF" w:themeColor="hyperlink"/>
      <w:u w:val="single"/>
    </w:rPr>
  </w:style>
  <w:style w:type="character" w:customStyle="1" w:styleId="Heading2Char">
    <w:name w:val="Heading 2 Char"/>
    <w:basedOn w:val="DefaultParagraphFont"/>
    <w:link w:val="Heading2"/>
    <w:uiPriority w:val="9"/>
    <w:rsid w:val="008E3F05"/>
    <w:rPr>
      <w:rFonts w:ascii="Arial" w:eastAsia="Times" w:hAnsi="Arial" w:cs="Times New Roman"/>
      <w:b/>
      <w:bCs/>
      <w:color w:val="0070C0"/>
      <w:sz w:val="28"/>
      <w:szCs w:val="28"/>
    </w:rPr>
  </w:style>
  <w:style w:type="character" w:customStyle="1" w:styleId="Heading3Char">
    <w:name w:val="Heading 3 Char"/>
    <w:basedOn w:val="DefaultParagraphFont"/>
    <w:link w:val="Heading3"/>
    <w:uiPriority w:val="9"/>
    <w:rsid w:val="008E3F05"/>
    <w:rPr>
      <w:rFonts w:ascii="Arial" w:eastAsia="Times" w:hAnsi="Arial" w:cs="Times New Roman"/>
      <w:b/>
      <w:bCs/>
      <w:color w:val="000000" w:themeColor="text1"/>
      <w:sz w:val="24"/>
      <w:szCs w:val="24"/>
    </w:rPr>
  </w:style>
  <w:style w:type="paragraph" w:customStyle="1" w:styleId="Normal1">
    <w:name w:val="Normal1"/>
    <w:basedOn w:val="Normal"/>
    <w:rsid w:val="00717953"/>
    <w:pPr>
      <w:spacing w:after="0"/>
    </w:pPr>
    <w:rPr>
      <w:rFonts w:eastAsia="Times New Roman" w:cs="Arial"/>
      <w:szCs w:val="24"/>
      <w:lang w:eastAsia="en-GB"/>
    </w:rPr>
  </w:style>
  <w:style w:type="character" w:customStyle="1" w:styleId="normalchar1">
    <w:name w:val="normal__char1"/>
    <w:basedOn w:val="DefaultParagraphFont"/>
    <w:rsid w:val="00717953"/>
    <w:rPr>
      <w:rFonts w:ascii="Arial" w:hAnsi="Arial" w:cs="Arial" w:hint="default"/>
      <w:sz w:val="24"/>
      <w:szCs w:val="24"/>
    </w:rPr>
  </w:style>
  <w:style w:type="paragraph" w:customStyle="1" w:styleId="table0020grid1">
    <w:name w:val="table_0020grid1"/>
    <w:basedOn w:val="Normal"/>
    <w:rsid w:val="00717953"/>
    <w:pPr>
      <w:spacing w:after="0"/>
    </w:pPr>
    <w:rPr>
      <w:rFonts w:ascii="Times New Roman" w:eastAsia="Times New Roman" w:hAnsi="Times New Roman" w:cs="Times New Roman"/>
      <w:szCs w:val="24"/>
      <w:lang w:eastAsia="en-GB"/>
    </w:rPr>
  </w:style>
  <w:style w:type="character" w:customStyle="1" w:styleId="table0020gridchar">
    <w:name w:val="table_0020grid__char"/>
    <w:basedOn w:val="DefaultParagraphFont"/>
    <w:rsid w:val="00717953"/>
  </w:style>
  <w:style w:type="paragraph" w:customStyle="1" w:styleId="normal0020table1">
    <w:name w:val="normal_0020table1"/>
    <w:basedOn w:val="Normal"/>
    <w:rsid w:val="00717953"/>
    <w:pPr>
      <w:spacing w:after="0"/>
    </w:pPr>
    <w:rPr>
      <w:rFonts w:ascii="Times New Roman" w:eastAsia="Times New Roman" w:hAnsi="Times New Roman" w:cs="Times New Roman"/>
      <w:szCs w:val="24"/>
      <w:lang w:eastAsia="en-GB"/>
    </w:rPr>
  </w:style>
  <w:style w:type="character" w:customStyle="1" w:styleId="normal0020tablechar">
    <w:name w:val="normal_0020table__char"/>
    <w:basedOn w:val="DefaultParagraphFont"/>
    <w:rsid w:val="00717953"/>
  </w:style>
  <w:style w:type="character" w:styleId="CommentReference">
    <w:name w:val="annotation reference"/>
    <w:basedOn w:val="DefaultParagraphFont"/>
    <w:uiPriority w:val="99"/>
    <w:semiHidden/>
    <w:unhideWhenUsed/>
    <w:rsid w:val="00717953"/>
    <w:rPr>
      <w:sz w:val="16"/>
      <w:szCs w:val="16"/>
    </w:rPr>
  </w:style>
  <w:style w:type="paragraph" w:styleId="CommentText">
    <w:name w:val="annotation text"/>
    <w:basedOn w:val="Normal"/>
    <w:link w:val="CommentTextChar"/>
    <w:uiPriority w:val="99"/>
    <w:unhideWhenUsed/>
    <w:rsid w:val="00717953"/>
    <w:rPr>
      <w:sz w:val="20"/>
      <w:szCs w:val="20"/>
    </w:rPr>
  </w:style>
  <w:style w:type="character" w:customStyle="1" w:styleId="CommentTextChar">
    <w:name w:val="Comment Text Char"/>
    <w:basedOn w:val="DefaultParagraphFont"/>
    <w:link w:val="CommentText"/>
    <w:uiPriority w:val="99"/>
    <w:rsid w:val="00717953"/>
    <w:rPr>
      <w:sz w:val="20"/>
      <w:szCs w:val="20"/>
    </w:rPr>
  </w:style>
  <w:style w:type="paragraph" w:styleId="CommentSubject">
    <w:name w:val="annotation subject"/>
    <w:basedOn w:val="CommentText"/>
    <w:next w:val="CommentText"/>
    <w:link w:val="CommentSubjectChar"/>
    <w:uiPriority w:val="99"/>
    <w:semiHidden/>
    <w:unhideWhenUsed/>
    <w:rsid w:val="00717953"/>
    <w:rPr>
      <w:b/>
      <w:bCs/>
    </w:rPr>
  </w:style>
  <w:style w:type="character" w:customStyle="1" w:styleId="CommentSubjectChar">
    <w:name w:val="Comment Subject Char"/>
    <w:basedOn w:val="CommentTextChar"/>
    <w:link w:val="CommentSubject"/>
    <w:uiPriority w:val="99"/>
    <w:semiHidden/>
    <w:rsid w:val="00717953"/>
    <w:rPr>
      <w:b/>
      <w:bCs/>
      <w:sz w:val="20"/>
      <w:szCs w:val="20"/>
    </w:rPr>
  </w:style>
  <w:style w:type="paragraph" w:styleId="BalloonText">
    <w:name w:val="Balloon Text"/>
    <w:basedOn w:val="Normal"/>
    <w:link w:val="BalloonTextChar"/>
    <w:uiPriority w:val="99"/>
    <w:semiHidden/>
    <w:unhideWhenUsed/>
    <w:rsid w:val="00717953"/>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717953"/>
    <w:rPr>
      <w:rFonts w:ascii="Tahoma" w:hAnsi="Tahoma" w:cs="Tahoma"/>
      <w:sz w:val="16"/>
      <w:szCs w:val="16"/>
    </w:rPr>
  </w:style>
  <w:style w:type="paragraph" w:styleId="ListNumber">
    <w:name w:val="List Number"/>
    <w:basedOn w:val="Normal"/>
    <w:uiPriority w:val="99"/>
    <w:unhideWhenUsed/>
    <w:rsid w:val="00717953"/>
    <w:pPr>
      <w:numPr>
        <w:numId w:val="2"/>
      </w:numPr>
      <w:contextualSpacing/>
    </w:pPr>
  </w:style>
  <w:style w:type="paragraph" w:styleId="Header">
    <w:name w:val="header"/>
    <w:basedOn w:val="Normal"/>
    <w:link w:val="HeaderChar"/>
    <w:uiPriority w:val="99"/>
    <w:unhideWhenUsed/>
    <w:rsid w:val="00717953"/>
    <w:pPr>
      <w:tabs>
        <w:tab w:val="center" w:pos="4513"/>
        <w:tab w:val="right" w:pos="9026"/>
      </w:tabs>
      <w:spacing w:after="0"/>
    </w:pPr>
  </w:style>
  <w:style w:type="character" w:customStyle="1" w:styleId="HeaderChar">
    <w:name w:val="Header Char"/>
    <w:basedOn w:val="DefaultParagraphFont"/>
    <w:link w:val="Header"/>
    <w:uiPriority w:val="99"/>
    <w:rsid w:val="00717953"/>
  </w:style>
  <w:style w:type="paragraph" w:styleId="Footer">
    <w:name w:val="footer"/>
    <w:basedOn w:val="Normal"/>
    <w:link w:val="FooterChar"/>
    <w:uiPriority w:val="99"/>
    <w:unhideWhenUsed/>
    <w:rsid w:val="00717953"/>
    <w:pPr>
      <w:tabs>
        <w:tab w:val="center" w:pos="4513"/>
        <w:tab w:val="right" w:pos="9026"/>
      </w:tabs>
      <w:spacing w:after="0"/>
    </w:pPr>
  </w:style>
  <w:style w:type="character" w:customStyle="1" w:styleId="FooterChar">
    <w:name w:val="Footer Char"/>
    <w:basedOn w:val="DefaultParagraphFont"/>
    <w:link w:val="Footer"/>
    <w:uiPriority w:val="99"/>
    <w:rsid w:val="00717953"/>
  </w:style>
  <w:style w:type="paragraph" w:customStyle="1" w:styleId="Default">
    <w:name w:val="Default"/>
    <w:basedOn w:val="Normal"/>
    <w:rsid w:val="00717953"/>
    <w:pPr>
      <w:autoSpaceDE w:val="0"/>
      <w:autoSpaceDN w:val="0"/>
      <w:spacing w:after="0"/>
    </w:pPr>
    <w:rPr>
      <w:rFonts w:cs="Arial"/>
      <w:color w:val="000000"/>
      <w:szCs w:val="24"/>
      <w:lang w:eastAsia="en-GB"/>
    </w:rPr>
  </w:style>
  <w:style w:type="character" w:customStyle="1" w:styleId="ListParagraphChar">
    <w:name w:val="List Paragraph Char"/>
    <w:aliases w:val="Bullet list Char,F5 List Paragraph Char,List Paragraph1 Char,Dot pt Char,No Spacing1 Char,List Paragraph Char Char Char Char,Indicator Text Char,Colorful List - Accent 11 Char,Numbered Para 1 Char,Bullet 1 Char,Bullet Points Char"/>
    <w:basedOn w:val="DefaultParagraphFont"/>
    <w:link w:val="ListParagraph"/>
    <w:uiPriority w:val="34"/>
    <w:qFormat/>
    <w:rsid w:val="00545190"/>
    <w:rPr>
      <w:rFonts w:ascii="Arial" w:hAnsi="Arial"/>
      <w:sz w:val="24"/>
    </w:rPr>
  </w:style>
  <w:style w:type="table" w:styleId="TableGrid">
    <w:name w:val="Table Grid"/>
    <w:basedOn w:val="TableNormal"/>
    <w:uiPriority w:val="39"/>
    <w:rsid w:val="007179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717953"/>
    <w:pPr>
      <w:spacing w:after="0" w:line="240" w:lineRule="auto"/>
    </w:pPr>
  </w:style>
  <w:style w:type="paragraph" w:styleId="FootnoteText">
    <w:name w:val="footnote text"/>
    <w:basedOn w:val="Normal"/>
    <w:link w:val="FootnoteTextChar"/>
    <w:uiPriority w:val="99"/>
    <w:semiHidden/>
    <w:unhideWhenUsed/>
    <w:rsid w:val="00717953"/>
    <w:pPr>
      <w:spacing w:after="0"/>
    </w:pPr>
    <w:rPr>
      <w:sz w:val="20"/>
      <w:szCs w:val="20"/>
    </w:rPr>
  </w:style>
  <w:style w:type="character" w:customStyle="1" w:styleId="FootnoteTextChar">
    <w:name w:val="Footnote Text Char"/>
    <w:basedOn w:val="DefaultParagraphFont"/>
    <w:link w:val="FootnoteText"/>
    <w:uiPriority w:val="99"/>
    <w:semiHidden/>
    <w:rsid w:val="00717953"/>
    <w:rPr>
      <w:sz w:val="20"/>
      <w:szCs w:val="20"/>
    </w:rPr>
  </w:style>
  <w:style w:type="character" w:styleId="FootnoteReference">
    <w:name w:val="footnote reference"/>
    <w:semiHidden/>
    <w:rsid w:val="00717953"/>
    <w:rPr>
      <w:vertAlign w:val="superscript"/>
    </w:rPr>
  </w:style>
  <w:style w:type="paragraph" w:styleId="PlainText">
    <w:name w:val="Plain Text"/>
    <w:basedOn w:val="Normal"/>
    <w:link w:val="PlainTextChar"/>
    <w:uiPriority w:val="99"/>
    <w:unhideWhenUsed/>
    <w:rsid w:val="00717953"/>
    <w:pPr>
      <w:spacing w:after="0"/>
    </w:pPr>
    <w:rPr>
      <w:rFonts w:ascii="Calibri" w:hAnsi="Calibri"/>
      <w:szCs w:val="21"/>
    </w:rPr>
  </w:style>
  <w:style w:type="character" w:customStyle="1" w:styleId="PlainTextChar">
    <w:name w:val="Plain Text Char"/>
    <w:basedOn w:val="DefaultParagraphFont"/>
    <w:link w:val="PlainText"/>
    <w:uiPriority w:val="99"/>
    <w:rsid w:val="00717953"/>
    <w:rPr>
      <w:rFonts w:ascii="Calibri" w:hAnsi="Calibri"/>
      <w:szCs w:val="21"/>
    </w:rPr>
  </w:style>
  <w:style w:type="paragraph" w:styleId="TOCHeading">
    <w:name w:val="TOC Heading"/>
    <w:basedOn w:val="Heading1"/>
    <w:next w:val="Normal"/>
    <w:uiPriority w:val="39"/>
    <w:unhideWhenUsed/>
    <w:qFormat/>
    <w:rsid w:val="008E3F05"/>
    <w:pPr>
      <w:outlineLvl w:val="9"/>
    </w:pPr>
    <w:rPr>
      <w:lang w:val="en-US" w:eastAsia="ja-JP"/>
    </w:rPr>
  </w:style>
  <w:style w:type="paragraph" w:styleId="TOC2">
    <w:name w:val="toc 2"/>
    <w:basedOn w:val="Normal"/>
    <w:next w:val="Normal"/>
    <w:autoRedefine/>
    <w:uiPriority w:val="39"/>
    <w:unhideWhenUsed/>
    <w:rsid w:val="00BE7104"/>
    <w:pPr>
      <w:tabs>
        <w:tab w:val="right" w:pos="9214"/>
      </w:tabs>
      <w:spacing w:after="100"/>
      <w:ind w:left="567" w:right="118"/>
    </w:pPr>
    <w:rPr>
      <w:rFonts w:eastAsiaTheme="minorEastAsia"/>
      <w:lang w:val="en-US" w:eastAsia="ja-JP"/>
    </w:rPr>
  </w:style>
  <w:style w:type="paragraph" w:styleId="TOC3">
    <w:name w:val="toc 3"/>
    <w:basedOn w:val="Normal"/>
    <w:next w:val="Normal"/>
    <w:autoRedefine/>
    <w:uiPriority w:val="39"/>
    <w:unhideWhenUsed/>
    <w:rsid w:val="002C4551"/>
    <w:pPr>
      <w:tabs>
        <w:tab w:val="right" w:leader="dot" w:pos="9072"/>
      </w:tabs>
      <w:spacing w:after="100"/>
      <w:ind w:left="567" w:right="1023"/>
    </w:pPr>
    <w:rPr>
      <w:rFonts w:eastAsiaTheme="minorEastAsia"/>
      <w:lang w:val="en-US" w:eastAsia="ja-JP"/>
    </w:rPr>
  </w:style>
  <w:style w:type="table" w:customStyle="1" w:styleId="TableGrid4">
    <w:name w:val="Table Grid4"/>
    <w:basedOn w:val="TableNormal"/>
    <w:next w:val="TableGrid"/>
    <w:uiPriority w:val="59"/>
    <w:rsid w:val="007179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8E3F05"/>
    <w:rPr>
      <w:rFonts w:ascii="Arial" w:eastAsiaTheme="majorEastAsia" w:hAnsi="Arial" w:cs="Arial"/>
      <w:b/>
      <w:bCs/>
      <w:color w:val="000000" w:themeColor="text1"/>
      <w:sz w:val="24"/>
    </w:rPr>
  </w:style>
  <w:style w:type="table" w:customStyle="1" w:styleId="TableGrid2">
    <w:name w:val="Table Grid2"/>
    <w:basedOn w:val="TableNormal"/>
    <w:next w:val="TableGrid"/>
    <w:uiPriority w:val="59"/>
    <w:rsid w:val="005E34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5E34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5E34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HSCBNoParagraghNumber">
    <w:name w:val="NHS CB No Paragragh Number"/>
    <w:basedOn w:val="Normal"/>
    <w:uiPriority w:val="99"/>
    <w:qFormat/>
    <w:rsid w:val="008E3F05"/>
    <w:pPr>
      <w:spacing w:after="120" w:line="360" w:lineRule="auto"/>
      <w:jc w:val="both"/>
    </w:pPr>
    <w:rPr>
      <w:rFonts w:eastAsia="Times New Roman" w:cs="Arial"/>
    </w:rPr>
  </w:style>
  <w:style w:type="table" w:customStyle="1" w:styleId="TableGrid1">
    <w:name w:val="Table Grid1"/>
    <w:basedOn w:val="TableNormal"/>
    <w:next w:val="TableGrid"/>
    <w:uiPriority w:val="99"/>
    <w:qFormat/>
    <w:rsid w:val="005E34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5E34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5E34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5E34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next w:val="TableGrid"/>
    <w:uiPriority w:val="59"/>
    <w:rsid w:val="005E34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59"/>
    <w:rsid w:val="005E34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5E34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5E34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5E34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5E34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633F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HSCBTableParagraph">
    <w:name w:val="NHS CB Table Paragraph"/>
    <w:basedOn w:val="Normal"/>
    <w:rsid w:val="00633F7D"/>
    <w:pPr>
      <w:spacing w:before="120" w:after="0" w:line="360" w:lineRule="auto"/>
      <w:ind w:left="-11" w:firstLine="11"/>
    </w:pPr>
    <w:rPr>
      <w:rFonts w:cs="Arial"/>
      <w:b/>
      <w:i/>
    </w:rPr>
  </w:style>
  <w:style w:type="character" w:styleId="FollowedHyperlink">
    <w:name w:val="FollowedHyperlink"/>
    <w:basedOn w:val="DefaultParagraphFont"/>
    <w:uiPriority w:val="99"/>
    <w:semiHidden/>
    <w:unhideWhenUsed/>
    <w:rsid w:val="00240D44"/>
    <w:rPr>
      <w:color w:val="800080"/>
      <w:u w:val="single"/>
    </w:rPr>
  </w:style>
  <w:style w:type="paragraph" w:styleId="EndnoteText">
    <w:name w:val="endnote text"/>
    <w:basedOn w:val="Normal"/>
    <w:link w:val="EndnoteTextChar"/>
    <w:uiPriority w:val="99"/>
    <w:semiHidden/>
    <w:unhideWhenUsed/>
    <w:rsid w:val="009C3D92"/>
    <w:pPr>
      <w:spacing w:after="0"/>
    </w:pPr>
    <w:rPr>
      <w:sz w:val="20"/>
      <w:szCs w:val="20"/>
    </w:rPr>
  </w:style>
  <w:style w:type="character" w:customStyle="1" w:styleId="EndnoteTextChar">
    <w:name w:val="Endnote Text Char"/>
    <w:basedOn w:val="DefaultParagraphFont"/>
    <w:link w:val="EndnoteText"/>
    <w:uiPriority w:val="99"/>
    <w:semiHidden/>
    <w:rsid w:val="009C3D92"/>
    <w:rPr>
      <w:sz w:val="20"/>
      <w:szCs w:val="20"/>
    </w:rPr>
  </w:style>
  <w:style w:type="character" w:styleId="EndnoteReference">
    <w:name w:val="endnote reference"/>
    <w:basedOn w:val="DefaultParagraphFont"/>
    <w:uiPriority w:val="99"/>
    <w:semiHidden/>
    <w:unhideWhenUsed/>
    <w:rsid w:val="009C3D92"/>
    <w:rPr>
      <w:vertAlign w:val="superscript"/>
    </w:rPr>
  </w:style>
  <w:style w:type="character" w:styleId="Strong">
    <w:name w:val="Strong"/>
    <w:uiPriority w:val="22"/>
    <w:qFormat/>
    <w:rsid w:val="008E3F05"/>
    <w:rPr>
      <w:b/>
      <w:bCs/>
    </w:rPr>
  </w:style>
  <w:style w:type="paragraph" w:customStyle="1" w:styleId="NHSCBBulletPoint">
    <w:name w:val="NHS CB Bullet Point"/>
    <w:basedOn w:val="Normal"/>
    <w:rsid w:val="0054387C"/>
    <w:pPr>
      <w:numPr>
        <w:numId w:val="3"/>
      </w:numPr>
      <w:spacing w:after="120" w:line="360" w:lineRule="auto"/>
    </w:pPr>
    <w:rPr>
      <w:rFonts w:eastAsia="SimSun" w:cs="Times New Roman"/>
      <w:szCs w:val="20"/>
    </w:rPr>
  </w:style>
  <w:style w:type="paragraph" w:customStyle="1" w:styleId="NHSCBChapterAnnex">
    <w:name w:val="NHS CB Chapter Annex"/>
    <w:next w:val="NHSCBNoParagraghNumber"/>
    <w:rsid w:val="0022130A"/>
    <w:pPr>
      <w:spacing w:before="240" w:after="120" w:line="240" w:lineRule="auto"/>
    </w:pPr>
    <w:rPr>
      <w:rFonts w:ascii="Arial" w:eastAsia="Times" w:hAnsi="Arial" w:cs="Times New Roman"/>
      <w:color w:val="0072C6"/>
      <w:sz w:val="28"/>
      <w:szCs w:val="20"/>
    </w:rPr>
  </w:style>
  <w:style w:type="paragraph" w:customStyle="1" w:styleId="NHSCBNoParagraphNumberBulletPoint">
    <w:name w:val="NHS CB No Paragraph Number Bullet Point"/>
    <w:basedOn w:val="Normal"/>
    <w:uiPriority w:val="99"/>
    <w:qFormat/>
    <w:rsid w:val="008E3F05"/>
    <w:pPr>
      <w:tabs>
        <w:tab w:val="num" w:pos="360"/>
      </w:tabs>
      <w:spacing w:after="120" w:line="360" w:lineRule="auto"/>
      <w:ind w:left="567" w:hanging="567"/>
    </w:pPr>
    <w:rPr>
      <w:rFonts w:eastAsia="SimSun" w:cs="Times New Roman"/>
      <w:szCs w:val="20"/>
    </w:rPr>
  </w:style>
  <w:style w:type="character" w:customStyle="1" w:styleId="Heading5Char">
    <w:name w:val="Heading 5 Char"/>
    <w:basedOn w:val="DefaultParagraphFont"/>
    <w:link w:val="Heading5"/>
    <w:uiPriority w:val="9"/>
    <w:rsid w:val="008E3F05"/>
    <w:rPr>
      <w:rFonts w:asciiTheme="majorHAnsi" w:eastAsiaTheme="majorEastAsia" w:hAnsiTheme="majorHAnsi" w:cstheme="majorBidi"/>
      <w:color w:val="243F60" w:themeColor="accent1" w:themeShade="7F"/>
      <w:sz w:val="24"/>
    </w:rPr>
  </w:style>
  <w:style w:type="character" w:styleId="UnresolvedMention">
    <w:name w:val="Unresolved Mention"/>
    <w:basedOn w:val="DefaultParagraphFont"/>
    <w:uiPriority w:val="99"/>
    <w:semiHidden/>
    <w:unhideWhenUsed/>
    <w:rsid w:val="00210878"/>
    <w:rPr>
      <w:color w:val="808080"/>
      <w:shd w:val="clear" w:color="auto" w:fill="E6E6E6"/>
    </w:rPr>
  </w:style>
  <w:style w:type="paragraph" w:styleId="BodyText">
    <w:name w:val="Body Text"/>
    <w:basedOn w:val="Normal"/>
    <w:link w:val="BodyTextChar"/>
    <w:uiPriority w:val="99"/>
    <w:qFormat/>
    <w:rsid w:val="008E3F05"/>
  </w:style>
  <w:style w:type="character" w:customStyle="1" w:styleId="BodyTextChar">
    <w:name w:val="Body Text Char"/>
    <w:basedOn w:val="DefaultParagraphFont"/>
    <w:link w:val="BodyText"/>
    <w:uiPriority w:val="99"/>
    <w:rsid w:val="008E3F05"/>
    <w:rPr>
      <w:rFonts w:ascii="Arial" w:hAnsi="Arial"/>
      <w:sz w:val="24"/>
    </w:rPr>
  </w:style>
  <w:style w:type="paragraph" w:styleId="Title">
    <w:name w:val="Title"/>
    <w:basedOn w:val="Normal"/>
    <w:next w:val="Normal"/>
    <w:link w:val="TitleChar"/>
    <w:uiPriority w:val="10"/>
    <w:qFormat/>
    <w:rsid w:val="008E3F05"/>
    <w:pPr>
      <w:spacing w:before="0" w:after="0"/>
      <w:contextualSpacing/>
    </w:pPr>
    <w:rPr>
      <w:rFonts w:eastAsiaTheme="majorEastAsia" w:cs="Arial"/>
      <w:b/>
      <w:bCs/>
      <w:spacing w:val="-10"/>
      <w:kern w:val="28"/>
      <w:sz w:val="72"/>
      <w:szCs w:val="72"/>
    </w:rPr>
  </w:style>
  <w:style w:type="character" w:customStyle="1" w:styleId="TitleChar">
    <w:name w:val="Title Char"/>
    <w:basedOn w:val="DefaultParagraphFont"/>
    <w:link w:val="Title"/>
    <w:uiPriority w:val="10"/>
    <w:rsid w:val="008E3F05"/>
    <w:rPr>
      <w:rFonts w:ascii="Arial" w:eastAsiaTheme="majorEastAsia" w:hAnsi="Arial" w:cs="Arial"/>
      <w:b/>
      <w:bCs/>
      <w:spacing w:val="-10"/>
      <w:kern w:val="28"/>
      <w:sz w:val="72"/>
      <w:szCs w:val="72"/>
    </w:rPr>
  </w:style>
  <w:style w:type="character" w:customStyle="1" w:styleId="Heading6Char">
    <w:name w:val="Heading 6 Char"/>
    <w:basedOn w:val="DefaultParagraphFont"/>
    <w:link w:val="Heading6"/>
    <w:uiPriority w:val="9"/>
    <w:rsid w:val="008E3F05"/>
    <w:rPr>
      <w:rFonts w:asciiTheme="majorHAnsi" w:eastAsiaTheme="majorEastAsia" w:hAnsiTheme="majorHAnsi" w:cstheme="majorBidi"/>
      <w:color w:val="243F60" w:themeColor="accent1" w:themeShade="7F"/>
      <w:sz w:val="24"/>
    </w:rPr>
  </w:style>
  <w:style w:type="paragraph" w:styleId="Subtitle">
    <w:name w:val="Subtitle"/>
    <w:basedOn w:val="Heading1"/>
    <w:next w:val="Normal"/>
    <w:link w:val="SubtitleChar"/>
    <w:uiPriority w:val="11"/>
    <w:qFormat/>
    <w:rsid w:val="008E3F05"/>
    <w:rPr>
      <w:b/>
      <w:bCs/>
      <w:sz w:val="48"/>
      <w:szCs w:val="48"/>
    </w:rPr>
  </w:style>
  <w:style w:type="character" w:customStyle="1" w:styleId="SubtitleChar">
    <w:name w:val="Subtitle Char"/>
    <w:basedOn w:val="DefaultParagraphFont"/>
    <w:link w:val="Subtitle"/>
    <w:uiPriority w:val="11"/>
    <w:rsid w:val="008E3F05"/>
    <w:rPr>
      <w:rFonts w:ascii="Arial" w:eastAsia="Times" w:hAnsi="Arial" w:cs="Times New Roman"/>
      <w:b/>
      <w:bCs/>
      <w:color w:val="000000" w:themeColor="text1"/>
      <w:sz w:val="48"/>
      <w:szCs w:val="48"/>
    </w:rPr>
  </w:style>
  <w:style w:type="table" w:customStyle="1" w:styleId="TableGrid7">
    <w:name w:val="Table Grid7"/>
    <w:basedOn w:val="TableNormal"/>
    <w:next w:val="TableGrid"/>
    <w:uiPriority w:val="59"/>
    <w:rsid w:val="00E06C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4653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3-Accent1">
    <w:name w:val="Medium Grid 3 Accent 1"/>
    <w:basedOn w:val="TableNormal"/>
    <w:uiPriority w:val="69"/>
    <w:rsid w:val="0026794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List1-Accent1">
    <w:name w:val="Medium List 1 Accent 1"/>
    <w:basedOn w:val="TableNormal"/>
    <w:uiPriority w:val="65"/>
    <w:semiHidden/>
    <w:unhideWhenUsed/>
    <w:rsid w:val="00A71D1B"/>
    <w:pPr>
      <w:spacing w:after="0" w:line="240" w:lineRule="auto"/>
    </w:pPr>
    <w:rPr>
      <w:color w:val="000000" w:themeColor="text1"/>
    </w:rPr>
    <w:tblPr>
      <w:tblStyleRowBandSize w:val="1"/>
      <w:tblStyleColBandSize w:val="1"/>
      <w:tblInd w:w="0" w:type="nil"/>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hint="default"/>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character" w:customStyle="1" w:styleId="SectionTitleChar">
    <w:name w:val="Section Title Char"/>
    <w:basedOn w:val="DefaultParagraphFont"/>
    <w:link w:val="SectionTitle"/>
    <w:uiPriority w:val="1"/>
    <w:locked/>
    <w:rsid w:val="008E3F05"/>
    <w:rPr>
      <w:rFonts w:ascii="Arial" w:hAnsi="Arial" w:cs="Arial"/>
      <w:color w:val="323E4F"/>
    </w:rPr>
  </w:style>
  <w:style w:type="paragraph" w:customStyle="1" w:styleId="SectionTitle">
    <w:name w:val="Section Title"/>
    <w:basedOn w:val="Normal"/>
    <w:link w:val="SectionTitleChar"/>
    <w:uiPriority w:val="1"/>
    <w:rsid w:val="008E3F05"/>
    <w:pPr>
      <w:spacing w:before="13" w:after="0"/>
      <w:ind w:left="200"/>
    </w:pPr>
    <w:rPr>
      <w:rFonts w:cs="Arial"/>
      <w:color w:val="323E4F"/>
      <w:sz w:val="22"/>
    </w:rPr>
  </w:style>
  <w:style w:type="character" w:customStyle="1" w:styleId="SubTitleHeadingChar">
    <w:name w:val="Sub Title Heading Char"/>
    <w:basedOn w:val="DefaultParagraphFont"/>
    <w:link w:val="SubTitleHeading"/>
    <w:uiPriority w:val="1"/>
    <w:locked/>
    <w:rsid w:val="00416F8F"/>
    <w:rPr>
      <w:rFonts w:ascii="Arial" w:hAnsi="Arial" w:cs="Arial"/>
      <w:b/>
      <w:bCs/>
      <w:color w:val="1F487C"/>
    </w:rPr>
  </w:style>
  <w:style w:type="paragraph" w:customStyle="1" w:styleId="SubTitleHeading">
    <w:name w:val="Sub Title Heading"/>
    <w:basedOn w:val="Normal"/>
    <w:link w:val="SubTitleHeadingChar"/>
    <w:uiPriority w:val="1"/>
    <w:rsid w:val="00416F8F"/>
    <w:pPr>
      <w:spacing w:before="64" w:after="0"/>
      <w:ind w:left="120" w:right="2050"/>
      <w:jc w:val="both"/>
    </w:pPr>
    <w:rPr>
      <w:rFonts w:cs="Arial"/>
      <w:b/>
      <w:bCs/>
      <w:color w:val="1F487C"/>
      <w:sz w:val="22"/>
    </w:rPr>
  </w:style>
  <w:style w:type="paragraph" w:styleId="TOC4">
    <w:name w:val="toc 4"/>
    <w:basedOn w:val="Normal"/>
    <w:next w:val="Normal"/>
    <w:autoRedefine/>
    <w:uiPriority w:val="39"/>
    <w:unhideWhenUsed/>
    <w:rsid w:val="00384735"/>
    <w:pPr>
      <w:spacing w:before="0" w:after="100" w:line="259" w:lineRule="auto"/>
      <w:ind w:left="660"/>
    </w:pPr>
    <w:rPr>
      <w:rFonts w:asciiTheme="minorHAnsi" w:eastAsiaTheme="minorEastAsia" w:hAnsiTheme="minorHAnsi"/>
      <w:sz w:val="22"/>
      <w:lang w:eastAsia="en-GB"/>
    </w:rPr>
  </w:style>
  <w:style w:type="paragraph" w:styleId="TOC5">
    <w:name w:val="toc 5"/>
    <w:basedOn w:val="Normal"/>
    <w:next w:val="Normal"/>
    <w:autoRedefine/>
    <w:uiPriority w:val="39"/>
    <w:unhideWhenUsed/>
    <w:rsid w:val="00384735"/>
    <w:pPr>
      <w:spacing w:before="0" w:after="100" w:line="259" w:lineRule="auto"/>
      <w:ind w:left="880"/>
    </w:pPr>
    <w:rPr>
      <w:rFonts w:asciiTheme="minorHAnsi" w:eastAsiaTheme="minorEastAsia" w:hAnsiTheme="minorHAnsi"/>
      <w:sz w:val="22"/>
      <w:lang w:eastAsia="en-GB"/>
    </w:rPr>
  </w:style>
  <w:style w:type="paragraph" w:styleId="TOC6">
    <w:name w:val="toc 6"/>
    <w:basedOn w:val="Normal"/>
    <w:next w:val="Normal"/>
    <w:autoRedefine/>
    <w:uiPriority w:val="39"/>
    <w:unhideWhenUsed/>
    <w:rsid w:val="00384735"/>
    <w:pPr>
      <w:spacing w:before="0" w:after="100" w:line="259" w:lineRule="auto"/>
      <w:ind w:left="1100"/>
    </w:pPr>
    <w:rPr>
      <w:rFonts w:asciiTheme="minorHAnsi" w:eastAsiaTheme="minorEastAsia" w:hAnsiTheme="minorHAnsi"/>
      <w:sz w:val="22"/>
      <w:lang w:eastAsia="en-GB"/>
    </w:rPr>
  </w:style>
  <w:style w:type="paragraph" w:styleId="TOC7">
    <w:name w:val="toc 7"/>
    <w:basedOn w:val="Normal"/>
    <w:next w:val="Normal"/>
    <w:autoRedefine/>
    <w:uiPriority w:val="39"/>
    <w:unhideWhenUsed/>
    <w:rsid w:val="00384735"/>
    <w:pPr>
      <w:spacing w:before="0" w:after="100" w:line="259" w:lineRule="auto"/>
      <w:ind w:left="1320"/>
    </w:pPr>
    <w:rPr>
      <w:rFonts w:asciiTheme="minorHAnsi" w:eastAsiaTheme="minorEastAsia" w:hAnsiTheme="minorHAnsi"/>
      <w:sz w:val="22"/>
      <w:lang w:eastAsia="en-GB"/>
    </w:rPr>
  </w:style>
  <w:style w:type="paragraph" w:styleId="TOC8">
    <w:name w:val="toc 8"/>
    <w:basedOn w:val="Normal"/>
    <w:next w:val="Normal"/>
    <w:autoRedefine/>
    <w:uiPriority w:val="39"/>
    <w:unhideWhenUsed/>
    <w:rsid w:val="00384735"/>
    <w:pPr>
      <w:spacing w:before="0" w:after="100" w:line="259" w:lineRule="auto"/>
      <w:ind w:left="1540"/>
    </w:pPr>
    <w:rPr>
      <w:rFonts w:asciiTheme="minorHAnsi" w:eastAsiaTheme="minorEastAsia" w:hAnsiTheme="minorHAnsi"/>
      <w:sz w:val="22"/>
      <w:lang w:eastAsia="en-GB"/>
    </w:rPr>
  </w:style>
  <w:style w:type="paragraph" w:styleId="TOC9">
    <w:name w:val="toc 9"/>
    <w:basedOn w:val="Normal"/>
    <w:next w:val="Normal"/>
    <w:autoRedefine/>
    <w:uiPriority w:val="39"/>
    <w:unhideWhenUsed/>
    <w:rsid w:val="00384735"/>
    <w:pPr>
      <w:spacing w:before="0" w:after="100" w:line="259" w:lineRule="auto"/>
      <w:ind w:left="1760"/>
    </w:pPr>
    <w:rPr>
      <w:rFonts w:asciiTheme="minorHAnsi" w:eastAsiaTheme="minorEastAsia" w:hAnsiTheme="minorHAnsi"/>
      <w:sz w:val="22"/>
      <w:lang w:eastAsia="en-GB"/>
    </w:rPr>
  </w:style>
  <w:style w:type="table" w:customStyle="1" w:styleId="TableGrid9">
    <w:name w:val="Table Grid9"/>
    <w:basedOn w:val="TableNormal"/>
    <w:next w:val="TableGrid"/>
    <w:uiPriority w:val="39"/>
    <w:rsid w:val="0028445F"/>
    <w:pPr>
      <w:spacing w:after="0" w:line="240" w:lineRule="auto"/>
    </w:pPr>
    <w:rPr>
      <w:rFonts w:ascii="Segoe UI Light" w:hAnsi="Segoe UI Light"/>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iPriority w:val="99"/>
    <w:unhideWhenUsed/>
    <w:rsid w:val="0061795C"/>
    <w:pPr>
      <w:spacing w:after="120" w:line="480" w:lineRule="auto"/>
    </w:pPr>
  </w:style>
  <w:style w:type="character" w:customStyle="1" w:styleId="BodyText2Char">
    <w:name w:val="Body Text 2 Char"/>
    <w:basedOn w:val="DefaultParagraphFont"/>
    <w:link w:val="BodyText2"/>
    <w:uiPriority w:val="99"/>
    <w:rsid w:val="0061795C"/>
    <w:rPr>
      <w:rFonts w:ascii="Arial" w:hAnsi="Arial"/>
      <w:sz w:val="24"/>
    </w:rPr>
  </w:style>
  <w:style w:type="character" w:customStyle="1" w:styleId="Heading7Char">
    <w:name w:val="Heading 7 Char"/>
    <w:basedOn w:val="DefaultParagraphFont"/>
    <w:link w:val="Heading7"/>
    <w:uiPriority w:val="9"/>
    <w:semiHidden/>
    <w:rsid w:val="001C0486"/>
    <w:rPr>
      <w:rFonts w:asciiTheme="majorHAnsi" w:eastAsiaTheme="majorEastAsia" w:hAnsiTheme="majorHAnsi" w:cstheme="majorBidi"/>
      <w:i/>
      <w:iCs/>
      <w:color w:val="243F60" w:themeColor="accent1" w:themeShade="7F"/>
      <w:sz w:val="24"/>
      <w:szCs w:val="24"/>
    </w:rPr>
  </w:style>
  <w:style w:type="character" w:customStyle="1" w:styleId="Heading8Char">
    <w:name w:val="Heading 8 Char"/>
    <w:basedOn w:val="DefaultParagraphFont"/>
    <w:link w:val="Heading8"/>
    <w:uiPriority w:val="9"/>
    <w:semiHidden/>
    <w:rsid w:val="001C048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C0486"/>
    <w:rPr>
      <w:rFonts w:asciiTheme="majorHAnsi" w:eastAsiaTheme="majorEastAsia" w:hAnsiTheme="majorHAnsi" w:cstheme="majorBidi"/>
      <w:i/>
      <w:iCs/>
      <w:color w:val="272727" w:themeColor="text1" w:themeTint="D8"/>
      <w:sz w:val="21"/>
      <w:szCs w:val="21"/>
    </w:rPr>
  </w:style>
  <w:style w:type="numbering" w:customStyle="1" w:styleId="CurrentList1">
    <w:name w:val="Current List1"/>
    <w:uiPriority w:val="99"/>
    <w:rsid w:val="001C0486"/>
    <w:pPr>
      <w:numPr>
        <w:numId w:val="4"/>
      </w:numPr>
    </w:pPr>
  </w:style>
  <w:style w:type="numbering" w:customStyle="1" w:styleId="CurrentList2">
    <w:name w:val="Current List2"/>
    <w:uiPriority w:val="99"/>
    <w:rsid w:val="001C0486"/>
    <w:pPr>
      <w:numPr>
        <w:numId w:val="5"/>
      </w:numPr>
    </w:pPr>
  </w:style>
  <w:style w:type="numbering" w:customStyle="1" w:styleId="CurrentList3">
    <w:name w:val="Current List3"/>
    <w:uiPriority w:val="99"/>
    <w:rsid w:val="001C0486"/>
    <w:pPr>
      <w:numPr>
        <w:numId w:val="6"/>
      </w:numPr>
    </w:pPr>
  </w:style>
  <w:style w:type="numbering" w:customStyle="1" w:styleId="CurrentList4">
    <w:name w:val="Current List4"/>
    <w:uiPriority w:val="99"/>
    <w:rsid w:val="001C0486"/>
    <w:pPr>
      <w:numPr>
        <w:numId w:val="7"/>
      </w:numPr>
    </w:pPr>
  </w:style>
  <w:style w:type="numbering" w:customStyle="1" w:styleId="CurrentList5">
    <w:name w:val="Current List5"/>
    <w:uiPriority w:val="99"/>
    <w:rsid w:val="001C0486"/>
    <w:pPr>
      <w:numPr>
        <w:numId w:val="8"/>
      </w:numPr>
    </w:pPr>
  </w:style>
  <w:style w:type="paragraph" w:customStyle="1" w:styleId="Style1">
    <w:name w:val="Style1"/>
    <w:basedOn w:val="Heading3"/>
    <w:rsid w:val="001C0486"/>
    <w:pPr>
      <w:widowControl w:val="0"/>
      <w:spacing w:before="200" w:after="200"/>
    </w:pPr>
    <w:rPr>
      <w:rFonts w:asciiTheme="majorHAnsi" w:eastAsiaTheme="majorEastAsia" w:hAnsiTheme="majorHAnsi" w:cstheme="majorBidi"/>
      <w:b w:val="0"/>
      <w:bCs w:val="0"/>
    </w:rPr>
  </w:style>
  <w:style w:type="numbering" w:customStyle="1" w:styleId="CurrentList6">
    <w:name w:val="Current List6"/>
    <w:uiPriority w:val="99"/>
    <w:rsid w:val="001C0486"/>
    <w:pPr>
      <w:numPr>
        <w:numId w:val="9"/>
      </w:numPr>
    </w:pPr>
  </w:style>
  <w:style w:type="numbering" w:customStyle="1" w:styleId="CurrentList7">
    <w:name w:val="Current List7"/>
    <w:uiPriority w:val="99"/>
    <w:rsid w:val="001C0486"/>
    <w:pPr>
      <w:numPr>
        <w:numId w:val="10"/>
      </w:numPr>
    </w:pPr>
  </w:style>
  <w:style w:type="numbering" w:customStyle="1" w:styleId="CurrentList8">
    <w:name w:val="Current List8"/>
    <w:uiPriority w:val="99"/>
    <w:rsid w:val="001C0486"/>
    <w:pPr>
      <w:numPr>
        <w:numId w:val="11"/>
      </w:numPr>
    </w:pPr>
  </w:style>
  <w:style w:type="paragraph" w:customStyle="1" w:styleId="StyleHeading1LatinArial22ptNotBoldText1NotExpan">
    <w:name w:val="Style Heading 1 + (Latin) Arial 22 pt Not Bold Text 1 Not Expan..."/>
    <w:basedOn w:val="Heading1"/>
    <w:rsid w:val="001C0486"/>
    <w:pPr>
      <w:tabs>
        <w:tab w:val="left" w:pos="567"/>
      </w:tabs>
      <w:contextualSpacing/>
    </w:pPr>
    <w:rPr>
      <w:rFonts w:eastAsiaTheme="majorEastAsia" w:cstheme="majorBidi"/>
      <w:szCs w:val="32"/>
    </w:rPr>
  </w:style>
  <w:style w:type="paragraph" w:styleId="NormalWeb">
    <w:name w:val="Normal (Web)"/>
    <w:basedOn w:val="Normal"/>
    <w:uiPriority w:val="99"/>
    <w:unhideWhenUsed/>
    <w:rsid w:val="000D2A2D"/>
    <w:pPr>
      <w:spacing w:before="100" w:beforeAutospacing="1" w:after="100" w:afterAutospacing="1"/>
    </w:pPr>
    <w:rPr>
      <w:rFonts w:ascii="Calibri" w:hAnsi="Calibri" w:cs="Calibri"/>
      <w:sz w:val="22"/>
      <w:lang w:eastAsia="en-GB"/>
    </w:rPr>
  </w:style>
  <w:style w:type="paragraph" w:styleId="NoSpacing">
    <w:name w:val="No Spacing"/>
    <w:uiPriority w:val="1"/>
    <w:rsid w:val="00A35F37"/>
    <w:pPr>
      <w:spacing w:after="0" w:line="240" w:lineRule="auto"/>
    </w:pPr>
    <w:rPr>
      <w:rFonts w:ascii="Arial" w:hAnsi="Arial"/>
      <w:sz w:val="24"/>
    </w:rPr>
  </w:style>
  <w:style w:type="paragraph" w:customStyle="1" w:styleId="ydp940c875msonormal">
    <w:name w:val="ydp940c875msonormal"/>
    <w:basedOn w:val="Normal"/>
    <w:rsid w:val="0090777B"/>
    <w:pPr>
      <w:spacing w:before="100" w:beforeAutospacing="1" w:after="100" w:afterAutospacing="1"/>
    </w:pPr>
    <w:rPr>
      <w:rFonts w:ascii="Calibri" w:hAnsi="Calibri" w:cs="Calibri"/>
      <w:sz w:val="22"/>
      <w:lang w:eastAsia="en-GB"/>
    </w:rPr>
  </w:style>
  <w:style w:type="paragraph" w:customStyle="1" w:styleId="xmsonormal">
    <w:name w:val="x_msonormal"/>
    <w:basedOn w:val="Normal"/>
    <w:rsid w:val="00464A88"/>
    <w:pPr>
      <w:spacing w:before="100" w:beforeAutospacing="1" w:after="100" w:afterAutospacing="1"/>
    </w:pPr>
    <w:rPr>
      <w:rFonts w:ascii="Calibri" w:hAnsi="Calibri" w:cs="Calibri"/>
      <w:sz w:val="22"/>
      <w:lang w:eastAsia="en-GB"/>
    </w:rPr>
  </w:style>
  <w:style w:type="character" w:customStyle="1" w:styleId="ui-provider">
    <w:name w:val="ui-provider"/>
    <w:basedOn w:val="DefaultParagraphFont"/>
    <w:rsid w:val="00464A88"/>
  </w:style>
  <w:style w:type="paragraph" w:customStyle="1" w:styleId="ydp524d2c89msonormal">
    <w:name w:val="ydp524d2c89msonormal"/>
    <w:basedOn w:val="Normal"/>
    <w:rsid w:val="000B7A68"/>
    <w:pPr>
      <w:spacing w:before="100" w:beforeAutospacing="1" w:after="100" w:afterAutospacing="1"/>
    </w:pPr>
    <w:rPr>
      <w:rFonts w:ascii="Calibri" w:hAnsi="Calibri" w:cs="Calibri"/>
      <w:sz w:val="22"/>
      <w:lang w:eastAsia="en-GB"/>
    </w:rPr>
  </w:style>
  <w:style w:type="paragraph" w:customStyle="1" w:styleId="paragraph">
    <w:name w:val="paragraph"/>
    <w:basedOn w:val="Normal"/>
    <w:rsid w:val="008156BE"/>
    <w:pPr>
      <w:spacing w:before="100" w:beforeAutospacing="1" w:after="100" w:afterAutospacing="1"/>
    </w:pPr>
    <w:rPr>
      <w:rFonts w:ascii="Times New Roman" w:eastAsia="Times New Roman" w:hAnsi="Times New Roman" w:cs="Times New Roman"/>
      <w:szCs w:val="24"/>
      <w:lang w:eastAsia="en-GB"/>
    </w:rPr>
  </w:style>
  <w:style w:type="character" w:customStyle="1" w:styleId="normaltextrun">
    <w:name w:val="normaltextrun"/>
    <w:basedOn w:val="DefaultParagraphFont"/>
    <w:rsid w:val="008156BE"/>
  </w:style>
  <w:style w:type="character" w:customStyle="1" w:styleId="eop">
    <w:name w:val="eop"/>
    <w:basedOn w:val="DefaultParagraphFont"/>
    <w:rsid w:val="008156BE"/>
  </w:style>
  <w:style w:type="character" w:customStyle="1" w:styleId="contextualspellingandgrammarerror">
    <w:name w:val="contextualspellingandgrammarerror"/>
    <w:basedOn w:val="DefaultParagraphFont"/>
    <w:rsid w:val="008156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0061">
      <w:bodyDiv w:val="1"/>
      <w:marLeft w:val="0"/>
      <w:marRight w:val="0"/>
      <w:marTop w:val="0"/>
      <w:marBottom w:val="0"/>
      <w:divBdr>
        <w:top w:val="none" w:sz="0" w:space="0" w:color="auto"/>
        <w:left w:val="none" w:sz="0" w:space="0" w:color="auto"/>
        <w:bottom w:val="none" w:sz="0" w:space="0" w:color="auto"/>
        <w:right w:val="none" w:sz="0" w:space="0" w:color="auto"/>
      </w:divBdr>
    </w:div>
    <w:div w:id="7099237">
      <w:bodyDiv w:val="1"/>
      <w:marLeft w:val="0"/>
      <w:marRight w:val="0"/>
      <w:marTop w:val="0"/>
      <w:marBottom w:val="0"/>
      <w:divBdr>
        <w:top w:val="none" w:sz="0" w:space="0" w:color="auto"/>
        <w:left w:val="none" w:sz="0" w:space="0" w:color="auto"/>
        <w:bottom w:val="none" w:sz="0" w:space="0" w:color="auto"/>
        <w:right w:val="none" w:sz="0" w:space="0" w:color="auto"/>
      </w:divBdr>
    </w:div>
    <w:div w:id="22757764">
      <w:bodyDiv w:val="1"/>
      <w:marLeft w:val="0"/>
      <w:marRight w:val="0"/>
      <w:marTop w:val="0"/>
      <w:marBottom w:val="0"/>
      <w:divBdr>
        <w:top w:val="none" w:sz="0" w:space="0" w:color="auto"/>
        <w:left w:val="none" w:sz="0" w:space="0" w:color="auto"/>
        <w:bottom w:val="none" w:sz="0" w:space="0" w:color="auto"/>
        <w:right w:val="none" w:sz="0" w:space="0" w:color="auto"/>
      </w:divBdr>
    </w:div>
    <w:div w:id="28383068">
      <w:bodyDiv w:val="1"/>
      <w:marLeft w:val="0"/>
      <w:marRight w:val="0"/>
      <w:marTop w:val="0"/>
      <w:marBottom w:val="0"/>
      <w:divBdr>
        <w:top w:val="none" w:sz="0" w:space="0" w:color="auto"/>
        <w:left w:val="none" w:sz="0" w:space="0" w:color="auto"/>
        <w:bottom w:val="none" w:sz="0" w:space="0" w:color="auto"/>
        <w:right w:val="none" w:sz="0" w:space="0" w:color="auto"/>
      </w:divBdr>
    </w:div>
    <w:div w:id="38088971">
      <w:bodyDiv w:val="1"/>
      <w:marLeft w:val="0"/>
      <w:marRight w:val="0"/>
      <w:marTop w:val="0"/>
      <w:marBottom w:val="0"/>
      <w:divBdr>
        <w:top w:val="none" w:sz="0" w:space="0" w:color="auto"/>
        <w:left w:val="none" w:sz="0" w:space="0" w:color="auto"/>
        <w:bottom w:val="none" w:sz="0" w:space="0" w:color="auto"/>
        <w:right w:val="none" w:sz="0" w:space="0" w:color="auto"/>
      </w:divBdr>
    </w:div>
    <w:div w:id="58403437">
      <w:bodyDiv w:val="1"/>
      <w:marLeft w:val="0"/>
      <w:marRight w:val="0"/>
      <w:marTop w:val="0"/>
      <w:marBottom w:val="0"/>
      <w:divBdr>
        <w:top w:val="none" w:sz="0" w:space="0" w:color="auto"/>
        <w:left w:val="none" w:sz="0" w:space="0" w:color="auto"/>
        <w:bottom w:val="none" w:sz="0" w:space="0" w:color="auto"/>
        <w:right w:val="none" w:sz="0" w:space="0" w:color="auto"/>
      </w:divBdr>
    </w:div>
    <w:div w:id="68964963">
      <w:bodyDiv w:val="1"/>
      <w:marLeft w:val="0"/>
      <w:marRight w:val="0"/>
      <w:marTop w:val="0"/>
      <w:marBottom w:val="0"/>
      <w:divBdr>
        <w:top w:val="none" w:sz="0" w:space="0" w:color="auto"/>
        <w:left w:val="none" w:sz="0" w:space="0" w:color="auto"/>
        <w:bottom w:val="none" w:sz="0" w:space="0" w:color="auto"/>
        <w:right w:val="none" w:sz="0" w:space="0" w:color="auto"/>
      </w:divBdr>
    </w:div>
    <w:div w:id="75320939">
      <w:bodyDiv w:val="1"/>
      <w:marLeft w:val="0"/>
      <w:marRight w:val="0"/>
      <w:marTop w:val="0"/>
      <w:marBottom w:val="0"/>
      <w:divBdr>
        <w:top w:val="none" w:sz="0" w:space="0" w:color="auto"/>
        <w:left w:val="none" w:sz="0" w:space="0" w:color="auto"/>
        <w:bottom w:val="none" w:sz="0" w:space="0" w:color="auto"/>
        <w:right w:val="none" w:sz="0" w:space="0" w:color="auto"/>
      </w:divBdr>
    </w:div>
    <w:div w:id="81461299">
      <w:bodyDiv w:val="1"/>
      <w:marLeft w:val="0"/>
      <w:marRight w:val="0"/>
      <w:marTop w:val="0"/>
      <w:marBottom w:val="0"/>
      <w:divBdr>
        <w:top w:val="none" w:sz="0" w:space="0" w:color="auto"/>
        <w:left w:val="none" w:sz="0" w:space="0" w:color="auto"/>
        <w:bottom w:val="none" w:sz="0" w:space="0" w:color="auto"/>
        <w:right w:val="none" w:sz="0" w:space="0" w:color="auto"/>
      </w:divBdr>
    </w:div>
    <w:div w:id="81951468">
      <w:bodyDiv w:val="1"/>
      <w:marLeft w:val="0"/>
      <w:marRight w:val="0"/>
      <w:marTop w:val="0"/>
      <w:marBottom w:val="0"/>
      <w:divBdr>
        <w:top w:val="none" w:sz="0" w:space="0" w:color="auto"/>
        <w:left w:val="none" w:sz="0" w:space="0" w:color="auto"/>
        <w:bottom w:val="none" w:sz="0" w:space="0" w:color="auto"/>
        <w:right w:val="none" w:sz="0" w:space="0" w:color="auto"/>
      </w:divBdr>
    </w:div>
    <w:div w:id="82144446">
      <w:bodyDiv w:val="1"/>
      <w:marLeft w:val="0"/>
      <w:marRight w:val="0"/>
      <w:marTop w:val="0"/>
      <w:marBottom w:val="0"/>
      <w:divBdr>
        <w:top w:val="none" w:sz="0" w:space="0" w:color="auto"/>
        <w:left w:val="none" w:sz="0" w:space="0" w:color="auto"/>
        <w:bottom w:val="none" w:sz="0" w:space="0" w:color="auto"/>
        <w:right w:val="none" w:sz="0" w:space="0" w:color="auto"/>
      </w:divBdr>
    </w:div>
    <w:div w:id="89129861">
      <w:bodyDiv w:val="1"/>
      <w:marLeft w:val="0"/>
      <w:marRight w:val="0"/>
      <w:marTop w:val="0"/>
      <w:marBottom w:val="0"/>
      <w:divBdr>
        <w:top w:val="none" w:sz="0" w:space="0" w:color="auto"/>
        <w:left w:val="none" w:sz="0" w:space="0" w:color="auto"/>
        <w:bottom w:val="none" w:sz="0" w:space="0" w:color="auto"/>
        <w:right w:val="none" w:sz="0" w:space="0" w:color="auto"/>
      </w:divBdr>
    </w:div>
    <w:div w:id="95683599">
      <w:bodyDiv w:val="1"/>
      <w:marLeft w:val="0"/>
      <w:marRight w:val="0"/>
      <w:marTop w:val="0"/>
      <w:marBottom w:val="0"/>
      <w:divBdr>
        <w:top w:val="none" w:sz="0" w:space="0" w:color="auto"/>
        <w:left w:val="none" w:sz="0" w:space="0" w:color="auto"/>
        <w:bottom w:val="none" w:sz="0" w:space="0" w:color="auto"/>
        <w:right w:val="none" w:sz="0" w:space="0" w:color="auto"/>
      </w:divBdr>
    </w:div>
    <w:div w:id="134224317">
      <w:bodyDiv w:val="1"/>
      <w:marLeft w:val="0"/>
      <w:marRight w:val="0"/>
      <w:marTop w:val="0"/>
      <w:marBottom w:val="0"/>
      <w:divBdr>
        <w:top w:val="none" w:sz="0" w:space="0" w:color="auto"/>
        <w:left w:val="none" w:sz="0" w:space="0" w:color="auto"/>
        <w:bottom w:val="none" w:sz="0" w:space="0" w:color="auto"/>
        <w:right w:val="none" w:sz="0" w:space="0" w:color="auto"/>
      </w:divBdr>
      <w:divsChild>
        <w:div w:id="246354685">
          <w:marLeft w:val="360"/>
          <w:marRight w:val="0"/>
          <w:marTop w:val="200"/>
          <w:marBottom w:val="0"/>
          <w:divBdr>
            <w:top w:val="none" w:sz="0" w:space="0" w:color="auto"/>
            <w:left w:val="none" w:sz="0" w:space="0" w:color="auto"/>
            <w:bottom w:val="none" w:sz="0" w:space="0" w:color="auto"/>
            <w:right w:val="none" w:sz="0" w:space="0" w:color="auto"/>
          </w:divBdr>
        </w:div>
        <w:div w:id="631592676">
          <w:marLeft w:val="1166"/>
          <w:marRight w:val="0"/>
          <w:marTop w:val="100"/>
          <w:marBottom w:val="0"/>
          <w:divBdr>
            <w:top w:val="none" w:sz="0" w:space="0" w:color="auto"/>
            <w:left w:val="none" w:sz="0" w:space="0" w:color="auto"/>
            <w:bottom w:val="none" w:sz="0" w:space="0" w:color="auto"/>
            <w:right w:val="none" w:sz="0" w:space="0" w:color="auto"/>
          </w:divBdr>
        </w:div>
        <w:div w:id="745802347">
          <w:marLeft w:val="360"/>
          <w:marRight w:val="0"/>
          <w:marTop w:val="200"/>
          <w:marBottom w:val="0"/>
          <w:divBdr>
            <w:top w:val="none" w:sz="0" w:space="0" w:color="auto"/>
            <w:left w:val="none" w:sz="0" w:space="0" w:color="auto"/>
            <w:bottom w:val="none" w:sz="0" w:space="0" w:color="auto"/>
            <w:right w:val="none" w:sz="0" w:space="0" w:color="auto"/>
          </w:divBdr>
        </w:div>
        <w:div w:id="765543168">
          <w:marLeft w:val="360"/>
          <w:marRight w:val="0"/>
          <w:marTop w:val="200"/>
          <w:marBottom w:val="0"/>
          <w:divBdr>
            <w:top w:val="none" w:sz="0" w:space="0" w:color="auto"/>
            <w:left w:val="none" w:sz="0" w:space="0" w:color="auto"/>
            <w:bottom w:val="none" w:sz="0" w:space="0" w:color="auto"/>
            <w:right w:val="none" w:sz="0" w:space="0" w:color="auto"/>
          </w:divBdr>
        </w:div>
        <w:div w:id="1067000711">
          <w:marLeft w:val="1166"/>
          <w:marRight w:val="0"/>
          <w:marTop w:val="100"/>
          <w:marBottom w:val="0"/>
          <w:divBdr>
            <w:top w:val="none" w:sz="0" w:space="0" w:color="auto"/>
            <w:left w:val="none" w:sz="0" w:space="0" w:color="auto"/>
            <w:bottom w:val="none" w:sz="0" w:space="0" w:color="auto"/>
            <w:right w:val="none" w:sz="0" w:space="0" w:color="auto"/>
          </w:divBdr>
        </w:div>
        <w:div w:id="1622372242">
          <w:marLeft w:val="360"/>
          <w:marRight w:val="0"/>
          <w:marTop w:val="200"/>
          <w:marBottom w:val="0"/>
          <w:divBdr>
            <w:top w:val="none" w:sz="0" w:space="0" w:color="auto"/>
            <w:left w:val="none" w:sz="0" w:space="0" w:color="auto"/>
            <w:bottom w:val="none" w:sz="0" w:space="0" w:color="auto"/>
            <w:right w:val="none" w:sz="0" w:space="0" w:color="auto"/>
          </w:divBdr>
        </w:div>
        <w:div w:id="1883713430">
          <w:marLeft w:val="1166"/>
          <w:marRight w:val="0"/>
          <w:marTop w:val="100"/>
          <w:marBottom w:val="0"/>
          <w:divBdr>
            <w:top w:val="none" w:sz="0" w:space="0" w:color="auto"/>
            <w:left w:val="none" w:sz="0" w:space="0" w:color="auto"/>
            <w:bottom w:val="none" w:sz="0" w:space="0" w:color="auto"/>
            <w:right w:val="none" w:sz="0" w:space="0" w:color="auto"/>
          </w:divBdr>
        </w:div>
        <w:div w:id="1892110711">
          <w:marLeft w:val="360"/>
          <w:marRight w:val="0"/>
          <w:marTop w:val="200"/>
          <w:marBottom w:val="0"/>
          <w:divBdr>
            <w:top w:val="none" w:sz="0" w:space="0" w:color="auto"/>
            <w:left w:val="none" w:sz="0" w:space="0" w:color="auto"/>
            <w:bottom w:val="none" w:sz="0" w:space="0" w:color="auto"/>
            <w:right w:val="none" w:sz="0" w:space="0" w:color="auto"/>
          </w:divBdr>
        </w:div>
        <w:div w:id="2101832311">
          <w:marLeft w:val="360"/>
          <w:marRight w:val="0"/>
          <w:marTop w:val="200"/>
          <w:marBottom w:val="0"/>
          <w:divBdr>
            <w:top w:val="none" w:sz="0" w:space="0" w:color="auto"/>
            <w:left w:val="none" w:sz="0" w:space="0" w:color="auto"/>
            <w:bottom w:val="none" w:sz="0" w:space="0" w:color="auto"/>
            <w:right w:val="none" w:sz="0" w:space="0" w:color="auto"/>
          </w:divBdr>
        </w:div>
      </w:divsChild>
    </w:div>
    <w:div w:id="155733647">
      <w:bodyDiv w:val="1"/>
      <w:marLeft w:val="0"/>
      <w:marRight w:val="0"/>
      <w:marTop w:val="0"/>
      <w:marBottom w:val="0"/>
      <w:divBdr>
        <w:top w:val="none" w:sz="0" w:space="0" w:color="auto"/>
        <w:left w:val="none" w:sz="0" w:space="0" w:color="auto"/>
        <w:bottom w:val="none" w:sz="0" w:space="0" w:color="auto"/>
        <w:right w:val="none" w:sz="0" w:space="0" w:color="auto"/>
      </w:divBdr>
    </w:div>
    <w:div w:id="156312902">
      <w:bodyDiv w:val="1"/>
      <w:marLeft w:val="0"/>
      <w:marRight w:val="0"/>
      <w:marTop w:val="0"/>
      <w:marBottom w:val="0"/>
      <w:divBdr>
        <w:top w:val="none" w:sz="0" w:space="0" w:color="auto"/>
        <w:left w:val="none" w:sz="0" w:space="0" w:color="auto"/>
        <w:bottom w:val="none" w:sz="0" w:space="0" w:color="auto"/>
        <w:right w:val="none" w:sz="0" w:space="0" w:color="auto"/>
      </w:divBdr>
    </w:div>
    <w:div w:id="169804619">
      <w:bodyDiv w:val="1"/>
      <w:marLeft w:val="0"/>
      <w:marRight w:val="0"/>
      <w:marTop w:val="0"/>
      <w:marBottom w:val="0"/>
      <w:divBdr>
        <w:top w:val="none" w:sz="0" w:space="0" w:color="auto"/>
        <w:left w:val="none" w:sz="0" w:space="0" w:color="auto"/>
        <w:bottom w:val="none" w:sz="0" w:space="0" w:color="auto"/>
        <w:right w:val="none" w:sz="0" w:space="0" w:color="auto"/>
      </w:divBdr>
    </w:div>
    <w:div w:id="177622917">
      <w:bodyDiv w:val="1"/>
      <w:marLeft w:val="0"/>
      <w:marRight w:val="0"/>
      <w:marTop w:val="0"/>
      <w:marBottom w:val="0"/>
      <w:divBdr>
        <w:top w:val="none" w:sz="0" w:space="0" w:color="auto"/>
        <w:left w:val="none" w:sz="0" w:space="0" w:color="auto"/>
        <w:bottom w:val="none" w:sz="0" w:space="0" w:color="auto"/>
        <w:right w:val="none" w:sz="0" w:space="0" w:color="auto"/>
      </w:divBdr>
    </w:div>
    <w:div w:id="182255790">
      <w:bodyDiv w:val="1"/>
      <w:marLeft w:val="0"/>
      <w:marRight w:val="0"/>
      <w:marTop w:val="0"/>
      <w:marBottom w:val="0"/>
      <w:divBdr>
        <w:top w:val="none" w:sz="0" w:space="0" w:color="auto"/>
        <w:left w:val="none" w:sz="0" w:space="0" w:color="auto"/>
        <w:bottom w:val="none" w:sz="0" w:space="0" w:color="auto"/>
        <w:right w:val="none" w:sz="0" w:space="0" w:color="auto"/>
      </w:divBdr>
    </w:div>
    <w:div w:id="182716824">
      <w:bodyDiv w:val="1"/>
      <w:marLeft w:val="0"/>
      <w:marRight w:val="0"/>
      <w:marTop w:val="0"/>
      <w:marBottom w:val="0"/>
      <w:divBdr>
        <w:top w:val="none" w:sz="0" w:space="0" w:color="auto"/>
        <w:left w:val="none" w:sz="0" w:space="0" w:color="auto"/>
        <w:bottom w:val="none" w:sz="0" w:space="0" w:color="auto"/>
        <w:right w:val="none" w:sz="0" w:space="0" w:color="auto"/>
      </w:divBdr>
    </w:div>
    <w:div w:id="184095052">
      <w:bodyDiv w:val="1"/>
      <w:marLeft w:val="0"/>
      <w:marRight w:val="0"/>
      <w:marTop w:val="0"/>
      <w:marBottom w:val="0"/>
      <w:divBdr>
        <w:top w:val="none" w:sz="0" w:space="0" w:color="auto"/>
        <w:left w:val="none" w:sz="0" w:space="0" w:color="auto"/>
        <w:bottom w:val="none" w:sz="0" w:space="0" w:color="auto"/>
        <w:right w:val="none" w:sz="0" w:space="0" w:color="auto"/>
      </w:divBdr>
    </w:div>
    <w:div w:id="191305397">
      <w:bodyDiv w:val="1"/>
      <w:marLeft w:val="0"/>
      <w:marRight w:val="0"/>
      <w:marTop w:val="0"/>
      <w:marBottom w:val="0"/>
      <w:divBdr>
        <w:top w:val="none" w:sz="0" w:space="0" w:color="auto"/>
        <w:left w:val="none" w:sz="0" w:space="0" w:color="auto"/>
        <w:bottom w:val="none" w:sz="0" w:space="0" w:color="auto"/>
        <w:right w:val="none" w:sz="0" w:space="0" w:color="auto"/>
      </w:divBdr>
    </w:div>
    <w:div w:id="202720655">
      <w:bodyDiv w:val="1"/>
      <w:marLeft w:val="0"/>
      <w:marRight w:val="0"/>
      <w:marTop w:val="0"/>
      <w:marBottom w:val="0"/>
      <w:divBdr>
        <w:top w:val="none" w:sz="0" w:space="0" w:color="auto"/>
        <w:left w:val="none" w:sz="0" w:space="0" w:color="auto"/>
        <w:bottom w:val="none" w:sz="0" w:space="0" w:color="auto"/>
        <w:right w:val="none" w:sz="0" w:space="0" w:color="auto"/>
      </w:divBdr>
    </w:div>
    <w:div w:id="204299838">
      <w:bodyDiv w:val="1"/>
      <w:marLeft w:val="0"/>
      <w:marRight w:val="0"/>
      <w:marTop w:val="0"/>
      <w:marBottom w:val="0"/>
      <w:divBdr>
        <w:top w:val="none" w:sz="0" w:space="0" w:color="auto"/>
        <w:left w:val="none" w:sz="0" w:space="0" w:color="auto"/>
        <w:bottom w:val="none" w:sz="0" w:space="0" w:color="auto"/>
        <w:right w:val="none" w:sz="0" w:space="0" w:color="auto"/>
      </w:divBdr>
    </w:div>
    <w:div w:id="205677702">
      <w:bodyDiv w:val="1"/>
      <w:marLeft w:val="0"/>
      <w:marRight w:val="0"/>
      <w:marTop w:val="0"/>
      <w:marBottom w:val="0"/>
      <w:divBdr>
        <w:top w:val="none" w:sz="0" w:space="0" w:color="auto"/>
        <w:left w:val="none" w:sz="0" w:space="0" w:color="auto"/>
        <w:bottom w:val="none" w:sz="0" w:space="0" w:color="auto"/>
        <w:right w:val="none" w:sz="0" w:space="0" w:color="auto"/>
      </w:divBdr>
    </w:div>
    <w:div w:id="212468454">
      <w:bodyDiv w:val="1"/>
      <w:marLeft w:val="0"/>
      <w:marRight w:val="0"/>
      <w:marTop w:val="0"/>
      <w:marBottom w:val="0"/>
      <w:divBdr>
        <w:top w:val="none" w:sz="0" w:space="0" w:color="auto"/>
        <w:left w:val="none" w:sz="0" w:space="0" w:color="auto"/>
        <w:bottom w:val="none" w:sz="0" w:space="0" w:color="auto"/>
        <w:right w:val="none" w:sz="0" w:space="0" w:color="auto"/>
      </w:divBdr>
    </w:div>
    <w:div w:id="214631974">
      <w:bodyDiv w:val="1"/>
      <w:marLeft w:val="0"/>
      <w:marRight w:val="0"/>
      <w:marTop w:val="0"/>
      <w:marBottom w:val="0"/>
      <w:divBdr>
        <w:top w:val="none" w:sz="0" w:space="0" w:color="auto"/>
        <w:left w:val="none" w:sz="0" w:space="0" w:color="auto"/>
        <w:bottom w:val="none" w:sz="0" w:space="0" w:color="auto"/>
        <w:right w:val="none" w:sz="0" w:space="0" w:color="auto"/>
      </w:divBdr>
      <w:divsChild>
        <w:div w:id="806095581">
          <w:marLeft w:val="274"/>
          <w:marRight w:val="0"/>
          <w:marTop w:val="240"/>
          <w:marBottom w:val="240"/>
          <w:divBdr>
            <w:top w:val="none" w:sz="0" w:space="0" w:color="auto"/>
            <w:left w:val="none" w:sz="0" w:space="0" w:color="auto"/>
            <w:bottom w:val="none" w:sz="0" w:space="0" w:color="auto"/>
            <w:right w:val="none" w:sz="0" w:space="0" w:color="auto"/>
          </w:divBdr>
        </w:div>
        <w:div w:id="858854712">
          <w:marLeft w:val="274"/>
          <w:marRight w:val="0"/>
          <w:marTop w:val="240"/>
          <w:marBottom w:val="240"/>
          <w:divBdr>
            <w:top w:val="none" w:sz="0" w:space="0" w:color="auto"/>
            <w:left w:val="none" w:sz="0" w:space="0" w:color="auto"/>
            <w:bottom w:val="none" w:sz="0" w:space="0" w:color="auto"/>
            <w:right w:val="none" w:sz="0" w:space="0" w:color="auto"/>
          </w:divBdr>
        </w:div>
        <w:div w:id="1448935705">
          <w:marLeft w:val="274"/>
          <w:marRight w:val="0"/>
          <w:marTop w:val="240"/>
          <w:marBottom w:val="240"/>
          <w:divBdr>
            <w:top w:val="none" w:sz="0" w:space="0" w:color="auto"/>
            <w:left w:val="none" w:sz="0" w:space="0" w:color="auto"/>
            <w:bottom w:val="none" w:sz="0" w:space="0" w:color="auto"/>
            <w:right w:val="none" w:sz="0" w:space="0" w:color="auto"/>
          </w:divBdr>
        </w:div>
        <w:div w:id="2021079194">
          <w:marLeft w:val="274"/>
          <w:marRight w:val="0"/>
          <w:marTop w:val="240"/>
          <w:marBottom w:val="240"/>
          <w:divBdr>
            <w:top w:val="none" w:sz="0" w:space="0" w:color="auto"/>
            <w:left w:val="none" w:sz="0" w:space="0" w:color="auto"/>
            <w:bottom w:val="none" w:sz="0" w:space="0" w:color="auto"/>
            <w:right w:val="none" w:sz="0" w:space="0" w:color="auto"/>
          </w:divBdr>
        </w:div>
        <w:div w:id="2123724890">
          <w:marLeft w:val="274"/>
          <w:marRight w:val="0"/>
          <w:marTop w:val="240"/>
          <w:marBottom w:val="240"/>
          <w:divBdr>
            <w:top w:val="none" w:sz="0" w:space="0" w:color="auto"/>
            <w:left w:val="none" w:sz="0" w:space="0" w:color="auto"/>
            <w:bottom w:val="none" w:sz="0" w:space="0" w:color="auto"/>
            <w:right w:val="none" w:sz="0" w:space="0" w:color="auto"/>
          </w:divBdr>
        </w:div>
      </w:divsChild>
    </w:div>
    <w:div w:id="216598838">
      <w:bodyDiv w:val="1"/>
      <w:marLeft w:val="0"/>
      <w:marRight w:val="0"/>
      <w:marTop w:val="0"/>
      <w:marBottom w:val="0"/>
      <w:divBdr>
        <w:top w:val="none" w:sz="0" w:space="0" w:color="auto"/>
        <w:left w:val="none" w:sz="0" w:space="0" w:color="auto"/>
        <w:bottom w:val="none" w:sz="0" w:space="0" w:color="auto"/>
        <w:right w:val="none" w:sz="0" w:space="0" w:color="auto"/>
      </w:divBdr>
    </w:div>
    <w:div w:id="219024503">
      <w:bodyDiv w:val="1"/>
      <w:marLeft w:val="0"/>
      <w:marRight w:val="0"/>
      <w:marTop w:val="0"/>
      <w:marBottom w:val="0"/>
      <w:divBdr>
        <w:top w:val="none" w:sz="0" w:space="0" w:color="auto"/>
        <w:left w:val="none" w:sz="0" w:space="0" w:color="auto"/>
        <w:bottom w:val="none" w:sz="0" w:space="0" w:color="auto"/>
        <w:right w:val="none" w:sz="0" w:space="0" w:color="auto"/>
      </w:divBdr>
    </w:div>
    <w:div w:id="231086366">
      <w:bodyDiv w:val="1"/>
      <w:marLeft w:val="0"/>
      <w:marRight w:val="0"/>
      <w:marTop w:val="0"/>
      <w:marBottom w:val="0"/>
      <w:divBdr>
        <w:top w:val="none" w:sz="0" w:space="0" w:color="auto"/>
        <w:left w:val="none" w:sz="0" w:space="0" w:color="auto"/>
        <w:bottom w:val="none" w:sz="0" w:space="0" w:color="auto"/>
        <w:right w:val="none" w:sz="0" w:space="0" w:color="auto"/>
      </w:divBdr>
    </w:div>
    <w:div w:id="256527322">
      <w:bodyDiv w:val="1"/>
      <w:marLeft w:val="0"/>
      <w:marRight w:val="0"/>
      <w:marTop w:val="0"/>
      <w:marBottom w:val="0"/>
      <w:divBdr>
        <w:top w:val="none" w:sz="0" w:space="0" w:color="auto"/>
        <w:left w:val="none" w:sz="0" w:space="0" w:color="auto"/>
        <w:bottom w:val="none" w:sz="0" w:space="0" w:color="auto"/>
        <w:right w:val="none" w:sz="0" w:space="0" w:color="auto"/>
      </w:divBdr>
    </w:div>
    <w:div w:id="269240855">
      <w:bodyDiv w:val="1"/>
      <w:marLeft w:val="0"/>
      <w:marRight w:val="0"/>
      <w:marTop w:val="0"/>
      <w:marBottom w:val="0"/>
      <w:divBdr>
        <w:top w:val="none" w:sz="0" w:space="0" w:color="auto"/>
        <w:left w:val="none" w:sz="0" w:space="0" w:color="auto"/>
        <w:bottom w:val="none" w:sz="0" w:space="0" w:color="auto"/>
        <w:right w:val="none" w:sz="0" w:space="0" w:color="auto"/>
      </w:divBdr>
    </w:div>
    <w:div w:id="269707264">
      <w:bodyDiv w:val="1"/>
      <w:marLeft w:val="0"/>
      <w:marRight w:val="0"/>
      <w:marTop w:val="0"/>
      <w:marBottom w:val="0"/>
      <w:divBdr>
        <w:top w:val="none" w:sz="0" w:space="0" w:color="auto"/>
        <w:left w:val="none" w:sz="0" w:space="0" w:color="auto"/>
        <w:bottom w:val="none" w:sz="0" w:space="0" w:color="auto"/>
        <w:right w:val="none" w:sz="0" w:space="0" w:color="auto"/>
      </w:divBdr>
    </w:div>
    <w:div w:id="274405879">
      <w:bodyDiv w:val="1"/>
      <w:marLeft w:val="0"/>
      <w:marRight w:val="0"/>
      <w:marTop w:val="0"/>
      <w:marBottom w:val="0"/>
      <w:divBdr>
        <w:top w:val="none" w:sz="0" w:space="0" w:color="auto"/>
        <w:left w:val="none" w:sz="0" w:space="0" w:color="auto"/>
        <w:bottom w:val="none" w:sz="0" w:space="0" w:color="auto"/>
        <w:right w:val="none" w:sz="0" w:space="0" w:color="auto"/>
      </w:divBdr>
    </w:div>
    <w:div w:id="285626919">
      <w:bodyDiv w:val="1"/>
      <w:marLeft w:val="0"/>
      <w:marRight w:val="0"/>
      <w:marTop w:val="0"/>
      <w:marBottom w:val="0"/>
      <w:divBdr>
        <w:top w:val="none" w:sz="0" w:space="0" w:color="auto"/>
        <w:left w:val="none" w:sz="0" w:space="0" w:color="auto"/>
        <w:bottom w:val="none" w:sz="0" w:space="0" w:color="auto"/>
        <w:right w:val="none" w:sz="0" w:space="0" w:color="auto"/>
      </w:divBdr>
    </w:div>
    <w:div w:id="287974233">
      <w:bodyDiv w:val="1"/>
      <w:marLeft w:val="0"/>
      <w:marRight w:val="0"/>
      <w:marTop w:val="0"/>
      <w:marBottom w:val="0"/>
      <w:divBdr>
        <w:top w:val="none" w:sz="0" w:space="0" w:color="auto"/>
        <w:left w:val="none" w:sz="0" w:space="0" w:color="auto"/>
        <w:bottom w:val="none" w:sz="0" w:space="0" w:color="auto"/>
        <w:right w:val="none" w:sz="0" w:space="0" w:color="auto"/>
      </w:divBdr>
    </w:div>
    <w:div w:id="290131108">
      <w:bodyDiv w:val="1"/>
      <w:marLeft w:val="0"/>
      <w:marRight w:val="0"/>
      <w:marTop w:val="0"/>
      <w:marBottom w:val="0"/>
      <w:divBdr>
        <w:top w:val="none" w:sz="0" w:space="0" w:color="auto"/>
        <w:left w:val="none" w:sz="0" w:space="0" w:color="auto"/>
        <w:bottom w:val="none" w:sz="0" w:space="0" w:color="auto"/>
        <w:right w:val="none" w:sz="0" w:space="0" w:color="auto"/>
      </w:divBdr>
    </w:div>
    <w:div w:id="308368538">
      <w:bodyDiv w:val="1"/>
      <w:marLeft w:val="0"/>
      <w:marRight w:val="0"/>
      <w:marTop w:val="0"/>
      <w:marBottom w:val="0"/>
      <w:divBdr>
        <w:top w:val="none" w:sz="0" w:space="0" w:color="auto"/>
        <w:left w:val="none" w:sz="0" w:space="0" w:color="auto"/>
        <w:bottom w:val="none" w:sz="0" w:space="0" w:color="auto"/>
        <w:right w:val="none" w:sz="0" w:space="0" w:color="auto"/>
      </w:divBdr>
    </w:div>
    <w:div w:id="320696513">
      <w:bodyDiv w:val="1"/>
      <w:marLeft w:val="0"/>
      <w:marRight w:val="0"/>
      <w:marTop w:val="0"/>
      <w:marBottom w:val="0"/>
      <w:divBdr>
        <w:top w:val="none" w:sz="0" w:space="0" w:color="auto"/>
        <w:left w:val="none" w:sz="0" w:space="0" w:color="auto"/>
        <w:bottom w:val="none" w:sz="0" w:space="0" w:color="auto"/>
        <w:right w:val="none" w:sz="0" w:space="0" w:color="auto"/>
      </w:divBdr>
    </w:div>
    <w:div w:id="342098999">
      <w:bodyDiv w:val="1"/>
      <w:marLeft w:val="0"/>
      <w:marRight w:val="0"/>
      <w:marTop w:val="0"/>
      <w:marBottom w:val="0"/>
      <w:divBdr>
        <w:top w:val="none" w:sz="0" w:space="0" w:color="auto"/>
        <w:left w:val="none" w:sz="0" w:space="0" w:color="auto"/>
        <w:bottom w:val="none" w:sz="0" w:space="0" w:color="auto"/>
        <w:right w:val="none" w:sz="0" w:space="0" w:color="auto"/>
      </w:divBdr>
    </w:div>
    <w:div w:id="358160655">
      <w:bodyDiv w:val="1"/>
      <w:marLeft w:val="0"/>
      <w:marRight w:val="0"/>
      <w:marTop w:val="0"/>
      <w:marBottom w:val="0"/>
      <w:divBdr>
        <w:top w:val="none" w:sz="0" w:space="0" w:color="auto"/>
        <w:left w:val="none" w:sz="0" w:space="0" w:color="auto"/>
        <w:bottom w:val="none" w:sz="0" w:space="0" w:color="auto"/>
        <w:right w:val="none" w:sz="0" w:space="0" w:color="auto"/>
      </w:divBdr>
    </w:div>
    <w:div w:id="365372690">
      <w:bodyDiv w:val="1"/>
      <w:marLeft w:val="0"/>
      <w:marRight w:val="0"/>
      <w:marTop w:val="0"/>
      <w:marBottom w:val="0"/>
      <w:divBdr>
        <w:top w:val="none" w:sz="0" w:space="0" w:color="auto"/>
        <w:left w:val="none" w:sz="0" w:space="0" w:color="auto"/>
        <w:bottom w:val="none" w:sz="0" w:space="0" w:color="auto"/>
        <w:right w:val="none" w:sz="0" w:space="0" w:color="auto"/>
      </w:divBdr>
    </w:div>
    <w:div w:id="365789095">
      <w:bodyDiv w:val="1"/>
      <w:marLeft w:val="0"/>
      <w:marRight w:val="0"/>
      <w:marTop w:val="0"/>
      <w:marBottom w:val="0"/>
      <w:divBdr>
        <w:top w:val="none" w:sz="0" w:space="0" w:color="auto"/>
        <w:left w:val="none" w:sz="0" w:space="0" w:color="auto"/>
        <w:bottom w:val="none" w:sz="0" w:space="0" w:color="auto"/>
        <w:right w:val="none" w:sz="0" w:space="0" w:color="auto"/>
      </w:divBdr>
    </w:div>
    <w:div w:id="369307412">
      <w:bodyDiv w:val="1"/>
      <w:marLeft w:val="0"/>
      <w:marRight w:val="0"/>
      <w:marTop w:val="0"/>
      <w:marBottom w:val="0"/>
      <w:divBdr>
        <w:top w:val="none" w:sz="0" w:space="0" w:color="auto"/>
        <w:left w:val="none" w:sz="0" w:space="0" w:color="auto"/>
        <w:bottom w:val="none" w:sz="0" w:space="0" w:color="auto"/>
        <w:right w:val="none" w:sz="0" w:space="0" w:color="auto"/>
      </w:divBdr>
    </w:div>
    <w:div w:id="398330751">
      <w:bodyDiv w:val="1"/>
      <w:marLeft w:val="0"/>
      <w:marRight w:val="0"/>
      <w:marTop w:val="0"/>
      <w:marBottom w:val="0"/>
      <w:divBdr>
        <w:top w:val="none" w:sz="0" w:space="0" w:color="auto"/>
        <w:left w:val="none" w:sz="0" w:space="0" w:color="auto"/>
        <w:bottom w:val="none" w:sz="0" w:space="0" w:color="auto"/>
        <w:right w:val="none" w:sz="0" w:space="0" w:color="auto"/>
      </w:divBdr>
    </w:div>
    <w:div w:id="398527280">
      <w:bodyDiv w:val="1"/>
      <w:marLeft w:val="0"/>
      <w:marRight w:val="0"/>
      <w:marTop w:val="0"/>
      <w:marBottom w:val="0"/>
      <w:divBdr>
        <w:top w:val="none" w:sz="0" w:space="0" w:color="auto"/>
        <w:left w:val="none" w:sz="0" w:space="0" w:color="auto"/>
        <w:bottom w:val="none" w:sz="0" w:space="0" w:color="auto"/>
        <w:right w:val="none" w:sz="0" w:space="0" w:color="auto"/>
      </w:divBdr>
    </w:div>
    <w:div w:id="403335452">
      <w:bodyDiv w:val="1"/>
      <w:marLeft w:val="0"/>
      <w:marRight w:val="0"/>
      <w:marTop w:val="0"/>
      <w:marBottom w:val="0"/>
      <w:divBdr>
        <w:top w:val="none" w:sz="0" w:space="0" w:color="auto"/>
        <w:left w:val="none" w:sz="0" w:space="0" w:color="auto"/>
        <w:bottom w:val="none" w:sz="0" w:space="0" w:color="auto"/>
        <w:right w:val="none" w:sz="0" w:space="0" w:color="auto"/>
      </w:divBdr>
    </w:div>
    <w:div w:id="406613379">
      <w:bodyDiv w:val="1"/>
      <w:marLeft w:val="0"/>
      <w:marRight w:val="0"/>
      <w:marTop w:val="0"/>
      <w:marBottom w:val="0"/>
      <w:divBdr>
        <w:top w:val="none" w:sz="0" w:space="0" w:color="auto"/>
        <w:left w:val="none" w:sz="0" w:space="0" w:color="auto"/>
        <w:bottom w:val="none" w:sz="0" w:space="0" w:color="auto"/>
        <w:right w:val="none" w:sz="0" w:space="0" w:color="auto"/>
      </w:divBdr>
      <w:divsChild>
        <w:div w:id="1625505276">
          <w:marLeft w:val="0"/>
          <w:marRight w:val="0"/>
          <w:marTop w:val="100"/>
          <w:marBottom w:val="100"/>
          <w:divBdr>
            <w:top w:val="none" w:sz="0" w:space="0" w:color="auto"/>
            <w:left w:val="none" w:sz="0" w:space="0" w:color="auto"/>
            <w:bottom w:val="none" w:sz="0" w:space="0" w:color="auto"/>
            <w:right w:val="none" w:sz="0" w:space="0" w:color="auto"/>
          </w:divBdr>
          <w:divsChild>
            <w:div w:id="11903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273987">
      <w:bodyDiv w:val="1"/>
      <w:marLeft w:val="0"/>
      <w:marRight w:val="0"/>
      <w:marTop w:val="0"/>
      <w:marBottom w:val="0"/>
      <w:divBdr>
        <w:top w:val="none" w:sz="0" w:space="0" w:color="auto"/>
        <w:left w:val="none" w:sz="0" w:space="0" w:color="auto"/>
        <w:bottom w:val="none" w:sz="0" w:space="0" w:color="auto"/>
        <w:right w:val="none" w:sz="0" w:space="0" w:color="auto"/>
      </w:divBdr>
    </w:div>
    <w:div w:id="422066700">
      <w:bodyDiv w:val="1"/>
      <w:marLeft w:val="0"/>
      <w:marRight w:val="0"/>
      <w:marTop w:val="0"/>
      <w:marBottom w:val="0"/>
      <w:divBdr>
        <w:top w:val="none" w:sz="0" w:space="0" w:color="auto"/>
        <w:left w:val="none" w:sz="0" w:space="0" w:color="auto"/>
        <w:bottom w:val="none" w:sz="0" w:space="0" w:color="auto"/>
        <w:right w:val="none" w:sz="0" w:space="0" w:color="auto"/>
      </w:divBdr>
    </w:div>
    <w:div w:id="425805062">
      <w:bodyDiv w:val="1"/>
      <w:marLeft w:val="0"/>
      <w:marRight w:val="0"/>
      <w:marTop w:val="0"/>
      <w:marBottom w:val="0"/>
      <w:divBdr>
        <w:top w:val="none" w:sz="0" w:space="0" w:color="auto"/>
        <w:left w:val="none" w:sz="0" w:space="0" w:color="auto"/>
        <w:bottom w:val="none" w:sz="0" w:space="0" w:color="auto"/>
        <w:right w:val="none" w:sz="0" w:space="0" w:color="auto"/>
      </w:divBdr>
    </w:div>
    <w:div w:id="431055022">
      <w:bodyDiv w:val="1"/>
      <w:marLeft w:val="0"/>
      <w:marRight w:val="0"/>
      <w:marTop w:val="0"/>
      <w:marBottom w:val="0"/>
      <w:divBdr>
        <w:top w:val="none" w:sz="0" w:space="0" w:color="auto"/>
        <w:left w:val="none" w:sz="0" w:space="0" w:color="auto"/>
        <w:bottom w:val="none" w:sz="0" w:space="0" w:color="auto"/>
        <w:right w:val="none" w:sz="0" w:space="0" w:color="auto"/>
      </w:divBdr>
    </w:div>
    <w:div w:id="431979604">
      <w:bodyDiv w:val="1"/>
      <w:marLeft w:val="0"/>
      <w:marRight w:val="0"/>
      <w:marTop w:val="0"/>
      <w:marBottom w:val="0"/>
      <w:divBdr>
        <w:top w:val="none" w:sz="0" w:space="0" w:color="auto"/>
        <w:left w:val="none" w:sz="0" w:space="0" w:color="auto"/>
        <w:bottom w:val="none" w:sz="0" w:space="0" w:color="auto"/>
        <w:right w:val="none" w:sz="0" w:space="0" w:color="auto"/>
      </w:divBdr>
    </w:div>
    <w:div w:id="433019063">
      <w:bodyDiv w:val="1"/>
      <w:marLeft w:val="0"/>
      <w:marRight w:val="0"/>
      <w:marTop w:val="0"/>
      <w:marBottom w:val="0"/>
      <w:divBdr>
        <w:top w:val="none" w:sz="0" w:space="0" w:color="auto"/>
        <w:left w:val="none" w:sz="0" w:space="0" w:color="auto"/>
        <w:bottom w:val="none" w:sz="0" w:space="0" w:color="auto"/>
        <w:right w:val="none" w:sz="0" w:space="0" w:color="auto"/>
      </w:divBdr>
    </w:div>
    <w:div w:id="453600051">
      <w:bodyDiv w:val="1"/>
      <w:marLeft w:val="0"/>
      <w:marRight w:val="0"/>
      <w:marTop w:val="0"/>
      <w:marBottom w:val="0"/>
      <w:divBdr>
        <w:top w:val="none" w:sz="0" w:space="0" w:color="auto"/>
        <w:left w:val="none" w:sz="0" w:space="0" w:color="auto"/>
        <w:bottom w:val="none" w:sz="0" w:space="0" w:color="auto"/>
        <w:right w:val="none" w:sz="0" w:space="0" w:color="auto"/>
      </w:divBdr>
    </w:div>
    <w:div w:id="468942289">
      <w:bodyDiv w:val="1"/>
      <w:marLeft w:val="0"/>
      <w:marRight w:val="0"/>
      <w:marTop w:val="0"/>
      <w:marBottom w:val="0"/>
      <w:divBdr>
        <w:top w:val="none" w:sz="0" w:space="0" w:color="auto"/>
        <w:left w:val="none" w:sz="0" w:space="0" w:color="auto"/>
        <w:bottom w:val="none" w:sz="0" w:space="0" w:color="auto"/>
        <w:right w:val="none" w:sz="0" w:space="0" w:color="auto"/>
      </w:divBdr>
    </w:div>
    <w:div w:id="477692697">
      <w:bodyDiv w:val="1"/>
      <w:marLeft w:val="0"/>
      <w:marRight w:val="0"/>
      <w:marTop w:val="0"/>
      <w:marBottom w:val="0"/>
      <w:divBdr>
        <w:top w:val="none" w:sz="0" w:space="0" w:color="auto"/>
        <w:left w:val="none" w:sz="0" w:space="0" w:color="auto"/>
        <w:bottom w:val="none" w:sz="0" w:space="0" w:color="auto"/>
        <w:right w:val="none" w:sz="0" w:space="0" w:color="auto"/>
      </w:divBdr>
    </w:div>
    <w:div w:id="479925221">
      <w:bodyDiv w:val="1"/>
      <w:marLeft w:val="0"/>
      <w:marRight w:val="0"/>
      <w:marTop w:val="0"/>
      <w:marBottom w:val="0"/>
      <w:divBdr>
        <w:top w:val="none" w:sz="0" w:space="0" w:color="auto"/>
        <w:left w:val="none" w:sz="0" w:space="0" w:color="auto"/>
        <w:bottom w:val="none" w:sz="0" w:space="0" w:color="auto"/>
        <w:right w:val="none" w:sz="0" w:space="0" w:color="auto"/>
      </w:divBdr>
    </w:div>
    <w:div w:id="486753141">
      <w:bodyDiv w:val="1"/>
      <w:marLeft w:val="0"/>
      <w:marRight w:val="0"/>
      <w:marTop w:val="0"/>
      <w:marBottom w:val="0"/>
      <w:divBdr>
        <w:top w:val="none" w:sz="0" w:space="0" w:color="auto"/>
        <w:left w:val="none" w:sz="0" w:space="0" w:color="auto"/>
        <w:bottom w:val="none" w:sz="0" w:space="0" w:color="auto"/>
        <w:right w:val="none" w:sz="0" w:space="0" w:color="auto"/>
      </w:divBdr>
    </w:div>
    <w:div w:id="490174897">
      <w:bodyDiv w:val="1"/>
      <w:marLeft w:val="0"/>
      <w:marRight w:val="0"/>
      <w:marTop w:val="0"/>
      <w:marBottom w:val="0"/>
      <w:divBdr>
        <w:top w:val="none" w:sz="0" w:space="0" w:color="auto"/>
        <w:left w:val="none" w:sz="0" w:space="0" w:color="auto"/>
        <w:bottom w:val="none" w:sz="0" w:space="0" w:color="auto"/>
        <w:right w:val="none" w:sz="0" w:space="0" w:color="auto"/>
      </w:divBdr>
    </w:div>
    <w:div w:id="529608546">
      <w:bodyDiv w:val="1"/>
      <w:marLeft w:val="0"/>
      <w:marRight w:val="0"/>
      <w:marTop w:val="0"/>
      <w:marBottom w:val="0"/>
      <w:divBdr>
        <w:top w:val="none" w:sz="0" w:space="0" w:color="auto"/>
        <w:left w:val="none" w:sz="0" w:space="0" w:color="auto"/>
        <w:bottom w:val="none" w:sz="0" w:space="0" w:color="auto"/>
        <w:right w:val="none" w:sz="0" w:space="0" w:color="auto"/>
      </w:divBdr>
    </w:div>
    <w:div w:id="532881945">
      <w:bodyDiv w:val="1"/>
      <w:marLeft w:val="0"/>
      <w:marRight w:val="0"/>
      <w:marTop w:val="0"/>
      <w:marBottom w:val="0"/>
      <w:divBdr>
        <w:top w:val="none" w:sz="0" w:space="0" w:color="auto"/>
        <w:left w:val="none" w:sz="0" w:space="0" w:color="auto"/>
        <w:bottom w:val="none" w:sz="0" w:space="0" w:color="auto"/>
        <w:right w:val="none" w:sz="0" w:space="0" w:color="auto"/>
      </w:divBdr>
    </w:div>
    <w:div w:id="540439663">
      <w:bodyDiv w:val="1"/>
      <w:marLeft w:val="0"/>
      <w:marRight w:val="0"/>
      <w:marTop w:val="0"/>
      <w:marBottom w:val="0"/>
      <w:divBdr>
        <w:top w:val="none" w:sz="0" w:space="0" w:color="auto"/>
        <w:left w:val="none" w:sz="0" w:space="0" w:color="auto"/>
        <w:bottom w:val="none" w:sz="0" w:space="0" w:color="auto"/>
        <w:right w:val="none" w:sz="0" w:space="0" w:color="auto"/>
      </w:divBdr>
    </w:div>
    <w:div w:id="557012862">
      <w:bodyDiv w:val="1"/>
      <w:marLeft w:val="0"/>
      <w:marRight w:val="0"/>
      <w:marTop w:val="0"/>
      <w:marBottom w:val="0"/>
      <w:divBdr>
        <w:top w:val="none" w:sz="0" w:space="0" w:color="auto"/>
        <w:left w:val="none" w:sz="0" w:space="0" w:color="auto"/>
        <w:bottom w:val="none" w:sz="0" w:space="0" w:color="auto"/>
        <w:right w:val="none" w:sz="0" w:space="0" w:color="auto"/>
      </w:divBdr>
    </w:div>
    <w:div w:id="563755532">
      <w:bodyDiv w:val="1"/>
      <w:marLeft w:val="0"/>
      <w:marRight w:val="0"/>
      <w:marTop w:val="0"/>
      <w:marBottom w:val="0"/>
      <w:divBdr>
        <w:top w:val="none" w:sz="0" w:space="0" w:color="auto"/>
        <w:left w:val="none" w:sz="0" w:space="0" w:color="auto"/>
        <w:bottom w:val="none" w:sz="0" w:space="0" w:color="auto"/>
        <w:right w:val="none" w:sz="0" w:space="0" w:color="auto"/>
      </w:divBdr>
    </w:div>
    <w:div w:id="572353389">
      <w:bodyDiv w:val="1"/>
      <w:marLeft w:val="0"/>
      <w:marRight w:val="0"/>
      <w:marTop w:val="0"/>
      <w:marBottom w:val="0"/>
      <w:divBdr>
        <w:top w:val="none" w:sz="0" w:space="0" w:color="auto"/>
        <w:left w:val="none" w:sz="0" w:space="0" w:color="auto"/>
        <w:bottom w:val="none" w:sz="0" w:space="0" w:color="auto"/>
        <w:right w:val="none" w:sz="0" w:space="0" w:color="auto"/>
      </w:divBdr>
    </w:div>
    <w:div w:id="575628864">
      <w:bodyDiv w:val="1"/>
      <w:marLeft w:val="0"/>
      <w:marRight w:val="0"/>
      <w:marTop w:val="0"/>
      <w:marBottom w:val="0"/>
      <w:divBdr>
        <w:top w:val="none" w:sz="0" w:space="0" w:color="auto"/>
        <w:left w:val="none" w:sz="0" w:space="0" w:color="auto"/>
        <w:bottom w:val="none" w:sz="0" w:space="0" w:color="auto"/>
        <w:right w:val="none" w:sz="0" w:space="0" w:color="auto"/>
      </w:divBdr>
    </w:div>
    <w:div w:id="585848058">
      <w:bodyDiv w:val="1"/>
      <w:marLeft w:val="0"/>
      <w:marRight w:val="0"/>
      <w:marTop w:val="0"/>
      <w:marBottom w:val="0"/>
      <w:divBdr>
        <w:top w:val="none" w:sz="0" w:space="0" w:color="auto"/>
        <w:left w:val="none" w:sz="0" w:space="0" w:color="auto"/>
        <w:bottom w:val="none" w:sz="0" w:space="0" w:color="auto"/>
        <w:right w:val="none" w:sz="0" w:space="0" w:color="auto"/>
      </w:divBdr>
    </w:div>
    <w:div w:id="597758978">
      <w:bodyDiv w:val="1"/>
      <w:marLeft w:val="0"/>
      <w:marRight w:val="0"/>
      <w:marTop w:val="0"/>
      <w:marBottom w:val="0"/>
      <w:divBdr>
        <w:top w:val="none" w:sz="0" w:space="0" w:color="auto"/>
        <w:left w:val="none" w:sz="0" w:space="0" w:color="auto"/>
        <w:bottom w:val="none" w:sz="0" w:space="0" w:color="auto"/>
        <w:right w:val="none" w:sz="0" w:space="0" w:color="auto"/>
      </w:divBdr>
    </w:div>
    <w:div w:id="603028698">
      <w:bodyDiv w:val="1"/>
      <w:marLeft w:val="0"/>
      <w:marRight w:val="0"/>
      <w:marTop w:val="0"/>
      <w:marBottom w:val="0"/>
      <w:divBdr>
        <w:top w:val="none" w:sz="0" w:space="0" w:color="auto"/>
        <w:left w:val="none" w:sz="0" w:space="0" w:color="auto"/>
        <w:bottom w:val="none" w:sz="0" w:space="0" w:color="auto"/>
        <w:right w:val="none" w:sz="0" w:space="0" w:color="auto"/>
      </w:divBdr>
    </w:div>
    <w:div w:id="603730441">
      <w:bodyDiv w:val="1"/>
      <w:marLeft w:val="0"/>
      <w:marRight w:val="0"/>
      <w:marTop w:val="0"/>
      <w:marBottom w:val="0"/>
      <w:divBdr>
        <w:top w:val="none" w:sz="0" w:space="0" w:color="auto"/>
        <w:left w:val="none" w:sz="0" w:space="0" w:color="auto"/>
        <w:bottom w:val="none" w:sz="0" w:space="0" w:color="auto"/>
        <w:right w:val="none" w:sz="0" w:space="0" w:color="auto"/>
      </w:divBdr>
    </w:div>
    <w:div w:id="609707898">
      <w:bodyDiv w:val="1"/>
      <w:marLeft w:val="0"/>
      <w:marRight w:val="0"/>
      <w:marTop w:val="0"/>
      <w:marBottom w:val="0"/>
      <w:divBdr>
        <w:top w:val="none" w:sz="0" w:space="0" w:color="auto"/>
        <w:left w:val="none" w:sz="0" w:space="0" w:color="auto"/>
        <w:bottom w:val="none" w:sz="0" w:space="0" w:color="auto"/>
        <w:right w:val="none" w:sz="0" w:space="0" w:color="auto"/>
      </w:divBdr>
    </w:div>
    <w:div w:id="625618625">
      <w:bodyDiv w:val="1"/>
      <w:marLeft w:val="0"/>
      <w:marRight w:val="0"/>
      <w:marTop w:val="0"/>
      <w:marBottom w:val="0"/>
      <w:divBdr>
        <w:top w:val="none" w:sz="0" w:space="0" w:color="auto"/>
        <w:left w:val="none" w:sz="0" w:space="0" w:color="auto"/>
        <w:bottom w:val="none" w:sz="0" w:space="0" w:color="auto"/>
        <w:right w:val="none" w:sz="0" w:space="0" w:color="auto"/>
      </w:divBdr>
    </w:div>
    <w:div w:id="644162227">
      <w:bodyDiv w:val="1"/>
      <w:marLeft w:val="0"/>
      <w:marRight w:val="0"/>
      <w:marTop w:val="0"/>
      <w:marBottom w:val="0"/>
      <w:divBdr>
        <w:top w:val="none" w:sz="0" w:space="0" w:color="auto"/>
        <w:left w:val="none" w:sz="0" w:space="0" w:color="auto"/>
        <w:bottom w:val="none" w:sz="0" w:space="0" w:color="auto"/>
        <w:right w:val="none" w:sz="0" w:space="0" w:color="auto"/>
      </w:divBdr>
    </w:div>
    <w:div w:id="650333190">
      <w:bodyDiv w:val="1"/>
      <w:marLeft w:val="0"/>
      <w:marRight w:val="0"/>
      <w:marTop w:val="0"/>
      <w:marBottom w:val="0"/>
      <w:divBdr>
        <w:top w:val="none" w:sz="0" w:space="0" w:color="auto"/>
        <w:left w:val="none" w:sz="0" w:space="0" w:color="auto"/>
        <w:bottom w:val="none" w:sz="0" w:space="0" w:color="auto"/>
        <w:right w:val="none" w:sz="0" w:space="0" w:color="auto"/>
      </w:divBdr>
    </w:div>
    <w:div w:id="652490744">
      <w:bodyDiv w:val="1"/>
      <w:marLeft w:val="0"/>
      <w:marRight w:val="0"/>
      <w:marTop w:val="0"/>
      <w:marBottom w:val="0"/>
      <w:divBdr>
        <w:top w:val="none" w:sz="0" w:space="0" w:color="auto"/>
        <w:left w:val="none" w:sz="0" w:space="0" w:color="auto"/>
        <w:bottom w:val="none" w:sz="0" w:space="0" w:color="auto"/>
        <w:right w:val="none" w:sz="0" w:space="0" w:color="auto"/>
      </w:divBdr>
    </w:div>
    <w:div w:id="673579365">
      <w:bodyDiv w:val="1"/>
      <w:marLeft w:val="0"/>
      <w:marRight w:val="0"/>
      <w:marTop w:val="0"/>
      <w:marBottom w:val="0"/>
      <w:divBdr>
        <w:top w:val="none" w:sz="0" w:space="0" w:color="auto"/>
        <w:left w:val="none" w:sz="0" w:space="0" w:color="auto"/>
        <w:bottom w:val="none" w:sz="0" w:space="0" w:color="auto"/>
        <w:right w:val="none" w:sz="0" w:space="0" w:color="auto"/>
      </w:divBdr>
    </w:div>
    <w:div w:id="688020527">
      <w:bodyDiv w:val="1"/>
      <w:marLeft w:val="0"/>
      <w:marRight w:val="0"/>
      <w:marTop w:val="0"/>
      <w:marBottom w:val="0"/>
      <w:divBdr>
        <w:top w:val="none" w:sz="0" w:space="0" w:color="auto"/>
        <w:left w:val="none" w:sz="0" w:space="0" w:color="auto"/>
        <w:bottom w:val="none" w:sz="0" w:space="0" w:color="auto"/>
        <w:right w:val="none" w:sz="0" w:space="0" w:color="auto"/>
      </w:divBdr>
    </w:div>
    <w:div w:id="699008599">
      <w:bodyDiv w:val="1"/>
      <w:marLeft w:val="0"/>
      <w:marRight w:val="0"/>
      <w:marTop w:val="0"/>
      <w:marBottom w:val="0"/>
      <w:divBdr>
        <w:top w:val="none" w:sz="0" w:space="0" w:color="auto"/>
        <w:left w:val="none" w:sz="0" w:space="0" w:color="auto"/>
        <w:bottom w:val="none" w:sz="0" w:space="0" w:color="auto"/>
        <w:right w:val="none" w:sz="0" w:space="0" w:color="auto"/>
      </w:divBdr>
    </w:div>
    <w:div w:id="700277310">
      <w:bodyDiv w:val="1"/>
      <w:marLeft w:val="0"/>
      <w:marRight w:val="0"/>
      <w:marTop w:val="0"/>
      <w:marBottom w:val="0"/>
      <w:divBdr>
        <w:top w:val="none" w:sz="0" w:space="0" w:color="auto"/>
        <w:left w:val="none" w:sz="0" w:space="0" w:color="auto"/>
        <w:bottom w:val="none" w:sz="0" w:space="0" w:color="auto"/>
        <w:right w:val="none" w:sz="0" w:space="0" w:color="auto"/>
      </w:divBdr>
    </w:div>
    <w:div w:id="702053387">
      <w:bodyDiv w:val="1"/>
      <w:marLeft w:val="0"/>
      <w:marRight w:val="0"/>
      <w:marTop w:val="0"/>
      <w:marBottom w:val="0"/>
      <w:divBdr>
        <w:top w:val="none" w:sz="0" w:space="0" w:color="auto"/>
        <w:left w:val="none" w:sz="0" w:space="0" w:color="auto"/>
        <w:bottom w:val="none" w:sz="0" w:space="0" w:color="auto"/>
        <w:right w:val="none" w:sz="0" w:space="0" w:color="auto"/>
      </w:divBdr>
    </w:div>
    <w:div w:id="710689738">
      <w:bodyDiv w:val="1"/>
      <w:marLeft w:val="0"/>
      <w:marRight w:val="0"/>
      <w:marTop w:val="0"/>
      <w:marBottom w:val="0"/>
      <w:divBdr>
        <w:top w:val="none" w:sz="0" w:space="0" w:color="auto"/>
        <w:left w:val="none" w:sz="0" w:space="0" w:color="auto"/>
        <w:bottom w:val="none" w:sz="0" w:space="0" w:color="auto"/>
        <w:right w:val="none" w:sz="0" w:space="0" w:color="auto"/>
      </w:divBdr>
    </w:div>
    <w:div w:id="749430809">
      <w:bodyDiv w:val="1"/>
      <w:marLeft w:val="0"/>
      <w:marRight w:val="0"/>
      <w:marTop w:val="0"/>
      <w:marBottom w:val="0"/>
      <w:divBdr>
        <w:top w:val="none" w:sz="0" w:space="0" w:color="auto"/>
        <w:left w:val="none" w:sz="0" w:space="0" w:color="auto"/>
        <w:bottom w:val="none" w:sz="0" w:space="0" w:color="auto"/>
        <w:right w:val="none" w:sz="0" w:space="0" w:color="auto"/>
      </w:divBdr>
    </w:div>
    <w:div w:id="759529188">
      <w:bodyDiv w:val="1"/>
      <w:marLeft w:val="0"/>
      <w:marRight w:val="0"/>
      <w:marTop w:val="0"/>
      <w:marBottom w:val="0"/>
      <w:divBdr>
        <w:top w:val="none" w:sz="0" w:space="0" w:color="auto"/>
        <w:left w:val="none" w:sz="0" w:space="0" w:color="auto"/>
        <w:bottom w:val="none" w:sz="0" w:space="0" w:color="auto"/>
        <w:right w:val="none" w:sz="0" w:space="0" w:color="auto"/>
      </w:divBdr>
    </w:div>
    <w:div w:id="761756539">
      <w:bodyDiv w:val="1"/>
      <w:marLeft w:val="0"/>
      <w:marRight w:val="0"/>
      <w:marTop w:val="0"/>
      <w:marBottom w:val="0"/>
      <w:divBdr>
        <w:top w:val="none" w:sz="0" w:space="0" w:color="auto"/>
        <w:left w:val="none" w:sz="0" w:space="0" w:color="auto"/>
        <w:bottom w:val="none" w:sz="0" w:space="0" w:color="auto"/>
        <w:right w:val="none" w:sz="0" w:space="0" w:color="auto"/>
      </w:divBdr>
    </w:div>
    <w:div w:id="773013601">
      <w:bodyDiv w:val="1"/>
      <w:marLeft w:val="0"/>
      <w:marRight w:val="0"/>
      <w:marTop w:val="0"/>
      <w:marBottom w:val="0"/>
      <w:divBdr>
        <w:top w:val="none" w:sz="0" w:space="0" w:color="auto"/>
        <w:left w:val="none" w:sz="0" w:space="0" w:color="auto"/>
        <w:bottom w:val="none" w:sz="0" w:space="0" w:color="auto"/>
        <w:right w:val="none" w:sz="0" w:space="0" w:color="auto"/>
      </w:divBdr>
    </w:div>
    <w:div w:id="784036885">
      <w:bodyDiv w:val="1"/>
      <w:marLeft w:val="0"/>
      <w:marRight w:val="0"/>
      <w:marTop w:val="0"/>
      <w:marBottom w:val="0"/>
      <w:divBdr>
        <w:top w:val="none" w:sz="0" w:space="0" w:color="auto"/>
        <w:left w:val="none" w:sz="0" w:space="0" w:color="auto"/>
        <w:bottom w:val="none" w:sz="0" w:space="0" w:color="auto"/>
        <w:right w:val="none" w:sz="0" w:space="0" w:color="auto"/>
      </w:divBdr>
      <w:divsChild>
        <w:div w:id="62725630">
          <w:marLeft w:val="360"/>
          <w:marRight w:val="0"/>
          <w:marTop w:val="200"/>
          <w:marBottom w:val="0"/>
          <w:divBdr>
            <w:top w:val="none" w:sz="0" w:space="0" w:color="auto"/>
            <w:left w:val="none" w:sz="0" w:space="0" w:color="auto"/>
            <w:bottom w:val="none" w:sz="0" w:space="0" w:color="auto"/>
            <w:right w:val="none" w:sz="0" w:space="0" w:color="auto"/>
          </w:divBdr>
        </w:div>
        <w:div w:id="161288117">
          <w:marLeft w:val="360"/>
          <w:marRight w:val="0"/>
          <w:marTop w:val="200"/>
          <w:marBottom w:val="0"/>
          <w:divBdr>
            <w:top w:val="none" w:sz="0" w:space="0" w:color="auto"/>
            <w:left w:val="none" w:sz="0" w:space="0" w:color="auto"/>
            <w:bottom w:val="none" w:sz="0" w:space="0" w:color="auto"/>
            <w:right w:val="none" w:sz="0" w:space="0" w:color="auto"/>
          </w:divBdr>
        </w:div>
        <w:div w:id="318458297">
          <w:marLeft w:val="360"/>
          <w:marRight w:val="0"/>
          <w:marTop w:val="200"/>
          <w:marBottom w:val="0"/>
          <w:divBdr>
            <w:top w:val="none" w:sz="0" w:space="0" w:color="auto"/>
            <w:left w:val="none" w:sz="0" w:space="0" w:color="auto"/>
            <w:bottom w:val="none" w:sz="0" w:space="0" w:color="auto"/>
            <w:right w:val="none" w:sz="0" w:space="0" w:color="auto"/>
          </w:divBdr>
        </w:div>
        <w:div w:id="704018838">
          <w:marLeft w:val="360"/>
          <w:marRight w:val="0"/>
          <w:marTop w:val="200"/>
          <w:marBottom w:val="0"/>
          <w:divBdr>
            <w:top w:val="none" w:sz="0" w:space="0" w:color="auto"/>
            <w:left w:val="none" w:sz="0" w:space="0" w:color="auto"/>
            <w:bottom w:val="none" w:sz="0" w:space="0" w:color="auto"/>
            <w:right w:val="none" w:sz="0" w:space="0" w:color="auto"/>
          </w:divBdr>
        </w:div>
        <w:div w:id="724833446">
          <w:marLeft w:val="360"/>
          <w:marRight w:val="0"/>
          <w:marTop w:val="200"/>
          <w:marBottom w:val="0"/>
          <w:divBdr>
            <w:top w:val="none" w:sz="0" w:space="0" w:color="auto"/>
            <w:left w:val="none" w:sz="0" w:space="0" w:color="auto"/>
            <w:bottom w:val="none" w:sz="0" w:space="0" w:color="auto"/>
            <w:right w:val="none" w:sz="0" w:space="0" w:color="auto"/>
          </w:divBdr>
        </w:div>
        <w:div w:id="743260181">
          <w:marLeft w:val="360"/>
          <w:marRight w:val="0"/>
          <w:marTop w:val="200"/>
          <w:marBottom w:val="0"/>
          <w:divBdr>
            <w:top w:val="none" w:sz="0" w:space="0" w:color="auto"/>
            <w:left w:val="none" w:sz="0" w:space="0" w:color="auto"/>
            <w:bottom w:val="none" w:sz="0" w:space="0" w:color="auto"/>
            <w:right w:val="none" w:sz="0" w:space="0" w:color="auto"/>
          </w:divBdr>
        </w:div>
        <w:div w:id="982350092">
          <w:marLeft w:val="360"/>
          <w:marRight w:val="0"/>
          <w:marTop w:val="200"/>
          <w:marBottom w:val="0"/>
          <w:divBdr>
            <w:top w:val="none" w:sz="0" w:space="0" w:color="auto"/>
            <w:left w:val="none" w:sz="0" w:space="0" w:color="auto"/>
            <w:bottom w:val="none" w:sz="0" w:space="0" w:color="auto"/>
            <w:right w:val="none" w:sz="0" w:space="0" w:color="auto"/>
          </w:divBdr>
        </w:div>
        <w:div w:id="1009067369">
          <w:marLeft w:val="360"/>
          <w:marRight w:val="0"/>
          <w:marTop w:val="200"/>
          <w:marBottom w:val="0"/>
          <w:divBdr>
            <w:top w:val="none" w:sz="0" w:space="0" w:color="auto"/>
            <w:left w:val="none" w:sz="0" w:space="0" w:color="auto"/>
            <w:bottom w:val="none" w:sz="0" w:space="0" w:color="auto"/>
            <w:right w:val="none" w:sz="0" w:space="0" w:color="auto"/>
          </w:divBdr>
        </w:div>
        <w:div w:id="1665208293">
          <w:marLeft w:val="360"/>
          <w:marRight w:val="0"/>
          <w:marTop w:val="200"/>
          <w:marBottom w:val="0"/>
          <w:divBdr>
            <w:top w:val="none" w:sz="0" w:space="0" w:color="auto"/>
            <w:left w:val="none" w:sz="0" w:space="0" w:color="auto"/>
            <w:bottom w:val="none" w:sz="0" w:space="0" w:color="auto"/>
            <w:right w:val="none" w:sz="0" w:space="0" w:color="auto"/>
          </w:divBdr>
        </w:div>
      </w:divsChild>
    </w:div>
    <w:div w:id="784428120">
      <w:bodyDiv w:val="1"/>
      <w:marLeft w:val="0"/>
      <w:marRight w:val="0"/>
      <w:marTop w:val="0"/>
      <w:marBottom w:val="0"/>
      <w:divBdr>
        <w:top w:val="none" w:sz="0" w:space="0" w:color="auto"/>
        <w:left w:val="none" w:sz="0" w:space="0" w:color="auto"/>
        <w:bottom w:val="none" w:sz="0" w:space="0" w:color="auto"/>
        <w:right w:val="none" w:sz="0" w:space="0" w:color="auto"/>
      </w:divBdr>
    </w:div>
    <w:div w:id="788860645">
      <w:bodyDiv w:val="1"/>
      <w:marLeft w:val="0"/>
      <w:marRight w:val="0"/>
      <w:marTop w:val="0"/>
      <w:marBottom w:val="0"/>
      <w:divBdr>
        <w:top w:val="none" w:sz="0" w:space="0" w:color="auto"/>
        <w:left w:val="none" w:sz="0" w:space="0" w:color="auto"/>
        <w:bottom w:val="none" w:sz="0" w:space="0" w:color="auto"/>
        <w:right w:val="none" w:sz="0" w:space="0" w:color="auto"/>
      </w:divBdr>
    </w:div>
    <w:div w:id="791168687">
      <w:bodyDiv w:val="1"/>
      <w:marLeft w:val="0"/>
      <w:marRight w:val="0"/>
      <w:marTop w:val="0"/>
      <w:marBottom w:val="0"/>
      <w:divBdr>
        <w:top w:val="none" w:sz="0" w:space="0" w:color="auto"/>
        <w:left w:val="none" w:sz="0" w:space="0" w:color="auto"/>
        <w:bottom w:val="none" w:sz="0" w:space="0" w:color="auto"/>
        <w:right w:val="none" w:sz="0" w:space="0" w:color="auto"/>
      </w:divBdr>
    </w:div>
    <w:div w:id="792678202">
      <w:bodyDiv w:val="1"/>
      <w:marLeft w:val="0"/>
      <w:marRight w:val="0"/>
      <w:marTop w:val="0"/>
      <w:marBottom w:val="0"/>
      <w:divBdr>
        <w:top w:val="none" w:sz="0" w:space="0" w:color="auto"/>
        <w:left w:val="none" w:sz="0" w:space="0" w:color="auto"/>
        <w:bottom w:val="none" w:sz="0" w:space="0" w:color="auto"/>
        <w:right w:val="none" w:sz="0" w:space="0" w:color="auto"/>
      </w:divBdr>
    </w:div>
    <w:div w:id="854729363">
      <w:bodyDiv w:val="1"/>
      <w:marLeft w:val="0"/>
      <w:marRight w:val="0"/>
      <w:marTop w:val="0"/>
      <w:marBottom w:val="0"/>
      <w:divBdr>
        <w:top w:val="none" w:sz="0" w:space="0" w:color="auto"/>
        <w:left w:val="none" w:sz="0" w:space="0" w:color="auto"/>
        <w:bottom w:val="none" w:sz="0" w:space="0" w:color="auto"/>
        <w:right w:val="none" w:sz="0" w:space="0" w:color="auto"/>
      </w:divBdr>
    </w:div>
    <w:div w:id="856114540">
      <w:bodyDiv w:val="1"/>
      <w:marLeft w:val="0"/>
      <w:marRight w:val="0"/>
      <w:marTop w:val="0"/>
      <w:marBottom w:val="0"/>
      <w:divBdr>
        <w:top w:val="none" w:sz="0" w:space="0" w:color="auto"/>
        <w:left w:val="none" w:sz="0" w:space="0" w:color="auto"/>
        <w:bottom w:val="none" w:sz="0" w:space="0" w:color="auto"/>
        <w:right w:val="none" w:sz="0" w:space="0" w:color="auto"/>
      </w:divBdr>
    </w:div>
    <w:div w:id="856432603">
      <w:bodyDiv w:val="1"/>
      <w:marLeft w:val="0"/>
      <w:marRight w:val="0"/>
      <w:marTop w:val="0"/>
      <w:marBottom w:val="0"/>
      <w:divBdr>
        <w:top w:val="none" w:sz="0" w:space="0" w:color="auto"/>
        <w:left w:val="none" w:sz="0" w:space="0" w:color="auto"/>
        <w:bottom w:val="none" w:sz="0" w:space="0" w:color="auto"/>
        <w:right w:val="none" w:sz="0" w:space="0" w:color="auto"/>
      </w:divBdr>
    </w:div>
    <w:div w:id="861239868">
      <w:bodyDiv w:val="1"/>
      <w:marLeft w:val="0"/>
      <w:marRight w:val="0"/>
      <w:marTop w:val="0"/>
      <w:marBottom w:val="0"/>
      <w:divBdr>
        <w:top w:val="none" w:sz="0" w:space="0" w:color="auto"/>
        <w:left w:val="none" w:sz="0" w:space="0" w:color="auto"/>
        <w:bottom w:val="none" w:sz="0" w:space="0" w:color="auto"/>
        <w:right w:val="none" w:sz="0" w:space="0" w:color="auto"/>
      </w:divBdr>
    </w:div>
    <w:div w:id="864562150">
      <w:bodyDiv w:val="1"/>
      <w:marLeft w:val="0"/>
      <w:marRight w:val="0"/>
      <w:marTop w:val="0"/>
      <w:marBottom w:val="0"/>
      <w:divBdr>
        <w:top w:val="none" w:sz="0" w:space="0" w:color="auto"/>
        <w:left w:val="none" w:sz="0" w:space="0" w:color="auto"/>
        <w:bottom w:val="none" w:sz="0" w:space="0" w:color="auto"/>
        <w:right w:val="none" w:sz="0" w:space="0" w:color="auto"/>
      </w:divBdr>
    </w:div>
    <w:div w:id="867059928">
      <w:bodyDiv w:val="1"/>
      <w:marLeft w:val="0"/>
      <w:marRight w:val="0"/>
      <w:marTop w:val="0"/>
      <w:marBottom w:val="0"/>
      <w:divBdr>
        <w:top w:val="none" w:sz="0" w:space="0" w:color="auto"/>
        <w:left w:val="none" w:sz="0" w:space="0" w:color="auto"/>
        <w:bottom w:val="none" w:sz="0" w:space="0" w:color="auto"/>
        <w:right w:val="none" w:sz="0" w:space="0" w:color="auto"/>
      </w:divBdr>
    </w:div>
    <w:div w:id="869949903">
      <w:bodyDiv w:val="1"/>
      <w:marLeft w:val="0"/>
      <w:marRight w:val="0"/>
      <w:marTop w:val="0"/>
      <w:marBottom w:val="0"/>
      <w:divBdr>
        <w:top w:val="none" w:sz="0" w:space="0" w:color="auto"/>
        <w:left w:val="none" w:sz="0" w:space="0" w:color="auto"/>
        <w:bottom w:val="none" w:sz="0" w:space="0" w:color="auto"/>
        <w:right w:val="none" w:sz="0" w:space="0" w:color="auto"/>
      </w:divBdr>
    </w:div>
    <w:div w:id="880173095">
      <w:bodyDiv w:val="1"/>
      <w:marLeft w:val="0"/>
      <w:marRight w:val="0"/>
      <w:marTop w:val="0"/>
      <w:marBottom w:val="0"/>
      <w:divBdr>
        <w:top w:val="none" w:sz="0" w:space="0" w:color="auto"/>
        <w:left w:val="none" w:sz="0" w:space="0" w:color="auto"/>
        <w:bottom w:val="none" w:sz="0" w:space="0" w:color="auto"/>
        <w:right w:val="none" w:sz="0" w:space="0" w:color="auto"/>
      </w:divBdr>
    </w:div>
    <w:div w:id="884491881">
      <w:bodyDiv w:val="1"/>
      <w:marLeft w:val="0"/>
      <w:marRight w:val="0"/>
      <w:marTop w:val="0"/>
      <w:marBottom w:val="0"/>
      <w:divBdr>
        <w:top w:val="none" w:sz="0" w:space="0" w:color="auto"/>
        <w:left w:val="none" w:sz="0" w:space="0" w:color="auto"/>
        <w:bottom w:val="none" w:sz="0" w:space="0" w:color="auto"/>
        <w:right w:val="none" w:sz="0" w:space="0" w:color="auto"/>
      </w:divBdr>
    </w:div>
    <w:div w:id="895697460">
      <w:bodyDiv w:val="1"/>
      <w:marLeft w:val="0"/>
      <w:marRight w:val="0"/>
      <w:marTop w:val="0"/>
      <w:marBottom w:val="0"/>
      <w:divBdr>
        <w:top w:val="none" w:sz="0" w:space="0" w:color="auto"/>
        <w:left w:val="none" w:sz="0" w:space="0" w:color="auto"/>
        <w:bottom w:val="none" w:sz="0" w:space="0" w:color="auto"/>
        <w:right w:val="none" w:sz="0" w:space="0" w:color="auto"/>
      </w:divBdr>
    </w:div>
    <w:div w:id="904099820">
      <w:bodyDiv w:val="1"/>
      <w:marLeft w:val="0"/>
      <w:marRight w:val="0"/>
      <w:marTop w:val="0"/>
      <w:marBottom w:val="0"/>
      <w:divBdr>
        <w:top w:val="none" w:sz="0" w:space="0" w:color="auto"/>
        <w:left w:val="none" w:sz="0" w:space="0" w:color="auto"/>
        <w:bottom w:val="none" w:sz="0" w:space="0" w:color="auto"/>
        <w:right w:val="none" w:sz="0" w:space="0" w:color="auto"/>
      </w:divBdr>
    </w:div>
    <w:div w:id="906498495">
      <w:bodyDiv w:val="1"/>
      <w:marLeft w:val="0"/>
      <w:marRight w:val="0"/>
      <w:marTop w:val="0"/>
      <w:marBottom w:val="0"/>
      <w:divBdr>
        <w:top w:val="none" w:sz="0" w:space="0" w:color="auto"/>
        <w:left w:val="none" w:sz="0" w:space="0" w:color="auto"/>
        <w:bottom w:val="none" w:sz="0" w:space="0" w:color="auto"/>
        <w:right w:val="none" w:sz="0" w:space="0" w:color="auto"/>
      </w:divBdr>
    </w:div>
    <w:div w:id="911238327">
      <w:bodyDiv w:val="1"/>
      <w:marLeft w:val="0"/>
      <w:marRight w:val="0"/>
      <w:marTop w:val="0"/>
      <w:marBottom w:val="0"/>
      <w:divBdr>
        <w:top w:val="none" w:sz="0" w:space="0" w:color="auto"/>
        <w:left w:val="none" w:sz="0" w:space="0" w:color="auto"/>
        <w:bottom w:val="none" w:sz="0" w:space="0" w:color="auto"/>
        <w:right w:val="none" w:sz="0" w:space="0" w:color="auto"/>
      </w:divBdr>
    </w:div>
    <w:div w:id="924925304">
      <w:bodyDiv w:val="1"/>
      <w:marLeft w:val="0"/>
      <w:marRight w:val="0"/>
      <w:marTop w:val="0"/>
      <w:marBottom w:val="0"/>
      <w:divBdr>
        <w:top w:val="none" w:sz="0" w:space="0" w:color="auto"/>
        <w:left w:val="none" w:sz="0" w:space="0" w:color="auto"/>
        <w:bottom w:val="none" w:sz="0" w:space="0" w:color="auto"/>
        <w:right w:val="none" w:sz="0" w:space="0" w:color="auto"/>
      </w:divBdr>
    </w:div>
    <w:div w:id="928973277">
      <w:bodyDiv w:val="1"/>
      <w:marLeft w:val="0"/>
      <w:marRight w:val="0"/>
      <w:marTop w:val="0"/>
      <w:marBottom w:val="0"/>
      <w:divBdr>
        <w:top w:val="none" w:sz="0" w:space="0" w:color="auto"/>
        <w:left w:val="none" w:sz="0" w:space="0" w:color="auto"/>
        <w:bottom w:val="none" w:sz="0" w:space="0" w:color="auto"/>
        <w:right w:val="none" w:sz="0" w:space="0" w:color="auto"/>
      </w:divBdr>
    </w:div>
    <w:div w:id="944582957">
      <w:bodyDiv w:val="1"/>
      <w:marLeft w:val="0"/>
      <w:marRight w:val="0"/>
      <w:marTop w:val="0"/>
      <w:marBottom w:val="0"/>
      <w:divBdr>
        <w:top w:val="none" w:sz="0" w:space="0" w:color="auto"/>
        <w:left w:val="none" w:sz="0" w:space="0" w:color="auto"/>
        <w:bottom w:val="none" w:sz="0" w:space="0" w:color="auto"/>
        <w:right w:val="none" w:sz="0" w:space="0" w:color="auto"/>
      </w:divBdr>
    </w:div>
    <w:div w:id="945116244">
      <w:bodyDiv w:val="1"/>
      <w:marLeft w:val="0"/>
      <w:marRight w:val="0"/>
      <w:marTop w:val="0"/>
      <w:marBottom w:val="0"/>
      <w:divBdr>
        <w:top w:val="none" w:sz="0" w:space="0" w:color="auto"/>
        <w:left w:val="none" w:sz="0" w:space="0" w:color="auto"/>
        <w:bottom w:val="none" w:sz="0" w:space="0" w:color="auto"/>
        <w:right w:val="none" w:sz="0" w:space="0" w:color="auto"/>
      </w:divBdr>
    </w:div>
    <w:div w:id="964507433">
      <w:bodyDiv w:val="1"/>
      <w:marLeft w:val="0"/>
      <w:marRight w:val="0"/>
      <w:marTop w:val="0"/>
      <w:marBottom w:val="0"/>
      <w:divBdr>
        <w:top w:val="none" w:sz="0" w:space="0" w:color="auto"/>
        <w:left w:val="none" w:sz="0" w:space="0" w:color="auto"/>
        <w:bottom w:val="none" w:sz="0" w:space="0" w:color="auto"/>
        <w:right w:val="none" w:sz="0" w:space="0" w:color="auto"/>
      </w:divBdr>
    </w:div>
    <w:div w:id="965083864">
      <w:bodyDiv w:val="1"/>
      <w:marLeft w:val="0"/>
      <w:marRight w:val="0"/>
      <w:marTop w:val="0"/>
      <w:marBottom w:val="0"/>
      <w:divBdr>
        <w:top w:val="none" w:sz="0" w:space="0" w:color="auto"/>
        <w:left w:val="none" w:sz="0" w:space="0" w:color="auto"/>
        <w:bottom w:val="none" w:sz="0" w:space="0" w:color="auto"/>
        <w:right w:val="none" w:sz="0" w:space="0" w:color="auto"/>
      </w:divBdr>
    </w:div>
    <w:div w:id="971441786">
      <w:bodyDiv w:val="1"/>
      <w:marLeft w:val="0"/>
      <w:marRight w:val="0"/>
      <w:marTop w:val="0"/>
      <w:marBottom w:val="0"/>
      <w:divBdr>
        <w:top w:val="none" w:sz="0" w:space="0" w:color="auto"/>
        <w:left w:val="none" w:sz="0" w:space="0" w:color="auto"/>
        <w:bottom w:val="none" w:sz="0" w:space="0" w:color="auto"/>
        <w:right w:val="none" w:sz="0" w:space="0" w:color="auto"/>
      </w:divBdr>
    </w:div>
    <w:div w:id="972906675">
      <w:bodyDiv w:val="1"/>
      <w:marLeft w:val="0"/>
      <w:marRight w:val="0"/>
      <w:marTop w:val="0"/>
      <w:marBottom w:val="0"/>
      <w:divBdr>
        <w:top w:val="none" w:sz="0" w:space="0" w:color="auto"/>
        <w:left w:val="none" w:sz="0" w:space="0" w:color="auto"/>
        <w:bottom w:val="none" w:sz="0" w:space="0" w:color="auto"/>
        <w:right w:val="none" w:sz="0" w:space="0" w:color="auto"/>
      </w:divBdr>
    </w:div>
    <w:div w:id="974724094">
      <w:bodyDiv w:val="1"/>
      <w:marLeft w:val="0"/>
      <w:marRight w:val="0"/>
      <w:marTop w:val="0"/>
      <w:marBottom w:val="0"/>
      <w:divBdr>
        <w:top w:val="none" w:sz="0" w:space="0" w:color="auto"/>
        <w:left w:val="none" w:sz="0" w:space="0" w:color="auto"/>
        <w:bottom w:val="none" w:sz="0" w:space="0" w:color="auto"/>
        <w:right w:val="none" w:sz="0" w:space="0" w:color="auto"/>
      </w:divBdr>
    </w:div>
    <w:div w:id="989481547">
      <w:bodyDiv w:val="1"/>
      <w:marLeft w:val="0"/>
      <w:marRight w:val="0"/>
      <w:marTop w:val="0"/>
      <w:marBottom w:val="0"/>
      <w:divBdr>
        <w:top w:val="none" w:sz="0" w:space="0" w:color="auto"/>
        <w:left w:val="none" w:sz="0" w:space="0" w:color="auto"/>
        <w:bottom w:val="none" w:sz="0" w:space="0" w:color="auto"/>
        <w:right w:val="none" w:sz="0" w:space="0" w:color="auto"/>
      </w:divBdr>
    </w:div>
    <w:div w:id="1007244885">
      <w:bodyDiv w:val="1"/>
      <w:marLeft w:val="0"/>
      <w:marRight w:val="0"/>
      <w:marTop w:val="0"/>
      <w:marBottom w:val="0"/>
      <w:divBdr>
        <w:top w:val="none" w:sz="0" w:space="0" w:color="auto"/>
        <w:left w:val="none" w:sz="0" w:space="0" w:color="auto"/>
        <w:bottom w:val="none" w:sz="0" w:space="0" w:color="auto"/>
        <w:right w:val="none" w:sz="0" w:space="0" w:color="auto"/>
      </w:divBdr>
    </w:div>
    <w:div w:id="1008170876">
      <w:bodyDiv w:val="1"/>
      <w:marLeft w:val="0"/>
      <w:marRight w:val="0"/>
      <w:marTop w:val="0"/>
      <w:marBottom w:val="0"/>
      <w:divBdr>
        <w:top w:val="none" w:sz="0" w:space="0" w:color="auto"/>
        <w:left w:val="none" w:sz="0" w:space="0" w:color="auto"/>
        <w:bottom w:val="none" w:sz="0" w:space="0" w:color="auto"/>
        <w:right w:val="none" w:sz="0" w:space="0" w:color="auto"/>
      </w:divBdr>
    </w:div>
    <w:div w:id="1012799625">
      <w:bodyDiv w:val="1"/>
      <w:marLeft w:val="0"/>
      <w:marRight w:val="0"/>
      <w:marTop w:val="0"/>
      <w:marBottom w:val="0"/>
      <w:divBdr>
        <w:top w:val="none" w:sz="0" w:space="0" w:color="auto"/>
        <w:left w:val="none" w:sz="0" w:space="0" w:color="auto"/>
        <w:bottom w:val="none" w:sz="0" w:space="0" w:color="auto"/>
        <w:right w:val="none" w:sz="0" w:space="0" w:color="auto"/>
      </w:divBdr>
    </w:div>
    <w:div w:id="1013337125">
      <w:bodyDiv w:val="1"/>
      <w:marLeft w:val="0"/>
      <w:marRight w:val="0"/>
      <w:marTop w:val="0"/>
      <w:marBottom w:val="0"/>
      <w:divBdr>
        <w:top w:val="none" w:sz="0" w:space="0" w:color="auto"/>
        <w:left w:val="none" w:sz="0" w:space="0" w:color="auto"/>
        <w:bottom w:val="none" w:sz="0" w:space="0" w:color="auto"/>
        <w:right w:val="none" w:sz="0" w:space="0" w:color="auto"/>
      </w:divBdr>
    </w:div>
    <w:div w:id="1014259945">
      <w:bodyDiv w:val="1"/>
      <w:marLeft w:val="0"/>
      <w:marRight w:val="0"/>
      <w:marTop w:val="0"/>
      <w:marBottom w:val="0"/>
      <w:divBdr>
        <w:top w:val="none" w:sz="0" w:space="0" w:color="auto"/>
        <w:left w:val="none" w:sz="0" w:space="0" w:color="auto"/>
        <w:bottom w:val="none" w:sz="0" w:space="0" w:color="auto"/>
        <w:right w:val="none" w:sz="0" w:space="0" w:color="auto"/>
      </w:divBdr>
    </w:div>
    <w:div w:id="1017121565">
      <w:bodyDiv w:val="1"/>
      <w:marLeft w:val="0"/>
      <w:marRight w:val="0"/>
      <w:marTop w:val="0"/>
      <w:marBottom w:val="0"/>
      <w:divBdr>
        <w:top w:val="none" w:sz="0" w:space="0" w:color="auto"/>
        <w:left w:val="none" w:sz="0" w:space="0" w:color="auto"/>
        <w:bottom w:val="none" w:sz="0" w:space="0" w:color="auto"/>
        <w:right w:val="none" w:sz="0" w:space="0" w:color="auto"/>
      </w:divBdr>
    </w:div>
    <w:div w:id="1021324974">
      <w:bodyDiv w:val="1"/>
      <w:marLeft w:val="0"/>
      <w:marRight w:val="0"/>
      <w:marTop w:val="0"/>
      <w:marBottom w:val="0"/>
      <w:divBdr>
        <w:top w:val="none" w:sz="0" w:space="0" w:color="auto"/>
        <w:left w:val="none" w:sz="0" w:space="0" w:color="auto"/>
        <w:bottom w:val="none" w:sz="0" w:space="0" w:color="auto"/>
        <w:right w:val="none" w:sz="0" w:space="0" w:color="auto"/>
      </w:divBdr>
    </w:div>
    <w:div w:id="1021859556">
      <w:bodyDiv w:val="1"/>
      <w:marLeft w:val="0"/>
      <w:marRight w:val="0"/>
      <w:marTop w:val="0"/>
      <w:marBottom w:val="0"/>
      <w:divBdr>
        <w:top w:val="none" w:sz="0" w:space="0" w:color="auto"/>
        <w:left w:val="none" w:sz="0" w:space="0" w:color="auto"/>
        <w:bottom w:val="none" w:sz="0" w:space="0" w:color="auto"/>
        <w:right w:val="none" w:sz="0" w:space="0" w:color="auto"/>
      </w:divBdr>
    </w:div>
    <w:div w:id="1023901594">
      <w:bodyDiv w:val="1"/>
      <w:marLeft w:val="0"/>
      <w:marRight w:val="0"/>
      <w:marTop w:val="0"/>
      <w:marBottom w:val="0"/>
      <w:divBdr>
        <w:top w:val="none" w:sz="0" w:space="0" w:color="auto"/>
        <w:left w:val="none" w:sz="0" w:space="0" w:color="auto"/>
        <w:bottom w:val="none" w:sz="0" w:space="0" w:color="auto"/>
        <w:right w:val="none" w:sz="0" w:space="0" w:color="auto"/>
      </w:divBdr>
    </w:div>
    <w:div w:id="1032002914">
      <w:bodyDiv w:val="1"/>
      <w:marLeft w:val="0"/>
      <w:marRight w:val="0"/>
      <w:marTop w:val="0"/>
      <w:marBottom w:val="0"/>
      <w:divBdr>
        <w:top w:val="none" w:sz="0" w:space="0" w:color="auto"/>
        <w:left w:val="none" w:sz="0" w:space="0" w:color="auto"/>
        <w:bottom w:val="none" w:sz="0" w:space="0" w:color="auto"/>
        <w:right w:val="none" w:sz="0" w:space="0" w:color="auto"/>
      </w:divBdr>
    </w:div>
    <w:div w:id="1038430428">
      <w:bodyDiv w:val="1"/>
      <w:marLeft w:val="0"/>
      <w:marRight w:val="0"/>
      <w:marTop w:val="0"/>
      <w:marBottom w:val="0"/>
      <w:divBdr>
        <w:top w:val="none" w:sz="0" w:space="0" w:color="auto"/>
        <w:left w:val="none" w:sz="0" w:space="0" w:color="auto"/>
        <w:bottom w:val="none" w:sz="0" w:space="0" w:color="auto"/>
        <w:right w:val="none" w:sz="0" w:space="0" w:color="auto"/>
      </w:divBdr>
    </w:div>
    <w:div w:id="1050956399">
      <w:bodyDiv w:val="1"/>
      <w:marLeft w:val="0"/>
      <w:marRight w:val="0"/>
      <w:marTop w:val="0"/>
      <w:marBottom w:val="0"/>
      <w:divBdr>
        <w:top w:val="none" w:sz="0" w:space="0" w:color="auto"/>
        <w:left w:val="none" w:sz="0" w:space="0" w:color="auto"/>
        <w:bottom w:val="none" w:sz="0" w:space="0" w:color="auto"/>
        <w:right w:val="none" w:sz="0" w:space="0" w:color="auto"/>
      </w:divBdr>
    </w:div>
    <w:div w:id="1053196064">
      <w:bodyDiv w:val="1"/>
      <w:marLeft w:val="0"/>
      <w:marRight w:val="0"/>
      <w:marTop w:val="0"/>
      <w:marBottom w:val="0"/>
      <w:divBdr>
        <w:top w:val="none" w:sz="0" w:space="0" w:color="auto"/>
        <w:left w:val="none" w:sz="0" w:space="0" w:color="auto"/>
        <w:bottom w:val="none" w:sz="0" w:space="0" w:color="auto"/>
        <w:right w:val="none" w:sz="0" w:space="0" w:color="auto"/>
      </w:divBdr>
    </w:div>
    <w:div w:id="1058019194">
      <w:bodyDiv w:val="1"/>
      <w:marLeft w:val="0"/>
      <w:marRight w:val="0"/>
      <w:marTop w:val="0"/>
      <w:marBottom w:val="0"/>
      <w:divBdr>
        <w:top w:val="none" w:sz="0" w:space="0" w:color="auto"/>
        <w:left w:val="none" w:sz="0" w:space="0" w:color="auto"/>
        <w:bottom w:val="none" w:sz="0" w:space="0" w:color="auto"/>
        <w:right w:val="none" w:sz="0" w:space="0" w:color="auto"/>
      </w:divBdr>
    </w:div>
    <w:div w:id="1068766504">
      <w:bodyDiv w:val="1"/>
      <w:marLeft w:val="0"/>
      <w:marRight w:val="0"/>
      <w:marTop w:val="0"/>
      <w:marBottom w:val="0"/>
      <w:divBdr>
        <w:top w:val="none" w:sz="0" w:space="0" w:color="auto"/>
        <w:left w:val="none" w:sz="0" w:space="0" w:color="auto"/>
        <w:bottom w:val="none" w:sz="0" w:space="0" w:color="auto"/>
        <w:right w:val="none" w:sz="0" w:space="0" w:color="auto"/>
      </w:divBdr>
    </w:div>
    <w:div w:id="1084304126">
      <w:bodyDiv w:val="1"/>
      <w:marLeft w:val="0"/>
      <w:marRight w:val="0"/>
      <w:marTop w:val="0"/>
      <w:marBottom w:val="0"/>
      <w:divBdr>
        <w:top w:val="none" w:sz="0" w:space="0" w:color="auto"/>
        <w:left w:val="none" w:sz="0" w:space="0" w:color="auto"/>
        <w:bottom w:val="none" w:sz="0" w:space="0" w:color="auto"/>
        <w:right w:val="none" w:sz="0" w:space="0" w:color="auto"/>
      </w:divBdr>
    </w:div>
    <w:div w:id="1085104449">
      <w:bodyDiv w:val="1"/>
      <w:marLeft w:val="0"/>
      <w:marRight w:val="0"/>
      <w:marTop w:val="0"/>
      <w:marBottom w:val="0"/>
      <w:divBdr>
        <w:top w:val="none" w:sz="0" w:space="0" w:color="auto"/>
        <w:left w:val="none" w:sz="0" w:space="0" w:color="auto"/>
        <w:bottom w:val="none" w:sz="0" w:space="0" w:color="auto"/>
        <w:right w:val="none" w:sz="0" w:space="0" w:color="auto"/>
      </w:divBdr>
    </w:div>
    <w:div w:id="1085422417">
      <w:bodyDiv w:val="1"/>
      <w:marLeft w:val="0"/>
      <w:marRight w:val="0"/>
      <w:marTop w:val="0"/>
      <w:marBottom w:val="0"/>
      <w:divBdr>
        <w:top w:val="none" w:sz="0" w:space="0" w:color="auto"/>
        <w:left w:val="none" w:sz="0" w:space="0" w:color="auto"/>
        <w:bottom w:val="none" w:sz="0" w:space="0" w:color="auto"/>
        <w:right w:val="none" w:sz="0" w:space="0" w:color="auto"/>
      </w:divBdr>
    </w:div>
    <w:div w:id="1108046222">
      <w:bodyDiv w:val="1"/>
      <w:marLeft w:val="0"/>
      <w:marRight w:val="0"/>
      <w:marTop w:val="0"/>
      <w:marBottom w:val="0"/>
      <w:divBdr>
        <w:top w:val="none" w:sz="0" w:space="0" w:color="auto"/>
        <w:left w:val="none" w:sz="0" w:space="0" w:color="auto"/>
        <w:bottom w:val="none" w:sz="0" w:space="0" w:color="auto"/>
        <w:right w:val="none" w:sz="0" w:space="0" w:color="auto"/>
      </w:divBdr>
    </w:div>
    <w:div w:id="1114399661">
      <w:bodyDiv w:val="1"/>
      <w:marLeft w:val="0"/>
      <w:marRight w:val="0"/>
      <w:marTop w:val="0"/>
      <w:marBottom w:val="0"/>
      <w:divBdr>
        <w:top w:val="none" w:sz="0" w:space="0" w:color="auto"/>
        <w:left w:val="none" w:sz="0" w:space="0" w:color="auto"/>
        <w:bottom w:val="none" w:sz="0" w:space="0" w:color="auto"/>
        <w:right w:val="none" w:sz="0" w:space="0" w:color="auto"/>
      </w:divBdr>
    </w:div>
    <w:div w:id="1132358885">
      <w:bodyDiv w:val="1"/>
      <w:marLeft w:val="0"/>
      <w:marRight w:val="0"/>
      <w:marTop w:val="0"/>
      <w:marBottom w:val="0"/>
      <w:divBdr>
        <w:top w:val="none" w:sz="0" w:space="0" w:color="auto"/>
        <w:left w:val="none" w:sz="0" w:space="0" w:color="auto"/>
        <w:bottom w:val="none" w:sz="0" w:space="0" w:color="auto"/>
        <w:right w:val="none" w:sz="0" w:space="0" w:color="auto"/>
      </w:divBdr>
    </w:div>
    <w:div w:id="1138761543">
      <w:bodyDiv w:val="1"/>
      <w:marLeft w:val="0"/>
      <w:marRight w:val="0"/>
      <w:marTop w:val="0"/>
      <w:marBottom w:val="0"/>
      <w:divBdr>
        <w:top w:val="none" w:sz="0" w:space="0" w:color="auto"/>
        <w:left w:val="none" w:sz="0" w:space="0" w:color="auto"/>
        <w:bottom w:val="none" w:sz="0" w:space="0" w:color="auto"/>
        <w:right w:val="none" w:sz="0" w:space="0" w:color="auto"/>
      </w:divBdr>
    </w:div>
    <w:div w:id="1138956467">
      <w:bodyDiv w:val="1"/>
      <w:marLeft w:val="0"/>
      <w:marRight w:val="0"/>
      <w:marTop w:val="0"/>
      <w:marBottom w:val="0"/>
      <w:divBdr>
        <w:top w:val="none" w:sz="0" w:space="0" w:color="auto"/>
        <w:left w:val="none" w:sz="0" w:space="0" w:color="auto"/>
        <w:bottom w:val="none" w:sz="0" w:space="0" w:color="auto"/>
        <w:right w:val="none" w:sz="0" w:space="0" w:color="auto"/>
      </w:divBdr>
    </w:div>
    <w:div w:id="1140684469">
      <w:bodyDiv w:val="1"/>
      <w:marLeft w:val="0"/>
      <w:marRight w:val="0"/>
      <w:marTop w:val="0"/>
      <w:marBottom w:val="0"/>
      <w:divBdr>
        <w:top w:val="none" w:sz="0" w:space="0" w:color="auto"/>
        <w:left w:val="none" w:sz="0" w:space="0" w:color="auto"/>
        <w:bottom w:val="none" w:sz="0" w:space="0" w:color="auto"/>
        <w:right w:val="none" w:sz="0" w:space="0" w:color="auto"/>
      </w:divBdr>
    </w:div>
    <w:div w:id="1143041789">
      <w:bodyDiv w:val="1"/>
      <w:marLeft w:val="0"/>
      <w:marRight w:val="0"/>
      <w:marTop w:val="0"/>
      <w:marBottom w:val="0"/>
      <w:divBdr>
        <w:top w:val="none" w:sz="0" w:space="0" w:color="auto"/>
        <w:left w:val="none" w:sz="0" w:space="0" w:color="auto"/>
        <w:bottom w:val="none" w:sz="0" w:space="0" w:color="auto"/>
        <w:right w:val="none" w:sz="0" w:space="0" w:color="auto"/>
      </w:divBdr>
    </w:div>
    <w:div w:id="1143734616">
      <w:bodyDiv w:val="1"/>
      <w:marLeft w:val="0"/>
      <w:marRight w:val="0"/>
      <w:marTop w:val="0"/>
      <w:marBottom w:val="0"/>
      <w:divBdr>
        <w:top w:val="none" w:sz="0" w:space="0" w:color="auto"/>
        <w:left w:val="none" w:sz="0" w:space="0" w:color="auto"/>
        <w:bottom w:val="none" w:sz="0" w:space="0" w:color="auto"/>
        <w:right w:val="none" w:sz="0" w:space="0" w:color="auto"/>
      </w:divBdr>
    </w:div>
    <w:div w:id="1179537350">
      <w:bodyDiv w:val="1"/>
      <w:marLeft w:val="0"/>
      <w:marRight w:val="0"/>
      <w:marTop w:val="0"/>
      <w:marBottom w:val="0"/>
      <w:divBdr>
        <w:top w:val="none" w:sz="0" w:space="0" w:color="auto"/>
        <w:left w:val="none" w:sz="0" w:space="0" w:color="auto"/>
        <w:bottom w:val="none" w:sz="0" w:space="0" w:color="auto"/>
        <w:right w:val="none" w:sz="0" w:space="0" w:color="auto"/>
      </w:divBdr>
    </w:div>
    <w:div w:id="1198082247">
      <w:bodyDiv w:val="1"/>
      <w:marLeft w:val="0"/>
      <w:marRight w:val="0"/>
      <w:marTop w:val="0"/>
      <w:marBottom w:val="0"/>
      <w:divBdr>
        <w:top w:val="none" w:sz="0" w:space="0" w:color="auto"/>
        <w:left w:val="none" w:sz="0" w:space="0" w:color="auto"/>
        <w:bottom w:val="none" w:sz="0" w:space="0" w:color="auto"/>
        <w:right w:val="none" w:sz="0" w:space="0" w:color="auto"/>
      </w:divBdr>
      <w:divsChild>
        <w:div w:id="53239123">
          <w:marLeft w:val="1267"/>
          <w:marRight w:val="0"/>
          <w:marTop w:val="100"/>
          <w:marBottom w:val="0"/>
          <w:divBdr>
            <w:top w:val="none" w:sz="0" w:space="0" w:color="auto"/>
            <w:left w:val="none" w:sz="0" w:space="0" w:color="auto"/>
            <w:bottom w:val="none" w:sz="0" w:space="0" w:color="auto"/>
            <w:right w:val="none" w:sz="0" w:space="0" w:color="auto"/>
          </w:divBdr>
        </w:div>
        <w:div w:id="363874479">
          <w:marLeft w:val="1267"/>
          <w:marRight w:val="0"/>
          <w:marTop w:val="100"/>
          <w:marBottom w:val="200"/>
          <w:divBdr>
            <w:top w:val="none" w:sz="0" w:space="0" w:color="auto"/>
            <w:left w:val="none" w:sz="0" w:space="0" w:color="auto"/>
            <w:bottom w:val="none" w:sz="0" w:space="0" w:color="auto"/>
            <w:right w:val="none" w:sz="0" w:space="0" w:color="auto"/>
          </w:divBdr>
        </w:div>
        <w:div w:id="668017831">
          <w:marLeft w:val="360"/>
          <w:marRight w:val="0"/>
          <w:marTop w:val="200"/>
          <w:marBottom w:val="0"/>
          <w:divBdr>
            <w:top w:val="none" w:sz="0" w:space="0" w:color="auto"/>
            <w:left w:val="none" w:sz="0" w:space="0" w:color="auto"/>
            <w:bottom w:val="none" w:sz="0" w:space="0" w:color="auto"/>
            <w:right w:val="none" w:sz="0" w:space="0" w:color="auto"/>
          </w:divBdr>
        </w:div>
        <w:div w:id="952859753">
          <w:marLeft w:val="1267"/>
          <w:marRight w:val="0"/>
          <w:marTop w:val="100"/>
          <w:marBottom w:val="0"/>
          <w:divBdr>
            <w:top w:val="none" w:sz="0" w:space="0" w:color="auto"/>
            <w:left w:val="none" w:sz="0" w:space="0" w:color="auto"/>
            <w:bottom w:val="none" w:sz="0" w:space="0" w:color="auto"/>
            <w:right w:val="none" w:sz="0" w:space="0" w:color="auto"/>
          </w:divBdr>
        </w:div>
        <w:div w:id="1276135267">
          <w:marLeft w:val="360"/>
          <w:marRight w:val="0"/>
          <w:marTop w:val="200"/>
          <w:marBottom w:val="0"/>
          <w:divBdr>
            <w:top w:val="none" w:sz="0" w:space="0" w:color="auto"/>
            <w:left w:val="none" w:sz="0" w:space="0" w:color="auto"/>
            <w:bottom w:val="none" w:sz="0" w:space="0" w:color="auto"/>
            <w:right w:val="none" w:sz="0" w:space="0" w:color="auto"/>
          </w:divBdr>
        </w:div>
        <w:div w:id="1566335623">
          <w:marLeft w:val="360"/>
          <w:marRight w:val="0"/>
          <w:marTop w:val="200"/>
          <w:marBottom w:val="0"/>
          <w:divBdr>
            <w:top w:val="none" w:sz="0" w:space="0" w:color="auto"/>
            <w:left w:val="none" w:sz="0" w:space="0" w:color="auto"/>
            <w:bottom w:val="none" w:sz="0" w:space="0" w:color="auto"/>
            <w:right w:val="none" w:sz="0" w:space="0" w:color="auto"/>
          </w:divBdr>
        </w:div>
        <w:div w:id="1743408841">
          <w:marLeft w:val="1267"/>
          <w:marRight w:val="0"/>
          <w:marTop w:val="200"/>
          <w:marBottom w:val="0"/>
          <w:divBdr>
            <w:top w:val="none" w:sz="0" w:space="0" w:color="auto"/>
            <w:left w:val="none" w:sz="0" w:space="0" w:color="auto"/>
            <w:bottom w:val="none" w:sz="0" w:space="0" w:color="auto"/>
            <w:right w:val="none" w:sz="0" w:space="0" w:color="auto"/>
          </w:divBdr>
        </w:div>
        <w:div w:id="1819179054">
          <w:marLeft w:val="360"/>
          <w:marRight w:val="0"/>
          <w:marTop w:val="200"/>
          <w:marBottom w:val="0"/>
          <w:divBdr>
            <w:top w:val="none" w:sz="0" w:space="0" w:color="auto"/>
            <w:left w:val="none" w:sz="0" w:space="0" w:color="auto"/>
            <w:bottom w:val="none" w:sz="0" w:space="0" w:color="auto"/>
            <w:right w:val="none" w:sz="0" w:space="0" w:color="auto"/>
          </w:divBdr>
        </w:div>
        <w:div w:id="1895312302">
          <w:marLeft w:val="360"/>
          <w:marRight w:val="0"/>
          <w:marTop w:val="200"/>
          <w:marBottom w:val="0"/>
          <w:divBdr>
            <w:top w:val="none" w:sz="0" w:space="0" w:color="auto"/>
            <w:left w:val="none" w:sz="0" w:space="0" w:color="auto"/>
            <w:bottom w:val="none" w:sz="0" w:space="0" w:color="auto"/>
            <w:right w:val="none" w:sz="0" w:space="0" w:color="auto"/>
          </w:divBdr>
        </w:div>
        <w:div w:id="2125995266">
          <w:marLeft w:val="360"/>
          <w:marRight w:val="0"/>
          <w:marTop w:val="200"/>
          <w:marBottom w:val="0"/>
          <w:divBdr>
            <w:top w:val="none" w:sz="0" w:space="0" w:color="auto"/>
            <w:left w:val="none" w:sz="0" w:space="0" w:color="auto"/>
            <w:bottom w:val="none" w:sz="0" w:space="0" w:color="auto"/>
            <w:right w:val="none" w:sz="0" w:space="0" w:color="auto"/>
          </w:divBdr>
        </w:div>
      </w:divsChild>
    </w:div>
    <w:div w:id="1205752168">
      <w:bodyDiv w:val="1"/>
      <w:marLeft w:val="0"/>
      <w:marRight w:val="0"/>
      <w:marTop w:val="0"/>
      <w:marBottom w:val="0"/>
      <w:divBdr>
        <w:top w:val="none" w:sz="0" w:space="0" w:color="auto"/>
        <w:left w:val="none" w:sz="0" w:space="0" w:color="auto"/>
        <w:bottom w:val="none" w:sz="0" w:space="0" w:color="auto"/>
        <w:right w:val="none" w:sz="0" w:space="0" w:color="auto"/>
      </w:divBdr>
    </w:div>
    <w:div w:id="1209147073">
      <w:bodyDiv w:val="1"/>
      <w:marLeft w:val="0"/>
      <w:marRight w:val="0"/>
      <w:marTop w:val="0"/>
      <w:marBottom w:val="0"/>
      <w:divBdr>
        <w:top w:val="none" w:sz="0" w:space="0" w:color="auto"/>
        <w:left w:val="none" w:sz="0" w:space="0" w:color="auto"/>
        <w:bottom w:val="none" w:sz="0" w:space="0" w:color="auto"/>
        <w:right w:val="none" w:sz="0" w:space="0" w:color="auto"/>
      </w:divBdr>
    </w:div>
    <w:div w:id="1227912474">
      <w:bodyDiv w:val="1"/>
      <w:marLeft w:val="0"/>
      <w:marRight w:val="0"/>
      <w:marTop w:val="0"/>
      <w:marBottom w:val="0"/>
      <w:divBdr>
        <w:top w:val="none" w:sz="0" w:space="0" w:color="auto"/>
        <w:left w:val="none" w:sz="0" w:space="0" w:color="auto"/>
        <w:bottom w:val="none" w:sz="0" w:space="0" w:color="auto"/>
        <w:right w:val="none" w:sz="0" w:space="0" w:color="auto"/>
      </w:divBdr>
    </w:div>
    <w:div w:id="1235697523">
      <w:bodyDiv w:val="1"/>
      <w:marLeft w:val="0"/>
      <w:marRight w:val="0"/>
      <w:marTop w:val="0"/>
      <w:marBottom w:val="0"/>
      <w:divBdr>
        <w:top w:val="none" w:sz="0" w:space="0" w:color="auto"/>
        <w:left w:val="none" w:sz="0" w:space="0" w:color="auto"/>
        <w:bottom w:val="none" w:sz="0" w:space="0" w:color="auto"/>
        <w:right w:val="none" w:sz="0" w:space="0" w:color="auto"/>
      </w:divBdr>
    </w:div>
    <w:div w:id="1238592550">
      <w:bodyDiv w:val="1"/>
      <w:marLeft w:val="0"/>
      <w:marRight w:val="0"/>
      <w:marTop w:val="0"/>
      <w:marBottom w:val="0"/>
      <w:divBdr>
        <w:top w:val="none" w:sz="0" w:space="0" w:color="auto"/>
        <w:left w:val="none" w:sz="0" w:space="0" w:color="auto"/>
        <w:bottom w:val="none" w:sz="0" w:space="0" w:color="auto"/>
        <w:right w:val="none" w:sz="0" w:space="0" w:color="auto"/>
      </w:divBdr>
    </w:div>
    <w:div w:id="1239679768">
      <w:bodyDiv w:val="1"/>
      <w:marLeft w:val="0"/>
      <w:marRight w:val="0"/>
      <w:marTop w:val="0"/>
      <w:marBottom w:val="0"/>
      <w:divBdr>
        <w:top w:val="none" w:sz="0" w:space="0" w:color="auto"/>
        <w:left w:val="none" w:sz="0" w:space="0" w:color="auto"/>
        <w:bottom w:val="none" w:sz="0" w:space="0" w:color="auto"/>
        <w:right w:val="none" w:sz="0" w:space="0" w:color="auto"/>
      </w:divBdr>
    </w:div>
    <w:div w:id="1247301881">
      <w:bodyDiv w:val="1"/>
      <w:marLeft w:val="0"/>
      <w:marRight w:val="0"/>
      <w:marTop w:val="0"/>
      <w:marBottom w:val="0"/>
      <w:divBdr>
        <w:top w:val="none" w:sz="0" w:space="0" w:color="auto"/>
        <w:left w:val="none" w:sz="0" w:space="0" w:color="auto"/>
        <w:bottom w:val="none" w:sz="0" w:space="0" w:color="auto"/>
        <w:right w:val="none" w:sz="0" w:space="0" w:color="auto"/>
      </w:divBdr>
    </w:div>
    <w:div w:id="1248005944">
      <w:bodyDiv w:val="1"/>
      <w:marLeft w:val="0"/>
      <w:marRight w:val="0"/>
      <w:marTop w:val="0"/>
      <w:marBottom w:val="0"/>
      <w:divBdr>
        <w:top w:val="none" w:sz="0" w:space="0" w:color="auto"/>
        <w:left w:val="none" w:sz="0" w:space="0" w:color="auto"/>
        <w:bottom w:val="none" w:sz="0" w:space="0" w:color="auto"/>
        <w:right w:val="none" w:sz="0" w:space="0" w:color="auto"/>
      </w:divBdr>
    </w:div>
    <w:div w:id="1250233191">
      <w:bodyDiv w:val="1"/>
      <w:marLeft w:val="0"/>
      <w:marRight w:val="0"/>
      <w:marTop w:val="0"/>
      <w:marBottom w:val="0"/>
      <w:divBdr>
        <w:top w:val="none" w:sz="0" w:space="0" w:color="auto"/>
        <w:left w:val="none" w:sz="0" w:space="0" w:color="auto"/>
        <w:bottom w:val="none" w:sz="0" w:space="0" w:color="auto"/>
        <w:right w:val="none" w:sz="0" w:space="0" w:color="auto"/>
      </w:divBdr>
    </w:div>
    <w:div w:id="1290042866">
      <w:bodyDiv w:val="1"/>
      <w:marLeft w:val="0"/>
      <w:marRight w:val="0"/>
      <w:marTop w:val="0"/>
      <w:marBottom w:val="0"/>
      <w:divBdr>
        <w:top w:val="none" w:sz="0" w:space="0" w:color="auto"/>
        <w:left w:val="none" w:sz="0" w:space="0" w:color="auto"/>
        <w:bottom w:val="none" w:sz="0" w:space="0" w:color="auto"/>
        <w:right w:val="none" w:sz="0" w:space="0" w:color="auto"/>
      </w:divBdr>
    </w:div>
    <w:div w:id="1292055216">
      <w:bodyDiv w:val="1"/>
      <w:marLeft w:val="0"/>
      <w:marRight w:val="0"/>
      <w:marTop w:val="0"/>
      <w:marBottom w:val="0"/>
      <w:divBdr>
        <w:top w:val="none" w:sz="0" w:space="0" w:color="auto"/>
        <w:left w:val="none" w:sz="0" w:space="0" w:color="auto"/>
        <w:bottom w:val="none" w:sz="0" w:space="0" w:color="auto"/>
        <w:right w:val="none" w:sz="0" w:space="0" w:color="auto"/>
      </w:divBdr>
    </w:div>
    <w:div w:id="1294286731">
      <w:bodyDiv w:val="1"/>
      <w:marLeft w:val="0"/>
      <w:marRight w:val="0"/>
      <w:marTop w:val="0"/>
      <w:marBottom w:val="0"/>
      <w:divBdr>
        <w:top w:val="none" w:sz="0" w:space="0" w:color="auto"/>
        <w:left w:val="none" w:sz="0" w:space="0" w:color="auto"/>
        <w:bottom w:val="none" w:sz="0" w:space="0" w:color="auto"/>
        <w:right w:val="none" w:sz="0" w:space="0" w:color="auto"/>
      </w:divBdr>
    </w:div>
    <w:div w:id="1299727705">
      <w:bodyDiv w:val="1"/>
      <w:marLeft w:val="0"/>
      <w:marRight w:val="0"/>
      <w:marTop w:val="0"/>
      <w:marBottom w:val="0"/>
      <w:divBdr>
        <w:top w:val="none" w:sz="0" w:space="0" w:color="auto"/>
        <w:left w:val="none" w:sz="0" w:space="0" w:color="auto"/>
        <w:bottom w:val="none" w:sz="0" w:space="0" w:color="auto"/>
        <w:right w:val="none" w:sz="0" w:space="0" w:color="auto"/>
      </w:divBdr>
    </w:div>
    <w:div w:id="1307055195">
      <w:bodyDiv w:val="1"/>
      <w:marLeft w:val="0"/>
      <w:marRight w:val="0"/>
      <w:marTop w:val="0"/>
      <w:marBottom w:val="0"/>
      <w:divBdr>
        <w:top w:val="none" w:sz="0" w:space="0" w:color="auto"/>
        <w:left w:val="none" w:sz="0" w:space="0" w:color="auto"/>
        <w:bottom w:val="none" w:sz="0" w:space="0" w:color="auto"/>
        <w:right w:val="none" w:sz="0" w:space="0" w:color="auto"/>
      </w:divBdr>
    </w:div>
    <w:div w:id="1309045872">
      <w:bodyDiv w:val="1"/>
      <w:marLeft w:val="0"/>
      <w:marRight w:val="0"/>
      <w:marTop w:val="0"/>
      <w:marBottom w:val="0"/>
      <w:divBdr>
        <w:top w:val="none" w:sz="0" w:space="0" w:color="auto"/>
        <w:left w:val="none" w:sz="0" w:space="0" w:color="auto"/>
        <w:bottom w:val="none" w:sz="0" w:space="0" w:color="auto"/>
        <w:right w:val="none" w:sz="0" w:space="0" w:color="auto"/>
      </w:divBdr>
    </w:div>
    <w:div w:id="1318416551">
      <w:bodyDiv w:val="1"/>
      <w:marLeft w:val="0"/>
      <w:marRight w:val="0"/>
      <w:marTop w:val="0"/>
      <w:marBottom w:val="0"/>
      <w:divBdr>
        <w:top w:val="none" w:sz="0" w:space="0" w:color="auto"/>
        <w:left w:val="none" w:sz="0" w:space="0" w:color="auto"/>
        <w:bottom w:val="none" w:sz="0" w:space="0" w:color="auto"/>
        <w:right w:val="none" w:sz="0" w:space="0" w:color="auto"/>
      </w:divBdr>
    </w:div>
    <w:div w:id="1328367305">
      <w:bodyDiv w:val="1"/>
      <w:marLeft w:val="0"/>
      <w:marRight w:val="0"/>
      <w:marTop w:val="0"/>
      <w:marBottom w:val="0"/>
      <w:divBdr>
        <w:top w:val="none" w:sz="0" w:space="0" w:color="auto"/>
        <w:left w:val="none" w:sz="0" w:space="0" w:color="auto"/>
        <w:bottom w:val="none" w:sz="0" w:space="0" w:color="auto"/>
        <w:right w:val="none" w:sz="0" w:space="0" w:color="auto"/>
      </w:divBdr>
    </w:div>
    <w:div w:id="1343387940">
      <w:bodyDiv w:val="1"/>
      <w:marLeft w:val="0"/>
      <w:marRight w:val="0"/>
      <w:marTop w:val="0"/>
      <w:marBottom w:val="0"/>
      <w:divBdr>
        <w:top w:val="none" w:sz="0" w:space="0" w:color="auto"/>
        <w:left w:val="none" w:sz="0" w:space="0" w:color="auto"/>
        <w:bottom w:val="none" w:sz="0" w:space="0" w:color="auto"/>
        <w:right w:val="none" w:sz="0" w:space="0" w:color="auto"/>
      </w:divBdr>
    </w:div>
    <w:div w:id="1353189570">
      <w:bodyDiv w:val="1"/>
      <w:marLeft w:val="0"/>
      <w:marRight w:val="0"/>
      <w:marTop w:val="0"/>
      <w:marBottom w:val="0"/>
      <w:divBdr>
        <w:top w:val="none" w:sz="0" w:space="0" w:color="auto"/>
        <w:left w:val="none" w:sz="0" w:space="0" w:color="auto"/>
        <w:bottom w:val="none" w:sz="0" w:space="0" w:color="auto"/>
        <w:right w:val="none" w:sz="0" w:space="0" w:color="auto"/>
      </w:divBdr>
    </w:div>
    <w:div w:id="1374500310">
      <w:bodyDiv w:val="1"/>
      <w:marLeft w:val="0"/>
      <w:marRight w:val="0"/>
      <w:marTop w:val="0"/>
      <w:marBottom w:val="0"/>
      <w:divBdr>
        <w:top w:val="none" w:sz="0" w:space="0" w:color="auto"/>
        <w:left w:val="none" w:sz="0" w:space="0" w:color="auto"/>
        <w:bottom w:val="none" w:sz="0" w:space="0" w:color="auto"/>
        <w:right w:val="none" w:sz="0" w:space="0" w:color="auto"/>
      </w:divBdr>
    </w:div>
    <w:div w:id="1401635562">
      <w:bodyDiv w:val="1"/>
      <w:marLeft w:val="0"/>
      <w:marRight w:val="0"/>
      <w:marTop w:val="0"/>
      <w:marBottom w:val="0"/>
      <w:divBdr>
        <w:top w:val="none" w:sz="0" w:space="0" w:color="auto"/>
        <w:left w:val="none" w:sz="0" w:space="0" w:color="auto"/>
        <w:bottom w:val="none" w:sz="0" w:space="0" w:color="auto"/>
        <w:right w:val="none" w:sz="0" w:space="0" w:color="auto"/>
      </w:divBdr>
    </w:div>
    <w:div w:id="1409840040">
      <w:bodyDiv w:val="1"/>
      <w:marLeft w:val="0"/>
      <w:marRight w:val="0"/>
      <w:marTop w:val="0"/>
      <w:marBottom w:val="0"/>
      <w:divBdr>
        <w:top w:val="none" w:sz="0" w:space="0" w:color="auto"/>
        <w:left w:val="none" w:sz="0" w:space="0" w:color="auto"/>
        <w:bottom w:val="none" w:sz="0" w:space="0" w:color="auto"/>
        <w:right w:val="none" w:sz="0" w:space="0" w:color="auto"/>
      </w:divBdr>
    </w:div>
    <w:div w:id="1425345824">
      <w:bodyDiv w:val="1"/>
      <w:marLeft w:val="0"/>
      <w:marRight w:val="0"/>
      <w:marTop w:val="0"/>
      <w:marBottom w:val="0"/>
      <w:divBdr>
        <w:top w:val="none" w:sz="0" w:space="0" w:color="auto"/>
        <w:left w:val="none" w:sz="0" w:space="0" w:color="auto"/>
        <w:bottom w:val="none" w:sz="0" w:space="0" w:color="auto"/>
        <w:right w:val="none" w:sz="0" w:space="0" w:color="auto"/>
      </w:divBdr>
    </w:div>
    <w:div w:id="1456800250">
      <w:bodyDiv w:val="1"/>
      <w:marLeft w:val="0"/>
      <w:marRight w:val="0"/>
      <w:marTop w:val="0"/>
      <w:marBottom w:val="0"/>
      <w:divBdr>
        <w:top w:val="none" w:sz="0" w:space="0" w:color="auto"/>
        <w:left w:val="none" w:sz="0" w:space="0" w:color="auto"/>
        <w:bottom w:val="none" w:sz="0" w:space="0" w:color="auto"/>
        <w:right w:val="none" w:sz="0" w:space="0" w:color="auto"/>
      </w:divBdr>
    </w:div>
    <w:div w:id="1499535622">
      <w:bodyDiv w:val="1"/>
      <w:marLeft w:val="0"/>
      <w:marRight w:val="0"/>
      <w:marTop w:val="0"/>
      <w:marBottom w:val="0"/>
      <w:divBdr>
        <w:top w:val="none" w:sz="0" w:space="0" w:color="auto"/>
        <w:left w:val="none" w:sz="0" w:space="0" w:color="auto"/>
        <w:bottom w:val="none" w:sz="0" w:space="0" w:color="auto"/>
        <w:right w:val="none" w:sz="0" w:space="0" w:color="auto"/>
      </w:divBdr>
    </w:div>
    <w:div w:id="1503931515">
      <w:bodyDiv w:val="1"/>
      <w:marLeft w:val="0"/>
      <w:marRight w:val="0"/>
      <w:marTop w:val="0"/>
      <w:marBottom w:val="0"/>
      <w:divBdr>
        <w:top w:val="none" w:sz="0" w:space="0" w:color="auto"/>
        <w:left w:val="none" w:sz="0" w:space="0" w:color="auto"/>
        <w:bottom w:val="none" w:sz="0" w:space="0" w:color="auto"/>
        <w:right w:val="none" w:sz="0" w:space="0" w:color="auto"/>
      </w:divBdr>
    </w:div>
    <w:div w:id="1515195170">
      <w:bodyDiv w:val="1"/>
      <w:marLeft w:val="0"/>
      <w:marRight w:val="0"/>
      <w:marTop w:val="0"/>
      <w:marBottom w:val="0"/>
      <w:divBdr>
        <w:top w:val="none" w:sz="0" w:space="0" w:color="auto"/>
        <w:left w:val="none" w:sz="0" w:space="0" w:color="auto"/>
        <w:bottom w:val="none" w:sz="0" w:space="0" w:color="auto"/>
        <w:right w:val="none" w:sz="0" w:space="0" w:color="auto"/>
      </w:divBdr>
    </w:div>
    <w:div w:id="1521090847">
      <w:bodyDiv w:val="1"/>
      <w:marLeft w:val="0"/>
      <w:marRight w:val="0"/>
      <w:marTop w:val="0"/>
      <w:marBottom w:val="0"/>
      <w:divBdr>
        <w:top w:val="none" w:sz="0" w:space="0" w:color="auto"/>
        <w:left w:val="none" w:sz="0" w:space="0" w:color="auto"/>
        <w:bottom w:val="none" w:sz="0" w:space="0" w:color="auto"/>
        <w:right w:val="none" w:sz="0" w:space="0" w:color="auto"/>
      </w:divBdr>
    </w:div>
    <w:div w:id="1532493925">
      <w:bodyDiv w:val="1"/>
      <w:marLeft w:val="0"/>
      <w:marRight w:val="0"/>
      <w:marTop w:val="0"/>
      <w:marBottom w:val="0"/>
      <w:divBdr>
        <w:top w:val="none" w:sz="0" w:space="0" w:color="auto"/>
        <w:left w:val="none" w:sz="0" w:space="0" w:color="auto"/>
        <w:bottom w:val="none" w:sz="0" w:space="0" w:color="auto"/>
        <w:right w:val="none" w:sz="0" w:space="0" w:color="auto"/>
      </w:divBdr>
    </w:div>
    <w:div w:id="1532568042">
      <w:bodyDiv w:val="1"/>
      <w:marLeft w:val="0"/>
      <w:marRight w:val="0"/>
      <w:marTop w:val="0"/>
      <w:marBottom w:val="0"/>
      <w:divBdr>
        <w:top w:val="none" w:sz="0" w:space="0" w:color="auto"/>
        <w:left w:val="none" w:sz="0" w:space="0" w:color="auto"/>
        <w:bottom w:val="none" w:sz="0" w:space="0" w:color="auto"/>
        <w:right w:val="none" w:sz="0" w:space="0" w:color="auto"/>
      </w:divBdr>
    </w:div>
    <w:div w:id="1544446098">
      <w:bodyDiv w:val="1"/>
      <w:marLeft w:val="0"/>
      <w:marRight w:val="0"/>
      <w:marTop w:val="0"/>
      <w:marBottom w:val="0"/>
      <w:divBdr>
        <w:top w:val="none" w:sz="0" w:space="0" w:color="auto"/>
        <w:left w:val="none" w:sz="0" w:space="0" w:color="auto"/>
        <w:bottom w:val="none" w:sz="0" w:space="0" w:color="auto"/>
        <w:right w:val="none" w:sz="0" w:space="0" w:color="auto"/>
      </w:divBdr>
    </w:div>
    <w:div w:id="1547520884">
      <w:bodyDiv w:val="1"/>
      <w:marLeft w:val="0"/>
      <w:marRight w:val="0"/>
      <w:marTop w:val="0"/>
      <w:marBottom w:val="0"/>
      <w:divBdr>
        <w:top w:val="none" w:sz="0" w:space="0" w:color="auto"/>
        <w:left w:val="none" w:sz="0" w:space="0" w:color="auto"/>
        <w:bottom w:val="none" w:sz="0" w:space="0" w:color="auto"/>
        <w:right w:val="none" w:sz="0" w:space="0" w:color="auto"/>
      </w:divBdr>
    </w:div>
    <w:div w:id="1561937289">
      <w:bodyDiv w:val="1"/>
      <w:marLeft w:val="0"/>
      <w:marRight w:val="0"/>
      <w:marTop w:val="0"/>
      <w:marBottom w:val="0"/>
      <w:divBdr>
        <w:top w:val="none" w:sz="0" w:space="0" w:color="auto"/>
        <w:left w:val="none" w:sz="0" w:space="0" w:color="auto"/>
        <w:bottom w:val="none" w:sz="0" w:space="0" w:color="auto"/>
        <w:right w:val="none" w:sz="0" w:space="0" w:color="auto"/>
      </w:divBdr>
      <w:divsChild>
        <w:div w:id="449327396">
          <w:marLeft w:val="547"/>
          <w:marRight w:val="0"/>
          <w:marTop w:val="62"/>
          <w:marBottom w:val="0"/>
          <w:divBdr>
            <w:top w:val="none" w:sz="0" w:space="0" w:color="auto"/>
            <w:left w:val="none" w:sz="0" w:space="0" w:color="auto"/>
            <w:bottom w:val="none" w:sz="0" w:space="0" w:color="auto"/>
            <w:right w:val="none" w:sz="0" w:space="0" w:color="auto"/>
          </w:divBdr>
        </w:div>
        <w:div w:id="583222550">
          <w:marLeft w:val="547"/>
          <w:marRight w:val="0"/>
          <w:marTop w:val="62"/>
          <w:marBottom w:val="0"/>
          <w:divBdr>
            <w:top w:val="none" w:sz="0" w:space="0" w:color="auto"/>
            <w:left w:val="none" w:sz="0" w:space="0" w:color="auto"/>
            <w:bottom w:val="none" w:sz="0" w:space="0" w:color="auto"/>
            <w:right w:val="none" w:sz="0" w:space="0" w:color="auto"/>
          </w:divBdr>
        </w:div>
        <w:div w:id="590045096">
          <w:marLeft w:val="547"/>
          <w:marRight w:val="0"/>
          <w:marTop w:val="62"/>
          <w:marBottom w:val="0"/>
          <w:divBdr>
            <w:top w:val="none" w:sz="0" w:space="0" w:color="auto"/>
            <w:left w:val="none" w:sz="0" w:space="0" w:color="auto"/>
            <w:bottom w:val="none" w:sz="0" w:space="0" w:color="auto"/>
            <w:right w:val="none" w:sz="0" w:space="0" w:color="auto"/>
          </w:divBdr>
        </w:div>
        <w:div w:id="691296704">
          <w:marLeft w:val="547"/>
          <w:marRight w:val="0"/>
          <w:marTop w:val="62"/>
          <w:marBottom w:val="0"/>
          <w:divBdr>
            <w:top w:val="none" w:sz="0" w:space="0" w:color="auto"/>
            <w:left w:val="none" w:sz="0" w:space="0" w:color="auto"/>
            <w:bottom w:val="none" w:sz="0" w:space="0" w:color="auto"/>
            <w:right w:val="none" w:sz="0" w:space="0" w:color="auto"/>
          </w:divBdr>
        </w:div>
        <w:div w:id="1769806798">
          <w:marLeft w:val="547"/>
          <w:marRight w:val="0"/>
          <w:marTop w:val="62"/>
          <w:marBottom w:val="0"/>
          <w:divBdr>
            <w:top w:val="none" w:sz="0" w:space="0" w:color="auto"/>
            <w:left w:val="none" w:sz="0" w:space="0" w:color="auto"/>
            <w:bottom w:val="none" w:sz="0" w:space="0" w:color="auto"/>
            <w:right w:val="none" w:sz="0" w:space="0" w:color="auto"/>
          </w:divBdr>
        </w:div>
      </w:divsChild>
    </w:div>
    <w:div w:id="1568228100">
      <w:bodyDiv w:val="1"/>
      <w:marLeft w:val="0"/>
      <w:marRight w:val="0"/>
      <w:marTop w:val="0"/>
      <w:marBottom w:val="0"/>
      <w:divBdr>
        <w:top w:val="none" w:sz="0" w:space="0" w:color="auto"/>
        <w:left w:val="none" w:sz="0" w:space="0" w:color="auto"/>
        <w:bottom w:val="none" w:sz="0" w:space="0" w:color="auto"/>
        <w:right w:val="none" w:sz="0" w:space="0" w:color="auto"/>
      </w:divBdr>
    </w:div>
    <w:div w:id="1578132360">
      <w:bodyDiv w:val="1"/>
      <w:marLeft w:val="0"/>
      <w:marRight w:val="0"/>
      <w:marTop w:val="0"/>
      <w:marBottom w:val="0"/>
      <w:divBdr>
        <w:top w:val="none" w:sz="0" w:space="0" w:color="auto"/>
        <w:left w:val="none" w:sz="0" w:space="0" w:color="auto"/>
        <w:bottom w:val="none" w:sz="0" w:space="0" w:color="auto"/>
        <w:right w:val="none" w:sz="0" w:space="0" w:color="auto"/>
      </w:divBdr>
    </w:div>
    <w:div w:id="1578787275">
      <w:bodyDiv w:val="1"/>
      <w:marLeft w:val="0"/>
      <w:marRight w:val="0"/>
      <w:marTop w:val="0"/>
      <w:marBottom w:val="0"/>
      <w:divBdr>
        <w:top w:val="none" w:sz="0" w:space="0" w:color="auto"/>
        <w:left w:val="none" w:sz="0" w:space="0" w:color="auto"/>
        <w:bottom w:val="none" w:sz="0" w:space="0" w:color="auto"/>
        <w:right w:val="none" w:sz="0" w:space="0" w:color="auto"/>
      </w:divBdr>
    </w:div>
    <w:div w:id="1581988964">
      <w:bodyDiv w:val="1"/>
      <w:marLeft w:val="0"/>
      <w:marRight w:val="0"/>
      <w:marTop w:val="0"/>
      <w:marBottom w:val="0"/>
      <w:divBdr>
        <w:top w:val="none" w:sz="0" w:space="0" w:color="auto"/>
        <w:left w:val="none" w:sz="0" w:space="0" w:color="auto"/>
        <w:bottom w:val="none" w:sz="0" w:space="0" w:color="auto"/>
        <w:right w:val="none" w:sz="0" w:space="0" w:color="auto"/>
      </w:divBdr>
    </w:div>
    <w:div w:id="1583759783">
      <w:bodyDiv w:val="1"/>
      <w:marLeft w:val="0"/>
      <w:marRight w:val="0"/>
      <w:marTop w:val="0"/>
      <w:marBottom w:val="0"/>
      <w:divBdr>
        <w:top w:val="none" w:sz="0" w:space="0" w:color="auto"/>
        <w:left w:val="none" w:sz="0" w:space="0" w:color="auto"/>
        <w:bottom w:val="none" w:sz="0" w:space="0" w:color="auto"/>
        <w:right w:val="none" w:sz="0" w:space="0" w:color="auto"/>
      </w:divBdr>
    </w:div>
    <w:div w:id="1587155211">
      <w:bodyDiv w:val="1"/>
      <w:marLeft w:val="0"/>
      <w:marRight w:val="0"/>
      <w:marTop w:val="0"/>
      <w:marBottom w:val="0"/>
      <w:divBdr>
        <w:top w:val="none" w:sz="0" w:space="0" w:color="auto"/>
        <w:left w:val="none" w:sz="0" w:space="0" w:color="auto"/>
        <w:bottom w:val="none" w:sz="0" w:space="0" w:color="auto"/>
        <w:right w:val="none" w:sz="0" w:space="0" w:color="auto"/>
      </w:divBdr>
    </w:div>
    <w:div w:id="1587688518">
      <w:bodyDiv w:val="1"/>
      <w:marLeft w:val="0"/>
      <w:marRight w:val="0"/>
      <w:marTop w:val="0"/>
      <w:marBottom w:val="0"/>
      <w:divBdr>
        <w:top w:val="none" w:sz="0" w:space="0" w:color="auto"/>
        <w:left w:val="none" w:sz="0" w:space="0" w:color="auto"/>
        <w:bottom w:val="none" w:sz="0" w:space="0" w:color="auto"/>
        <w:right w:val="none" w:sz="0" w:space="0" w:color="auto"/>
      </w:divBdr>
    </w:div>
    <w:div w:id="1591357086">
      <w:bodyDiv w:val="1"/>
      <w:marLeft w:val="0"/>
      <w:marRight w:val="0"/>
      <w:marTop w:val="0"/>
      <w:marBottom w:val="0"/>
      <w:divBdr>
        <w:top w:val="none" w:sz="0" w:space="0" w:color="auto"/>
        <w:left w:val="none" w:sz="0" w:space="0" w:color="auto"/>
        <w:bottom w:val="none" w:sz="0" w:space="0" w:color="auto"/>
        <w:right w:val="none" w:sz="0" w:space="0" w:color="auto"/>
      </w:divBdr>
    </w:div>
    <w:div w:id="1595166837">
      <w:bodyDiv w:val="1"/>
      <w:marLeft w:val="0"/>
      <w:marRight w:val="0"/>
      <w:marTop w:val="0"/>
      <w:marBottom w:val="0"/>
      <w:divBdr>
        <w:top w:val="none" w:sz="0" w:space="0" w:color="auto"/>
        <w:left w:val="none" w:sz="0" w:space="0" w:color="auto"/>
        <w:bottom w:val="none" w:sz="0" w:space="0" w:color="auto"/>
        <w:right w:val="none" w:sz="0" w:space="0" w:color="auto"/>
      </w:divBdr>
    </w:div>
    <w:div w:id="1597395771">
      <w:bodyDiv w:val="1"/>
      <w:marLeft w:val="0"/>
      <w:marRight w:val="0"/>
      <w:marTop w:val="0"/>
      <w:marBottom w:val="0"/>
      <w:divBdr>
        <w:top w:val="none" w:sz="0" w:space="0" w:color="auto"/>
        <w:left w:val="none" w:sz="0" w:space="0" w:color="auto"/>
        <w:bottom w:val="none" w:sz="0" w:space="0" w:color="auto"/>
        <w:right w:val="none" w:sz="0" w:space="0" w:color="auto"/>
      </w:divBdr>
    </w:div>
    <w:div w:id="1598101493">
      <w:bodyDiv w:val="1"/>
      <w:marLeft w:val="0"/>
      <w:marRight w:val="0"/>
      <w:marTop w:val="0"/>
      <w:marBottom w:val="0"/>
      <w:divBdr>
        <w:top w:val="none" w:sz="0" w:space="0" w:color="auto"/>
        <w:left w:val="none" w:sz="0" w:space="0" w:color="auto"/>
        <w:bottom w:val="none" w:sz="0" w:space="0" w:color="auto"/>
        <w:right w:val="none" w:sz="0" w:space="0" w:color="auto"/>
      </w:divBdr>
    </w:div>
    <w:div w:id="1608343043">
      <w:bodyDiv w:val="1"/>
      <w:marLeft w:val="0"/>
      <w:marRight w:val="0"/>
      <w:marTop w:val="0"/>
      <w:marBottom w:val="0"/>
      <w:divBdr>
        <w:top w:val="none" w:sz="0" w:space="0" w:color="auto"/>
        <w:left w:val="none" w:sz="0" w:space="0" w:color="auto"/>
        <w:bottom w:val="none" w:sz="0" w:space="0" w:color="auto"/>
        <w:right w:val="none" w:sz="0" w:space="0" w:color="auto"/>
      </w:divBdr>
    </w:div>
    <w:div w:id="1614823834">
      <w:bodyDiv w:val="1"/>
      <w:marLeft w:val="0"/>
      <w:marRight w:val="0"/>
      <w:marTop w:val="0"/>
      <w:marBottom w:val="0"/>
      <w:divBdr>
        <w:top w:val="none" w:sz="0" w:space="0" w:color="auto"/>
        <w:left w:val="none" w:sz="0" w:space="0" w:color="auto"/>
        <w:bottom w:val="none" w:sz="0" w:space="0" w:color="auto"/>
        <w:right w:val="none" w:sz="0" w:space="0" w:color="auto"/>
      </w:divBdr>
    </w:div>
    <w:div w:id="1616405887">
      <w:bodyDiv w:val="1"/>
      <w:marLeft w:val="0"/>
      <w:marRight w:val="0"/>
      <w:marTop w:val="0"/>
      <w:marBottom w:val="0"/>
      <w:divBdr>
        <w:top w:val="none" w:sz="0" w:space="0" w:color="auto"/>
        <w:left w:val="none" w:sz="0" w:space="0" w:color="auto"/>
        <w:bottom w:val="none" w:sz="0" w:space="0" w:color="auto"/>
        <w:right w:val="none" w:sz="0" w:space="0" w:color="auto"/>
      </w:divBdr>
    </w:div>
    <w:div w:id="1637488614">
      <w:bodyDiv w:val="1"/>
      <w:marLeft w:val="0"/>
      <w:marRight w:val="0"/>
      <w:marTop w:val="0"/>
      <w:marBottom w:val="0"/>
      <w:divBdr>
        <w:top w:val="none" w:sz="0" w:space="0" w:color="auto"/>
        <w:left w:val="none" w:sz="0" w:space="0" w:color="auto"/>
        <w:bottom w:val="none" w:sz="0" w:space="0" w:color="auto"/>
        <w:right w:val="none" w:sz="0" w:space="0" w:color="auto"/>
      </w:divBdr>
    </w:div>
    <w:div w:id="1646621352">
      <w:bodyDiv w:val="1"/>
      <w:marLeft w:val="0"/>
      <w:marRight w:val="0"/>
      <w:marTop w:val="0"/>
      <w:marBottom w:val="0"/>
      <w:divBdr>
        <w:top w:val="none" w:sz="0" w:space="0" w:color="auto"/>
        <w:left w:val="none" w:sz="0" w:space="0" w:color="auto"/>
        <w:bottom w:val="none" w:sz="0" w:space="0" w:color="auto"/>
        <w:right w:val="none" w:sz="0" w:space="0" w:color="auto"/>
      </w:divBdr>
    </w:div>
    <w:div w:id="1674332461">
      <w:bodyDiv w:val="1"/>
      <w:marLeft w:val="0"/>
      <w:marRight w:val="0"/>
      <w:marTop w:val="0"/>
      <w:marBottom w:val="0"/>
      <w:divBdr>
        <w:top w:val="none" w:sz="0" w:space="0" w:color="auto"/>
        <w:left w:val="none" w:sz="0" w:space="0" w:color="auto"/>
        <w:bottom w:val="none" w:sz="0" w:space="0" w:color="auto"/>
        <w:right w:val="none" w:sz="0" w:space="0" w:color="auto"/>
      </w:divBdr>
    </w:div>
    <w:div w:id="1692606203">
      <w:bodyDiv w:val="1"/>
      <w:marLeft w:val="0"/>
      <w:marRight w:val="0"/>
      <w:marTop w:val="0"/>
      <w:marBottom w:val="0"/>
      <w:divBdr>
        <w:top w:val="none" w:sz="0" w:space="0" w:color="auto"/>
        <w:left w:val="none" w:sz="0" w:space="0" w:color="auto"/>
        <w:bottom w:val="none" w:sz="0" w:space="0" w:color="auto"/>
        <w:right w:val="none" w:sz="0" w:space="0" w:color="auto"/>
      </w:divBdr>
    </w:div>
    <w:div w:id="1697805992">
      <w:bodyDiv w:val="1"/>
      <w:marLeft w:val="0"/>
      <w:marRight w:val="0"/>
      <w:marTop w:val="0"/>
      <w:marBottom w:val="0"/>
      <w:divBdr>
        <w:top w:val="none" w:sz="0" w:space="0" w:color="auto"/>
        <w:left w:val="none" w:sz="0" w:space="0" w:color="auto"/>
        <w:bottom w:val="none" w:sz="0" w:space="0" w:color="auto"/>
        <w:right w:val="none" w:sz="0" w:space="0" w:color="auto"/>
      </w:divBdr>
    </w:div>
    <w:div w:id="1716923333">
      <w:bodyDiv w:val="1"/>
      <w:marLeft w:val="0"/>
      <w:marRight w:val="0"/>
      <w:marTop w:val="0"/>
      <w:marBottom w:val="0"/>
      <w:divBdr>
        <w:top w:val="none" w:sz="0" w:space="0" w:color="auto"/>
        <w:left w:val="none" w:sz="0" w:space="0" w:color="auto"/>
        <w:bottom w:val="none" w:sz="0" w:space="0" w:color="auto"/>
        <w:right w:val="none" w:sz="0" w:space="0" w:color="auto"/>
      </w:divBdr>
    </w:div>
    <w:div w:id="1740397070">
      <w:bodyDiv w:val="1"/>
      <w:marLeft w:val="0"/>
      <w:marRight w:val="0"/>
      <w:marTop w:val="0"/>
      <w:marBottom w:val="0"/>
      <w:divBdr>
        <w:top w:val="none" w:sz="0" w:space="0" w:color="auto"/>
        <w:left w:val="none" w:sz="0" w:space="0" w:color="auto"/>
        <w:bottom w:val="none" w:sz="0" w:space="0" w:color="auto"/>
        <w:right w:val="none" w:sz="0" w:space="0" w:color="auto"/>
      </w:divBdr>
    </w:div>
    <w:div w:id="1742100653">
      <w:bodyDiv w:val="1"/>
      <w:marLeft w:val="0"/>
      <w:marRight w:val="0"/>
      <w:marTop w:val="0"/>
      <w:marBottom w:val="0"/>
      <w:divBdr>
        <w:top w:val="none" w:sz="0" w:space="0" w:color="auto"/>
        <w:left w:val="none" w:sz="0" w:space="0" w:color="auto"/>
        <w:bottom w:val="none" w:sz="0" w:space="0" w:color="auto"/>
        <w:right w:val="none" w:sz="0" w:space="0" w:color="auto"/>
      </w:divBdr>
    </w:div>
    <w:div w:id="1746759443">
      <w:bodyDiv w:val="1"/>
      <w:marLeft w:val="0"/>
      <w:marRight w:val="0"/>
      <w:marTop w:val="0"/>
      <w:marBottom w:val="0"/>
      <w:divBdr>
        <w:top w:val="none" w:sz="0" w:space="0" w:color="auto"/>
        <w:left w:val="none" w:sz="0" w:space="0" w:color="auto"/>
        <w:bottom w:val="none" w:sz="0" w:space="0" w:color="auto"/>
        <w:right w:val="none" w:sz="0" w:space="0" w:color="auto"/>
      </w:divBdr>
      <w:divsChild>
        <w:div w:id="608700279">
          <w:marLeft w:val="0"/>
          <w:marRight w:val="0"/>
          <w:marTop w:val="0"/>
          <w:marBottom w:val="0"/>
          <w:divBdr>
            <w:top w:val="none" w:sz="0" w:space="0" w:color="auto"/>
            <w:left w:val="none" w:sz="0" w:space="0" w:color="auto"/>
            <w:bottom w:val="none" w:sz="0" w:space="0" w:color="auto"/>
            <w:right w:val="none" w:sz="0" w:space="0" w:color="auto"/>
          </w:divBdr>
          <w:divsChild>
            <w:div w:id="810825402">
              <w:marLeft w:val="0"/>
              <w:marRight w:val="0"/>
              <w:marTop w:val="0"/>
              <w:marBottom w:val="0"/>
              <w:divBdr>
                <w:top w:val="none" w:sz="0" w:space="0" w:color="auto"/>
                <w:left w:val="none" w:sz="0" w:space="0" w:color="auto"/>
                <w:bottom w:val="none" w:sz="0" w:space="0" w:color="auto"/>
                <w:right w:val="none" w:sz="0" w:space="0" w:color="auto"/>
              </w:divBdr>
              <w:divsChild>
                <w:div w:id="1700660519">
                  <w:marLeft w:val="0"/>
                  <w:marRight w:val="0"/>
                  <w:marTop w:val="0"/>
                  <w:marBottom w:val="0"/>
                  <w:divBdr>
                    <w:top w:val="none" w:sz="0" w:space="0" w:color="auto"/>
                    <w:left w:val="none" w:sz="0" w:space="0" w:color="auto"/>
                    <w:bottom w:val="none" w:sz="0" w:space="0" w:color="auto"/>
                    <w:right w:val="none" w:sz="0" w:space="0" w:color="auto"/>
                  </w:divBdr>
                  <w:divsChild>
                    <w:div w:id="1479032449">
                      <w:marLeft w:val="0"/>
                      <w:marRight w:val="0"/>
                      <w:marTop w:val="0"/>
                      <w:marBottom w:val="0"/>
                      <w:divBdr>
                        <w:top w:val="none" w:sz="0" w:space="0" w:color="auto"/>
                        <w:left w:val="none" w:sz="0" w:space="0" w:color="auto"/>
                        <w:bottom w:val="none" w:sz="0" w:space="0" w:color="auto"/>
                        <w:right w:val="none" w:sz="0" w:space="0" w:color="auto"/>
                      </w:divBdr>
                      <w:divsChild>
                        <w:div w:id="844898812">
                          <w:marLeft w:val="0"/>
                          <w:marRight w:val="0"/>
                          <w:marTop w:val="0"/>
                          <w:marBottom w:val="0"/>
                          <w:divBdr>
                            <w:top w:val="none" w:sz="0" w:space="0" w:color="auto"/>
                            <w:left w:val="none" w:sz="0" w:space="0" w:color="auto"/>
                            <w:bottom w:val="none" w:sz="0" w:space="0" w:color="auto"/>
                            <w:right w:val="none" w:sz="0" w:space="0" w:color="auto"/>
                          </w:divBdr>
                          <w:divsChild>
                            <w:div w:id="85381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1101725">
      <w:bodyDiv w:val="1"/>
      <w:marLeft w:val="0"/>
      <w:marRight w:val="0"/>
      <w:marTop w:val="0"/>
      <w:marBottom w:val="0"/>
      <w:divBdr>
        <w:top w:val="none" w:sz="0" w:space="0" w:color="auto"/>
        <w:left w:val="none" w:sz="0" w:space="0" w:color="auto"/>
        <w:bottom w:val="none" w:sz="0" w:space="0" w:color="auto"/>
        <w:right w:val="none" w:sz="0" w:space="0" w:color="auto"/>
      </w:divBdr>
    </w:div>
    <w:div w:id="1762751109">
      <w:bodyDiv w:val="1"/>
      <w:marLeft w:val="0"/>
      <w:marRight w:val="0"/>
      <w:marTop w:val="0"/>
      <w:marBottom w:val="0"/>
      <w:divBdr>
        <w:top w:val="none" w:sz="0" w:space="0" w:color="auto"/>
        <w:left w:val="none" w:sz="0" w:space="0" w:color="auto"/>
        <w:bottom w:val="none" w:sz="0" w:space="0" w:color="auto"/>
        <w:right w:val="none" w:sz="0" w:space="0" w:color="auto"/>
      </w:divBdr>
    </w:div>
    <w:div w:id="1778867918">
      <w:bodyDiv w:val="1"/>
      <w:marLeft w:val="0"/>
      <w:marRight w:val="0"/>
      <w:marTop w:val="0"/>
      <w:marBottom w:val="0"/>
      <w:divBdr>
        <w:top w:val="none" w:sz="0" w:space="0" w:color="auto"/>
        <w:left w:val="none" w:sz="0" w:space="0" w:color="auto"/>
        <w:bottom w:val="none" w:sz="0" w:space="0" w:color="auto"/>
        <w:right w:val="none" w:sz="0" w:space="0" w:color="auto"/>
      </w:divBdr>
    </w:div>
    <w:div w:id="1783570109">
      <w:bodyDiv w:val="1"/>
      <w:marLeft w:val="0"/>
      <w:marRight w:val="0"/>
      <w:marTop w:val="0"/>
      <w:marBottom w:val="0"/>
      <w:divBdr>
        <w:top w:val="none" w:sz="0" w:space="0" w:color="auto"/>
        <w:left w:val="none" w:sz="0" w:space="0" w:color="auto"/>
        <w:bottom w:val="none" w:sz="0" w:space="0" w:color="auto"/>
        <w:right w:val="none" w:sz="0" w:space="0" w:color="auto"/>
      </w:divBdr>
    </w:div>
    <w:div w:id="1790126266">
      <w:bodyDiv w:val="1"/>
      <w:marLeft w:val="0"/>
      <w:marRight w:val="0"/>
      <w:marTop w:val="0"/>
      <w:marBottom w:val="0"/>
      <w:divBdr>
        <w:top w:val="none" w:sz="0" w:space="0" w:color="auto"/>
        <w:left w:val="none" w:sz="0" w:space="0" w:color="auto"/>
        <w:bottom w:val="none" w:sz="0" w:space="0" w:color="auto"/>
        <w:right w:val="none" w:sz="0" w:space="0" w:color="auto"/>
      </w:divBdr>
    </w:div>
    <w:div w:id="1791628192">
      <w:bodyDiv w:val="1"/>
      <w:marLeft w:val="0"/>
      <w:marRight w:val="0"/>
      <w:marTop w:val="0"/>
      <w:marBottom w:val="0"/>
      <w:divBdr>
        <w:top w:val="none" w:sz="0" w:space="0" w:color="auto"/>
        <w:left w:val="none" w:sz="0" w:space="0" w:color="auto"/>
        <w:bottom w:val="none" w:sz="0" w:space="0" w:color="auto"/>
        <w:right w:val="none" w:sz="0" w:space="0" w:color="auto"/>
      </w:divBdr>
    </w:div>
    <w:div w:id="1794249741">
      <w:bodyDiv w:val="1"/>
      <w:marLeft w:val="0"/>
      <w:marRight w:val="0"/>
      <w:marTop w:val="0"/>
      <w:marBottom w:val="0"/>
      <w:divBdr>
        <w:top w:val="none" w:sz="0" w:space="0" w:color="auto"/>
        <w:left w:val="none" w:sz="0" w:space="0" w:color="auto"/>
        <w:bottom w:val="none" w:sz="0" w:space="0" w:color="auto"/>
        <w:right w:val="none" w:sz="0" w:space="0" w:color="auto"/>
      </w:divBdr>
    </w:div>
    <w:div w:id="1794325857">
      <w:bodyDiv w:val="1"/>
      <w:marLeft w:val="0"/>
      <w:marRight w:val="0"/>
      <w:marTop w:val="0"/>
      <w:marBottom w:val="0"/>
      <w:divBdr>
        <w:top w:val="none" w:sz="0" w:space="0" w:color="auto"/>
        <w:left w:val="none" w:sz="0" w:space="0" w:color="auto"/>
        <w:bottom w:val="none" w:sz="0" w:space="0" w:color="auto"/>
        <w:right w:val="none" w:sz="0" w:space="0" w:color="auto"/>
      </w:divBdr>
    </w:div>
    <w:div w:id="1800995576">
      <w:bodyDiv w:val="1"/>
      <w:marLeft w:val="0"/>
      <w:marRight w:val="0"/>
      <w:marTop w:val="0"/>
      <w:marBottom w:val="0"/>
      <w:divBdr>
        <w:top w:val="none" w:sz="0" w:space="0" w:color="auto"/>
        <w:left w:val="none" w:sz="0" w:space="0" w:color="auto"/>
        <w:bottom w:val="none" w:sz="0" w:space="0" w:color="auto"/>
        <w:right w:val="none" w:sz="0" w:space="0" w:color="auto"/>
      </w:divBdr>
    </w:div>
    <w:div w:id="1805460318">
      <w:bodyDiv w:val="1"/>
      <w:marLeft w:val="0"/>
      <w:marRight w:val="0"/>
      <w:marTop w:val="0"/>
      <w:marBottom w:val="0"/>
      <w:divBdr>
        <w:top w:val="none" w:sz="0" w:space="0" w:color="auto"/>
        <w:left w:val="none" w:sz="0" w:space="0" w:color="auto"/>
        <w:bottom w:val="none" w:sz="0" w:space="0" w:color="auto"/>
        <w:right w:val="none" w:sz="0" w:space="0" w:color="auto"/>
      </w:divBdr>
    </w:div>
    <w:div w:id="1807619264">
      <w:bodyDiv w:val="1"/>
      <w:marLeft w:val="0"/>
      <w:marRight w:val="0"/>
      <w:marTop w:val="0"/>
      <w:marBottom w:val="0"/>
      <w:divBdr>
        <w:top w:val="none" w:sz="0" w:space="0" w:color="auto"/>
        <w:left w:val="none" w:sz="0" w:space="0" w:color="auto"/>
        <w:bottom w:val="none" w:sz="0" w:space="0" w:color="auto"/>
        <w:right w:val="none" w:sz="0" w:space="0" w:color="auto"/>
      </w:divBdr>
    </w:div>
    <w:div w:id="1811751370">
      <w:bodyDiv w:val="1"/>
      <w:marLeft w:val="0"/>
      <w:marRight w:val="0"/>
      <w:marTop w:val="0"/>
      <w:marBottom w:val="0"/>
      <w:divBdr>
        <w:top w:val="none" w:sz="0" w:space="0" w:color="auto"/>
        <w:left w:val="none" w:sz="0" w:space="0" w:color="auto"/>
        <w:bottom w:val="none" w:sz="0" w:space="0" w:color="auto"/>
        <w:right w:val="none" w:sz="0" w:space="0" w:color="auto"/>
      </w:divBdr>
    </w:div>
    <w:div w:id="1812748198">
      <w:bodyDiv w:val="1"/>
      <w:marLeft w:val="0"/>
      <w:marRight w:val="0"/>
      <w:marTop w:val="0"/>
      <w:marBottom w:val="0"/>
      <w:divBdr>
        <w:top w:val="none" w:sz="0" w:space="0" w:color="auto"/>
        <w:left w:val="none" w:sz="0" w:space="0" w:color="auto"/>
        <w:bottom w:val="none" w:sz="0" w:space="0" w:color="auto"/>
        <w:right w:val="none" w:sz="0" w:space="0" w:color="auto"/>
      </w:divBdr>
      <w:divsChild>
        <w:div w:id="11761822">
          <w:marLeft w:val="1267"/>
          <w:marRight w:val="0"/>
          <w:marTop w:val="100"/>
          <w:marBottom w:val="0"/>
          <w:divBdr>
            <w:top w:val="none" w:sz="0" w:space="0" w:color="auto"/>
            <w:left w:val="none" w:sz="0" w:space="0" w:color="auto"/>
            <w:bottom w:val="none" w:sz="0" w:space="0" w:color="auto"/>
            <w:right w:val="none" w:sz="0" w:space="0" w:color="auto"/>
          </w:divBdr>
        </w:div>
        <w:div w:id="104929481">
          <w:marLeft w:val="360"/>
          <w:marRight w:val="0"/>
          <w:marTop w:val="200"/>
          <w:marBottom w:val="0"/>
          <w:divBdr>
            <w:top w:val="none" w:sz="0" w:space="0" w:color="auto"/>
            <w:left w:val="none" w:sz="0" w:space="0" w:color="auto"/>
            <w:bottom w:val="none" w:sz="0" w:space="0" w:color="auto"/>
            <w:right w:val="none" w:sz="0" w:space="0" w:color="auto"/>
          </w:divBdr>
        </w:div>
        <w:div w:id="386421467">
          <w:marLeft w:val="360"/>
          <w:marRight w:val="0"/>
          <w:marTop w:val="200"/>
          <w:marBottom w:val="0"/>
          <w:divBdr>
            <w:top w:val="none" w:sz="0" w:space="0" w:color="auto"/>
            <w:left w:val="none" w:sz="0" w:space="0" w:color="auto"/>
            <w:bottom w:val="none" w:sz="0" w:space="0" w:color="auto"/>
            <w:right w:val="none" w:sz="0" w:space="0" w:color="auto"/>
          </w:divBdr>
        </w:div>
        <w:div w:id="452477210">
          <w:marLeft w:val="360"/>
          <w:marRight w:val="0"/>
          <w:marTop w:val="200"/>
          <w:marBottom w:val="0"/>
          <w:divBdr>
            <w:top w:val="none" w:sz="0" w:space="0" w:color="auto"/>
            <w:left w:val="none" w:sz="0" w:space="0" w:color="auto"/>
            <w:bottom w:val="none" w:sz="0" w:space="0" w:color="auto"/>
            <w:right w:val="none" w:sz="0" w:space="0" w:color="auto"/>
          </w:divBdr>
        </w:div>
        <w:div w:id="596256998">
          <w:marLeft w:val="1267"/>
          <w:marRight w:val="0"/>
          <w:marTop w:val="100"/>
          <w:marBottom w:val="200"/>
          <w:divBdr>
            <w:top w:val="none" w:sz="0" w:space="0" w:color="auto"/>
            <w:left w:val="none" w:sz="0" w:space="0" w:color="auto"/>
            <w:bottom w:val="none" w:sz="0" w:space="0" w:color="auto"/>
            <w:right w:val="none" w:sz="0" w:space="0" w:color="auto"/>
          </w:divBdr>
        </w:div>
        <w:div w:id="944002120">
          <w:marLeft w:val="1267"/>
          <w:marRight w:val="0"/>
          <w:marTop w:val="100"/>
          <w:marBottom w:val="0"/>
          <w:divBdr>
            <w:top w:val="none" w:sz="0" w:space="0" w:color="auto"/>
            <w:left w:val="none" w:sz="0" w:space="0" w:color="auto"/>
            <w:bottom w:val="none" w:sz="0" w:space="0" w:color="auto"/>
            <w:right w:val="none" w:sz="0" w:space="0" w:color="auto"/>
          </w:divBdr>
        </w:div>
        <w:div w:id="1022977313">
          <w:marLeft w:val="360"/>
          <w:marRight w:val="0"/>
          <w:marTop w:val="200"/>
          <w:marBottom w:val="0"/>
          <w:divBdr>
            <w:top w:val="none" w:sz="0" w:space="0" w:color="auto"/>
            <w:left w:val="none" w:sz="0" w:space="0" w:color="auto"/>
            <w:bottom w:val="none" w:sz="0" w:space="0" w:color="auto"/>
            <w:right w:val="none" w:sz="0" w:space="0" w:color="auto"/>
          </w:divBdr>
        </w:div>
        <w:div w:id="1084303486">
          <w:marLeft w:val="360"/>
          <w:marRight w:val="0"/>
          <w:marTop w:val="200"/>
          <w:marBottom w:val="0"/>
          <w:divBdr>
            <w:top w:val="none" w:sz="0" w:space="0" w:color="auto"/>
            <w:left w:val="none" w:sz="0" w:space="0" w:color="auto"/>
            <w:bottom w:val="none" w:sz="0" w:space="0" w:color="auto"/>
            <w:right w:val="none" w:sz="0" w:space="0" w:color="auto"/>
          </w:divBdr>
        </w:div>
        <w:div w:id="1212303868">
          <w:marLeft w:val="1267"/>
          <w:marRight w:val="0"/>
          <w:marTop w:val="200"/>
          <w:marBottom w:val="0"/>
          <w:divBdr>
            <w:top w:val="none" w:sz="0" w:space="0" w:color="auto"/>
            <w:left w:val="none" w:sz="0" w:space="0" w:color="auto"/>
            <w:bottom w:val="none" w:sz="0" w:space="0" w:color="auto"/>
            <w:right w:val="none" w:sz="0" w:space="0" w:color="auto"/>
          </w:divBdr>
        </w:div>
        <w:div w:id="1567376501">
          <w:marLeft w:val="360"/>
          <w:marRight w:val="0"/>
          <w:marTop w:val="200"/>
          <w:marBottom w:val="0"/>
          <w:divBdr>
            <w:top w:val="none" w:sz="0" w:space="0" w:color="auto"/>
            <w:left w:val="none" w:sz="0" w:space="0" w:color="auto"/>
            <w:bottom w:val="none" w:sz="0" w:space="0" w:color="auto"/>
            <w:right w:val="none" w:sz="0" w:space="0" w:color="auto"/>
          </w:divBdr>
        </w:div>
      </w:divsChild>
    </w:div>
    <w:div w:id="1812938459">
      <w:bodyDiv w:val="1"/>
      <w:marLeft w:val="0"/>
      <w:marRight w:val="0"/>
      <w:marTop w:val="0"/>
      <w:marBottom w:val="0"/>
      <w:divBdr>
        <w:top w:val="none" w:sz="0" w:space="0" w:color="auto"/>
        <w:left w:val="none" w:sz="0" w:space="0" w:color="auto"/>
        <w:bottom w:val="none" w:sz="0" w:space="0" w:color="auto"/>
        <w:right w:val="none" w:sz="0" w:space="0" w:color="auto"/>
      </w:divBdr>
    </w:div>
    <w:div w:id="1821851176">
      <w:bodyDiv w:val="1"/>
      <w:marLeft w:val="0"/>
      <w:marRight w:val="0"/>
      <w:marTop w:val="0"/>
      <w:marBottom w:val="0"/>
      <w:divBdr>
        <w:top w:val="none" w:sz="0" w:space="0" w:color="auto"/>
        <w:left w:val="none" w:sz="0" w:space="0" w:color="auto"/>
        <w:bottom w:val="none" w:sz="0" w:space="0" w:color="auto"/>
        <w:right w:val="none" w:sz="0" w:space="0" w:color="auto"/>
      </w:divBdr>
    </w:div>
    <w:div w:id="1825776402">
      <w:bodyDiv w:val="1"/>
      <w:marLeft w:val="0"/>
      <w:marRight w:val="0"/>
      <w:marTop w:val="0"/>
      <w:marBottom w:val="0"/>
      <w:divBdr>
        <w:top w:val="none" w:sz="0" w:space="0" w:color="auto"/>
        <w:left w:val="none" w:sz="0" w:space="0" w:color="auto"/>
        <w:bottom w:val="none" w:sz="0" w:space="0" w:color="auto"/>
        <w:right w:val="none" w:sz="0" w:space="0" w:color="auto"/>
      </w:divBdr>
    </w:div>
    <w:div w:id="1828591961">
      <w:bodyDiv w:val="1"/>
      <w:marLeft w:val="0"/>
      <w:marRight w:val="0"/>
      <w:marTop w:val="0"/>
      <w:marBottom w:val="0"/>
      <w:divBdr>
        <w:top w:val="none" w:sz="0" w:space="0" w:color="auto"/>
        <w:left w:val="none" w:sz="0" w:space="0" w:color="auto"/>
        <w:bottom w:val="none" w:sz="0" w:space="0" w:color="auto"/>
        <w:right w:val="none" w:sz="0" w:space="0" w:color="auto"/>
      </w:divBdr>
    </w:div>
    <w:div w:id="1837108672">
      <w:bodyDiv w:val="1"/>
      <w:marLeft w:val="0"/>
      <w:marRight w:val="0"/>
      <w:marTop w:val="0"/>
      <w:marBottom w:val="0"/>
      <w:divBdr>
        <w:top w:val="none" w:sz="0" w:space="0" w:color="auto"/>
        <w:left w:val="none" w:sz="0" w:space="0" w:color="auto"/>
        <w:bottom w:val="none" w:sz="0" w:space="0" w:color="auto"/>
        <w:right w:val="none" w:sz="0" w:space="0" w:color="auto"/>
      </w:divBdr>
    </w:div>
    <w:div w:id="1843738441">
      <w:bodyDiv w:val="1"/>
      <w:marLeft w:val="0"/>
      <w:marRight w:val="0"/>
      <w:marTop w:val="0"/>
      <w:marBottom w:val="0"/>
      <w:divBdr>
        <w:top w:val="none" w:sz="0" w:space="0" w:color="auto"/>
        <w:left w:val="none" w:sz="0" w:space="0" w:color="auto"/>
        <w:bottom w:val="none" w:sz="0" w:space="0" w:color="auto"/>
        <w:right w:val="none" w:sz="0" w:space="0" w:color="auto"/>
      </w:divBdr>
    </w:div>
    <w:div w:id="1877305498">
      <w:bodyDiv w:val="1"/>
      <w:marLeft w:val="0"/>
      <w:marRight w:val="0"/>
      <w:marTop w:val="0"/>
      <w:marBottom w:val="0"/>
      <w:divBdr>
        <w:top w:val="none" w:sz="0" w:space="0" w:color="auto"/>
        <w:left w:val="none" w:sz="0" w:space="0" w:color="auto"/>
        <w:bottom w:val="none" w:sz="0" w:space="0" w:color="auto"/>
        <w:right w:val="none" w:sz="0" w:space="0" w:color="auto"/>
      </w:divBdr>
    </w:div>
    <w:div w:id="1883512606">
      <w:bodyDiv w:val="1"/>
      <w:marLeft w:val="0"/>
      <w:marRight w:val="0"/>
      <w:marTop w:val="0"/>
      <w:marBottom w:val="0"/>
      <w:divBdr>
        <w:top w:val="none" w:sz="0" w:space="0" w:color="auto"/>
        <w:left w:val="none" w:sz="0" w:space="0" w:color="auto"/>
        <w:bottom w:val="none" w:sz="0" w:space="0" w:color="auto"/>
        <w:right w:val="none" w:sz="0" w:space="0" w:color="auto"/>
      </w:divBdr>
    </w:div>
    <w:div w:id="1886209612">
      <w:bodyDiv w:val="1"/>
      <w:marLeft w:val="0"/>
      <w:marRight w:val="0"/>
      <w:marTop w:val="0"/>
      <w:marBottom w:val="0"/>
      <w:divBdr>
        <w:top w:val="none" w:sz="0" w:space="0" w:color="auto"/>
        <w:left w:val="none" w:sz="0" w:space="0" w:color="auto"/>
        <w:bottom w:val="none" w:sz="0" w:space="0" w:color="auto"/>
        <w:right w:val="none" w:sz="0" w:space="0" w:color="auto"/>
      </w:divBdr>
      <w:divsChild>
        <w:div w:id="467938096">
          <w:marLeft w:val="446"/>
          <w:marRight w:val="0"/>
          <w:marTop w:val="0"/>
          <w:marBottom w:val="0"/>
          <w:divBdr>
            <w:top w:val="none" w:sz="0" w:space="0" w:color="auto"/>
            <w:left w:val="none" w:sz="0" w:space="0" w:color="auto"/>
            <w:bottom w:val="none" w:sz="0" w:space="0" w:color="auto"/>
            <w:right w:val="none" w:sz="0" w:space="0" w:color="auto"/>
          </w:divBdr>
        </w:div>
        <w:div w:id="939142614">
          <w:marLeft w:val="446"/>
          <w:marRight w:val="0"/>
          <w:marTop w:val="0"/>
          <w:marBottom w:val="0"/>
          <w:divBdr>
            <w:top w:val="none" w:sz="0" w:space="0" w:color="auto"/>
            <w:left w:val="none" w:sz="0" w:space="0" w:color="auto"/>
            <w:bottom w:val="none" w:sz="0" w:space="0" w:color="auto"/>
            <w:right w:val="none" w:sz="0" w:space="0" w:color="auto"/>
          </w:divBdr>
        </w:div>
        <w:div w:id="983044452">
          <w:marLeft w:val="446"/>
          <w:marRight w:val="0"/>
          <w:marTop w:val="77"/>
          <w:marBottom w:val="0"/>
          <w:divBdr>
            <w:top w:val="none" w:sz="0" w:space="0" w:color="auto"/>
            <w:left w:val="none" w:sz="0" w:space="0" w:color="auto"/>
            <w:bottom w:val="none" w:sz="0" w:space="0" w:color="auto"/>
            <w:right w:val="none" w:sz="0" w:space="0" w:color="auto"/>
          </w:divBdr>
        </w:div>
        <w:div w:id="1381587259">
          <w:marLeft w:val="446"/>
          <w:marRight w:val="0"/>
          <w:marTop w:val="77"/>
          <w:marBottom w:val="0"/>
          <w:divBdr>
            <w:top w:val="none" w:sz="0" w:space="0" w:color="auto"/>
            <w:left w:val="none" w:sz="0" w:space="0" w:color="auto"/>
            <w:bottom w:val="none" w:sz="0" w:space="0" w:color="auto"/>
            <w:right w:val="none" w:sz="0" w:space="0" w:color="auto"/>
          </w:divBdr>
        </w:div>
        <w:div w:id="1854613378">
          <w:marLeft w:val="446"/>
          <w:marRight w:val="0"/>
          <w:marTop w:val="0"/>
          <w:marBottom w:val="0"/>
          <w:divBdr>
            <w:top w:val="none" w:sz="0" w:space="0" w:color="auto"/>
            <w:left w:val="none" w:sz="0" w:space="0" w:color="auto"/>
            <w:bottom w:val="none" w:sz="0" w:space="0" w:color="auto"/>
            <w:right w:val="none" w:sz="0" w:space="0" w:color="auto"/>
          </w:divBdr>
        </w:div>
        <w:div w:id="1931936536">
          <w:marLeft w:val="446"/>
          <w:marRight w:val="0"/>
          <w:marTop w:val="0"/>
          <w:marBottom w:val="0"/>
          <w:divBdr>
            <w:top w:val="none" w:sz="0" w:space="0" w:color="auto"/>
            <w:left w:val="none" w:sz="0" w:space="0" w:color="auto"/>
            <w:bottom w:val="none" w:sz="0" w:space="0" w:color="auto"/>
            <w:right w:val="none" w:sz="0" w:space="0" w:color="auto"/>
          </w:divBdr>
        </w:div>
      </w:divsChild>
    </w:div>
    <w:div w:id="1887257926">
      <w:bodyDiv w:val="1"/>
      <w:marLeft w:val="0"/>
      <w:marRight w:val="0"/>
      <w:marTop w:val="0"/>
      <w:marBottom w:val="0"/>
      <w:divBdr>
        <w:top w:val="none" w:sz="0" w:space="0" w:color="auto"/>
        <w:left w:val="none" w:sz="0" w:space="0" w:color="auto"/>
        <w:bottom w:val="none" w:sz="0" w:space="0" w:color="auto"/>
        <w:right w:val="none" w:sz="0" w:space="0" w:color="auto"/>
      </w:divBdr>
    </w:div>
    <w:div w:id="1895656672">
      <w:bodyDiv w:val="1"/>
      <w:marLeft w:val="0"/>
      <w:marRight w:val="0"/>
      <w:marTop w:val="0"/>
      <w:marBottom w:val="0"/>
      <w:divBdr>
        <w:top w:val="none" w:sz="0" w:space="0" w:color="auto"/>
        <w:left w:val="none" w:sz="0" w:space="0" w:color="auto"/>
        <w:bottom w:val="none" w:sz="0" w:space="0" w:color="auto"/>
        <w:right w:val="none" w:sz="0" w:space="0" w:color="auto"/>
      </w:divBdr>
    </w:div>
    <w:div w:id="1907377449">
      <w:bodyDiv w:val="1"/>
      <w:marLeft w:val="0"/>
      <w:marRight w:val="0"/>
      <w:marTop w:val="0"/>
      <w:marBottom w:val="0"/>
      <w:divBdr>
        <w:top w:val="none" w:sz="0" w:space="0" w:color="auto"/>
        <w:left w:val="none" w:sz="0" w:space="0" w:color="auto"/>
        <w:bottom w:val="none" w:sz="0" w:space="0" w:color="auto"/>
        <w:right w:val="none" w:sz="0" w:space="0" w:color="auto"/>
      </w:divBdr>
    </w:div>
    <w:div w:id="1916159540">
      <w:bodyDiv w:val="1"/>
      <w:marLeft w:val="0"/>
      <w:marRight w:val="0"/>
      <w:marTop w:val="0"/>
      <w:marBottom w:val="0"/>
      <w:divBdr>
        <w:top w:val="none" w:sz="0" w:space="0" w:color="auto"/>
        <w:left w:val="none" w:sz="0" w:space="0" w:color="auto"/>
        <w:bottom w:val="none" w:sz="0" w:space="0" w:color="auto"/>
        <w:right w:val="none" w:sz="0" w:space="0" w:color="auto"/>
      </w:divBdr>
    </w:div>
    <w:div w:id="1918438004">
      <w:bodyDiv w:val="1"/>
      <w:marLeft w:val="0"/>
      <w:marRight w:val="0"/>
      <w:marTop w:val="0"/>
      <w:marBottom w:val="0"/>
      <w:divBdr>
        <w:top w:val="none" w:sz="0" w:space="0" w:color="auto"/>
        <w:left w:val="none" w:sz="0" w:space="0" w:color="auto"/>
        <w:bottom w:val="none" w:sz="0" w:space="0" w:color="auto"/>
        <w:right w:val="none" w:sz="0" w:space="0" w:color="auto"/>
      </w:divBdr>
    </w:div>
    <w:div w:id="1933775034">
      <w:bodyDiv w:val="1"/>
      <w:marLeft w:val="0"/>
      <w:marRight w:val="0"/>
      <w:marTop w:val="0"/>
      <w:marBottom w:val="0"/>
      <w:divBdr>
        <w:top w:val="none" w:sz="0" w:space="0" w:color="auto"/>
        <w:left w:val="none" w:sz="0" w:space="0" w:color="auto"/>
        <w:bottom w:val="none" w:sz="0" w:space="0" w:color="auto"/>
        <w:right w:val="none" w:sz="0" w:space="0" w:color="auto"/>
      </w:divBdr>
    </w:div>
    <w:div w:id="1942225620">
      <w:bodyDiv w:val="1"/>
      <w:marLeft w:val="0"/>
      <w:marRight w:val="0"/>
      <w:marTop w:val="0"/>
      <w:marBottom w:val="0"/>
      <w:divBdr>
        <w:top w:val="none" w:sz="0" w:space="0" w:color="auto"/>
        <w:left w:val="none" w:sz="0" w:space="0" w:color="auto"/>
        <w:bottom w:val="none" w:sz="0" w:space="0" w:color="auto"/>
        <w:right w:val="none" w:sz="0" w:space="0" w:color="auto"/>
      </w:divBdr>
    </w:div>
    <w:div w:id="1970622111">
      <w:bodyDiv w:val="1"/>
      <w:marLeft w:val="0"/>
      <w:marRight w:val="0"/>
      <w:marTop w:val="0"/>
      <w:marBottom w:val="0"/>
      <w:divBdr>
        <w:top w:val="none" w:sz="0" w:space="0" w:color="auto"/>
        <w:left w:val="none" w:sz="0" w:space="0" w:color="auto"/>
        <w:bottom w:val="none" w:sz="0" w:space="0" w:color="auto"/>
        <w:right w:val="none" w:sz="0" w:space="0" w:color="auto"/>
      </w:divBdr>
    </w:div>
    <w:div w:id="1973099620">
      <w:bodyDiv w:val="1"/>
      <w:marLeft w:val="0"/>
      <w:marRight w:val="0"/>
      <w:marTop w:val="0"/>
      <w:marBottom w:val="0"/>
      <w:divBdr>
        <w:top w:val="none" w:sz="0" w:space="0" w:color="auto"/>
        <w:left w:val="none" w:sz="0" w:space="0" w:color="auto"/>
        <w:bottom w:val="none" w:sz="0" w:space="0" w:color="auto"/>
        <w:right w:val="none" w:sz="0" w:space="0" w:color="auto"/>
      </w:divBdr>
    </w:div>
    <w:div w:id="1993828784">
      <w:bodyDiv w:val="1"/>
      <w:marLeft w:val="0"/>
      <w:marRight w:val="0"/>
      <w:marTop w:val="0"/>
      <w:marBottom w:val="0"/>
      <w:divBdr>
        <w:top w:val="none" w:sz="0" w:space="0" w:color="auto"/>
        <w:left w:val="none" w:sz="0" w:space="0" w:color="auto"/>
        <w:bottom w:val="none" w:sz="0" w:space="0" w:color="auto"/>
        <w:right w:val="none" w:sz="0" w:space="0" w:color="auto"/>
      </w:divBdr>
    </w:div>
    <w:div w:id="2003775826">
      <w:bodyDiv w:val="1"/>
      <w:marLeft w:val="0"/>
      <w:marRight w:val="0"/>
      <w:marTop w:val="0"/>
      <w:marBottom w:val="0"/>
      <w:divBdr>
        <w:top w:val="none" w:sz="0" w:space="0" w:color="auto"/>
        <w:left w:val="none" w:sz="0" w:space="0" w:color="auto"/>
        <w:bottom w:val="none" w:sz="0" w:space="0" w:color="auto"/>
        <w:right w:val="none" w:sz="0" w:space="0" w:color="auto"/>
      </w:divBdr>
    </w:div>
    <w:div w:id="2012487014">
      <w:bodyDiv w:val="1"/>
      <w:marLeft w:val="0"/>
      <w:marRight w:val="0"/>
      <w:marTop w:val="0"/>
      <w:marBottom w:val="0"/>
      <w:divBdr>
        <w:top w:val="none" w:sz="0" w:space="0" w:color="auto"/>
        <w:left w:val="none" w:sz="0" w:space="0" w:color="auto"/>
        <w:bottom w:val="none" w:sz="0" w:space="0" w:color="auto"/>
        <w:right w:val="none" w:sz="0" w:space="0" w:color="auto"/>
      </w:divBdr>
    </w:div>
    <w:div w:id="2012835063">
      <w:bodyDiv w:val="1"/>
      <w:marLeft w:val="0"/>
      <w:marRight w:val="0"/>
      <w:marTop w:val="0"/>
      <w:marBottom w:val="0"/>
      <w:divBdr>
        <w:top w:val="none" w:sz="0" w:space="0" w:color="auto"/>
        <w:left w:val="none" w:sz="0" w:space="0" w:color="auto"/>
        <w:bottom w:val="none" w:sz="0" w:space="0" w:color="auto"/>
        <w:right w:val="none" w:sz="0" w:space="0" w:color="auto"/>
      </w:divBdr>
    </w:div>
    <w:div w:id="2024742095">
      <w:bodyDiv w:val="1"/>
      <w:marLeft w:val="0"/>
      <w:marRight w:val="0"/>
      <w:marTop w:val="0"/>
      <w:marBottom w:val="0"/>
      <w:divBdr>
        <w:top w:val="none" w:sz="0" w:space="0" w:color="auto"/>
        <w:left w:val="none" w:sz="0" w:space="0" w:color="auto"/>
        <w:bottom w:val="none" w:sz="0" w:space="0" w:color="auto"/>
        <w:right w:val="none" w:sz="0" w:space="0" w:color="auto"/>
      </w:divBdr>
    </w:div>
    <w:div w:id="2034266602">
      <w:bodyDiv w:val="1"/>
      <w:marLeft w:val="0"/>
      <w:marRight w:val="0"/>
      <w:marTop w:val="0"/>
      <w:marBottom w:val="0"/>
      <w:divBdr>
        <w:top w:val="none" w:sz="0" w:space="0" w:color="auto"/>
        <w:left w:val="none" w:sz="0" w:space="0" w:color="auto"/>
        <w:bottom w:val="none" w:sz="0" w:space="0" w:color="auto"/>
        <w:right w:val="none" w:sz="0" w:space="0" w:color="auto"/>
      </w:divBdr>
    </w:div>
    <w:div w:id="2037846483">
      <w:bodyDiv w:val="1"/>
      <w:marLeft w:val="0"/>
      <w:marRight w:val="0"/>
      <w:marTop w:val="0"/>
      <w:marBottom w:val="0"/>
      <w:divBdr>
        <w:top w:val="none" w:sz="0" w:space="0" w:color="auto"/>
        <w:left w:val="none" w:sz="0" w:space="0" w:color="auto"/>
        <w:bottom w:val="none" w:sz="0" w:space="0" w:color="auto"/>
        <w:right w:val="none" w:sz="0" w:space="0" w:color="auto"/>
      </w:divBdr>
    </w:div>
    <w:div w:id="2043551970">
      <w:bodyDiv w:val="1"/>
      <w:marLeft w:val="0"/>
      <w:marRight w:val="0"/>
      <w:marTop w:val="0"/>
      <w:marBottom w:val="0"/>
      <w:divBdr>
        <w:top w:val="none" w:sz="0" w:space="0" w:color="auto"/>
        <w:left w:val="none" w:sz="0" w:space="0" w:color="auto"/>
        <w:bottom w:val="none" w:sz="0" w:space="0" w:color="auto"/>
        <w:right w:val="none" w:sz="0" w:space="0" w:color="auto"/>
      </w:divBdr>
    </w:div>
    <w:div w:id="2061320846">
      <w:bodyDiv w:val="1"/>
      <w:marLeft w:val="0"/>
      <w:marRight w:val="0"/>
      <w:marTop w:val="0"/>
      <w:marBottom w:val="0"/>
      <w:divBdr>
        <w:top w:val="none" w:sz="0" w:space="0" w:color="auto"/>
        <w:left w:val="none" w:sz="0" w:space="0" w:color="auto"/>
        <w:bottom w:val="none" w:sz="0" w:space="0" w:color="auto"/>
        <w:right w:val="none" w:sz="0" w:space="0" w:color="auto"/>
      </w:divBdr>
    </w:div>
    <w:div w:id="2070420800">
      <w:bodyDiv w:val="1"/>
      <w:marLeft w:val="0"/>
      <w:marRight w:val="0"/>
      <w:marTop w:val="0"/>
      <w:marBottom w:val="0"/>
      <w:divBdr>
        <w:top w:val="none" w:sz="0" w:space="0" w:color="auto"/>
        <w:left w:val="none" w:sz="0" w:space="0" w:color="auto"/>
        <w:bottom w:val="none" w:sz="0" w:space="0" w:color="auto"/>
        <w:right w:val="none" w:sz="0" w:space="0" w:color="auto"/>
      </w:divBdr>
      <w:divsChild>
        <w:div w:id="140275476">
          <w:marLeft w:val="360"/>
          <w:marRight w:val="0"/>
          <w:marTop w:val="200"/>
          <w:marBottom w:val="0"/>
          <w:divBdr>
            <w:top w:val="none" w:sz="0" w:space="0" w:color="auto"/>
            <w:left w:val="none" w:sz="0" w:space="0" w:color="auto"/>
            <w:bottom w:val="none" w:sz="0" w:space="0" w:color="auto"/>
            <w:right w:val="none" w:sz="0" w:space="0" w:color="auto"/>
          </w:divBdr>
        </w:div>
        <w:div w:id="1165558751">
          <w:marLeft w:val="360"/>
          <w:marRight w:val="0"/>
          <w:marTop w:val="200"/>
          <w:marBottom w:val="0"/>
          <w:divBdr>
            <w:top w:val="none" w:sz="0" w:space="0" w:color="auto"/>
            <w:left w:val="none" w:sz="0" w:space="0" w:color="auto"/>
            <w:bottom w:val="none" w:sz="0" w:space="0" w:color="auto"/>
            <w:right w:val="none" w:sz="0" w:space="0" w:color="auto"/>
          </w:divBdr>
        </w:div>
        <w:div w:id="1451631268">
          <w:marLeft w:val="360"/>
          <w:marRight w:val="0"/>
          <w:marTop w:val="200"/>
          <w:marBottom w:val="0"/>
          <w:divBdr>
            <w:top w:val="none" w:sz="0" w:space="0" w:color="auto"/>
            <w:left w:val="none" w:sz="0" w:space="0" w:color="auto"/>
            <w:bottom w:val="none" w:sz="0" w:space="0" w:color="auto"/>
            <w:right w:val="none" w:sz="0" w:space="0" w:color="auto"/>
          </w:divBdr>
        </w:div>
        <w:div w:id="1503083866">
          <w:marLeft w:val="360"/>
          <w:marRight w:val="0"/>
          <w:marTop w:val="200"/>
          <w:marBottom w:val="0"/>
          <w:divBdr>
            <w:top w:val="none" w:sz="0" w:space="0" w:color="auto"/>
            <w:left w:val="none" w:sz="0" w:space="0" w:color="auto"/>
            <w:bottom w:val="none" w:sz="0" w:space="0" w:color="auto"/>
            <w:right w:val="none" w:sz="0" w:space="0" w:color="auto"/>
          </w:divBdr>
        </w:div>
        <w:div w:id="1826507776">
          <w:marLeft w:val="360"/>
          <w:marRight w:val="0"/>
          <w:marTop w:val="200"/>
          <w:marBottom w:val="0"/>
          <w:divBdr>
            <w:top w:val="none" w:sz="0" w:space="0" w:color="auto"/>
            <w:left w:val="none" w:sz="0" w:space="0" w:color="auto"/>
            <w:bottom w:val="none" w:sz="0" w:space="0" w:color="auto"/>
            <w:right w:val="none" w:sz="0" w:space="0" w:color="auto"/>
          </w:divBdr>
        </w:div>
        <w:div w:id="2093038656">
          <w:marLeft w:val="360"/>
          <w:marRight w:val="0"/>
          <w:marTop w:val="200"/>
          <w:marBottom w:val="0"/>
          <w:divBdr>
            <w:top w:val="none" w:sz="0" w:space="0" w:color="auto"/>
            <w:left w:val="none" w:sz="0" w:space="0" w:color="auto"/>
            <w:bottom w:val="none" w:sz="0" w:space="0" w:color="auto"/>
            <w:right w:val="none" w:sz="0" w:space="0" w:color="auto"/>
          </w:divBdr>
        </w:div>
      </w:divsChild>
    </w:div>
    <w:div w:id="2090422995">
      <w:bodyDiv w:val="1"/>
      <w:marLeft w:val="0"/>
      <w:marRight w:val="0"/>
      <w:marTop w:val="0"/>
      <w:marBottom w:val="0"/>
      <w:divBdr>
        <w:top w:val="none" w:sz="0" w:space="0" w:color="auto"/>
        <w:left w:val="none" w:sz="0" w:space="0" w:color="auto"/>
        <w:bottom w:val="none" w:sz="0" w:space="0" w:color="auto"/>
        <w:right w:val="none" w:sz="0" w:space="0" w:color="auto"/>
      </w:divBdr>
      <w:divsChild>
        <w:div w:id="398015182">
          <w:marLeft w:val="360"/>
          <w:marRight w:val="0"/>
          <w:marTop w:val="200"/>
          <w:marBottom w:val="0"/>
          <w:divBdr>
            <w:top w:val="none" w:sz="0" w:space="0" w:color="auto"/>
            <w:left w:val="none" w:sz="0" w:space="0" w:color="auto"/>
            <w:bottom w:val="none" w:sz="0" w:space="0" w:color="auto"/>
            <w:right w:val="none" w:sz="0" w:space="0" w:color="auto"/>
          </w:divBdr>
        </w:div>
        <w:div w:id="538474334">
          <w:marLeft w:val="360"/>
          <w:marRight w:val="0"/>
          <w:marTop w:val="200"/>
          <w:marBottom w:val="0"/>
          <w:divBdr>
            <w:top w:val="none" w:sz="0" w:space="0" w:color="auto"/>
            <w:left w:val="none" w:sz="0" w:space="0" w:color="auto"/>
            <w:bottom w:val="none" w:sz="0" w:space="0" w:color="auto"/>
            <w:right w:val="none" w:sz="0" w:space="0" w:color="auto"/>
          </w:divBdr>
        </w:div>
        <w:div w:id="841356495">
          <w:marLeft w:val="360"/>
          <w:marRight w:val="0"/>
          <w:marTop w:val="200"/>
          <w:marBottom w:val="0"/>
          <w:divBdr>
            <w:top w:val="none" w:sz="0" w:space="0" w:color="auto"/>
            <w:left w:val="none" w:sz="0" w:space="0" w:color="auto"/>
            <w:bottom w:val="none" w:sz="0" w:space="0" w:color="auto"/>
            <w:right w:val="none" w:sz="0" w:space="0" w:color="auto"/>
          </w:divBdr>
        </w:div>
        <w:div w:id="1008749781">
          <w:marLeft w:val="360"/>
          <w:marRight w:val="0"/>
          <w:marTop w:val="200"/>
          <w:marBottom w:val="0"/>
          <w:divBdr>
            <w:top w:val="none" w:sz="0" w:space="0" w:color="auto"/>
            <w:left w:val="none" w:sz="0" w:space="0" w:color="auto"/>
            <w:bottom w:val="none" w:sz="0" w:space="0" w:color="auto"/>
            <w:right w:val="none" w:sz="0" w:space="0" w:color="auto"/>
          </w:divBdr>
        </w:div>
        <w:div w:id="1192063164">
          <w:marLeft w:val="360"/>
          <w:marRight w:val="0"/>
          <w:marTop w:val="200"/>
          <w:marBottom w:val="0"/>
          <w:divBdr>
            <w:top w:val="none" w:sz="0" w:space="0" w:color="auto"/>
            <w:left w:val="none" w:sz="0" w:space="0" w:color="auto"/>
            <w:bottom w:val="none" w:sz="0" w:space="0" w:color="auto"/>
            <w:right w:val="none" w:sz="0" w:space="0" w:color="auto"/>
          </w:divBdr>
        </w:div>
        <w:div w:id="1474757153">
          <w:marLeft w:val="360"/>
          <w:marRight w:val="0"/>
          <w:marTop w:val="200"/>
          <w:marBottom w:val="0"/>
          <w:divBdr>
            <w:top w:val="none" w:sz="0" w:space="0" w:color="auto"/>
            <w:left w:val="none" w:sz="0" w:space="0" w:color="auto"/>
            <w:bottom w:val="none" w:sz="0" w:space="0" w:color="auto"/>
            <w:right w:val="none" w:sz="0" w:space="0" w:color="auto"/>
          </w:divBdr>
        </w:div>
        <w:div w:id="1549877308">
          <w:marLeft w:val="360"/>
          <w:marRight w:val="0"/>
          <w:marTop w:val="200"/>
          <w:marBottom w:val="0"/>
          <w:divBdr>
            <w:top w:val="none" w:sz="0" w:space="0" w:color="auto"/>
            <w:left w:val="none" w:sz="0" w:space="0" w:color="auto"/>
            <w:bottom w:val="none" w:sz="0" w:space="0" w:color="auto"/>
            <w:right w:val="none" w:sz="0" w:space="0" w:color="auto"/>
          </w:divBdr>
        </w:div>
        <w:div w:id="1745058367">
          <w:marLeft w:val="360"/>
          <w:marRight w:val="0"/>
          <w:marTop w:val="200"/>
          <w:marBottom w:val="0"/>
          <w:divBdr>
            <w:top w:val="none" w:sz="0" w:space="0" w:color="auto"/>
            <w:left w:val="none" w:sz="0" w:space="0" w:color="auto"/>
            <w:bottom w:val="none" w:sz="0" w:space="0" w:color="auto"/>
            <w:right w:val="none" w:sz="0" w:space="0" w:color="auto"/>
          </w:divBdr>
        </w:div>
      </w:divsChild>
    </w:div>
    <w:div w:id="2096702620">
      <w:bodyDiv w:val="1"/>
      <w:marLeft w:val="0"/>
      <w:marRight w:val="0"/>
      <w:marTop w:val="0"/>
      <w:marBottom w:val="0"/>
      <w:divBdr>
        <w:top w:val="none" w:sz="0" w:space="0" w:color="auto"/>
        <w:left w:val="none" w:sz="0" w:space="0" w:color="auto"/>
        <w:bottom w:val="none" w:sz="0" w:space="0" w:color="auto"/>
        <w:right w:val="none" w:sz="0" w:space="0" w:color="auto"/>
      </w:divBdr>
    </w:div>
    <w:div w:id="2127575102">
      <w:bodyDiv w:val="1"/>
      <w:marLeft w:val="0"/>
      <w:marRight w:val="0"/>
      <w:marTop w:val="0"/>
      <w:marBottom w:val="0"/>
      <w:divBdr>
        <w:top w:val="none" w:sz="0" w:space="0" w:color="auto"/>
        <w:left w:val="none" w:sz="0" w:space="0" w:color="auto"/>
        <w:bottom w:val="none" w:sz="0" w:space="0" w:color="auto"/>
        <w:right w:val="none" w:sz="0" w:space="0" w:color="auto"/>
      </w:divBdr>
    </w:div>
    <w:div w:id="2146194482">
      <w:bodyDiv w:val="1"/>
      <w:marLeft w:val="0"/>
      <w:marRight w:val="0"/>
      <w:marTop w:val="0"/>
      <w:marBottom w:val="0"/>
      <w:divBdr>
        <w:top w:val="none" w:sz="0" w:space="0" w:color="auto"/>
        <w:left w:val="none" w:sz="0" w:space="0" w:color="auto"/>
        <w:bottom w:val="none" w:sz="0" w:space="0" w:color="auto"/>
        <w:right w:val="none" w:sz="0" w:space="0" w:color="auto"/>
      </w:divBdr>
    </w:div>
    <w:div w:id="2146923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hyperlink" Target="https://www.escb.co.uk/media/2727/annual-report-2020-21.pdf" TargetMode="External"/><Relationship Id="rId42" Type="http://schemas.openxmlformats.org/officeDocument/2006/relationships/image" Target="media/image19.jpeg"/><Relationship Id="rId47" Type="http://schemas.openxmlformats.org/officeDocument/2006/relationships/hyperlink" Target="https://www.midandsouthessex.ics.nhs.uk/publications/icb-declarations-of-interest/" TargetMode="External"/><Relationship Id="rId50" Type="http://schemas.openxmlformats.org/officeDocument/2006/relationships/image" Target="media/image20.emf"/><Relationship Id="rId55" Type="http://schemas.openxmlformats.org/officeDocument/2006/relationships/image" Target="media/image25.emf"/><Relationship Id="rId63" Type="http://schemas.openxmlformats.org/officeDocument/2006/relationships/hyperlink" Target="http://www.frc.org.uk/auditorsresponsibilitie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gbr01.safelinks.protection.outlook.com/?url=https%3A%2F%2Fwww.midandsouthessex.ics.nhs.uk%2Fpublications%2Fcapital-plan-2023-24%2F&amp;data=05%7C01%7Cnicola.adams15%40nhs.net%7Cd588e3e7c7dc4227c7c108db6e7682be%7C37c354b285b047f5b22207b48d774ee3%7C0%7C0%7C638225227764397750%7CUnknown%7CTWFpbGZsb3d8eyJWIjoiMC4wLjAwMDAiLCJQIjoiV2luMzIiLCJBTiI6Ik1haWwiLCJXVCI6Mn0%3D%7C3000%7C%7C%7C&amp;sdata=0yjUJgRt5mAotylvU84aOKKBwfEqJoQVosbyqlWBrXA%3D&amp;reserved=0" TargetMode="External"/><Relationship Id="rId29" Type="http://schemas.openxmlformats.org/officeDocument/2006/relationships/image" Target="media/image16.jpeg"/><Relationship Id="rId11" Type="http://schemas.openxmlformats.org/officeDocument/2006/relationships/image" Target="media/image1.jpeg"/><Relationship Id="rId24" Type="http://schemas.openxmlformats.org/officeDocument/2006/relationships/image" Target="media/image11.jpeg"/><Relationship Id="rId32" Type="http://schemas.openxmlformats.org/officeDocument/2006/relationships/image" Target="media/image17.png"/><Relationship Id="rId37" Type="http://schemas.openxmlformats.org/officeDocument/2006/relationships/hyperlink" Target="https://www.thurrocklscp.org.uk/lscp/about-the-partnership/multi-agency-safeguarding-arrangements-masa" TargetMode="External"/><Relationship Id="rId40" Type="http://schemas.openxmlformats.org/officeDocument/2006/relationships/hyperlink" Target="https://www.midandsouthessex.ics.nhs.uk/publications/interim-equality-objectives/" TargetMode="External"/><Relationship Id="rId45" Type="http://schemas.openxmlformats.org/officeDocument/2006/relationships/chart" Target="charts/chart1.xml"/><Relationship Id="rId53" Type="http://schemas.openxmlformats.org/officeDocument/2006/relationships/image" Target="media/image23.emf"/><Relationship Id="rId58" Type="http://schemas.openxmlformats.org/officeDocument/2006/relationships/image" Target="media/image27.png"/><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eader" Target="header1.xml"/><Relationship Id="rId19" Type="http://schemas.openxmlformats.org/officeDocument/2006/relationships/image" Target="media/image6.png"/><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hyperlink" Target="https://www.trustlinks.org/" TargetMode="External"/><Relationship Id="rId35" Type="http://schemas.openxmlformats.org/officeDocument/2006/relationships/hyperlink" Target="https://www.escb.co.uk/media/3075/essex-masa-plan-2023-24-updated-aug-23.pdf" TargetMode="External"/><Relationship Id="rId43" Type="http://schemas.openxmlformats.org/officeDocument/2006/relationships/hyperlink" Target="https://www.england.nhs.uk/greenernhs/wp-content/uploads/sites/51/2020/10/delivering-a-net-zero-national-health-service.pdf" TargetMode="External"/><Relationship Id="rId48" Type="http://schemas.openxmlformats.org/officeDocument/2006/relationships/hyperlink" Target="https://gbr01.safelinks.protection.outlook.com/?url=https%3A%2F%2Fwww.midandsouthessex.ics.nhs.uk%2Fabout%2Fcorporate%2Fmodern-slavery-act%2F&amp;data=05%7C02%7Cjane.king8%40nhs.net%7Ccbd2b0f27c134f70853108dc39d26fcc%7C37c354b285b047f5b22207b48d774ee3%7C0%7C0%7C638448823174739317%7CUnknown%7CTWFpbGZsb3d8eyJWIjoiMC4wLjAwMDAiLCJQIjoiV2luMzIiLCJBTiI6Ik1haWwiLCJXVCI6Mn0%3D%7C0%7C%7C%7C&amp;sdata=MBBgP2YIFJVo3PAUlJ%2BX49cteKsltOLf27SEyvU%2FLxM%3D&amp;reserved=0" TargetMode="External"/><Relationship Id="rId56" Type="http://schemas.openxmlformats.org/officeDocument/2006/relationships/image" Target="media/image26.emf"/><Relationship Id="rId64" Type="http://schemas.openxmlformats.org/officeDocument/2006/relationships/footer" Target="footer4.xml"/><Relationship Id="rId8" Type="http://schemas.openxmlformats.org/officeDocument/2006/relationships/webSettings" Target="webSettings.xml"/><Relationship Id="rId51" Type="http://schemas.openxmlformats.org/officeDocument/2006/relationships/image" Target="media/image21.emf"/><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4.emf"/><Relationship Id="rId25" Type="http://schemas.openxmlformats.org/officeDocument/2006/relationships/image" Target="media/image12.png"/><Relationship Id="rId33" Type="http://schemas.openxmlformats.org/officeDocument/2006/relationships/image" Target="media/image18.jpg"/><Relationship Id="rId38" Type="http://schemas.openxmlformats.org/officeDocument/2006/relationships/hyperlink" Target="https://safeguardingsouthend.co.uk/download/southend-safeguarding-partnership-annual-report-2022-2023-2/" TargetMode="External"/><Relationship Id="rId46" Type="http://schemas.openxmlformats.org/officeDocument/2006/relationships/hyperlink" Target="https://gbr01.safelinks.protection.outlook.com/?url=https%3A%2F%2Fwww.cicm.com%2F&amp;data=05%7C02%7Cjane.king8%40nhs.net%7C4a338655e52a48140e8c08dc379be0f1%7C37c354b285b047f5b22207b48d774ee3%7C0%7C0%7C638446389846700691%7CUnknown%7CTWFpbGZsb3d8eyJWIjoiMC4wLjAwMDAiLCJQIjoiV2luMzIiLCJBTiI6Ik1haWwiLCJXVCI6Mn0%3D%7C0%7C%7C%7C&amp;sdata=594nypLOUnIK6XYD%2Ft%2Bk4JERS1X6XhqDevDHyivtuAk%3D&amp;reserved=0" TargetMode="External"/><Relationship Id="rId59" Type="http://schemas.openxmlformats.org/officeDocument/2006/relationships/image" Target="cid:image001.png@01DA91AD.87A8FE60" TargetMode="External"/><Relationship Id="rId20" Type="http://schemas.openxmlformats.org/officeDocument/2006/relationships/image" Target="media/image7.png"/><Relationship Id="rId41" Type="http://schemas.openxmlformats.org/officeDocument/2006/relationships/hyperlink" Target="https://www.midandsouthessex.ics.nhs.uk/publications/joint-forward-plan/" TargetMode="External"/><Relationship Id="rId54" Type="http://schemas.openxmlformats.org/officeDocument/2006/relationships/image" Target="media/image24.emf"/><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england.nhs.uk/about/equality/equality-hub/national-healthcare-inequalities-improvement-programme/core20plus5/"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hyperlink" Target="https://www.thurrocklscp.org.uk/assets/1/lscp_annual_report_2021-22.pdf" TargetMode="External"/><Relationship Id="rId49" Type="http://schemas.openxmlformats.org/officeDocument/2006/relationships/footer" Target="footer1.xml"/><Relationship Id="rId57" Type="http://schemas.openxmlformats.org/officeDocument/2006/relationships/hyperlink" Target="https://digital.nhs.uk/data-and-information/publications/statistical/nhs-sickness-absence-rates" TargetMode="External"/><Relationship Id="rId10" Type="http://schemas.openxmlformats.org/officeDocument/2006/relationships/endnotes" Target="endnotes.xml"/><Relationship Id="rId31" Type="http://schemas.openxmlformats.org/officeDocument/2006/relationships/hyperlink" Target="https://www.trustlinks.org/" TargetMode="External"/><Relationship Id="rId44" Type="http://schemas.openxmlformats.org/officeDocument/2006/relationships/hyperlink" Target="https://gbr01.safelinks.protection.outlook.com/?url=https%3A%2F%2Fhome.kpmg%2Fuk%2Fen%2Fhome.html&amp;data=05%7C02%7Cjane.king8%40nhs.net%7C4a338655e52a48140e8c08dc379be0f1%7C37c354b285b047f5b22207b48d774ee3%7C0%7C0%7C638446389846692261%7CUnknown%7CTWFpbGZsb3d8eyJWIjoiMC4wLjAwMDAiLCJQIjoiV2luMzIiLCJBTiI6Ik1haWwiLCJXVCI6Mn0%3D%7C0%7C%7C%7C&amp;sdata=SGgkBgu8u2wURTph2p0AXgiAc6HvfFifNXSvzNe9omQ%3D&amp;reserved=0" TargetMode="External"/><Relationship Id="rId52" Type="http://schemas.openxmlformats.org/officeDocument/2006/relationships/image" Target="media/image22.emf"/><Relationship Id="rId60" Type="http://schemas.openxmlformats.org/officeDocument/2006/relationships/footer" Target="footer2.xm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midandsouthessex.ics.nhs.uk/publications/joint-forward-plan/" TargetMode="External"/><Relationship Id="rId18" Type="http://schemas.openxmlformats.org/officeDocument/2006/relationships/image" Target="media/image5.png"/><Relationship Id="rId39" Type="http://schemas.openxmlformats.org/officeDocument/2006/relationships/hyperlink" Target="https://safeguardingsouthend.co.uk/download/working-together-safeguarding-southend/"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england.nhs.uk/wp-content/uploads/2022/12/PRN00021-23-24-priorities-and-operational-planning-guidance-v1.1.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ingjan\OneDrive%20-%20NHS\JK%20Files\Style%20Template.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en-US"/>
              <a:t>Expenditure April 2023 to March 2024</a:t>
            </a:r>
          </a:p>
        </c:rich>
      </c:tx>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endParaRPr lang="en-US"/>
        </a:p>
      </c:txPr>
    </c:title>
    <c:autoTitleDeleted val="0"/>
    <c:plotArea>
      <c:layout/>
      <c:pieChart>
        <c:varyColors val="1"/>
        <c:ser>
          <c:idx val="0"/>
          <c:order val="0"/>
          <c:tx>
            <c:strRef>
              <c:f>Sheet2!$C$4</c:f>
              <c:strCache>
                <c:ptCount val="1"/>
                <c:pt idx="0">
                  <c:v>£m</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6FDA-40F1-8F89-F020707197DE}"/>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6FDA-40F1-8F89-F020707197DE}"/>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6FDA-40F1-8F89-F020707197DE}"/>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6FDA-40F1-8F89-F020707197DE}"/>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6FDA-40F1-8F89-F020707197DE}"/>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6FDA-40F1-8F89-F020707197DE}"/>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6FDA-40F1-8F89-F020707197DE}"/>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lt1"/>
                </a:solidFill>
              </a:ln>
              <a:effectLst/>
            </c:spPr>
            <c:extLst>
              <c:ext xmlns:c16="http://schemas.microsoft.com/office/drawing/2014/chart" uri="{C3380CC4-5D6E-409C-BE32-E72D297353CC}">
                <c16:uniqueId val="{0000000F-6FDA-40F1-8F89-F020707197DE}"/>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19050">
                <a:solidFill>
                  <a:schemeClr val="lt1"/>
                </a:solidFill>
              </a:ln>
              <a:effectLst/>
            </c:spPr>
            <c:extLst>
              <c:ext xmlns:c16="http://schemas.microsoft.com/office/drawing/2014/chart" uri="{C3380CC4-5D6E-409C-BE32-E72D297353CC}">
                <c16:uniqueId val="{00000011-6FDA-40F1-8F89-F020707197DE}"/>
              </c:ext>
            </c:extLst>
          </c:dPt>
          <c:dPt>
            <c:idx val="9"/>
            <c:bubble3D val="0"/>
            <c:spPr>
              <a:gradFill>
                <a:gsLst>
                  <a:gs pos="100000">
                    <a:schemeClr val="accent4">
                      <a:lumMod val="60000"/>
                      <a:lumMod val="60000"/>
                      <a:lumOff val="40000"/>
                    </a:schemeClr>
                  </a:gs>
                  <a:gs pos="0">
                    <a:schemeClr val="accent4">
                      <a:lumMod val="60000"/>
                    </a:schemeClr>
                  </a:gs>
                </a:gsLst>
                <a:lin ang="5400000" scaled="0"/>
              </a:gradFill>
              <a:ln w="19050">
                <a:solidFill>
                  <a:schemeClr val="lt1"/>
                </a:solidFill>
              </a:ln>
              <a:effectLst/>
            </c:spPr>
            <c:extLst>
              <c:ext xmlns:c16="http://schemas.microsoft.com/office/drawing/2014/chart" uri="{C3380CC4-5D6E-409C-BE32-E72D297353CC}">
                <c16:uniqueId val="{00000013-6FDA-40F1-8F89-F020707197DE}"/>
              </c:ext>
            </c:extLst>
          </c:dPt>
          <c:dLbls>
            <c:delete val="1"/>
          </c:dLbls>
          <c:cat>
            <c:strRef>
              <c:f>Sheet2!$B$5:$B$14</c:f>
              <c:strCache>
                <c:ptCount val="10"/>
                <c:pt idx="0">
                  <c:v>Acute Services £1,427.6m</c:v>
                </c:pt>
                <c:pt idx="1">
                  <c:v>Mental Health Services £257.5m</c:v>
                </c:pt>
                <c:pt idx="2">
                  <c:v>Community Health Services £230.1m</c:v>
                </c:pt>
                <c:pt idx="3">
                  <c:v>Continuing Care Services £146.3m</c:v>
                </c:pt>
                <c:pt idx="4">
                  <c:v>Primary Care Services £253.8m</c:v>
                </c:pt>
                <c:pt idx="5">
                  <c:v>Other Commissioned Services £16.7m</c:v>
                </c:pt>
                <c:pt idx="6">
                  <c:v>Other Programme Services £10.4m</c:v>
                </c:pt>
                <c:pt idx="7">
                  <c:v>Delegated Primary Care Commissioning £215.6m</c:v>
                </c:pt>
                <c:pt idx="8">
                  <c:v>Delegated Dental, Ophthalmic and Pharmacy Services £103.8m</c:v>
                </c:pt>
                <c:pt idx="9">
                  <c:v>Running Costs £24.13m</c:v>
                </c:pt>
              </c:strCache>
            </c:strRef>
          </c:cat>
          <c:val>
            <c:numRef>
              <c:f>Sheet2!$C$5:$C$14</c:f>
              <c:numCache>
                <c:formatCode>0.00</c:formatCode>
                <c:ptCount val="10"/>
                <c:pt idx="0">
                  <c:v>1427.6</c:v>
                </c:pt>
                <c:pt idx="1">
                  <c:v>257.5</c:v>
                </c:pt>
                <c:pt idx="2">
                  <c:v>230.1</c:v>
                </c:pt>
                <c:pt idx="3">
                  <c:v>146.30000000000001</c:v>
                </c:pt>
                <c:pt idx="4">
                  <c:v>253.8</c:v>
                </c:pt>
                <c:pt idx="5">
                  <c:v>16.7</c:v>
                </c:pt>
                <c:pt idx="6">
                  <c:v>10.4</c:v>
                </c:pt>
                <c:pt idx="7">
                  <c:v>215.6</c:v>
                </c:pt>
                <c:pt idx="8">
                  <c:v>103.8</c:v>
                </c:pt>
                <c:pt idx="9">
                  <c:v>24.13</c:v>
                </c:pt>
              </c:numCache>
            </c:numRef>
          </c:val>
          <c:extLst>
            <c:ext xmlns:c16="http://schemas.microsoft.com/office/drawing/2014/chart" uri="{C3380CC4-5D6E-409C-BE32-E72D297353CC}">
              <c16:uniqueId val="{00000014-6FDA-40F1-8F89-F020707197D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4792533616418968"/>
          <c:y val="0.14151740541294969"/>
          <c:w val="0.33859271054493983"/>
          <c:h val="0.82211848242012586"/>
        </c:manualLayout>
      </c:layout>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TaxCatchAll xmlns="9f7c630f-7b21-41af-8e66-c00e7f0a0ae0" xsi:nil="true"/>
    <lcf76f155ced4ddcb4097134ff3c332f xmlns="50a69fdf-07a1-4535-917f-f731e83d1ce8">
      <Terms xmlns="http://schemas.microsoft.com/office/infopath/2007/PartnerControls"/>
    </lcf76f155ced4ddcb4097134ff3c332f>
    <SharedWithUsers xmlns="9f7c630f-7b21-41af-8e66-c00e7f0a0ae0">
      <UserInfo>
        <DisplayName>ADAMS, Nicola (NHS MID AND SOUTH ESSEX ICB - 07G)</DisplayName>
        <AccountId>11</AccountId>
        <AccountType/>
      </UserInfo>
      <UserInfo>
        <DisplayName>BARTHOLOMEUSZ, Romina (NHS MID AND SOUTH ESSEX ICB - 99E)</DisplayName>
        <AccountId>123</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2E5D983C6DD6CA4FB798FFE5ED97F751" ma:contentTypeVersion="18" ma:contentTypeDescription="Create a new document." ma:contentTypeScope="" ma:versionID="6233c8452370700052c7bcd48d096645">
  <xsd:schema xmlns:xsd="http://www.w3.org/2001/XMLSchema" xmlns:xs="http://www.w3.org/2001/XMLSchema" xmlns:p="http://schemas.microsoft.com/office/2006/metadata/properties" xmlns:ns1="http://schemas.microsoft.com/sharepoint/v3" xmlns:ns2="50a69fdf-07a1-4535-917f-f731e83d1ce8" xmlns:ns3="9f7c630f-7b21-41af-8e66-c00e7f0a0ae0" targetNamespace="http://schemas.microsoft.com/office/2006/metadata/properties" ma:root="true" ma:fieldsID="06dc70d6c1c03b68e8db0c84741c9e1c" ns1:_="" ns2:_="" ns3:_="">
    <xsd:import namespace="http://schemas.microsoft.com/sharepoint/v3"/>
    <xsd:import namespace="50a69fdf-07a1-4535-917f-f731e83d1ce8"/>
    <xsd:import namespace="9f7c630f-7b21-41af-8e66-c00e7f0a0ae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1:_ip_UnifiedCompliancePolicyProperties" minOccurs="0"/>
                <xsd:element ref="ns1:_ip_UnifiedCompliancePolicyUIAction"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2" nillable="true" ma:displayName="Unified Compliance Policy Properties" ma:hidden="true" ma:internalName="_ip_UnifiedCompliancePolicyProperties">
      <xsd:simpleType>
        <xsd:restriction base="dms:Note"/>
      </xsd:simpleType>
    </xsd:element>
    <xsd:element name="_ip_UnifiedCompliancePolicyUIAction" ma:index="1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0a69fdf-07a1-4535-917f-f731e83d1ce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2c8d5fda-b97d-42c6-97e2-f76465e161c0"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GenerationTime" ma:index="22" nillable="true" ma:displayName="MediaServiceGenerationTime" ma:hidden="true" ma:internalName="MediaServiceGenerationTime" ma:readOnly="true">
      <xsd:simpleType>
        <xsd:restriction base="dms:Text"/>
      </xsd:simpleType>
    </xsd:element>
    <xsd:element name="MediaServiceEventHashCode" ma:index="23" nillable="true" ma:displayName="MediaServiceEventHashCode" ma:hidden="true" ma:internalName="MediaServiceEventHashCode"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f7c630f-7b21-41af-8e66-c00e7f0a0ae0"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d4dcb219-ae9d-403c-93e2-78a7f10ae557}" ma:internalName="TaxCatchAll" ma:showField="CatchAllData" ma:web="9f7c630f-7b21-41af-8e66-c00e7f0a0ae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872CA95-9DA0-4AD5-99B7-13E787603D43}">
  <ds:schemaRefs>
    <ds:schemaRef ds:uri="50a69fdf-07a1-4535-917f-f731e83d1ce8"/>
    <ds:schemaRef ds:uri="http://purl.org/dc/terms/"/>
    <ds:schemaRef ds:uri="http://schemas.microsoft.com/office/infopath/2007/PartnerControls"/>
    <ds:schemaRef ds:uri="http://schemas.microsoft.com/office/2006/metadata/properties"/>
    <ds:schemaRef ds:uri="http://schemas.microsoft.com/sharepoint/v3"/>
    <ds:schemaRef ds:uri="http://schemas.microsoft.com/office/2006/documentManagement/types"/>
    <ds:schemaRef ds:uri="http://purl.org/dc/elements/1.1/"/>
    <ds:schemaRef ds:uri="http://www.w3.org/XML/1998/namespace"/>
    <ds:schemaRef ds:uri="http://schemas.openxmlformats.org/package/2006/metadata/core-properties"/>
    <ds:schemaRef ds:uri="9f7c630f-7b21-41af-8e66-c00e7f0a0ae0"/>
    <ds:schemaRef ds:uri="http://purl.org/dc/dcmitype/"/>
  </ds:schemaRefs>
</ds:datastoreItem>
</file>

<file path=customXml/itemProps2.xml><?xml version="1.0" encoding="utf-8"?>
<ds:datastoreItem xmlns:ds="http://schemas.openxmlformats.org/officeDocument/2006/customXml" ds:itemID="{7D62939B-5A6D-47C0-9802-482DD78E7D8D}">
  <ds:schemaRefs>
    <ds:schemaRef ds:uri="http://schemas.openxmlformats.org/officeDocument/2006/bibliography"/>
  </ds:schemaRefs>
</ds:datastoreItem>
</file>

<file path=customXml/itemProps3.xml><?xml version="1.0" encoding="utf-8"?>
<ds:datastoreItem xmlns:ds="http://schemas.openxmlformats.org/officeDocument/2006/customXml" ds:itemID="{4274F270-D16B-4B1E-94E1-08B97BA09A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0a69fdf-07a1-4535-917f-f731e83d1ce8"/>
    <ds:schemaRef ds:uri="9f7c630f-7b21-41af-8e66-c00e7f0a0ae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CB023B7-4DBA-4BC1-9178-D58B99BD140B}">
  <ds:schemaRefs>
    <ds:schemaRef ds:uri="http://schemas.microsoft.com/sharepoint/v3/contenttype/forms"/>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Style Template</Template>
  <TotalTime>0</TotalTime>
  <Pages>127</Pages>
  <Words>38903</Words>
  <Characters>221751</Characters>
  <Application>Microsoft Office Word</Application>
  <DocSecurity>0</DocSecurity>
  <Lines>1847</Lines>
  <Paragraphs>520</Paragraphs>
  <ScaleCrop>false</ScaleCrop>
  <HeadingPairs>
    <vt:vector size="2" baseType="variant">
      <vt:variant>
        <vt:lpstr>Title</vt:lpstr>
      </vt:variant>
      <vt:variant>
        <vt:i4>1</vt:i4>
      </vt:variant>
    </vt:vector>
  </HeadingPairs>
  <TitlesOfParts>
    <vt:vector size="1" baseType="lpstr">
      <vt:lpstr>CCG Annual Report 2016-17 TEMPLATE v7 [HD comments/amends]</vt:lpstr>
    </vt:vector>
  </TitlesOfParts>
  <Manager>Ibbetson, Mike</Manager>
  <Company>IMS3</Company>
  <LinksUpToDate>false</LinksUpToDate>
  <CharactersWithSpaces>260134</CharactersWithSpaces>
  <SharedDoc>false</SharedDoc>
  <HLinks>
    <vt:vector size="294" baseType="variant">
      <vt:variant>
        <vt:i4>2424953</vt:i4>
      </vt:variant>
      <vt:variant>
        <vt:i4>234</vt:i4>
      </vt:variant>
      <vt:variant>
        <vt:i4>0</vt:i4>
      </vt:variant>
      <vt:variant>
        <vt:i4>5</vt:i4>
      </vt:variant>
      <vt:variant>
        <vt:lpwstr>https://gbr01.safelinks.protection.outlook.com/?url=https%3A%2F%2Fwww.midandsouthessex.ics.nhs.uk%2Fabout%2Fcorporate%2Fmodern-slavery-act%2F&amp;data=05%7C02%7Cjane.king8%40nhs.net%7Ccbd2b0f27c134f70853108dc39d26fcc%7C37c354b285b047f5b22207b48d774ee3%7C0%7C0%7C638448823174739317%7CUnknown%7CTWFpbGZsb3d8eyJWIjoiMC4wLjAwMDAiLCJQIjoiV2luMzIiLCJBTiI6Ik1haWwiLCJXVCI6Mn0%3D%7C0%7C%7C%7C&amp;sdata=MBBgP2YIFJVo3PAUlJ%2BX49cteKsltOLf27SEyvU%2FLxM%3D&amp;reserved=0</vt:lpwstr>
      </vt:variant>
      <vt:variant>
        <vt:lpwstr/>
      </vt:variant>
      <vt:variant>
        <vt:i4>7143462</vt:i4>
      </vt:variant>
      <vt:variant>
        <vt:i4>231</vt:i4>
      </vt:variant>
      <vt:variant>
        <vt:i4>0</vt:i4>
      </vt:variant>
      <vt:variant>
        <vt:i4>5</vt:i4>
      </vt:variant>
      <vt:variant>
        <vt:lpwstr>https://www.midandsouthessex.ics.nhs.uk/publications/icb-declarations-of-interest/</vt:lpwstr>
      </vt:variant>
      <vt:variant>
        <vt:lpwstr/>
      </vt:variant>
      <vt:variant>
        <vt:i4>2752566</vt:i4>
      </vt:variant>
      <vt:variant>
        <vt:i4>228</vt:i4>
      </vt:variant>
      <vt:variant>
        <vt:i4>0</vt:i4>
      </vt:variant>
      <vt:variant>
        <vt:i4>5</vt:i4>
      </vt:variant>
      <vt:variant>
        <vt:lpwstr>https://gbr01.safelinks.protection.outlook.com/?url=https%3A%2F%2Fwww.cicm.com%2F&amp;data=05%7C02%7Cjane.king8%40nhs.net%7C4a338655e52a48140e8c08dc379be0f1%7C37c354b285b047f5b22207b48d774ee3%7C0%7C0%7C638446389846700691%7CUnknown%7CTWFpbGZsb3d8eyJWIjoiMC4wLjAwMDAiLCJQIjoiV2luMzIiLCJBTiI6Ik1haWwiLCJXVCI6Mn0%3D%7C0%7C%7C%7C&amp;sdata=594nypLOUnIK6XYD%2Ft%2Bk4JERS1X6XhqDevDHyivtuAk%3D&amp;reserved=0</vt:lpwstr>
      </vt:variant>
      <vt:variant>
        <vt:lpwstr/>
      </vt:variant>
      <vt:variant>
        <vt:i4>2162813</vt:i4>
      </vt:variant>
      <vt:variant>
        <vt:i4>225</vt:i4>
      </vt:variant>
      <vt:variant>
        <vt:i4>0</vt:i4>
      </vt:variant>
      <vt:variant>
        <vt:i4>5</vt:i4>
      </vt:variant>
      <vt:variant>
        <vt:lpwstr>https://gbr01.safelinks.protection.outlook.com/?url=https%3A%2F%2Fhome.kpmg%2Fuk%2Fen%2Fhome.html&amp;data=05%7C02%7Cjane.king8%40nhs.net%7C4a338655e52a48140e8c08dc379be0f1%7C37c354b285b047f5b22207b48d774ee3%7C0%7C0%7C638446389846692261%7CUnknown%7CTWFpbGZsb3d8eyJWIjoiMC4wLjAwMDAiLCJQIjoiV2luMzIiLCJBTiI6Ik1haWwiLCJXVCI6Mn0%3D%7C0%7C%7C%7C&amp;sdata=SGgkBgu8u2wURTph2p0AXgiAc6HvfFifNXSvzNe9omQ%3D&amp;reserved=0</vt:lpwstr>
      </vt:variant>
      <vt:variant>
        <vt:lpwstr/>
      </vt:variant>
      <vt:variant>
        <vt:i4>3145779</vt:i4>
      </vt:variant>
      <vt:variant>
        <vt:i4>222</vt:i4>
      </vt:variant>
      <vt:variant>
        <vt:i4>0</vt:i4>
      </vt:variant>
      <vt:variant>
        <vt:i4>5</vt:i4>
      </vt:variant>
      <vt:variant>
        <vt:lpwstr>https://www.england.nhs.uk/greenernhs/wp-content/uploads/sites/51/2020/10/delivering-a-net-zero-national-health-service.pdf</vt:lpwstr>
      </vt:variant>
      <vt:variant>
        <vt:lpwstr/>
      </vt:variant>
      <vt:variant>
        <vt:i4>4587594</vt:i4>
      </vt:variant>
      <vt:variant>
        <vt:i4>219</vt:i4>
      </vt:variant>
      <vt:variant>
        <vt:i4>0</vt:i4>
      </vt:variant>
      <vt:variant>
        <vt:i4>5</vt:i4>
      </vt:variant>
      <vt:variant>
        <vt:lpwstr>https://www.midandsouthessex.ics.nhs.uk/publications/joint-forward-plan/</vt:lpwstr>
      </vt:variant>
      <vt:variant>
        <vt:lpwstr/>
      </vt:variant>
      <vt:variant>
        <vt:i4>3342461</vt:i4>
      </vt:variant>
      <vt:variant>
        <vt:i4>216</vt:i4>
      </vt:variant>
      <vt:variant>
        <vt:i4>0</vt:i4>
      </vt:variant>
      <vt:variant>
        <vt:i4>5</vt:i4>
      </vt:variant>
      <vt:variant>
        <vt:lpwstr>https://www.midandsouthessex.ics.nhs.uk/publications/interim-equality-objectives/</vt:lpwstr>
      </vt:variant>
      <vt:variant>
        <vt:lpwstr>backgroundpublicsectorequalityduty</vt:lpwstr>
      </vt:variant>
      <vt:variant>
        <vt:i4>6815841</vt:i4>
      </vt:variant>
      <vt:variant>
        <vt:i4>213</vt:i4>
      </vt:variant>
      <vt:variant>
        <vt:i4>0</vt:i4>
      </vt:variant>
      <vt:variant>
        <vt:i4>5</vt:i4>
      </vt:variant>
      <vt:variant>
        <vt:lpwstr>https://safeguardingsouthend.co.uk/download/working-together-safeguarding-southend/</vt:lpwstr>
      </vt:variant>
      <vt:variant>
        <vt:lpwstr/>
      </vt:variant>
      <vt:variant>
        <vt:i4>5374031</vt:i4>
      </vt:variant>
      <vt:variant>
        <vt:i4>210</vt:i4>
      </vt:variant>
      <vt:variant>
        <vt:i4>0</vt:i4>
      </vt:variant>
      <vt:variant>
        <vt:i4>5</vt:i4>
      </vt:variant>
      <vt:variant>
        <vt:lpwstr>https://safeguardingsouthend.co.uk/download/southend-safeguarding-partnership-annual-report-2022-2023-2/</vt:lpwstr>
      </vt:variant>
      <vt:variant>
        <vt:lpwstr/>
      </vt:variant>
      <vt:variant>
        <vt:i4>6422574</vt:i4>
      </vt:variant>
      <vt:variant>
        <vt:i4>207</vt:i4>
      </vt:variant>
      <vt:variant>
        <vt:i4>0</vt:i4>
      </vt:variant>
      <vt:variant>
        <vt:i4>5</vt:i4>
      </vt:variant>
      <vt:variant>
        <vt:lpwstr>https://www.thurrocklscp.org.uk/lscp/about-the-partnership/multi-agency-safeguarding-arrangements-masa</vt:lpwstr>
      </vt:variant>
      <vt:variant>
        <vt:lpwstr/>
      </vt:variant>
      <vt:variant>
        <vt:i4>2228227</vt:i4>
      </vt:variant>
      <vt:variant>
        <vt:i4>204</vt:i4>
      </vt:variant>
      <vt:variant>
        <vt:i4>0</vt:i4>
      </vt:variant>
      <vt:variant>
        <vt:i4>5</vt:i4>
      </vt:variant>
      <vt:variant>
        <vt:lpwstr>https://www.thurrocklscp.org.uk/assets/1/lscp_annual_report_2021-22.pdf</vt:lpwstr>
      </vt:variant>
      <vt:variant>
        <vt:lpwstr/>
      </vt:variant>
      <vt:variant>
        <vt:i4>196674</vt:i4>
      </vt:variant>
      <vt:variant>
        <vt:i4>201</vt:i4>
      </vt:variant>
      <vt:variant>
        <vt:i4>0</vt:i4>
      </vt:variant>
      <vt:variant>
        <vt:i4>5</vt:i4>
      </vt:variant>
      <vt:variant>
        <vt:lpwstr>https://www.escb.co.uk/media/3075/essex-masa-plan-2023-24-updated-aug-23.pdf</vt:lpwstr>
      </vt:variant>
      <vt:variant>
        <vt:lpwstr/>
      </vt:variant>
      <vt:variant>
        <vt:i4>6946863</vt:i4>
      </vt:variant>
      <vt:variant>
        <vt:i4>198</vt:i4>
      </vt:variant>
      <vt:variant>
        <vt:i4>0</vt:i4>
      </vt:variant>
      <vt:variant>
        <vt:i4>5</vt:i4>
      </vt:variant>
      <vt:variant>
        <vt:lpwstr>https://www.escb.co.uk/media/2727/annual-report-2020-21.pdf</vt:lpwstr>
      </vt:variant>
      <vt:variant>
        <vt:lpwstr/>
      </vt:variant>
      <vt:variant>
        <vt:i4>2555960</vt:i4>
      </vt:variant>
      <vt:variant>
        <vt:i4>195</vt:i4>
      </vt:variant>
      <vt:variant>
        <vt:i4>0</vt:i4>
      </vt:variant>
      <vt:variant>
        <vt:i4>5</vt:i4>
      </vt:variant>
      <vt:variant>
        <vt:lpwstr>https://gbr01.safelinks.protection.outlook.com/?url=https%3A%2F%2Fwww.midandsouthessex.ics.nhs.uk%2Fabout%2Fcorporate%2Fmodern-slavery-act%2F&amp;data=05%7C02%7Cjackie.barrett1%40nhs.net%7Cb4223f8b999d44d4d8c608dc39d229d5%7C37c354b285b047f5b22207b48d774ee3%7C0%7C0%7C638448822226590156%7CUnknown%7CTWFpbGZsb3d8eyJWIjoiMC4wLjAwMDAiLCJQIjoiV2luMzIiLCJBTiI6Ik1haWwiLCJXVCI6Mn0%3D%7C0%7C%7C%7C&amp;sdata=zHoxz0hG6oT%2BIWFKt1U7htyRgUh5Th0q5iPBX9Mlbd0%3D&amp;reserved=0</vt:lpwstr>
      </vt:variant>
      <vt:variant>
        <vt:lpwstr/>
      </vt:variant>
      <vt:variant>
        <vt:i4>3670117</vt:i4>
      </vt:variant>
      <vt:variant>
        <vt:i4>192</vt:i4>
      </vt:variant>
      <vt:variant>
        <vt:i4>0</vt:i4>
      </vt:variant>
      <vt:variant>
        <vt:i4>5</vt:i4>
      </vt:variant>
      <vt:variant>
        <vt:lpwstr>https://gbr01.safelinks.protection.outlook.com/?url=https%3A%2F%2Fwww.midandsouthessex.ics.nhs.uk%2Fpublications%2Fcapital-plan-2023-24%2F&amp;data=05%7C01%7Cnicola.adams15%40nhs.net%7Cd588e3e7c7dc4227c7c108db6e7682be%7C37c354b285b047f5b22207b48d774ee3%7C0%7C0%7C638225227764397750%7CUnknown%7CTWFpbGZsb3d8eyJWIjoiMC4wLjAwMDAiLCJQIjoiV2luMzIiLCJBTiI6Ik1haWwiLCJXVCI6Mn0%3D%7C3000%7C%7C%7C&amp;sdata=0yjUJgRt5mAotylvU84aOKKBwfEqJoQVosbyqlWBrXA%3D&amp;reserved=0</vt:lpwstr>
      </vt:variant>
      <vt:variant>
        <vt:lpwstr/>
      </vt:variant>
      <vt:variant>
        <vt:i4>8257653</vt:i4>
      </vt:variant>
      <vt:variant>
        <vt:i4>189</vt:i4>
      </vt:variant>
      <vt:variant>
        <vt:i4>0</vt:i4>
      </vt:variant>
      <vt:variant>
        <vt:i4>5</vt:i4>
      </vt:variant>
      <vt:variant>
        <vt:lpwstr>https://www.england.nhs.uk/about/equality/equality-hub/national-healthcare-inequalities-improvement-programme/core20plus5/</vt:lpwstr>
      </vt:variant>
      <vt:variant>
        <vt:lpwstr/>
      </vt:variant>
      <vt:variant>
        <vt:i4>1179696</vt:i4>
      </vt:variant>
      <vt:variant>
        <vt:i4>182</vt:i4>
      </vt:variant>
      <vt:variant>
        <vt:i4>0</vt:i4>
      </vt:variant>
      <vt:variant>
        <vt:i4>5</vt:i4>
      </vt:variant>
      <vt:variant>
        <vt:lpwstr/>
      </vt:variant>
      <vt:variant>
        <vt:lpwstr>_Toc164470277</vt:lpwstr>
      </vt:variant>
      <vt:variant>
        <vt:i4>1179696</vt:i4>
      </vt:variant>
      <vt:variant>
        <vt:i4>176</vt:i4>
      </vt:variant>
      <vt:variant>
        <vt:i4>0</vt:i4>
      </vt:variant>
      <vt:variant>
        <vt:i4>5</vt:i4>
      </vt:variant>
      <vt:variant>
        <vt:lpwstr/>
      </vt:variant>
      <vt:variant>
        <vt:lpwstr>_Toc164470276</vt:lpwstr>
      </vt:variant>
      <vt:variant>
        <vt:i4>1179696</vt:i4>
      </vt:variant>
      <vt:variant>
        <vt:i4>170</vt:i4>
      </vt:variant>
      <vt:variant>
        <vt:i4>0</vt:i4>
      </vt:variant>
      <vt:variant>
        <vt:i4>5</vt:i4>
      </vt:variant>
      <vt:variant>
        <vt:lpwstr/>
      </vt:variant>
      <vt:variant>
        <vt:lpwstr>_Toc164470275</vt:lpwstr>
      </vt:variant>
      <vt:variant>
        <vt:i4>1179696</vt:i4>
      </vt:variant>
      <vt:variant>
        <vt:i4>164</vt:i4>
      </vt:variant>
      <vt:variant>
        <vt:i4>0</vt:i4>
      </vt:variant>
      <vt:variant>
        <vt:i4>5</vt:i4>
      </vt:variant>
      <vt:variant>
        <vt:lpwstr/>
      </vt:variant>
      <vt:variant>
        <vt:lpwstr>_Toc164470274</vt:lpwstr>
      </vt:variant>
      <vt:variant>
        <vt:i4>1179696</vt:i4>
      </vt:variant>
      <vt:variant>
        <vt:i4>158</vt:i4>
      </vt:variant>
      <vt:variant>
        <vt:i4>0</vt:i4>
      </vt:variant>
      <vt:variant>
        <vt:i4>5</vt:i4>
      </vt:variant>
      <vt:variant>
        <vt:lpwstr/>
      </vt:variant>
      <vt:variant>
        <vt:lpwstr>_Toc164470273</vt:lpwstr>
      </vt:variant>
      <vt:variant>
        <vt:i4>1179696</vt:i4>
      </vt:variant>
      <vt:variant>
        <vt:i4>152</vt:i4>
      </vt:variant>
      <vt:variant>
        <vt:i4>0</vt:i4>
      </vt:variant>
      <vt:variant>
        <vt:i4>5</vt:i4>
      </vt:variant>
      <vt:variant>
        <vt:lpwstr/>
      </vt:variant>
      <vt:variant>
        <vt:lpwstr>_Toc164470272</vt:lpwstr>
      </vt:variant>
      <vt:variant>
        <vt:i4>1179696</vt:i4>
      </vt:variant>
      <vt:variant>
        <vt:i4>146</vt:i4>
      </vt:variant>
      <vt:variant>
        <vt:i4>0</vt:i4>
      </vt:variant>
      <vt:variant>
        <vt:i4>5</vt:i4>
      </vt:variant>
      <vt:variant>
        <vt:lpwstr/>
      </vt:variant>
      <vt:variant>
        <vt:lpwstr>_Toc164470270</vt:lpwstr>
      </vt:variant>
      <vt:variant>
        <vt:i4>1245232</vt:i4>
      </vt:variant>
      <vt:variant>
        <vt:i4>140</vt:i4>
      </vt:variant>
      <vt:variant>
        <vt:i4>0</vt:i4>
      </vt:variant>
      <vt:variant>
        <vt:i4>5</vt:i4>
      </vt:variant>
      <vt:variant>
        <vt:lpwstr/>
      </vt:variant>
      <vt:variant>
        <vt:lpwstr>_Toc164470269</vt:lpwstr>
      </vt:variant>
      <vt:variant>
        <vt:i4>1245232</vt:i4>
      </vt:variant>
      <vt:variant>
        <vt:i4>134</vt:i4>
      </vt:variant>
      <vt:variant>
        <vt:i4>0</vt:i4>
      </vt:variant>
      <vt:variant>
        <vt:i4>5</vt:i4>
      </vt:variant>
      <vt:variant>
        <vt:lpwstr/>
      </vt:variant>
      <vt:variant>
        <vt:lpwstr>_Toc164470268</vt:lpwstr>
      </vt:variant>
      <vt:variant>
        <vt:i4>1245232</vt:i4>
      </vt:variant>
      <vt:variant>
        <vt:i4>128</vt:i4>
      </vt:variant>
      <vt:variant>
        <vt:i4>0</vt:i4>
      </vt:variant>
      <vt:variant>
        <vt:i4>5</vt:i4>
      </vt:variant>
      <vt:variant>
        <vt:lpwstr/>
      </vt:variant>
      <vt:variant>
        <vt:lpwstr>_Toc164470267</vt:lpwstr>
      </vt:variant>
      <vt:variant>
        <vt:i4>1245232</vt:i4>
      </vt:variant>
      <vt:variant>
        <vt:i4>122</vt:i4>
      </vt:variant>
      <vt:variant>
        <vt:i4>0</vt:i4>
      </vt:variant>
      <vt:variant>
        <vt:i4>5</vt:i4>
      </vt:variant>
      <vt:variant>
        <vt:lpwstr/>
      </vt:variant>
      <vt:variant>
        <vt:lpwstr>_Toc164470265</vt:lpwstr>
      </vt:variant>
      <vt:variant>
        <vt:i4>1245232</vt:i4>
      </vt:variant>
      <vt:variant>
        <vt:i4>116</vt:i4>
      </vt:variant>
      <vt:variant>
        <vt:i4>0</vt:i4>
      </vt:variant>
      <vt:variant>
        <vt:i4>5</vt:i4>
      </vt:variant>
      <vt:variant>
        <vt:lpwstr/>
      </vt:variant>
      <vt:variant>
        <vt:lpwstr>_Toc164470264</vt:lpwstr>
      </vt:variant>
      <vt:variant>
        <vt:i4>1245232</vt:i4>
      </vt:variant>
      <vt:variant>
        <vt:i4>110</vt:i4>
      </vt:variant>
      <vt:variant>
        <vt:i4>0</vt:i4>
      </vt:variant>
      <vt:variant>
        <vt:i4>5</vt:i4>
      </vt:variant>
      <vt:variant>
        <vt:lpwstr/>
      </vt:variant>
      <vt:variant>
        <vt:lpwstr>_Toc164470263</vt:lpwstr>
      </vt:variant>
      <vt:variant>
        <vt:i4>1245232</vt:i4>
      </vt:variant>
      <vt:variant>
        <vt:i4>104</vt:i4>
      </vt:variant>
      <vt:variant>
        <vt:i4>0</vt:i4>
      </vt:variant>
      <vt:variant>
        <vt:i4>5</vt:i4>
      </vt:variant>
      <vt:variant>
        <vt:lpwstr/>
      </vt:variant>
      <vt:variant>
        <vt:lpwstr>_Toc164470262</vt:lpwstr>
      </vt:variant>
      <vt:variant>
        <vt:i4>1245232</vt:i4>
      </vt:variant>
      <vt:variant>
        <vt:i4>98</vt:i4>
      </vt:variant>
      <vt:variant>
        <vt:i4>0</vt:i4>
      </vt:variant>
      <vt:variant>
        <vt:i4>5</vt:i4>
      </vt:variant>
      <vt:variant>
        <vt:lpwstr/>
      </vt:variant>
      <vt:variant>
        <vt:lpwstr>_Toc164470261</vt:lpwstr>
      </vt:variant>
      <vt:variant>
        <vt:i4>1245232</vt:i4>
      </vt:variant>
      <vt:variant>
        <vt:i4>92</vt:i4>
      </vt:variant>
      <vt:variant>
        <vt:i4>0</vt:i4>
      </vt:variant>
      <vt:variant>
        <vt:i4>5</vt:i4>
      </vt:variant>
      <vt:variant>
        <vt:lpwstr/>
      </vt:variant>
      <vt:variant>
        <vt:lpwstr>_Toc164470260</vt:lpwstr>
      </vt:variant>
      <vt:variant>
        <vt:i4>1048624</vt:i4>
      </vt:variant>
      <vt:variant>
        <vt:i4>86</vt:i4>
      </vt:variant>
      <vt:variant>
        <vt:i4>0</vt:i4>
      </vt:variant>
      <vt:variant>
        <vt:i4>5</vt:i4>
      </vt:variant>
      <vt:variant>
        <vt:lpwstr/>
      </vt:variant>
      <vt:variant>
        <vt:lpwstr>_Toc164470259</vt:lpwstr>
      </vt:variant>
      <vt:variant>
        <vt:i4>1048624</vt:i4>
      </vt:variant>
      <vt:variant>
        <vt:i4>80</vt:i4>
      </vt:variant>
      <vt:variant>
        <vt:i4>0</vt:i4>
      </vt:variant>
      <vt:variant>
        <vt:i4>5</vt:i4>
      </vt:variant>
      <vt:variant>
        <vt:lpwstr/>
      </vt:variant>
      <vt:variant>
        <vt:lpwstr>_Toc164470258</vt:lpwstr>
      </vt:variant>
      <vt:variant>
        <vt:i4>1048624</vt:i4>
      </vt:variant>
      <vt:variant>
        <vt:i4>74</vt:i4>
      </vt:variant>
      <vt:variant>
        <vt:i4>0</vt:i4>
      </vt:variant>
      <vt:variant>
        <vt:i4>5</vt:i4>
      </vt:variant>
      <vt:variant>
        <vt:lpwstr/>
      </vt:variant>
      <vt:variant>
        <vt:lpwstr>_Toc164470257</vt:lpwstr>
      </vt:variant>
      <vt:variant>
        <vt:i4>1048624</vt:i4>
      </vt:variant>
      <vt:variant>
        <vt:i4>68</vt:i4>
      </vt:variant>
      <vt:variant>
        <vt:i4>0</vt:i4>
      </vt:variant>
      <vt:variant>
        <vt:i4>5</vt:i4>
      </vt:variant>
      <vt:variant>
        <vt:lpwstr/>
      </vt:variant>
      <vt:variant>
        <vt:lpwstr>_Toc164470256</vt:lpwstr>
      </vt:variant>
      <vt:variant>
        <vt:i4>1048624</vt:i4>
      </vt:variant>
      <vt:variant>
        <vt:i4>62</vt:i4>
      </vt:variant>
      <vt:variant>
        <vt:i4>0</vt:i4>
      </vt:variant>
      <vt:variant>
        <vt:i4>5</vt:i4>
      </vt:variant>
      <vt:variant>
        <vt:lpwstr/>
      </vt:variant>
      <vt:variant>
        <vt:lpwstr>_Toc164470255</vt:lpwstr>
      </vt:variant>
      <vt:variant>
        <vt:i4>1048624</vt:i4>
      </vt:variant>
      <vt:variant>
        <vt:i4>56</vt:i4>
      </vt:variant>
      <vt:variant>
        <vt:i4>0</vt:i4>
      </vt:variant>
      <vt:variant>
        <vt:i4>5</vt:i4>
      </vt:variant>
      <vt:variant>
        <vt:lpwstr/>
      </vt:variant>
      <vt:variant>
        <vt:lpwstr>_Toc164470254</vt:lpwstr>
      </vt:variant>
      <vt:variant>
        <vt:i4>1048624</vt:i4>
      </vt:variant>
      <vt:variant>
        <vt:i4>50</vt:i4>
      </vt:variant>
      <vt:variant>
        <vt:i4>0</vt:i4>
      </vt:variant>
      <vt:variant>
        <vt:i4>5</vt:i4>
      </vt:variant>
      <vt:variant>
        <vt:lpwstr/>
      </vt:variant>
      <vt:variant>
        <vt:lpwstr>_Toc164470253</vt:lpwstr>
      </vt:variant>
      <vt:variant>
        <vt:i4>1048624</vt:i4>
      </vt:variant>
      <vt:variant>
        <vt:i4>44</vt:i4>
      </vt:variant>
      <vt:variant>
        <vt:i4>0</vt:i4>
      </vt:variant>
      <vt:variant>
        <vt:i4>5</vt:i4>
      </vt:variant>
      <vt:variant>
        <vt:lpwstr/>
      </vt:variant>
      <vt:variant>
        <vt:lpwstr>_Toc164470252</vt:lpwstr>
      </vt:variant>
      <vt:variant>
        <vt:i4>1048624</vt:i4>
      </vt:variant>
      <vt:variant>
        <vt:i4>38</vt:i4>
      </vt:variant>
      <vt:variant>
        <vt:i4>0</vt:i4>
      </vt:variant>
      <vt:variant>
        <vt:i4>5</vt:i4>
      </vt:variant>
      <vt:variant>
        <vt:lpwstr/>
      </vt:variant>
      <vt:variant>
        <vt:lpwstr>_Toc164470251</vt:lpwstr>
      </vt:variant>
      <vt:variant>
        <vt:i4>1048624</vt:i4>
      </vt:variant>
      <vt:variant>
        <vt:i4>32</vt:i4>
      </vt:variant>
      <vt:variant>
        <vt:i4>0</vt:i4>
      </vt:variant>
      <vt:variant>
        <vt:i4>5</vt:i4>
      </vt:variant>
      <vt:variant>
        <vt:lpwstr/>
      </vt:variant>
      <vt:variant>
        <vt:lpwstr>_Toc164470250</vt:lpwstr>
      </vt:variant>
      <vt:variant>
        <vt:i4>1114160</vt:i4>
      </vt:variant>
      <vt:variant>
        <vt:i4>26</vt:i4>
      </vt:variant>
      <vt:variant>
        <vt:i4>0</vt:i4>
      </vt:variant>
      <vt:variant>
        <vt:i4>5</vt:i4>
      </vt:variant>
      <vt:variant>
        <vt:lpwstr/>
      </vt:variant>
      <vt:variant>
        <vt:lpwstr>_Toc164470249</vt:lpwstr>
      </vt:variant>
      <vt:variant>
        <vt:i4>1114160</vt:i4>
      </vt:variant>
      <vt:variant>
        <vt:i4>20</vt:i4>
      </vt:variant>
      <vt:variant>
        <vt:i4>0</vt:i4>
      </vt:variant>
      <vt:variant>
        <vt:i4>5</vt:i4>
      </vt:variant>
      <vt:variant>
        <vt:lpwstr/>
      </vt:variant>
      <vt:variant>
        <vt:lpwstr>_Toc164470248</vt:lpwstr>
      </vt:variant>
      <vt:variant>
        <vt:i4>1114160</vt:i4>
      </vt:variant>
      <vt:variant>
        <vt:i4>14</vt:i4>
      </vt:variant>
      <vt:variant>
        <vt:i4>0</vt:i4>
      </vt:variant>
      <vt:variant>
        <vt:i4>5</vt:i4>
      </vt:variant>
      <vt:variant>
        <vt:lpwstr/>
      </vt:variant>
      <vt:variant>
        <vt:lpwstr>_Toc164470247</vt:lpwstr>
      </vt:variant>
      <vt:variant>
        <vt:i4>1114160</vt:i4>
      </vt:variant>
      <vt:variant>
        <vt:i4>8</vt:i4>
      </vt:variant>
      <vt:variant>
        <vt:i4>0</vt:i4>
      </vt:variant>
      <vt:variant>
        <vt:i4>5</vt:i4>
      </vt:variant>
      <vt:variant>
        <vt:lpwstr/>
      </vt:variant>
      <vt:variant>
        <vt:lpwstr>_Toc164470246</vt:lpwstr>
      </vt:variant>
      <vt:variant>
        <vt:i4>1114160</vt:i4>
      </vt:variant>
      <vt:variant>
        <vt:i4>2</vt:i4>
      </vt:variant>
      <vt:variant>
        <vt:i4>0</vt:i4>
      </vt:variant>
      <vt:variant>
        <vt:i4>5</vt:i4>
      </vt:variant>
      <vt:variant>
        <vt:lpwstr/>
      </vt:variant>
      <vt:variant>
        <vt:lpwstr>_Toc164470245</vt:lpwstr>
      </vt:variant>
      <vt:variant>
        <vt:i4>8192056</vt:i4>
      </vt:variant>
      <vt:variant>
        <vt:i4>0</vt:i4>
      </vt:variant>
      <vt:variant>
        <vt:i4>0</vt:i4>
      </vt:variant>
      <vt:variant>
        <vt:i4>5</vt:i4>
      </vt:variant>
      <vt:variant>
        <vt:lpwstr>https://www.england.nhs.uk/wp-content/uploads/2022/12/PRN00021-23-24-priorities-and-operational-planning-guidance-v1.1.pdf</vt:lpwstr>
      </vt:variant>
      <vt:variant>
        <vt:lpwstr/>
      </vt:variant>
      <vt:variant>
        <vt:i4>3145835</vt:i4>
      </vt:variant>
      <vt:variant>
        <vt:i4>0</vt:i4>
      </vt:variant>
      <vt:variant>
        <vt:i4>0</vt:i4>
      </vt:variant>
      <vt:variant>
        <vt:i4>5</vt:i4>
      </vt:variant>
      <vt:variant>
        <vt:lpwstr>https://www.trustlinks.org/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CCG Annual Report 2016-17 TEMPLATE v7 [HD comments/amends]</dc:title>
  <dc:subject>HD_CorpGov_CCG Annual Report Template</dc:subject>
  <dc:creator>King Jane (07G) Thurrock CCG</dc:creator>
  <cp:keywords/>
  <cp:lastModifiedBy>COMMS, Msepartnership (NHS MID AND SOUTH ESSEX ICB - 99F)</cp:lastModifiedBy>
  <cp:revision>2</cp:revision>
  <cp:lastPrinted>2024-07-05T14:10:00Z</cp:lastPrinted>
  <dcterms:created xsi:type="dcterms:W3CDTF">2024-08-19T15:32:00Z</dcterms:created>
  <dcterms:modified xsi:type="dcterms:W3CDTF">2024-08-19T15:32:00Z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ilesiteDocRef">
    <vt:lpwstr>143693377.1</vt:lpwstr>
  </property>
  <property fmtid="{D5CDD505-2E9C-101B-9397-08002B2CF9AE}" pid="3" name="Title">
    <vt:lpwstr>CCG Annual Report 2016-17 TEMPLATE v7 [HD comments/amends]</vt:lpwstr>
  </property>
  <property fmtid="{D5CDD505-2E9C-101B-9397-08002B2CF9AE}" pid="4" name="Subject">
    <vt:lpwstr>HD_CorpGov_CCG Annual Report Template</vt:lpwstr>
  </property>
  <property fmtid="{D5CDD505-2E9C-101B-9397-08002B2CF9AE}" pid="5" name="Author">
    <vt:lpwstr>Richard Parker</vt:lpwstr>
  </property>
  <property fmtid="{D5CDD505-2E9C-101B-9397-08002B2CF9AE}" pid="6" name="Manager">
    <vt:lpwstr>ES</vt:lpwstr>
  </property>
  <property fmtid="{D5CDD505-2E9C-101B-9397-08002B2CF9AE}" pid="7" name="Category">
    <vt:lpwstr>Document</vt:lpwstr>
  </property>
  <property fmtid="{D5CDD505-2E9C-101B-9397-08002B2CF9AE}" pid="8" name="ClientNo">
    <vt:lpwstr>12002157</vt:lpwstr>
  </property>
  <property fmtid="{D5CDD505-2E9C-101B-9397-08002B2CF9AE}" pid="9" name="MatterNo">
    <vt:lpwstr>57</vt:lpwstr>
  </property>
  <property fmtid="{D5CDD505-2E9C-101B-9397-08002B2CF9AE}" pid="10" name="DMSFileNo">
    <vt:lpwstr>143693377</vt:lpwstr>
  </property>
  <property fmtid="{D5CDD505-2E9C-101B-9397-08002B2CF9AE}" pid="11" name="Typist">
    <vt:lpwstr>Richard Parker</vt:lpwstr>
  </property>
  <property fmtid="{D5CDD505-2E9C-101B-9397-08002B2CF9AE}" pid="12" name="ContentTypeId">
    <vt:lpwstr>0x0101002E5D983C6DD6CA4FB798FFE5ED97F751</vt:lpwstr>
  </property>
  <property fmtid="{D5CDD505-2E9C-101B-9397-08002B2CF9AE}" pid="13" name="_dlc_DocIdItemGuid">
    <vt:lpwstr>9ff1d3ab-2d17-4afd-8d1b-fa0ff59cd5b3</vt:lpwstr>
  </property>
  <property fmtid="{D5CDD505-2E9C-101B-9397-08002B2CF9AE}" pid="14" name="MediaServiceImageTags">
    <vt:lpwstr/>
  </property>
</Properties>
</file>