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33B1" w14:textId="34A69EBE" w:rsidR="00C176AF" w:rsidRDefault="00C176AF" w:rsidP="00E26D4E">
      <w:pPr>
        <w:spacing w:before="480" w:after="240"/>
        <w:ind w:left="0" w:right="-46"/>
        <w:jc w:val="center"/>
        <w:rPr>
          <w:rFonts w:asciiTheme="majorHAnsi" w:eastAsiaTheme="majorEastAsia" w:hAnsiTheme="majorHAnsi" w:cstheme="majorBidi"/>
          <w:b/>
          <w:color w:val="005EB8" w:themeColor="accent2"/>
          <w:spacing w:val="-10"/>
          <w:kern w:val="28"/>
          <w:sz w:val="56"/>
          <w:szCs w:val="56"/>
        </w:rPr>
      </w:pPr>
    </w:p>
    <w:p w14:paraId="551A5C36" w14:textId="2997F646" w:rsidR="00C176AF" w:rsidRDefault="00C176AF"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45CFAE4D" w14:textId="4B5E95C4" w:rsidR="007F2E51" w:rsidRDefault="007F2E5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7391EA8C"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0BDD0484"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40D8FE6F"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76052C31"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4676D740"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401B3F1F" w14:textId="77777777" w:rsidR="006D1C21" w:rsidRDefault="006D1C2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06A45939" w14:textId="77777777" w:rsidR="007F2E51" w:rsidRDefault="007F2E5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p>
    <w:p w14:paraId="36B88612" w14:textId="5DEA53B7" w:rsidR="00DD1716" w:rsidRDefault="007F2E51" w:rsidP="00351059">
      <w:pPr>
        <w:spacing w:before="480" w:after="240"/>
        <w:ind w:left="0" w:right="-46"/>
        <w:rPr>
          <w:rFonts w:asciiTheme="majorHAnsi" w:eastAsiaTheme="majorEastAsia" w:hAnsiTheme="majorHAnsi" w:cstheme="majorBidi"/>
          <w:b/>
          <w:color w:val="005EB8" w:themeColor="accent2"/>
          <w:spacing w:val="-10"/>
          <w:kern w:val="28"/>
          <w:sz w:val="56"/>
          <w:szCs w:val="56"/>
        </w:rPr>
      </w:pPr>
      <w:r>
        <w:rPr>
          <w:rFonts w:asciiTheme="majorHAnsi" w:eastAsiaTheme="majorEastAsia" w:hAnsiTheme="majorHAnsi" w:cstheme="majorBidi"/>
          <w:b/>
          <w:color w:val="005EB8" w:themeColor="accent2"/>
          <w:spacing w:val="-10"/>
          <w:kern w:val="28"/>
          <w:sz w:val="56"/>
          <w:szCs w:val="56"/>
        </w:rPr>
        <w:t xml:space="preserve">Decision Making </w:t>
      </w:r>
      <w:r w:rsidR="00E42BA2">
        <w:rPr>
          <w:rFonts w:asciiTheme="majorHAnsi" w:eastAsiaTheme="majorEastAsia" w:hAnsiTheme="majorHAnsi" w:cstheme="majorBidi"/>
          <w:b/>
          <w:color w:val="005EB8" w:themeColor="accent2"/>
          <w:spacing w:val="-10"/>
          <w:kern w:val="28"/>
          <w:sz w:val="56"/>
          <w:szCs w:val="56"/>
        </w:rPr>
        <w:t xml:space="preserve">Policy and </w:t>
      </w:r>
      <w:r w:rsidR="00D838AD">
        <w:rPr>
          <w:rFonts w:asciiTheme="majorHAnsi" w:eastAsiaTheme="majorEastAsia" w:hAnsiTheme="majorHAnsi" w:cstheme="majorBidi"/>
          <w:b/>
          <w:color w:val="005EB8" w:themeColor="accent2"/>
          <w:spacing w:val="-10"/>
          <w:kern w:val="28"/>
          <w:sz w:val="56"/>
          <w:szCs w:val="56"/>
        </w:rPr>
        <w:t>Procedure</w:t>
      </w:r>
    </w:p>
    <w:p w14:paraId="75C1501E" w14:textId="4ED75A85" w:rsidR="00DD1716" w:rsidRDefault="00DD1716" w:rsidP="00351059">
      <w:pPr>
        <w:spacing w:before="480" w:after="240"/>
        <w:ind w:left="0" w:right="-46"/>
        <w:rPr>
          <w:rFonts w:asciiTheme="majorHAnsi" w:eastAsiaTheme="majorEastAsia" w:hAnsiTheme="majorHAnsi" w:cstheme="majorBidi"/>
          <w:b/>
          <w:color w:val="005EB8" w:themeColor="accent2"/>
          <w:spacing w:val="-10"/>
          <w:kern w:val="28"/>
          <w:sz w:val="56"/>
          <w:szCs w:val="56"/>
        </w:rPr>
        <w:sectPr w:rsidR="00DD1716" w:rsidSect="00BB0272">
          <w:headerReference w:type="even" r:id="rId11"/>
          <w:headerReference w:type="default" r:id="rId12"/>
          <w:footerReference w:type="even" r:id="rId13"/>
          <w:footerReference w:type="default" r:id="rId14"/>
          <w:headerReference w:type="first" r:id="rId15"/>
          <w:footerReference w:type="first" r:id="rId16"/>
          <w:pgSz w:w="11906" w:h="16838"/>
          <w:pgMar w:top="1560" w:right="1440" w:bottom="1797" w:left="1440" w:header="993" w:footer="709" w:gutter="0"/>
          <w:cols w:space="708"/>
          <w:titlePg/>
          <w:docGrid w:linePitch="360"/>
        </w:sectPr>
      </w:pPr>
    </w:p>
    <w:p w14:paraId="6E605DE6" w14:textId="41F79E6C" w:rsidR="00F40D75" w:rsidRPr="00F40D75" w:rsidRDefault="00F40D75" w:rsidP="00351059">
      <w:pPr>
        <w:spacing w:before="240" w:after="240"/>
        <w:ind w:left="0" w:right="-46"/>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lastRenderedPageBreak/>
        <w:t>Document Control:</w:t>
      </w:r>
    </w:p>
    <w:tbl>
      <w:tblPr>
        <w:tblStyle w:val="TableGrid1"/>
        <w:tblW w:w="9072" w:type="dxa"/>
        <w:tblInd w:w="-5" w:type="dxa"/>
        <w:tblLook w:val="04A0" w:firstRow="1" w:lastRow="0" w:firstColumn="1" w:lastColumn="0" w:noHBand="0" w:noVBand="1"/>
      </w:tblPr>
      <w:tblGrid>
        <w:gridCol w:w="4395"/>
        <w:gridCol w:w="4677"/>
      </w:tblGrid>
      <w:tr w:rsidR="00862F6C" w:rsidRPr="009B21D7" w14:paraId="6FD38659" w14:textId="77777777" w:rsidTr="00DB1144">
        <w:tc>
          <w:tcPr>
            <w:tcW w:w="4395" w:type="dxa"/>
            <w:shd w:val="clear" w:color="auto" w:fill="003087" w:themeFill="accent1"/>
          </w:tcPr>
          <w:p w14:paraId="34D61849" w14:textId="39E4148A" w:rsidR="009B21D7" w:rsidRPr="009B21D7" w:rsidRDefault="009B21D7" w:rsidP="00351059">
            <w:pPr>
              <w:spacing w:before="0" w:after="0"/>
              <w:ind w:left="0" w:right="-46"/>
              <w:rPr>
                <w:b/>
                <w:bCs/>
                <w:color w:val="FFFFFF" w:themeColor="background1"/>
              </w:rPr>
            </w:pPr>
            <w:r w:rsidRPr="009B21D7">
              <w:rPr>
                <w:b/>
                <w:bCs/>
                <w:color w:val="FFFFFF" w:themeColor="background1"/>
              </w:rPr>
              <w:t>Document Control Information</w:t>
            </w:r>
          </w:p>
        </w:tc>
        <w:tc>
          <w:tcPr>
            <w:tcW w:w="4677" w:type="dxa"/>
          </w:tcPr>
          <w:p w14:paraId="146E8AE7" w14:textId="7F57D132" w:rsidR="009B21D7" w:rsidRPr="009B21D7" w:rsidRDefault="009B21D7" w:rsidP="00351059">
            <w:pPr>
              <w:spacing w:before="0" w:after="0"/>
              <w:ind w:left="0" w:right="-46"/>
              <w:rPr>
                <w:b/>
                <w:bCs/>
              </w:rPr>
            </w:pPr>
            <w:r w:rsidRPr="009B21D7">
              <w:rPr>
                <w:b/>
                <w:bCs/>
              </w:rPr>
              <w:t>Details</w:t>
            </w:r>
          </w:p>
        </w:tc>
      </w:tr>
      <w:tr w:rsidR="00862F6C" w:rsidRPr="00F40D75" w14:paraId="04821402" w14:textId="77777777" w:rsidTr="00DB1144">
        <w:tc>
          <w:tcPr>
            <w:tcW w:w="4395" w:type="dxa"/>
            <w:shd w:val="clear" w:color="auto" w:fill="003087" w:themeFill="accent1"/>
          </w:tcPr>
          <w:p w14:paraId="01FF42DC" w14:textId="77777777" w:rsidR="00F40D75" w:rsidRPr="00F40D75" w:rsidRDefault="00F40D75" w:rsidP="00351059">
            <w:pPr>
              <w:spacing w:before="0" w:after="0"/>
              <w:ind w:left="0" w:right="-46"/>
              <w:rPr>
                <w:color w:val="FFFFFF" w:themeColor="background1"/>
              </w:rPr>
            </w:pPr>
            <w:r w:rsidRPr="00F40D75">
              <w:rPr>
                <w:color w:val="FFFFFF" w:themeColor="background1"/>
              </w:rPr>
              <w:t>Policy Name</w:t>
            </w:r>
          </w:p>
        </w:tc>
        <w:tc>
          <w:tcPr>
            <w:tcW w:w="4677" w:type="dxa"/>
          </w:tcPr>
          <w:p w14:paraId="38B4A09A" w14:textId="242F3754" w:rsidR="00F40D75" w:rsidRPr="00F40D75" w:rsidRDefault="00B45CFD" w:rsidP="00351059">
            <w:pPr>
              <w:spacing w:before="0" w:after="0"/>
              <w:ind w:left="0" w:right="-46"/>
            </w:pPr>
            <w:r>
              <w:t xml:space="preserve">Decision Making </w:t>
            </w:r>
            <w:r w:rsidR="00E42BA2">
              <w:t xml:space="preserve">Policy and </w:t>
            </w:r>
            <w:r w:rsidR="00D838AD">
              <w:t>Procedure</w:t>
            </w:r>
          </w:p>
        </w:tc>
      </w:tr>
      <w:tr w:rsidR="00862F6C" w:rsidRPr="00F40D75" w14:paraId="205685CB" w14:textId="77777777" w:rsidTr="00DB1144">
        <w:tc>
          <w:tcPr>
            <w:tcW w:w="4395" w:type="dxa"/>
            <w:shd w:val="clear" w:color="auto" w:fill="003087" w:themeFill="accent1"/>
          </w:tcPr>
          <w:p w14:paraId="0D4655F7" w14:textId="77777777" w:rsidR="00F40D75" w:rsidRPr="00F40D75" w:rsidRDefault="00F40D75" w:rsidP="00351059">
            <w:pPr>
              <w:spacing w:before="0" w:after="0"/>
              <w:ind w:left="0" w:right="-46"/>
              <w:rPr>
                <w:color w:val="FFFFFF" w:themeColor="background1"/>
              </w:rPr>
            </w:pPr>
            <w:r w:rsidRPr="00F40D75">
              <w:rPr>
                <w:color w:val="FFFFFF" w:themeColor="background1"/>
              </w:rPr>
              <w:t>Policy Number</w:t>
            </w:r>
          </w:p>
        </w:tc>
        <w:tc>
          <w:tcPr>
            <w:tcW w:w="4677" w:type="dxa"/>
          </w:tcPr>
          <w:p w14:paraId="5E5C91E9" w14:textId="3B7551EE" w:rsidR="00F40D75" w:rsidRPr="00F40D75" w:rsidRDefault="00E533D2" w:rsidP="00351059">
            <w:pPr>
              <w:spacing w:before="0" w:after="0"/>
              <w:ind w:left="0" w:right="-46"/>
            </w:pPr>
            <w:r>
              <w:t>MSEICB 088</w:t>
            </w:r>
          </w:p>
        </w:tc>
      </w:tr>
      <w:tr w:rsidR="00862F6C" w:rsidRPr="00F40D75" w14:paraId="578339F8" w14:textId="77777777" w:rsidTr="00DB1144">
        <w:tc>
          <w:tcPr>
            <w:tcW w:w="4395" w:type="dxa"/>
            <w:shd w:val="clear" w:color="auto" w:fill="003087" w:themeFill="accent1"/>
          </w:tcPr>
          <w:p w14:paraId="325770AC" w14:textId="77777777" w:rsidR="00F40D75" w:rsidRPr="00F40D75" w:rsidRDefault="00F40D75" w:rsidP="00351059">
            <w:pPr>
              <w:spacing w:before="0" w:after="0"/>
              <w:ind w:left="0" w:right="-46"/>
              <w:rPr>
                <w:color w:val="FFFFFF" w:themeColor="background1"/>
              </w:rPr>
            </w:pPr>
            <w:r w:rsidRPr="00F40D75">
              <w:rPr>
                <w:color w:val="FFFFFF" w:themeColor="background1"/>
              </w:rPr>
              <w:t>Version</w:t>
            </w:r>
          </w:p>
        </w:tc>
        <w:tc>
          <w:tcPr>
            <w:tcW w:w="4677" w:type="dxa"/>
          </w:tcPr>
          <w:p w14:paraId="5F8A4B9A" w14:textId="48831B27" w:rsidR="00F40D75" w:rsidRPr="00F40D75" w:rsidRDefault="008F0345" w:rsidP="00351059">
            <w:pPr>
              <w:spacing w:before="0" w:after="0"/>
              <w:ind w:left="0" w:right="-46"/>
            </w:pPr>
            <w:r>
              <w:t>3.0</w:t>
            </w:r>
          </w:p>
        </w:tc>
      </w:tr>
      <w:tr w:rsidR="00862F6C" w:rsidRPr="00F40D75" w14:paraId="20DC4737" w14:textId="77777777" w:rsidTr="00DB1144">
        <w:tc>
          <w:tcPr>
            <w:tcW w:w="4395" w:type="dxa"/>
            <w:shd w:val="clear" w:color="auto" w:fill="003087" w:themeFill="accent1"/>
          </w:tcPr>
          <w:p w14:paraId="6053D5EE" w14:textId="77777777" w:rsidR="00F40D75" w:rsidRPr="00F40D75" w:rsidRDefault="00F40D75" w:rsidP="00351059">
            <w:pPr>
              <w:spacing w:before="0" w:after="0"/>
              <w:ind w:left="0" w:right="-46"/>
              <w:rPr>
                <w:color w:val="FFFFFF" w:themeColor="background1"/>
              </w:rPr>
            </w:pPr>
            <w:r w:rsidRPr="00F40D75">
              <w:rPr>
                <w:color w:val="FFFFFF" w:themeColor="background1"/>
              </w:rPr>
              <w:t>Status</w:t>
            </w:r>
          </w:p>
        </w:tc>
        <w:tc>
          <w:tcPr>
            <w:tcW w:w="4677" w:type="dxa"/>
          </w:tcPr>
          <w:p w14:paraId="0B42E873" w14:textId="4EC5C0BB" w:rsidR="00F40D75" w:rsidRPr="00F40D75" w:rsidRDefault="0023259B" w:rsidP="00351059">
            <w:pPr>
              <w:spacing w:before="0" w:after="0"/>
              <w:ind w:left="0" w:right="-46"/>
            </w:pPr>
            <w:r>
              <w:t>Final</w:t>
            </w:r>
          </w:p>
        </w:tc>
      </w:tr>
      <w:tr w:rsidR="00862F6C" w:rsidRPr="00F40D75" w14:paraId="5AB6D30F" w14:textId="77777777" w:rsidTr="00DB1144">
        <w:tc>
          <w:tcPr>
            <w:tcW w:w="4395" w:type="dxa"/>
            <w:shd w:val="clear" w:color="auto" w:fill="003087" w:themeFill="accent1"/>
          </w:tcPr>
          <w:p w14:paraId="3DA4CEBD" w14:textId="77777777" w:rsidR="00F40D75" w:rsidRPr="00F40D75" w:rsidRDefault="00F40D75" w:rsidP="00351059">
            <w:pPr>
              <w:spacing w:before="0" w:after="0"/>
              <w:ind w:left="0" w:right="-46"/>
              <w:rPr>
                <w:color w:val="FFFFFF" w:themeColor="background1"/>
              </w:rPr>
            </w:pPr>
            <w:r w:rsidRPr="00F40D75">
              <w:rPr>
                <w:color w:val="FFFFFF" w:themeColor="background1"/>
              </w:rPr>
              <w:t>Author / Lead</w:t>
            </w:r>
          </w:p>
        </w:tc>
        <w:tc>
          <w:tcPr>
            <w:tcW w:w="4677" w:type="dxa"/>
          </w:tcPr>
          <w:p w14:paraId="769C069E" w14:textId="741AE20C" w:rsidR="00F40D75" w:rsidRPr="00F40D75" w:rsidRDefault="00DE5D4D" w:rsidP="00351059">
            <w:pPr>
              <w:spacing w:before="0" w:after="0"/>
              <w:ind w:left="0" w:right="-46"/>
            </w:pPr>
            <w:r>
              <w:t>Nicola Adams</w:t>
            </w:r>
          </w:p>
        </w:tc>
      </w:tr>
      <w:tr w:rsidR="00862F6C" w:rsidRPr="00F40D75" w14:paraId="25888863" w14:textId="77777777" w:rsidTr="00DB1144">
        <w:tc>
          <w:tcPr>
            <w:tcW w:w="4395" w:type="dxa"/>
            <w:shd w:val="clear" w:color="auto" w:fill="003087" w:themeFill="accent1"/>
          </w:tcPr>
          <w:p w14:paraId="32CBC370" w14:textId="77777777" w:rsidR="00F40D75" w:rsidRPr="00F40D75" w:rsidRDefault="00F40D75" w:rsidP="00351059">
            <w:pPr>
              <w:spacing w:before="0" w:after="0"/>
              <w:ind w:left="0" w:right="-46"/>
              <w:rPr>
                <w:color w:val="FFFFFF" w:themeColor="background1"/>
              </w:rPr>
            </w:pPr>
            <w:r w:rsidRPr="00F40D75">
              <w:rPr>
                <w:color w:val="FFFFFF" w:themeColor="background1"/>
              </w:rPr>
              <w:t>Responsible Executive Director</w:t>
            </w:r>
          </w:p>
        </w:tc>
        <w:tc>
          <w:tcPr>
            <w:tcW w:w="4677" w:type="dxa"/>
          </w:tcPr>
          <w:p w14:paraId="4E15631F" w14:textId="17CAED11" w:rsidR="00F40D75" w:rsidRPr="00F40D75" w:rsidRDefault="00BD1336" w:rsidP="00351059">
            <w:pPr>
              <w:spacing w:before="0" w:after="0"/>
              <w:ind w:left="0" w:right="-46"/>
            </w:pPr>
            <w:r>
              <w:t xml:space="preserve">Executive </w:t>
            </w:r>
            <w:r w:rsidR="003F7456">
              <w:t>Director of Finance and Commercial</w:t>
            </w:r>
          </w:p>
        </w:tc>
      </w:tr>
      <w:tr w:rsidR="00862F6C" w:rsidRPr="00F40D75" w14:paraId="62464B95" w14:textId="77777777" w:rsidTr="00DB1144">
        <w:tc>
          <w:tcPr>
            <w:tcW w:w="4395" w:type="dxa"/>
            <w:shd w:val="clear" w:color="auto" w:fill="003087" w:themeFill="accent1"/>
          </w:tcPr>
          <w:p w14:paraId="01E4F591" w14:textId="77777777" w:rsidR="00F40D75" w:rsidRPr="00F40D75" w:rsidRDefault="00F40D75" w:rsidP="00351059">
            <w:pPr>
              <w:spacing w:before="0" w:after="0"/>
              <w:ind w:left="0" w:right="-46"/>
              <w:rPr>
                <w:color w:val="FFFFFF" w:themeColor="background1"/>
              </w:rPr>
            </w:pPr>
            <w:r w:rsidRPr="00F40D75">
              <w:rPr>
                <w:color w:val="FFFFFF" w:themeColor="background1"/>
              </w:rPr>
              <w:t>Responsible Committee</w:t>
            </w:r>
          </w:p>
        </w:tc>
        <w:tc>
          <w:tcPr>
            <w:tcW w:w="4677" w:type="dxa"/>
          </w:tcPr>
          <w:p w14:paraId="47AD669C" w14:textId="1EC091BF" w:rsidR="00F40D75" w:rsidRPr="00F40D75" w:rsidRDefault="0023259B" w:rsidP="00351059">
            <w:pPr>
              <w:spacing w:before="0" w:after="0"/>
              <w:ind w:left="0" w:right="-46"/>
              <w:rPr>
                <w:color w:val="auto"/>
              </w:rPr>
            </w:pPr>
            <w:r>
              <w:rPr>
                <w:color w:val="auto"/>
              </w:rPr>
              <w:t>Executive Committee</w:t>
            </w:r>
            <w:r w:rsidR="008853AF">
              <w:rPr>
                <w:color w:val="auto"/>
              </w:rPr>
              <w:t xml:space="preserve"> and Finance and Performance Committee</w:t>
            </w:r>
          </w:p>
        </w:tc>
      </w:tr>
      <w:tr w:rsidR="00862F6C" w:rsidRPr="00F40D75" w14:paraId="57D5D2E8" w14:textId="77777777" w:rsidTr="00DB1144">
        <w:tc>
          <w:tcPr>
            <w:tcW w:w="4395" w:type="dxa"/>
            <w:shd w:val="clear" w:color="auto" w:fill="003087" w:themeFill="accent1"/>
          </w:tcPr>
          <w:p w14:paraId="3DCE8CF6" w14:textId="40584239" w:rsidR="00F40D75" w:rsidRPr="00F40D75" w:rsidRDefault="00F40D75" w:rsidP="00351059">
            <w:pPr>
              <w:spacing w:before="0" w:after="0"/>
              <w:ind w:left="0" w:right="-46"/>
              <w:rPr>
                <w:color w:val="FFFFFF" w:themeColor="background1"/>
              </w:rPr>
            </w:pPr>
            <w:r w:rsidRPr="00F40D75">
              <w:rPr>
                <w:color w:val="FFFFFF" w:themeColor="background1"/>
              </w:rPr>
              <w:t xml:space="preserve">Date </w:t>
            </w:r>
            <w:r w:rsidR="00C11885">
              <w:rPr>
                <w:color w:val="FFFFFF" w:themeColor="background1"/>
              </w:rPr>
              <w:t xml:space="preserve">Approved </w:t>
            </w:r>
            <w:r w:rsidRPr="00F40D75">
              <w:rPr>
                <w:color w:val="FFFFFF" w:themeColor="background1"/>
              </w:rPr>
              <w:t>by Responsible Committee</w:t>
            </w:r>
          </w:p>
        </w:tc>
        <w:tc>
          <w:tcPr>
            <w:tcW w:w="4677" w:type="dxa"/>
          </w:tcPr>
          <w:p w14:paraId="3802A08B" w14:textId="32AE8AF2" w:rsidR="00F40D75" w:rsidRPr="00F40D75" w:rsidRDefault="008F2D82" w:rsidP="00351059">
            <w:pPr>
              <w:spacing w:before="0" w:after="0"/>
              <w:ind w:left="0" w:right="-46"/>
              <w:rPr>
                <w:color w:val="auto"/>
                <w:highlight w:val="yellow"/>
              </w:rPr>
            </w:pPr>
            <w:r>
              <w:rPr>
                <w:color w:val="auto"/>
              </w:rPr>
              <w:t xml:space="preserve">4 </w:t>
            </w:r>
            <w:r w:rsidR="00C11885">
              <w:rPr>
                <w:color w:val="auto"/>
              </w:rPr>
              <w:t>November 2025</w:t>
            </w:r>
          </w:p>
        </w:tc>
      </w:tr>
      <w:tr w:rsidR="00862F6C" w:rsidRPr="00F40D75" w14:paraId="789E8FA5" w14:textId="77777777" w:rsidTr="00DB1144">
        <w:tc>
          <w:tcPr>
            <w:tcW w:w="4395" w:type="dxa"/>
            <w:shd w:val="clear" w:color="auto" w:fill="003087" w:themeFill="accent1"/>
          </w:tcPr>
          <w:p w14:paraId="4108E307" w14:textId="04E57CFD" w:rsidR="00F40D75" w:rsidRPr="00F40D75" w:rsidRDefault="00F40D75" w:rsidP="00351059">
            <w:pPr>
              <w:spacing w:before="0" w:after="0"/>
              <w:ind w:left="0" w:right="-46"/>
              <w:rPr>
                <w:color w:val="FFFFFF" w:themeColor="background1"/>
              </w:rPr>
            </w:pPr>
            <w:r w:rsidRPr="00F40D75">
              <w:rPr>
                <w:color w:val="FFFFFF" w:themeColor="background1"/>
              </w:rPr>
              <w:t xml:space="preserve">Date </w:t>
            </w:r>
            <w:r w:rsidR="00C11885">
              <w:rPr>
                <w:color w:val="FFFFFF" w:themeColor="background1"/>
              </w:rPr>
              <w:t xml:space="preserve">Ratified </w:t>
            </w:r>
            <w:r w:rsidRPr="00F40D75">
              <w:rPr>
                <w:color w:val="FFFFFF" w:themeColor="background1"/>
              </w:rPr>
              <w:t xml:space="preserve">by </w:t>
            </w:r>
            <w:r w:rsidR="00DD1716">
              <w:rPr>
                <w:color w:val="FFFFFF" w:themeColor="background1"/>
              </w:rPr>
              <w:t xml:space="preserve">ICB </w:t>
            </w:r>
            <w:r w:rsidRPr="00F40D75">
              <w:rPr>
                <w:color w:val="FFFFFF" w:themeColor="background1"/>
              </w:rPr>
              <w:t>Board</w:t>
            </w:r>
          </w:p>
        </w:tc>
        <w:tc>
          <w:tcPr>
            <w:tcW w:w="4677" w:type="dxa"/>
          </w:tcPr>
          <w:p w14:paraId="0CFA47BB" w14:textId="09688277" w:rsidR="00F40D75" w:rsidRPr="00F57702" w:rsidRDefault="00C11885" w:rsidP="00351059">
            <w:pPr>
              <w:spacing w:before="0" w:after="0"/>
              <w:ind w:left="0" w:right="-46"/>
              <w:rPr>
                <w:color w:val="auto"/>
                <w:highlight w:val="yellow"/>
              </w:rPr>
            </w:pPr>
            <w:r>
              <w:rPr>
                <w:color w:val="auto"/>
              </w:rPr>
              <w:t>20 November 2025</w:t>
            </w:r>
          </w:p>
        </w:tc>
      </w:tr>
      <w:tr w:rsidR="00862F6C" w:rsidRPr="00F40D75" w14:paraId="05F9D825" w14:textId="77777777" w:rsidTr="00DB1144">
        <w:tc>
          <w:tcPr>
            <w:tcW w:w="4395" w:type="dxa"/>
            <w:shd w:val="clear" w:color="auto" w:fill="003087" w:themeFill="accent1"/>
          </w:tcPr>
          <w:p w14:paraId="75F9AE6A" w14:textId="77777777" w:rsidR="00F40D75" w:rsidRPr="00F40D75" w:rsidRDefault="00F40D75" w:rsidP="00351059">
            <w:pPr>
              <w:spacing w:before="0" w:after="0"/>
              <w:ind w:left="0" w:right="-46"/>
              <w:rPr>
                <w:color w:val="FFFFFF" w:themeColor="background1"/>
              </w:rPr>
            </w:pPr>
            <w:r w:rsidRPr="00F40D75">
              <w:rPr>
                <w:color w:val="FFFFFF" w:themeColor="background1"/>
              </w:rPr>
              <w:t>Next Review Date</w:t>
            </w:r>
          </w:p>
        </w:tc>
        <w:tc>
          <w:tcPr>
            <w:tcW w:w="4677" w:type="dxa"/>
          </w:tcPr>
          <w:p w14:paraId="06A513EB" w14:textId="3FF35AE2" w:rsidR="00F40D75" w:rsidRPr="00F40D75" w:rsidRDefault="00314DF2" w:rsidP="00351059">
            <w:pPr>
              <w:spacing w:before="0" w:after="0"/>
              <w:ind w:left="0" w:right="-46"/>
              <w:rPr>
                <w:color w:val="auto"/>
              </w:rPr>
            </w:pPr>
            <w:r>
              <w:rPr>
                <w:color w:val="auto"/>
              </w:rPr>
              <w:t>November 2027</w:t>
            </w:r>
          </w:p>
        </w:tc>
      </w:tr>
      <w:tr w:rsidR="00862F6C" w:rsidRPr="00F40D75" w14:paraId="56E52DDF" w14:textId="77777777" w:rsidTr="00DB1144">
        <w:tc>
          <w:tcPr>
            <w:tcW w:w="4395" w:type="dxa"/>
            <w:shd w:val="clear" w:color="auto" w:fill="003087" w:themeFill="accent1"/>
          </w:tcPr>
          <w:p w14:paraId="5CE5B8A4" w14:textId="77777777" w:rsidR="00F40D75" w:rsidRPr="00F40D75" w:rsidRDefault="00F40D75" w:rsidP="00351059">
            <w:pPr>
              <w:spacing w:before="0" w:after="0"/>
              <w:ind w:left="0" w:right="-46"/>
              <w:rPr>
                <w:color w:val="FFFFFF" w:themeColor="background1"/>
              </w:rPr>
            </w:pPr>
            <w:r w:rsidRPr="00F40D75">
              <w:rPr>
                <w:color w:val="FFFFFF" w:themeColor="background1"/>
              </w:rPr>
              <w:t>Target Audience</w:t>
            </w:r>
          </w:p>
        </w:tc>
        <w:tc>
          <w:tcPr>
            <w:tcW w:w="4677" w:type="dxa"/>
          </w:tcPr>
          <w:p w14:paraId="73E94411" w14:textId="6DEF2DC7" w:rsidR="00F40D75" w:rsidRPr="00F40D75" w:rsidRDefault="00D838AD" w:rsidP="00351059">
            <w:pPr>
              <w:spacing w:before="0" w:after="0"/>
              <w:ind w:left="0" w:right="-46"/>
              <w:rPr>
                <w:color w:val="auto"/>
              </w:rPr>
            </w:pPr>
            <w:r>
              <w:rPr>
                <w:color w:val="auto"/>
              </w:rPr>
              <w:t xml:space="preserve">All MSE </w:t>
            </w:r>
            <w:r w:rsidR="00616D54">
              <w:rPr>
                <w:color w:val="auto"/>
              </w:rPr>
              <w:t xml:space="preserve">ICB </w:t>
            </w:r>
            <w:r>
              <w:rPr>
                <w:color w:val="auto"/>
              </w:rPr>
              <w:t>Staff</w:t>
            </w:r>
          </w:p>
        </w:tc>
      </w:tr>
      <w:tr w:rsidR="00862F6C" w:rsidRPr="00F40D75" w14:paraId="1044E36A" w14:textId="77777777" w:rsidTr="00DB1144">
        <w:tc>
          <w:tcPr>
            <w:tcW w:w="4395" w:type="dxa"/>
            <w:shd w:val="clear" w:color="auto" w:fill="003087" w:themeFill="accent1"/>
          </w:tcPr>
          <w:p w14:paraId="311D9ADB" w14:textId="77777777" w:rsidR="00F40D75" w:rsidRPr="00F40D75" w:rsidRDefault="00F40D75" w:rsidP="00351059">
            <w:pPr>
              <w:spacing w:before="0" w:after="0"/>
              <w:ind w:left="0" w:right="-46"/>
              <w:rPr>
                <w:color w:val="FFFFFF" w:themeColor="background1"/>
              </w:rPr>
            </w:pPr>
            <w:r w:rsidRPr="00F40D75">
              <w:rPr>
                <w:color w:val="FFFFFF" w:themeColor="background1"/>
              </w:rPr>
              <w:t xml:space="preserve">Stakeholders engaged in development of Policy (internal and external) </w:t>
            </w:r>
          </w:p>
        </w:tc>
        <w:tc>
          <w:tcPr>
            <w:tcW w:w="4677" w:type="dxa"/>
          </w:tcPr>
          <w:p w14:paraId="4F2FC223" w14:textId="1284D0B1" w:rsidR="00F40D75" w:rsidRDefault="00DE6DF3" w:rsidP="00223A24">
            <w:pPr>
              <w:pStyle w:val="ListParagraph"/>
              <w:numPr>
                <w:ilvl w:val="0"/>
                <w:numId w:val="31"/>
              </w:numPr>
              <w:spacing w:before="0" w:after="0"/>
              <w:ind w:left="320" w:right="-46" w:hanging="284"/>
            </w:pPr>
            <w:r w:rsidRPr="00DE6DF3">
              <w:t xml:space="preserve">Executive </w:t>
            </w:r>
            <w:r w:rsidR="00DA4DD2">
              <w:t>Committee</w:t>
            </w:r>
          </w:p>
          <w:p w14:paraId="57CA8B0A" w14:textId="1C511B26" w:rsidR="00DE6DF3" w:rsidRPr="00DE6DF3" w:rsidRDefault="00DE6DF3" w:rsidP="00223A24">
            <w:pPr>
              <w:pStyle w:val="ListParagraph"/>
              <w:numPr>
                <w:ilvl w:val="0"/>
                <w:numId w:val="31"/>
              </w:numPr>
              <w:spacing w:before="0" w:after="0"/>
              <w:ind w:left="320" w:right="-46" w:hanging="284"/>
            </w:pPr>
            <w:r>
              <w:t xml:space="preserve">Finance &amp; </w:t>
            </w:r>
            <w:r w:rsidR="00352E8A">
              <w:t xml:space="preserve">Performance </w:t>
            </w:r>
            <w:r>
              <w:t>Committee</w:t>
            </w:r>
          </w:p>
        </w:tc>
      </w:tr>
      <w:tr w:rsidR="00862F6C" w:rsidRPr="00F40D75" w14:paraId="5AD3E51A" w14:textId="77777777" w:rsidTr="00DB1144">
        <w:tc>
          <w:tcPr>
            <w:tcW w:w="4395" w:type="dxa"/>
            <w:shd w:val="clear" w:color="auto" w:fill="003087" w:themeFill="accent1"/>
          </w:tcPr>
          <w:p w14:paraId="3DD518BF" w14:textId="77777777" w:rsidR="00F40D75" w:rsidRPr="00F40D75" w:rsidRDefault="00F40D75" w:rsidP="00351059">
            <w:pPr>
              <w:spacing w:before="0" w:after="0"/>
              <w:ind w:left="0" w:right="-46"/>
              <w:rPr>
                <w:color w:val="FFFFFF" w:themeColor="background1"/>
              </w:rPr>
            </w:pPr>
            <w:r w:rsidRPr="00F40D75">
              <w:rPr>
                <w:color w:val="FFFFFF" w:themeColor="background1"/>
              </w:rPr>
              <w:t xml:space="preserve">Impact Assessments Undertaken </w:t>
            </w:r>
          </w:p>
          <w:p w14:paraId="33233CEA" w14:textId="7832C4A6" w:rsidR="00F40D75" w:rsidRPr="00F40D75" w:rsidRDefault="00F40D75" w:rsidP="00351059">
            <w:pPr>
              <w:spacing w:before="0" w:after="0"/>
              <w:ind w:left="0" w:right="-46"/>
              <w:rPr>
                <w:i/>
                <w:iCs/>
                <w:color w:val="FFFFFF" w:themeColor="background1"/>
              </w:rPr>
            </w:pPr>
            <w:r w:rsidRPr="00F40D75">
              <w:rPr>
                <w:i/>
                <w:iCs/>
                <w:color w:val="FFFFFF" w:themeColor="background1"/>
              </w:rPr>
              <w:t>(</w:t>
            </w:r>
            <w:r w:rsidR="00786D48">
              <w:rPr>
                <w:i/>
                <w:iCs/>
                <w:color w:val="FFFFFF" w:themeColor="background1"/>
              </w:rPr>
              <w:t>State</w:t>
            </w:r>
            <w:r w:rsidRPr="00F40D75">
              <w:rPr>
                <w:i/>
                <w:iCs/>
                <w:color w:val="FFFFFF" w:themeColor="background1"/>
              </w:rPr>
              <w:t xml:space="preserve"> if no</w:t>
            </w:r>
            <w:r w:rsidR="00786D48">
              <w:rPr>
                <w:i/>
                <w:iCs/>
                <w:color w:val="FFFFFF" w:themeColor="background1"/>
              </w:rPr>
              <w:t xml:space="preserve">t </w:t>
            </w:r>
            <w:r w:rsidRPr="00F40D75">
              <w:rPr>
                <w:i/>
                <w:iCs/>
                <w:color w:val="FFFFFF" w:themeColor="background1"/>
              </w:rPr>
              <w:t>applicable)</w:t>
            </w:r>
          </w:p>
        </w:tc>
        <w:tc>
          <w:tcPr>
            <w:tcW w:w="4677" w:type="dxa"/>
          </w:tcPr>
          <w:p w14:paraId="4721129D" w14:textId="158B0629" w:rsidR="00F40D75" w:rsidRPr="006A444F" w:rsidRDefault="00F40D75" w:rsidP="006A444F">
            <w:pPr>
              <w:numPr>
                <w:ilvl w:val="0"/>
                <w:numId w:val="10"/>
              </w:numPr>
              <w:spacing w:before="0" w:after="0"/>
              <w:ind w:left="345" w:right="-46" w:hanging="284"/>
              <w:contextualSpacing/>
              <w:rPr>
                <w:rFonts w:cstheme="minorHAnsi"/>
                <w:b/>
                <w:bCs/>
              </w:rPr>
            </w:pPr>
            <w:r w:rsidRPr="00F40D75">
              <w:rPr>
                <w:rFonts w:cs="Times New Roman (Body CS)"/>
              </w:rPr>
              <w:t>Equality and Health Inequalities Impact Assessment</w:t>
            </w:r>
            <w:r w:rsidRPr="006A444F">
              <w:rPr>
                <w:rFonts w:cs="Times New Roman (Body CS)"/>
              </w:rPr>
              <w:t xml:space="preserve"> </w:t>
            </w:r>
          </w:p>
        </w:tc>
      </w:tr>
    </w:tbl>
    <w:p w14:paraId="0C917D2C" w14:textId="77777777" w:rsidR="00F40D75" w:rsidRPr="00F40D75" w:rsidRDefault="00F40D75" w:rsidP="00351059">
      <w:pPr>
        <w:keepNext/>
        <w:keepLines/>
        <w:spacing w:before="240"/>
        <w:ind w:left="0" w:right="-46"/>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Version History</w:t>
      </w:r>
    </w:p>
    <w:tbl>
      <w:tblPr>
        <w:tblStyle w:val="TableGrid1"/>
        <w:tblW w:w="0" w:type="auto"/>
        <w:tblLook w:val="04A0" w:firstRow="1" w:lastRow="0" w:firstColumn="1" w:lastColumn="0" w:noHBand="0" w:noVBand="1"/>
      </w:tblPr>
      <w:tblGrid>
        <w:gridCol w:w="1097"/>
        <w:gridCol w:w="1318"/>
        <w:gridCol w:w="3392"/>
        <w:gridCol w:w="3502"/>
      </w:tblGrid>
      <w:tr w:rsidR="00F40D75" w:rsidRPr="00F40D75" w14:paraId="6F168EB3" w14:textId="77777777" w:rsidTr="007D6D10">
        <w:trPr>
          <w:trHeight w:val="489"/>
          <w:tblHeader/>
        </w:trPr>
        <w:tc>
          <w:tcPr>
            <w:tcW w:w="1097" w:type="dxa"/>
            <w:shd w:val="clear" w:color="auto" w:fill="003087" w:themeFill="accent1"/>
            <w:vAlign w:val="center"/>
          </w:tcPr>
          <w:p w14:paraId="447BB25D" w14:textId="77777777" w:rsidR="00F40D75" w:rsidRPr="00F40D75" w:rsidRDefault="00F40D75" w:rsidP="00351059">
            <w:pPr>
              <w:spacing w:before="0" w:after="0"/>
              <w:ind w:left="0" w:right="-46"/>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318" w:type="dxa"/>
            <w:shd w:val="clear" w:color="auto" w:fill="003087" w:themeFill="accent1"/>
            <w:vAlign w:val="center"/>
          </w:tcPr>
          <w:p w14:paraId="58766829" w14:textId="77777777" w:rsidR="00F40D75" w:rsidRPr="00F40D75" w:rsidRDefault="00F40D75" w:rsidP="00351059">
            <w:pPr>
              <w:spacing w:before="0" w:after="0"/>
              <w:ind w:left="0" w:right="-46"/>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3392" w:type="dxa"/>
            <w:shd w:val="clear" w:color="auto" w:fill="003087" w:themeFill="accent1"/>
            <w:vAlign w:val="center"/>
          </w:tcPr>
          <w:p w14:paraId="5186C695" w14:textId="77777777" w:rsidR="00F40D75" w:rsidRPr="00F40D75" w:rsidRDefault="00F40D75" w:rsidP="00351059">
            <w:pPr>
              <w:spacing w:before="0" w:after="0"/>
              <w:ind w:left="0" w:right="-46"/>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3502" w:type="dxa"/>
            <w:shd w:val="clear" w:color="auto" w:fill="003087" w:themeFill="accent1"/>
            <w:vAlign w:val="center"/>
          </w:tcPr>
          <w:p w14:paraId="3A7D2C3A" w14:textId="77777777" w:rsidR="00F40D75" w:rsidRPr="00F40D75" w:rsidRDefault="00F40D75" w:rsidP="00351059">
            <w:pPr>
              <w:spacing w:before="0" w:after="0"/>
              <w:ind w:left="0" w:right="-46"/>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352E8A" w:rsidRPr="00F40D75" w14:paraId="4007A22E" w14:textId="77777777" w:rsidTr="007D6D10">
        <w:trPr>
          <w:trHeight w:val="423"/>
        </w:trPr>
        <w:tc>
          <w:tcPr>
            <w:tcW w:w="1097" w:type="dxa"/>
            <w:vAlign w:val="center"/>
          </w:tcPr>
          <w:p w14:paraId="2A900DE3" w14:textId="14D2AE9F" w:rsidR="00352E8A" w:rsidRDefault="00352E8A"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0.1 – 0.11</w:t>
            </w:r>
          </w:p>
        </w:tc>
        <w:tc>
          <w:tcPr>
            <w:tcW w:w="1318" w:type="dxa"/>
            <w:vAlign w:val="center"/>
          </w:tcPr>
          <w:p w14:paraId="737187A5" w14:textId="7BCAC9D5" w:rsidR="00352E8A" w:rsidRDefault="00352E8A"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 xml:space="preserve">15/06/23 </w:t>
            </w:r>
            <w:r w:rsidR="00E0600B">
              <w:rPr>
                <w:rFonts w:ascii="Arial" w:eastAsiaTheme="minorEastAsia" w:hAnsi="Arial" w:cs="Arial"/>
                <w:color w:val="auto"/>
                <w:sz w:val="22"/>
                <w:szCs w:val="22"/>
                <w:lang w:val="en-US" w:eastAsia="zh-CN"/>
              </w:rPr>
              <w:t>–</w:t>
            </w:r>
            <w:r>
              <w:rPr>
                <w:rFonts w:ascii="Arial" w:eastAsiaTheme="minorEastAsia" w:hAnsi="Arial" w:cs="Arial"/>
                <w:color w:val="auto"/>
                <w:sz w:val="22"/>
                <w:szCs w:val="22"/>
                <w:lang w:val="en-US" w:eastAsia="zh-CN"/>
              </w:rPr>
              <w:t xml:space="preserve"> </w:t>
            </w:r>
            <w:r w:rsidR="00E0600B">
              <w:rPr>
                <w:rFonts w:ascii="Arial" w:eastAsiaTheme="minorEastAsia" w:hAnsi="Arial" w:cs="Arial"/>
                <w:color w:val="auto"/>
                <w:sz w:val="22"/>
                <w:szCs w:val="22"/>
                <w:lang w:val="en-US" w:eastAsia="zh-CN"/>
              </w:rPr>
              <w:t>14/09/24</w:t>
            </w:r>
          </w:p>
        </w:tc>
        <w:tc>
          <w:tcPr>
            <w:tcW w:w="3392" w:type="dxa"/>
            <w:vAlign w:val="center"/>
          </w:tcPr>
          <w:p w14:paraId="656DAF0A" w14:textId="4E57E771" w:rsidR="00352E8A" w:rsidRDefault="00E0600B"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Various</w:t>
            </w:r>
          </w:p>
        </w:tc>
        <w:tc>
          <w:tcPr>
            <w:tcW w:w="3502" w:type="dxa"/>
            <w:vAlign w:val="center"/>
          </w:tcPr>
          <w:p w14:paraId="3BE0F444" w14:textId="43273AC0" w:rsidR="00352E8A" w:rsidRDefault="00E0600B"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Development of policy</w:t>
            </w:r>
          </w:p>
        </w:tc>
      </w:tr>
      <w:tr w:rsidR="00826559" w:rsidRPr="00F40D75" w14:paraId="233ECD41" w14:textId="77777777" w:rsidTr="007D6D10">
        <w:trPr>
          <w:trHeight w:val="423"/>
        </w:trPr>
        <w:tc>
          <w:tcPr>
            <w:tcW w:w="1097" w:type="dxa"/>
            <w:vAlign w:val="center"/>
          </w:tcPr>
          <w:p w14:paraId="3AD7BD06" w14:textId="051D59BC" w:rsidR="00826559" w:rsidRDefault="00826559"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1.0</w:t>
            </w:r>
          </w:p>
        </w:tc>
        <w:tc>
          <w:tcPr>
            <w:tcW w:w="1318" w:type="dxa"/>
            <w:vAlign w:val="center"/>
          </w:tcPr>
          <w:p w14:paraId="017B6966" w14:textId="25A4A0A0" w:rsidR="00826559" w:rsidRDefault="00826559"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28/09/23</w:t>
            </w:r>
          </w:p>
        </w:tc>
        <w:tc>
          <w:tcPr>
            <w:tcW w:w="3392" w:type="dxa"/>
            <w:vAlign w:val="center"/>
          </w:tcPr>
          <w:p w14:paraId="768715D7" w14:textId="5A62CFFC" w:rsidR="00826559" w:rsidRDefault="00826559"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ICB Board</w:t>
            </w:r>
          </w:p>
        </w:tc>
        <w:tc>
          <w:tcPr>
            <w:tcW w:w="3502" w:type="dxa"/>
            <w:vAlign w:val="center"/>
          </w:tcPr>
          <w:p w14:paraId="375DC441" w14:textId="4878C0AA" w:rsidR="00826559" w:rsidRDefault="00826559"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Final version approved.</w:t>
            </w:r>
          </w:p>
        </w:tc>
      </w:tr>
      <w:tr w:rsidR="00DA4DD2" w:rsidRPr="00F40D75" w14:paraId="7243326E" w14:textId="77777777" w:rsidTr="007D6D10">
        <w:trPr>
          <w:trHeight w:val="423"/>
        </w:trPr>
        <w:tc>
          <w:tcPr>
            <w:tcW w:w="1097" w:type="dxa"/>
            <w:vAlign w:val="center"/>
          </w:tcPr>
          <w:p w14:paraId="50A7FFA9" w14:textId="46209CDF" w:rsidR="00DA4DD2" w:rsidRDefault="00DA4DD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1.1</w:t>
            </w:r>
          </w:p>
        </w:tc>
        <w:tc>
          <w:tcPr>
            <w:tcW w:w="1318" w:type="dxa"/>
            <w:vAlign w:val="center"/>
          </w:tcPr>
          <w:p w14:paraId="5807CC69" w14:textId="22F94A4F" w:rsidR="00DA4DD2" w:rsidRDefault="00DA4DD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06/12/2024</w:t>
            </w:r>
          </w:p>
        </w:tc>
        <w:tc>
          <w:tcPr>
            <w:tcW w:w="3392" w:type="dxa"/>
            <w:vAlign w:val="center"/>
          </w:tcPr>
          <w:p w14:paraId="3E39C611" w14:textId="7A7FD8F1" w:rsidR="00DA4DD2" w:rsidRDefault="00DA4DD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Nicola Adams, Associate Director of Corporate Services</w:t>
            </w:r>
          </w:p>
        </w:tc>
        <w:tc>
          <w:tcPr>
            <w:tcW w:w="3502" w:type="dxa"/>
            <w:vAlign w:val="center"/>
          </w:tcPr>
          <w:p w14:paraId="49703F8F" w14:textId="5714AD30" w:rsidR="00DA4DD2" w:rsidRDefault="00DA4DD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Revisions to reflect change in processes and strengthen exit arrangements etc.</w:t>
            </w:r>
          </w:p>
        </w:tc>
      </w:tr>
      <w:tr w:rsidR="003019F6" w:rsidRPr="00F40D75" w14:paraId="2FD9A1C5" w14:textId="77777777" w:rsidTr="007D6D10">
        <w:trPr>
          <w:trHeight w:val="423"/>
        </w:trPr>
        <w:tc>
          <w:tcPr>
            <w:tcW w:w="1097" w:type="dxa"/>
            <w:vAlign w:val="center"/>
          </w:tcPr>
          <w:p w14:paraId="291CC7C1" w14:textId="2E70E4F4" w:rsidR="003019F6" w:rsidRDefault="003019F6"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1</w:t>
            </w:r>
            <w:r>
              <w:rPr>
                <w:rFonts w:ascii="Arial" w:eastAsiaTheme="minorEastAsia" w:hAnsi="Arial"/>
                <w:color w:val="auto"/>
                <w:sz w:val="22"/>
                <w:szCs w:val="22"/>
                <w:lang w:val="en-US" w:eastAsia="zh-CN"/>
              </w:rPr>
              <w:t>.2</w:t>
            </w:r>
          </w:p>
        </w:tc>
        <w:tc>
          <w:tcPr>
            <w:tcW w:w="1318" w:type="dxa"/>
            <w:vAlign w:val="center"/>
          </w:tcPr>
          <w:p w14:paraId="50280B8F" w14:textId="7886F16C" w:rsidR="003019F6" w:rsidRDefault="003019F6"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7</w:t>
            </w:r>
            <w:r>
              <w:rPr>
                <w:rFonts w:ascii="Arial" w:eastAsiaTheme="minorEastAsia" w:hAnsi="Arial"/>
                <w:color w:val="auto"/>
                <w:sz w:val="22"/>
                <w:szCs w:val="22"/>
                <w:lang w:val="en-US" w:eastAsia="zh-CN"/>
              </w:rPr>
              <w:t>/02/2025</w:t>
            </w:r>
          </w:p>
        </w:tc>
        <w:tc>
          <w:tcPr>
            <w:tcW w:w="3392" w:type="dxa"/>
            <w:vAlign w:val="center"/>
          </w:tcPr>
          <w:p w14:paraId="2B503BA0" w14:textId="56CD81C9" w:rsidR="003019F6" w:rsidRDefault="003019F6"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Nicola Adams, Associate Director of Corporate Services</w:t>
            </w:r>
          </w:p>
        </w:tc>
        <w:tc>
          <w:tcPr>
            <w:tcW w:w="3502" w:type="dxa"/>
            <w:vAlign w:val="center"/>
          </w:tcPr>
          <w:p w14:paraId="400C3853" w14:textId="40868DBF" w:rsidR="003019F6" w:rsidRDefault="005A17A5"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 xml:space="preserve">Revisions to reflect feedback and add a new </w:t>
            </w:r>
            <w:proofErr w:type="spellStart"/>
            <w:r>
              <w:rPr>
                <w:rFonts w:ascii="Arial" w:eastAsiaTheme="minorEastAsia" w:hAnsi="Arial" w:cs="Arial"/>
                <w:color w:val="auto"/>
                <w:sz w:val="22"/>
                <w:szCs w:val="22"/>
                <w:lang w:val="en-US" w:eastAsia="zh-CN"/>
              </w:rPr>
              <w:t>prioritisation</w:t>
            </w:r>
            <w:proofErr w:type="spellEnd"/>
            <w:r>
              <w:rPr>
                <w:rFonts w:ascii="Arial" w:eastAsiaTheme="minorEastAsia" w:hAnsi="Arial" w:cs="Arial"/>
                <w:color w:val="auto"/>
                <w:sz w:val="22"/>
                <w:szCs w:val="22"/>
                <w:lang w:val="en-US" w:eastAsia="zh-CN"/>
              </w:rPr>
              <w:t xml:space="preserve"> framework.</w:t>
            </w:r>
          </w:p>
        </w:tc>
      </w:tr>
      <w:tr w:rsidR="003C6B8D" w:rsidRPr="00F40D75" w14:paraId="733CA5C2" w14:textId="77777777" w:rsidTr="007D6D10">
        <w:trPr>
          <w:trHeight w:val="423"/>
        </w:trPr>
        <w:tc>
          <w:tcPr>
            <w:tcW w:w="1097" w:type="dxa"/>
            <w:vAlign w:val="center"/>
          </w:tcPr>
          <w:p w14:paraId="7A21121A" w14:textId="763DEC26" w:rsidR="003C6B8D" w:rsidRDefault="003C6B8D"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2.0</w:t>
            </w:r>
          </w:p>
        </w:tc>
        <w:tc>
          <w:tcPr>
            <w:tcW w:w="1318" w:type="dxa"/>
            <w:vAlign w:val="center"/>
          </w:tcPr>
          <w:p w14:paraId="61C07065" w14:textId="1E386982" w:rsidR="003C6B8D" w:rsidRDefault="003C6B8D"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11/02/2025</w:t>
            </w:r>
          </w:p>
        </w:tc>
        <w:tc>
          <w:tcPr>
            <w:tcW w:w="3392" w:type="dxa"/>
            <w:vAlign w:val="center"/>
          </w:tcPr>
          <w:p w14:paraId="2EA4C3C2" w14:textId="504EA72E" w:rsidR="003C6B8D" w:rsidRDefault="00780EE0"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Nicola Adams, Associate Director of Corporate Services</w:t>
            </w:r>
          </w:p>
        </w:tc>
        <w:tc>
          <w:tcPr>
            <w:tcW w:w="3502" w:type="dxa"/>
            <w:vAlign w:val="center"/>
          </w:tcPr>
          <w:p w14:paraId="01F6C6FE" w14:textId="3F3C5CD4" w:rsidR="003C6B8D" w:rsidRDefault="00780EE0"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Final version approved by Executive Committee</w:t>
            </w:r>
          </w:p>
        </w:tc>
      </w:tr>
      <w:tr w:rsidR="001E3772" w:rsidRPr="00F40D75" w14:paraId="6E2726C1" w14:textId="77777777" w:rsidTr="007D6D10">
        <w:trPr>
          <w:trHeight w:val="423"/>
        </w:trPr>
        <w:tc>
          <w:tcPr>
            <w:tcW w:w="1097" w:type="dxa"/>
            <w:vAlign w:val="center"/>
          </w:tcPr>
          <w:p w14:paraId="0BE61D31" w14:textId="180F8EB5" w:rsidR="001E3772" w:rsidRDefault="001E377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2.1</w:t>
            </w:r>
          </w:p>
        </w:tc>
        <w:tc>
          <w:tcPr>
            <w:tcW w:w="1318" w:type="dxa"/>
            <w:vAlign w:val="center"/>
          </w:tcPr>
          <w:p w14:paraId="15FA9375" w14:textId="75C02699" w:rsidR="001E3772" w:rsidRDefault="001E3772"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17/10/2025</w:t>
            </w:r>
          </w:p>
        </w:tc>
        <w:tc>
          <w:tcPr>
            <w:tcW w:w="3392" w:type="dxa"/>
            <w:vAlign w:val="center"/>
          </w:tcPr>
          <w:p w14:paraId="48F79AE3" w14:textId="7B51EA19" w:rsidR="001E3772" w:rsidRDefault="008F6E0B"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Karen Wesson, SRO Preventative and Pro-active Care</w:t>
            </w:r>
          </w:p>
        </w:tc>
        <w:tc>
          <w:tcPr>
            <w:tcW w:w="3502" w:type="dxa"/>
            <w:vAlign w:val="center"/>
          </w:tcPr>
          <w:p w14:paraId="5DFDD6D2" w14:textId="5310ED08" w:rsidR="001E3772" w:rsidRDefault="0060182C"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Drafting to clarify decommissioning and appeals processes.</w:t>
            </w:r>
          </w:p>
        </w:tc>
      </w:tr>
      <w:tr w:rsidR="00A72DD1" w:rsidRPr="00F40D75" w14:paraId="31AE1D34" w14:textId="77777777" w:rsidTr="007D6D10">
        <w:trPr>
          <w:trHeight w:val="423"/>
        </w:trPr>
        <w:tc>
          <w:tcPr>
            <w:tcW w:w="1097" w:type="dxa"/>
            <w:vAlign w:val="center"/>
          </w:tcPr>
          <w:p w14:paraId="21431174" w14:textId="139B8D86" w:rsidR="00A72DD1" w:rsidRDefault="00A72DD1"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2.2</w:t>
            </w:r>
          </w:p>
        </w:tc>
        <w:tc>
          <w:tcPr>
            <w:tcW w:w="1318" w:type="dxa"/>
            <w:vAlign w:val="center"/>
          </w:tcPr>
          <w:p w14:paraId="25015606" w14:textId="4BD93B4D" w:rsidR="00A72DD1" w:rsidRDefault="00A72DD1"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04/11/2025</w:t>
            </w:r>
          </w:p>
        </w:tc>
        <w:tc>
          <w:tcPr>
            <w:tcW w:w="3392" w:type="dxa"/>
            <w:vAlign w:val="center"/>
          </w:tcPr>
          <w:p w14:paraId="3F4DF793" w14:textId="644207AD" w:rsidR="00A72DD1" w:rsidRDefault="00A72DD1"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 xml:space="preserve">Helen </w:t>
            </w:r>
            <w:proofErr w:type="spellStart"/>
            <w:r>
              <w:rPr>
                <w:rFonts w:ascii="Arial" w:eastAsiaTheme="minorEastAsia" w:hAnsi="Arial" w:cs="Arial"/>
                <w:color w:val="auto"/>
                <w:sz w:val="22"/>
                <w:szCs w:val="22"/>
                <w:lang w:val="en-US" w:eastAsia="zh-CN"/>
              </w:rPr>
              <w:t>Chasney,</w:t>
            </w:r>
            <w:proofErr w:type="spellEnd"/>
            <w:r>
              <w:rPr>
                <w:rFonts w:ascii="Arial" w:eastAsiaTheme="minorEastAsia" w:hAnsi="Arial" w:cs="Arial"/>
                <w:color w:val="auto"/>
                <w:sz w:val="22"/>
                <w:szCs w:val="22"/>
                <w:lang w:val="en-US" w:eastAsia="zh-CN"/>
              </w:rPr>
              <w:t xml:space="preserve"> Corp </w:t>
            </w:r>
            <w:proofErr w:type="spellStart"/>
            <w:r>
              <w:rPr>
                <w:rFonts w:ascii="Arial" w:eastAsiaTheme="minorEastAsia" w:hAnsi="Arial" w:cs="Arial"/>
                <w:color w:val="auto"/>
                <w:sz w:val="22"/>
                <w:szCs w:val="22"/>
                <w:lang w:val="en-US" w:eastAsia="zh-CN"/>
              </w:rPr>
              <w:t>Svcs</w:t>
            </w:r>
            <w:proofErr w:type="spellEnd"/>
            <w:r>
              <w:rPr>
                <w:rFonts w:ascii="Arial" w:eastAsiaTheme="minorEastAsia" w:hAnsi="Arial" w:cs="Arial"/>
                <w:color w:val="auto"/>
                <w:sz w:val="22"/>
                <w:szCs w:val="22"/>
                <w:lang w:val="en-US" w:eastAsia="zh-CN"/>
              </w:rPr>
              <w:t xml:space="preserve"> &amp; Gov Support Officer</w:t>
            </w:r>
          </w:p>
        </w:tc>
        <w:tc>
          <w:tcPr>
            <w:tcW w:w="3502" w:type="dxa"/>
            <w:vAlign w:val="center"/>
          </w:tcPr>
          <w:p w14:paraId="2D1FA29D" w14:textId="5F459191" w:rsidR="00A72DD1" w:rsidRDefault="00162914" w:rsidP="00BE73E7">
            <w:pPr>
              <w:spacing w:before="0" w:after="0"/>
              <w:ind w:left="0" w:right="-46"/>
              <w:rPr>
                <w:rFonts w:ascii="Arial" w:eastAsiaTheme="minorEastAsia" w:hAnsi="Arial" w:cs="Arial"/>
                <w:color w:val="auto"/>
                <w:sz w:val="22"/>
                <w:szCs w:val="22"/>
                <w:lang w:val="en-US" w:eastAsia="zh-CN"/>
              </w:rPr>
            </w:pPr>
            <w:r>
              <w:rPr>
                <w:rFonts w:ascii="Arial" w:eastAsiaTheme="minorEastAsia" w:hAnsi="Arial" w:cs="Arial"/>
                <w:color w:val="auto"/>
                <w:sz w:val="22"/>
                <w:szCs w:val="22"/>
                <w:lang w:val="en-US" w:eastAsia="zh-CN"/>
              </w:rPr>
              <w:t xml:space="preserve">Removal of </w:t>
            </w:r>
            <w:r w:rsidR="00273D9F">
              <w:rPr>
                <w:rFonts w:ascii="Arial" w:eastAsiaTheme="minorEastAsia" w:hAnsi="Arial" w:cs="Arial"/>
                <w:color w:val="auto"/>
                <w:sz w:val="22"/>
                <w:szCs w:val="22"/>
                <w:lang w:val="en-US" w:eastAsia="zh-CN"/>
              </w:rPr>
              <w:t xml:space="preserve">reference to the system Financial Sustainability </w:t>
            </w:r>
            <w:proofErr w:type="spellStart"/>
            <w:r w:rsidR="00273D9F">
              <w:rPr>
                <w:rFonts w:ascii="Arial" w:eastAsiaTheme="minorEastAsia" w:hAnsi="Arial" w:cs="Arial"/>
                <w:color w:val="auto"/>
                <w:sz w:val="22"/>
                <w:szCs w:val="22"/>
                <w:lang w:val="en-US" w:eastAsia="zh-CN"/>
              </w:rPr>
              <w:t>Programme</w:t>
            </w:r>
            <w:proofErr w:type="spellEnd"/>
            <w:r w:rsidR="00273D9F">
              <w:rPr>
                <w:rFonts w:ascii="Arial" w:eastAsiaTheme="minorEastAsia" w:hAnsi="Arial" w:cs="Arial"/>
                <w:color w:val="auto"/>
                <w:sz w:val="22"/>
                <w:szCs w:val="22"/>
                <w:lang w:val="en-US" w:eastAsia="zh-CN"/>
              </w:rPr>
              <w:t xml:space="preserve"> Board as per Rem</w:t>
            </w:r>
            <w:r w:rsidR="00314DF2">
              <w:rPr>
                <w:rFonts w:ascii="Arial" w:eastAsiaTheme="minorEastAsia" w:hAnsi="Arial" w:cs="Arial"/>
                <w:color w:val="auto"/>
                <w:sz w:val="22"/>
                <w:szCs w:val="22"/>
                <w:lang w:val="en-US" w:eastAsia="zh-CN"/>
              </w:rPr>
              <w:t>uneration Committee</w:t>
            </w:r>
            <w:r w:rsidR="008F0345">
              <w:rPr>
                <w:rFonts w:ascii="Arial" w:eastAsiaTheme="minorEastAsia" w:hAnsi="Arial" w:cs="Arial"/>
                <w:color w:val="auto"/>
                <w:sz w:val="22"/>
                <w:szCs w:val="22"/>
                <w:lang w:val="en-US" w:eastAsia="zh-CN"/>
              </w:rPr>
              <w:t>, 4 Nov 2025</w:t>
            </w:r>
          </w:p>
        </w:tc>
      </w:tr>
    </w:tbl>
    <w:p w14:paraId="5FB563F3" w14:textId="77777777" w:rsidR="00F40D75" w:rsidRPr="00F40D75" w:rsidRDefault="00F40D75" w:rsidP="00351059">
      <w:pPr>
        <w:ind w:left="0" w:right="-46"/>
        <w:rPr>
          <w:color w:val="002365" w:themeColor="accent1" w:themeShade="BF"/>
          <w:sz w:val="32"/>
          <w:szCs w:val="32"/>
        </w:rPr>
      </w:pPr>
      <w:r w:rsidRPr="00F40D75">
        <w:br w:type="page"/>
      </w:r>
    </w:p>
    <w:p w14:paraId="4CC83F76" w14:textId="2C26D68F" w:rsidR="00F40D75" w:rsidRDefault="00F40D75" w:rsidP="00351059">
      <w:pPr>
        <w:keepNext/>
        <w:keepLines/>
        <w:spacing w:before="240"/>
        <w:ind w:left="0" w:right="-46"/>
        <w:outlineLvl w:val="0"/>
        <w:rPr>
          <w:rFonts w:asciiTheme="majorHAnsi" w:eastAsiaTheme="majorEastAsia" w:hAnsiTheme="majorHAnsi" w:cstheme="majorBidi"/>
          <w:b/>
          <w:sz w:val="32"/>
          <w:szCs w:val="32"/>
        </w:rPr>
      </w:pPr>
      <w:bookmarkStart w:id="0" w:name="_Hlk137734403"/>
      <w:bookmarkStart w:id="1" w:name="_Hlk137731996"/>
      <w:r w:rsidRPr="00F40D75">
        <w:rPr>
          <w:rFonts w:asciiTheme="majorHAnsi" w:eastAsiaTheme="majorEastAsia" w:hAnsiTheme="majorHAnsi" w:cstheme="majorBidi"/>
          <w:b/>
          <w:sz w:val="32"/>
          <w:szCs w:val="32"/>
        </w:rPr>
        <w:lastRenderedPageBreak/>
        <w:t>Contents</w:t>
      </w:r>
    </w:p>
    <w:bookmarkEnd w:id="0"/>
    <w:p w14:paraId="77B558B9" w14:textId="77777777" w:rsidR="00B45CFD" w:rsidRDefault="00B45CFD" w:rsidP="00487C77">
      <w:pPr>
        <w:tabs>
          <w:tab w:val="left" w:pos="720"/>
          <w:tab w:val="right" w:leader="underscore" w:pos="9016"/>
        </w:tabs>
        <w:spacing w:after="100"/>
        <w:ind w:right="-46" w:hanging="1134"/>
        <w:rPr>
          <w:rFonts w:ascii="AppleSystemUIFont" w:hAnsi="AppleSystemUIFont" w:cs="AppleSystemUIFont"/>
          <w:sz w:val="26"/>
          <w:szCs w:val="26"/>
        </w:rPr>
      </w:pPr>
    </w:p>
    <w:bookmarkEnd w:id="1"/>
    <w:p w14:paraId="562750CA" w14:textId="29131C23" w:rsidR="00091568" w:rsidRDefault="009034A2">
      <w:pPr>
        <w:pStyle w:val="TOC1"/>
        <w:rPr>
          <w:rFonts w:eastAsiaTheme="minorEastAsia"/>
          <w:b w:val="0"/>
          <w:noProof/>
          <w:color w:val="auto"/>
          <w:kern w:val="2"/>
          <w:lang w:eastAsia="en-GB"/>
          <w14:ligatures w14:val="standardContextual"/>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213919770" w:history="1">
        <w:r w:rsidR="00091568" w:rsidRPr="003A46FB">
          <w:rPr>
            <w:rStyle w:val="Hyperlink"/>
            <w:noProof/>
          </w:rPr>
          <w:t>1.</w:t>
        </w:r>
        <w:r w:rsidR="00091568">
          <w:rPr>
            <w:rFonts w:eastAsiaTheme="minorEastAsia"/>
            <w:b w:val="0"/>
            <w:noProof/>
            <w:color w:val="auto"/>
            <w:kern w:val="2"/>
            <w:lang w:eastAsia="en-GB"/>
            <w14:ligatures w14:val="standardContextual"/>
          </w:rPr>
          <w:tab/>
        </w:r>
        <w:r w:rsidR="00091568" w:rsidRPr="003A46FB">
          <w:rPr>
            <w:rStyle w:val="Hyperlink"/>
            <w:noProof/>
          </w:rPr>
          <w:t>Introduction</w:t>
        </w:r>
        <w:r w:rsidR="00091568">
          <w:rPr>
            <w:noProof/>
            <w:webHidden/>
          </w:rPr>
          <w:tab/>
        </w:r>
        <w:r w:rsidR="00091568">
          <w:rPr>
            <w:noProof/>
            <w:webHidden/>
          </w:rPr>
          <w:fldChar w:fldCharType="begin"/>
        </w:r>
        <w:r w:rsidR="00091568">
          <w:rPr>
            <w:noProof/>
            <w:webHidden/>
          </w:rPr>
          <w:instrText xml:space="preserve"> PAGEREF _Toc213919770 \h </w:instrText>
        </w:r>
        <w:r w:rsidR="00091568">
          <w:rPr>
            <w:noProof/>
            <w:webHidden/>
          </w:rPr>
        </w:r>
        <w:r w:rsidR="00091568">
          <w:rPr>
            <w:noProof/>
            <w:webHidden/>
          </w:rPr>
          <w:fldChar w:fldCharType="separate"/>
        </w:r>
        <w:r w:rsidR="00BA56B8">
          <w:rPr>
            <w:noProof/>
            <w:webHidden/>
          </w:rPr>
          <w:t>6</w:t>
        </w:r>
        <w:r w:rsidR="00091568">
          <w:rPr>
            <w:noProof/>
            <w:webHidden/>
          </w:rPr>
          <w:fldChar w:fldCharType="end"/>
        </w:r>
      </w:hyperlink>
    </w:p>
    <w:p w14:paraId="3D533571" w14:textId="5D84E931" w:rsidR="00091568" w:rsidRDefault="00091568">
      <w:pPr>
        <w:pStyle w:val="TOC1"/>
        <w:rPr>
          <w:rFonts w:eastAsiaTheme="minorEastAsia"/>
          <w:b w:val="0"/>
          <w:noProof/>
          <w:color w:val="auto"/>
          <w:kern w:val="2"/>
          <w:lang w:eastAsia="en-GB"/>
          <w14:ligatures w14:val="standardContextual"/>
        </w:rPr>
      </w:pPr>
      <w:hyperlink w:anchor="_Toc213919771" w:history="1">
        <w:r w:rsidRPr="003A46FB">
          <w:rPr>
            <w:rStyle w:val="Hyperlink"/>
            <w:noProof/>
          </w:rPr>
          <w:t>2.</w:t>
        </w:r>
        <w:r>
          <w:rPr>
            <w:rFonts w:eastAsiaTheme="minorEastAsia"/>
            <w:b w:val="0"/>
            <w:noProof/>
            <w:color w:val="auto"/>
            <w:kern w:val="2"/>
            <w:lang w:eastAsia="en-GB"/>
            <w14:ligatures w14:val="standardContextual"/>
          </w:rPr>
          <w:tab/>
        </w:r>
        <w:r w:rsidRPr="003A46FB">
          <w:rPr>
            <w:rStyle w:val="Hyperlink"/>
            <w:noProof/>
          </w:rPr>
          <w:t>Purpose / Policy Statement</w:t>
        </w:r>
        <w:r>
          <w:rPr>
            <w:noProof/>
            <w:webHidden/>
          </w:rPr>
          <w:tab/>
        </w:r>
        <w:r>
          <w:rPr>
            <w:noProof/>
            <w:webHidden/>
          </w:rPr>
          <w:fldChar w:fldCharType="begin"/>
        </w:r>
        <w:r>
          <w:rPr>
            <w:noProof/>
            <w:webHidden/>
          </w:rPr>
          <w:instrText xml:space="preserve"> PAGEREF _Toc213919771 \h </w:instrText>
        </w:r>
        <w:r>
          <w:rPr>
            <w:noProof/>
            <w:webHidden/>
          </w:rPr>
        </w:r>
        <w:r>
          <w:rPr>
            <w:noProof/>
            <w:webHidden/>
          </w:rPr>
          <w:fldChar w:fldCharType="separate"/>
        </w:r>
        <w:r w:rsidR="00BA56B8">
          <w:rPr>
            <w:noProof/>
            <w:webHidden/>
          </w:rPr>
          <w:t>6</w:t>
        </w:r>
        <w:r>
          <w:rPr>
            <w:noProof/>
            <w:webHidden/>
          </w:rPr>
          <w:fldChar w:fldCharType="end"/>
        </w:r>
      </w:hyperlink>
    </w:p>
    <w:p w14:paraId="3C3604A5" w14:textId="563AD693" w:rsidR="00091568" w:rsidRDefault="00091568">
      <w:pPr>
        <w:pStyle w:val="TOC1"/>
        <w:rPr>
          <w:rFonts w:eastAsiaTheme="minorEastAsia"/>
          <w:b w:val="0"/>
          <w:noProof/>
          <w:color w:val="auto"/>
          <w:kern w:val="2"/>
          <w:lang w:eastAsia="en-GB"/>
          <w14:ligatures w14:val="standardContextual"/>
        </w:rPr>
      </w:pPr>
      <w:hyperlink w:anchor="_Toc213919772" w:history="1">
        <w:r w:rsidRPr="003A46FB">
          <w:rPr>
            <w:rStyle w:val="Hyperlink"/>
            <w:noProof/>
          </w:rPr>
          <w:t>3.</w:t>
        </w:r>
        <w:r>
          <w:rPr>
            <w:rFonts w:eastAsiaTheme="minorEastAsia"/>
            <w:b w:val="0"/>
            <w:noProof/>
            <w:color w:val="auto"/>
            <w:kern w:val="2"/>
            <w:lang w:eastAsia="en-GB"/>
            <w14:ligatures w14:val="standardContextual"/>
          </w:rPr>
          <w:tab/>
        </w:r>
        <w:r w:rsidRPr="003A46FB">
          <w:rPr>
            <w:rStyle w:val="Hyperlink"/>
            <w:noProof/>
          </w:rPr>
          <w:t>Scope</w:t>
        </w:r>
        <w:r>
          <w:rPr>
            <w:noProof/>
            <w:webHidden/>
          </w:rPr>
          <w:tab/>
        </w:r>
        <w:r>
          <w:rPr>
            <w:noProof/>
            <w:webHidden/>
          </w:rPr>
          <w:fldChar w:fldCharType="begin"/>
        </w:r>
        <w:r>
          <w:rPr>
            <w:noProof/>
            <w:webHidden/>
          </w:rPr>
          <w:instrText xml:space="preserve"> PAGEREF _Toc213919772 \h </w:instrText>
        </w:r>
        <w:r>
          <w:rPr>
            <w:noProof/>
            <w:webHidden/>
          </w:rPr>
        </w:r>
        <w:r>
          <w:rPr>
            <w:noProof/>
            <w:webHidden/>
          </w:rPr>
          <w:fldChar w:fldCharType="separate"/>
        </w:r>
        <w:r w:rsidR="00BA56B8">
          <w:rPr>
            <w:noProof/>
            <w:webHidden/>
          </w:rPr>
          <w:t>9</w:t>
        </w:r>
        <w:r>
          <w:rPr>
            <w:noProof/>
            <w:webHidden/>
          </w:rPr>
          <w:fldChar w:fldCharType="end"/>
        </w:r>
      </w:hyperlink>
    </w:p>
    <w:p w14:paraId="7F5D0A8D" w14:textId="74FE40AC" w:rsidR="00091568" w:rsidRDefault="00091568">
      <w:pPr>
        <w:pStyle w:val="TOC1"/>
        <w:rPr>
          <w:rFonts w:eastAsiaTheme="minorEastAsia"/>
          <w:b w:val="0"/>
          <w:noProof/>
          <w:color w:val="auto"/>
          <w:kern w:val="2"/>
          <w:lang w:eastAsia="en-GB"/>
          <w14:ligatures w14:val="standardContextual"/>
        </w:rPr>
      </w:pPr>
      <w:hyperlink w:anchor="_Toc213919773" w:history="1">
        <w:r w:rsidRPr="003A46FB">
          <w:rPr>
            <w:rStyle w:val="Hyperlink"/>
            <w:noProof/>
          </w:rPr>
          <w:t>4.</w:t>
        </w:r>
        <w:r>
          <w:rPr>
            <w:rFonts w:eastAsiaTheme="minorEastAsia"/>
            <w:b w:val="0"/>
            <w:noProof/>
            <w:color w:val="auto"/>
            <w:kern w:val="2"/>
            <w:lang w:eastAsia="en-GB"/>
            <w14:ligatures w14:val="standardContextual"/>
          </w:rPr>
          <w:tab/>
        </w:r>
        <w:r w:rsidRPr="003A46FB">
          <w:rPr>
            <w:rStyle w:val="Hyperlink"/>
            <w:noProof/>
          </w:rPr>
          <w:t>Definitions</w:t>
        </w:r>
        <w:r>
          <w:rPr>
            <w:noProof/>
            <w:webHidden/>
          </w:rPr>
          <w:tab/>
        </w:r>
        <w:r>
          <w:rPr>
            <w:noProof/>
            <w:webHidden/>
          </w:rPr>
          <w:fldChar w:fldCharType="begin"/>
        </w:r>
        <w:r>
          <w:rPr>
            <w:noProof/>
            <w:webHidden/>
          </w:rPr>
          <w:instrText xml:space="preserve"> PAGEREF _Toc213919773 \h </w:instrText>
        </w:r>
        <w:r>
          <w:rPr>
            <w:noProof/>
            <w:webHidden/>
          </w:rPr>
        </w:r>
        <w:r>
          <w:rPr>
            <w:noProof/>
            <w:webHidden/>
          </w:rPr>
          <w:fldChar w:fldCharType="separate"/>
        </w:r>
        <w:r w:rsidR="00BA56B8">
          <w:rPr>
            <w:noProof/>
            <w:webHidden/>
          </w:rPr>
          <w:t>9</w:t>
        </w:r>
        <w:r>
          <w:rPr>
            <w:noProof/>
            <w:webHidden/>
          </w:rPr>
          <w:fldChar w:fldCharType="end"/>
        </w:r>
      </w:hyperlink>
    </w:p>
    <w:p w14:paraId="2F6AB08B" w14:textId="086AB7BE" w:rsidR="00091568" w:rsidRDefault="00091568">
      <w:pPr>
        <w:pStyle w:val="TOC1"/>
        <w:rPr>
          <w:rFonts w:eastAsiaTheme="minorEastAsia"/>
          <w:b w:val="0"/>
          <w:noProof/>
          <w:color w:val="auto"/>
          <w:kern w:val="2"/>
          <w:lang w:eastAsia="en-GB"/>
          <w14:ligatures w14:val="standardContextual"/>
        </w:rPr>
      </w:pPr>
      <w:hyperlink w:anchor="_Toc213919774" w:history="1">
        <w:r w:rsidRPr="003A46FB">
          <w:rPr>
            <w:rStyle w:val="Hyperlink"/>
            <w:noProof/>
          </w:rPr>
          <w:t>5.</w:t>
        </w:r>
        <w:r>
          <w:rPr>
            <w:rFonts w:eastAsiaTheme="minorEastAsia"/>
            <w:b w:val="0"/>
            <w:noProof/>
            <w:color w:val="auto"/>
            <w:kern w:val="2"/>
            <w:lang w:eastAsia="en-GB"/>
            <w14:ligatures w14:val="standardContextual"/>
          </w:rPr>
          <w:tab/>
        </w:r>
        <w:r w:rsidRPr="003A46FB">
          <w:rPr>
            <w:rStyle w:val="Hyperlink"/>
            <w:noProof/>
          </w:rPr>
          <w:t>Roles and Responsibilities</w:t>
        </w:r>
        <w:r>
          <w:rPr>
            <w:noProof/>
            <w:webHidden/>
          </w:rPr>
          <w:tab/>
        </w:r>
        <w:r>
          <w:rPr>
            <w:noProof/>
            <w:webHidden/>
          </w:rPr>
          <w:fldChar w:fldCharType="begin"/>
        </w:r>
        <w:r>
          <w:rPr>
            <w:noProof/>
            <w:webHidden/>
          </w:rPr>
          <w:instrText xml:space="preserve"> PAGEREF _Toc213919774 \h </w:instrText>
        </w:r>
        <w:r>
          <w:rPr>
            <w:noProof/>
            <w:webHidden/>
          </w:rPr>
        </w:r>
        <w:r>
          <w:rPr>
            <w:noProof/>
            <w:webHidden/>
          </w:rPr>
          <w:fldChar w:fldCharType="separate"/>
        </w:r>
        <w:r w:rsidR="00BA56B8">
          <w:rPr>
            <w:noProof/>
            <w:webHidden/>
          </w:rPr>
          <w:t>10</w:t>
        </w:r>
        <w:r>
          <w:rPr>
            <w:noProof/>
            <w:webHidden/>
          </w:rPr>
          <w:fldChar w:fldCharType="end"/>
        </w:r>
      </w:hyperlink>
    </w:p>
    <w:p w14:paraId="2B039EF0" w14:textId="045F0138" w:rsidR="00091568" w:rsidRDefault="00091568" w:rsidP="00EC23E1">
      <w:pPr>
        <w:pStyle w:val="TOC2"/>
        <w:rPr>
          <w:rFonts w:eastAsiaTheme="minorEastAsia"/>
          <w:noProof/>
          <w:color w:val="auto"/>
          <w:kern w:val="2"/>
          <w:lang w:eastAsia="en-GB"/>
          <w14:ligatures w14:val="standardContextual"/>
        </w:rPr>
      </w:pPr>
      <w:hyperlink w:anchor="_Toc213919775" w:history="1">
        <w:r w:rsidRPr="003A46FB">
          <w:rPr>
            <w:rStyle w:val="Hyperlink"/>
            <w:noProof/>
          </w:rPr>
          <w:t>5.1.</w:t>
        </w:r>
        <w:r>
          <w:rPr>
            <w:rFonts w:eastAsiaTheme="minorEastAsia"/>
            <w:noProof/>
            <w:color w:val="auto"/>
            <w:kern w:val="2"/>
            <w:lang w:eastAsia="en-GB"/>
            <w14:ligatures w14:val="standardContextual"/>
          </w:rPr>
          <w:tab/>
        </w:r>
        <w:r w:rsidRPr="003A46FB">
          <w:rPr>
            <w:rStyle w:val="Hyperlink"/>
            <w:noProof/>
          </w:rPr>
          <w:t>Integrated Care Board (‘the Board')</w:t>
        </w:r>
        <w:r>
          <w:rPr>
            <w:noProof/>
            <w:webHidden/>
          </w:rPr>
          <w:tab/>
        </w:r>
        <w:r>
          <w:rPr>
            <w:noProof/>
            <w:webHidden/>
          </w:rPr>
          <w:fldChar w:fldCharType="begin"/>
        </w:r>
        <w:r>
          <w:rPr>
            <w:noProof/>
            <w:webHidden/>
          </w:rPr>
          <w:instrText xml:space="preserve"> PAGEREF _Toc213919775 \h </w:instrText>
        </w:r>
        <w:r>
          <w:rPr>
            <w:noProof/>
            <w:webHidden/>
          </w:rPr>
        </w:r>
        <w:r>
          <w:rPr>
            <w:noProof/>
            <w:webHidden/>
          </w:rPr>
          <w:fldChar w:fldCharType="separate"/>
        </w:r>
        <w:r w:rsidR="00BA56B8">
          <w:rPr>
            <w:noProof/>
            <w:webHidden/>
          </w:rPr>
          <w:t>10</w:t>
        </w:r>
        <w:r>
          <w:rPr>
            <w:noProof/>
            <w:webHidden/>
          </w:rPr>
          <w:fldChar w:fldCharType="end"/>
        </w:r>
      </w:hyperlink>
    </w:p>
    <w:p w14:paraId="44F519E1" w14:textId="62F3AC35" w:rsidR="00091568" w:rsidRDefault="00091568" w:rsidP="00EC23E1">
      <w:pPr>
        <w:pStyle w:val="TOC2"/>
        <w:rPr>
          <w:rFonts w:eastAsiaTheme="minorEastAsia"/>
          <w:noProof/>
          <w:color w:val="auto"/>
          <w:kern w:val="2"/>
          <w:lang w:eastAsia="en-GB"/>
          <w14:ligatures w14:val="standardContextual"/>
        </w:rPr>
      </w:pPr>
      <w:hyperlink w:anchor="_Toc213919776" w:history="1">
        <w:r w:rsidRPr="003A46FB">
          <w:rPr>
            <w:rStyle w:val="Hyperlink"/>
            <w:noProof/>
          </w:rPr>
          <w:t>5.2.</w:t>
        </w:r>
        <w:r>
          <w:rPr>
            <w:rFonts w:eastAsiaTheme="minorEastAsia"/>
            <w:noProof/>
            <w:color w:val="auto"/>
            <w:kern w:val="2"/>
            <w:lang w:eastAsia="en-GB"/>
            <w14:ligatures w14:val="standardContextual"/>
          </w:rPr>
          <w:tab/>
        </w:r>
        <w:r w:rsidRPr="003A46FB">
          <w:rPr>
            <w:rStyle w:val="Hyperlink"/>
            <w:noProof/>
          </w:rPr>
          <w:t>Chief Executive Officer</w:t>
        </w:r>
        <w:r>
          <w:rPr>
            <w:noProof/>
            <w:webHidden/>
          </w:rPr>
          <w:tab/>
        </w:r>
        <w:r>
          <w:rPr>
            <w:noProof/>
            <w:webHidden/>
          </w:rPr>
          <w:fldChar w:fldCharType="begin"/>
        </w:r>
        <w:r>
          <w:rPr>
            <w:noProof/>
            <w:webHidden/>
          </w:rPr>
          <w:instrText xml:space="preserve"> PAGEREF _Toc213919776 \h </w:instrText>
        </w:r>
        <w:r>
          <w:rPr>
            <w:noProof/>
            <w:webHidden/>
          </w:rPr>
        </w:r>
        <w:r>
          <w:rPr>
            <w:noProof/>
            <w:webHidden/>
          </w:rPr>
          <w:fldChar w:fldCharType="separate"/>
        </w:r>
        <w:r w:rsidR="00BA56B8">
          <w:rPr>
            <w:noProof/>
            <w:webHidden/>
          </w:rPr>
          <w:t>10</w:t>
        </w:r>
        <w:r>
          <w:rPr>
            <w:noProof/>
            <w:webHidden/>
          </w:rPr>
          <w:fldChar w:fldCharType="end"/>
        </w:r>
      </w:hyperlink>
    </w:p>
    <w:p w14:paraId="09EEAB87" w14:textId="775B23DB" w:rsidR="00091568" w:rsidRDefault="00091568" w:rsidP="00EC23E1">
      <w:pPr>
        <w:pStyle w:val="TOC2"/>
        <w:rPr>
          <w:rFonts w:eastAsiaTheme="minorEastAsia"/>
          <w:noProof/>
          <w:color w:val="auto"/>
          <w:kern w:val="2"/>
          <w:lang w:eastAsia="en-GB"/>
          <w14:ligatures w14:val="standardContextual"/>
        </w:rPr>
      </w:pPr>
      <w:hyperlink w:anchor="_Toc213919777" w:history="1">
        <w:r w:rsidRPr="003A46FB">
          <w:rPr>
            <w:rStyle w:val="Hyperlink"/>
            <w:noProof/>
          </w:rPr>
          <w:t>5.3.</w:t>
        </w:r>
        <w:r>
          <w:rPr>
            <w:rFonts w:eastAsiaTheme="minorEastAsia"/>
            <w:noProof/>
            <w:color w:val="auto"/>
            <w:kern w:val="2"/>
            <w:lang w:eastAsia="en-GB"/>
            <w14:ligatures w14:val="standardContextual"/>
          </w:rPr>
          <w:tab/>
        </w:r>
        <w:r w:rsidRPr="003A46FB">
          <w:rPr>
            <w:rStyle w:val="Hyperlink"/>
            <w:noProof/>
          </w:rPr>
          <w:t>ICB Executive Committee</w:t>
        </w:r>
        <w:r>
          <w:rPr>
            <w:noProof/>
            <w:webHidden/>
          </w:rPr>
          <w:tab/>
        </w:r>
        <w:r>
          <w:rPr>
            <w:noProof/>
            <w:webHidden/>
          </w:rPr>
          <w:fldChar w:fldCharType="begin"/>
        </w:r>
        <w:r>
          <w:rPr>
            <w:noProof/>
            <w:webHidden/>
          </w:rPr>
          <w:instrText xml:space="preserve"> PAGEREF _Toc213919777 \h </w:instrText>
        </w:r>
        <w:r>
          <w:rPr>
            <w:noProof/>
            <w:webHidden/>
          </w:rPr>
        </w:r>
        <w:r>
          <w:rPr>
            <w:noProof/>
            <w:webHidden/>
          </w:rPr>
          <w:fldChar w:fldCharType="separate"/>
        </w:r>
        <w:r w:rsidR="00BA56B8">
          <w:rPr>
            <w:noProof/>
            <w:webHidden/>
          </w:rPr>
          <w:t>11</w:t>
        </w:r>
        <w:r>
          <w:rPr>
            <w:noProof/>
            <w:webHidden/>
          </w:rPr>
          <w:fldChar w:fldCharType="end"/>
        </w:r>
      </w:hyperlink>
    </w:p>
    <w:p w14:paraId="243704E7" w14:textId="63575CBA" w:rsidR="00091568" w:rsidRDefault="00091568" w:rsidP="00EC23E1">
      <w:pPr>
        <w:pStyle w:val="TOC2"/>
        <w:rPr>
          <w:rFonts w:eastAsiaTheme="minorEastAsia"/>
          <w:noProof/>
          <w:color w:val="auto"/>
          <w:kern w:val="2"/>
          <w:lang w:eastAsia="en-GB"/>
          <w14:ligatures w14:val="standardContextual"/>
        </w:rPr>
      </w:pPr>
      <w:hyperlink w:anchor="_Toc213919778" w:history="1">
        <w:r w:rsidRPr="003A46FB">
          <w:rPr>
            <w:rStyle w:val="Hyperlink"/>
            <w:noProof/>
          </w:rPr>
          <w:t>5.4.</w:t>
        </w:r>
        <w:r>
          <w:rPr>
            <w:rFonts w:eastAsiaTheme="minorEastAsia"/>
            <w:noProof/>
            <w:color w:val="auto"/>
            <w:kern w:val="2"/>
            <w:lang w:eastAsia="en-GB"/>
            <w14:ligatures w14:val="standardContextual"/>
          </w:rPr>
          <w:tab/>
        </w:r>
        <w:r w:rsidRPr="003A46FB">
          <w:rPr>
            <w:rStyle w:val="Hyperlink"/>
            <w:noProof/>
          </w:rPr>
          <w:t>ICB Operational Group (IOG)</w:t>
        </w:r>
        <w:r>
          <w:rPr>
            <w:noProof/>
            <w:webHidden/>
          </w:rPr>
          <w:tab/>
        </w:r>
        <w:r>
          <w:rPr>
            <w:noProof/>
            <w:webHidden/>
          </w:rPr>
          <w:fldChar w:fldCharType="begin"/>
        </w:r>
        <w:r>
          <w:rPr>
            <w:noProof/>
            <w:webHidden/>
          </w:rPr>
          <w:instrText xml:space="preserve"> PAGEREF _Toc213919778 \h </w:instrText>
        </w:r>
        <w:r>
          <w:rPr>
            <w:noProof/>
            <w:webHidden/>
          </w:rPr>
        </w:r>
        <w:r>
          <w:rPr>
            <w:noProof/>
            <w:webHidden/>
          </w:rPr>
          <w:fldChar w:fldCharType="separate"/>
        </w:r>
        <w:r w:rsidR="00BA56B8">
          <w:rPr>
            <w:noProof/>
            <w:webHidden/>
          </w:rPr>
          <w:t>12</w:t>
        </w:r>
        <w:r>
          <w:rPr>
            <w:noProof/>
            <w:webHidden/>
          </w:rPr>
          <w:fldChar w:fldCharType="end"/>
        </w:r>
      </w:hyperlink>
    </w:p>
    <w:p w14:paraId="6DC3E7DC" w14:textId="299E5F43" w:rsidR="00091568" w:rsidRDefault="00091568" w:rsidP="00EC23E1">
      <w:pPr>
        <w:pStyle w:val="TOC2"/>
        <w:rPr>
          <w:rFonts w:eastAsiaTheme="minorEastAsia"/>
          <w:noProof/>
          <w:color w:val="auto"/>
          <w:kern w:val="2"/>
          <w:lang w:eastAsia="en-GB"/>
          <w14:ligatures w14:val="standardContextual"/>
        </w:rPr>
      </w:pPr>
      <w:hyperlink w:anchor="_Toc213919779" w:history="1">
        <w:r w:rsidRPr="003A46FB">
          <w:rPr>
            <w:rStyle w:val="Hyperlink"/>
            <w:noProof/>
          </w:rPr>
          <w:t>5.5.</w:t>
        </w:r>
        <w:r>
          <w:rPr>
            <w:rFonts w:eastAsiaTheme="minorEastAsia"/>
            <w:noProof/>
            <w:color w:val="auto"/>
            <w:kern w:val="2"/>
            <w:lang w:eastAsia="en-GB"/>
            <w14:ligatures w14:val="standardContextual"/>
          </w:rPr>
          <w:tab/>
        </w:r>
        <w:r w:rsidRPr="003A46FB">
          <w:rPr>
            <w:rStyle w:val="Hyperlink"/>
            <w:noProof/>
          </w:rPr>
          <w:t>Finance and Performance Committee</w:t>
        </w:r>
        <w:r>
          <w:rPr>
            <w:noProof/>
            <w:webHidden/>
          </w:rPr>
          <w:tab/>
        </w:r>
        <w:r>
          <w:rPr>
            <w:noProof/>
            <w:webHidden/>
          </w:rPr>
          <w:fldChar w:fldCharType="begin"/>
        </w:r>
        <w:r>
          <w:rPr>
            <w:noProof/>
            <w:webHidden/>
          </w:rPr>
          <w:instrText xml:space="preserve"> PAGEREF _Toc213919779 \h </w:instrText>
        </w:r>
        <w:r>
          <w:rPr>
            <w:noProof/>
            <w:webHidden/>
          </w:rPr>
        </w:r>
        <w:r>
          <w:rPr>
            <w:noProof/>
            <w:webHidden/>
          </w:rPr>
          <w:fldChar w:fldCharType="separate"/>
        </w:r>
        <w:r w:rsidR="00BA56B8">
          <w:rPr>
            <w:noProof/>
            <w:webHidden/>
          </w:rPr>
          <w:t>12</w:t>
        </w:r>
        <w:r>
          <w:rPr>
            <w:noProof/>
            <w:webHidden/>
          </w:rPr>
          <w:fldChar w:fldCharType="end"/>
        </w:r>
      </w:hyperlink>
    </w:p>
    <w:p w14:paraId="0FA2C9E0" w14:textId="51707020" w:rsidR="00091568" w:rsidRDefault="00091568" w:rsidP="00EC23E1">
      <w:pPr>
        <w:pStyle w:val="TOC2"/>
        <w:rPr>
          <w:rFonts w:eastAsiaTheme="minorEastAsia"/>
          <w:noProof/>
          <w:color w:val="auto"/>
          <w:kern w:val="2"/>
          <w:lang w:eastAsia="en-GB"/>
          <w14:ligatures w14:val="standardContextual"/>
        </w:rPr>
      </w:pPr>
      <w:hyperlink w:anchor="_Toc213919780" w:history="1">
        <w:r w:rsidRPr="003A46FB">
          <w:rPr>
            <w:rStyle w:val="Hyperlink"/>
            <w:noProof/>
          </w:rPr>
          <w:t>5.6.</w:t>
        </w:r>
        <w:r>
          <w:rPr>
            <w:rFonts w:eastAsiaTheme="minorEastAsia"/>
            <w:noProof/>
            <w:color w:val="auto"/>
            <w:kern w:val="2"/>
            <w:lang w:eastAsia="en-GB"/>
            <w14:ligatures w14:val="standardContextual"/>
          </w:rPr>
          <w:tab/>
        </w:r>
        <w:r w:rsidRPr="003A46FB">
          <w:rPr>
            <w:rStyle w:val="Hyperlink"/>
            <w:noProof/>
          </w:rPr>
          <w:t>The Quality Committee</w:t>
        </w:r>
        <w:r>
          <w:rPr>
            <w:noProof/>
            <w:webHidden/>
          </w:rPr>
          <w:tab/>
        </w:r>
        <w:r>
          <w:rPr>
            <w:noProof/>
            <w:webHidden/>
          </w:rPr>
          <w:fldChar w:fldCharType="begin"/>
        </w:r>
        <w:r>
          <w:rPr>
            <w:noProof/>
            <w:webHidden/>
          </w:rPr>
          <w:instrText xml:space="preserve"> PAGEREF _Toc213919780 \h </w:instrText>
        </w:r>
        <w:r>
          <w:rPr>
            <w:noProof/>
            <w:webHidden/>
          </w:rPr>
        </w:r>
        <w:r>
          <w:rPr>
            <w:noProof/>
            <w:webHidden/>
          </w:rPr>
          <w:fldChar w:fldCharType="separate"/>
        </w:r>
        <w:r w:rsidR="00BA56B8">
          <w:rPr>
            <w:noProof/>
            <w:webHidden/>
          </w:rPr>
          <w:t>12</w:t>
        </w:r>
        <w:r>
          <w:rPr>
            <w:noProof/>
            <w:webHidden/>
          </w:rPr>
          <w:fldChar w:fldCharType="end"/>
        </w:r>
      </w:hyperlink>
    </w:p>
    <w:p w14:paraId="73276007" w14:textId="14567863" w:rsidR="00091568" w:rsidRDefault="00091568" w:rsidP="00EC23E1">
      <w:pPr>
        <w:pStyle w:val="TOC2"/>
        <w:rPr>
          <w:rFonts w:eastAsiaTheme="minorEastAsia"/>
          <w:noProof/>
          <w:color w:val="auto"/>
          <w:kern w:val="2"/>
          <w:lang w:eastAsia="en-GB"/>
          <w14:ligatures w14:val="standardContextual"/>
        </w:rPr>
      </w:pPr>
      <w:hyperlink w:anchor="_Toc213919781" w:history="1">
        <w:r w:rsidRPr="003A46FB">
          <w:rPr>
            <w:rStyle w:val="Hyperlink"/>
            <w:noProof/>
          </w:rPr>
          <w:t>5.7.</w:t>
        </w:r>
        <w:r>
          <w:rPr>
            <w:rFonts w:eastAsiaTheme="minorEastAsia"/>
            <w:noProof/>
            <w:color w:val="auto"/>
            <w:kern w:val="2"/>
            <w:lang w:eastAsia="en-GB"/>
            <w14:ligatures w14:val="standardContextual"/>
          </w:rPr>
          <w:tab/>
        </w:r>
        <w:r w:rsidRPr="003A46FB">
          <w:rPr>
            <w:rStyle w:val="Hyperlink"/>
            <w:noProof/>
          </w:rPr>
          <w:t>Primary Care Commissioning Committee (PCCC)</w:t>
        </w:r>
        <w:r>
          <w:rPr>
            <w:noProof/>
            <w:webHidden/>
          </w:rPr>
          <w:tab/>
        </w:r>
        <w:r>
          <w:rPr>
            <w:noProof/>
            <w:webHidden/>
          </w:rPr>
          <w:fldChar w:fldCharType="begin"/>
        </w:r>
        <w:r>
          <w:rPr>
            <w:noProof/>
            <w:webHidden/>
          </w:rPr>
          <w:instrText xml:space="preserve"> PAGEREF _Toc213919781 \h </w:instrText>
        </w:r>
        <w:r>
          <w:rPr>
            <w:noProof/>
            <w:webHidden/>
          </w:rPr>
        </w:r>
        <w:r>
          <w:rPr>
            <w:noProof/>
            <w:webHidden/>
          </w:rPr>
          <w:fldChar w:fldCharType="separate"/>
        </w:r>
        <w:r w:rsidR="00BA56B8">
          <w:rPr>
            <w:noProof/>
            <w:webHidden/>
          </w:rPr>
          <w:t>12</w:t>
        </w:r>
        <w:r>
          <w:rPr>
            <w:noProof/>
            <w:webHidden/>
          </w:rPr>
          <w:fldChar w:fldCharType="end"/>
        </w:r>
      </w:hyperlink>
    </w:p>
    <w:p w14:paraId="489BDB96" w14:textId="61807741" w:rsidR="00091568" w:rsidRDefault="00091568" w:rsidP="00EC23E1">
      <w:pPr>
        <w:pStyle w:val="TOC2"/>
        <w:rPr>
          <w:rFonts w:eastAsiaTheme="minorEastAsia"/>
          <w:noProof/>
          <w:color w:val="auto"/>
          <w:kern w:val="2"/>
          <w:lang w:eastAsia="en-GB"/>
          <w14:ligatures w14:val="standardContextual"/>
        </w:rPr>
      </w:pPr>
      <w:hyperlink w:anchor="_Toc213919782" w:history="1">
        <w:r w:rsidRPr="003A46FB">
          <w:rPr>
            <w:rStyle w:val="Hyperlink"/>
            <w:noProof/>
          </w:rPr>
          <w:t>5.8.</w:t>
        </w:r>
        <w:r>
          <w:rPr>
            <w:rFonts w:eastAsiaTheme="minorEastAsia"/>
            <w:noProof/>
            <w:color w:val="auto"/>
            <w:kern w:val="2"/>
            <w:lang w:eastAsia="en-GB"/>
            <w14:ligatures w14:val="standardContextual"/>
          </w:rPr>
          <w:tab/>
        </w:r>
        <w:r w:rsidRPr="003A46FB">
          <w:rPr>
            <w:rStyle w:val="Hyperlink"/>
            <w:noProof/>
          </w:rPr>
          <w:t>Clinical and Multiple-Professional Congress (CLiMP)</w:t>
        </w:r>
        <w:r>
          <w:rPr>
            <w:noProof/>
            <w:webHidden/>
          </w:rPr>
          <w:tab/>
        </w:r>
        <w:r>
          <w:rPr>
            <w:noProof/>
            <w:webHidden/>
          </w:rPr>
          <w:fldChar w:fldCharType="begin"/>
        </w:r>
        <w:r>
          <w:rPr>
            <w:noProof/>
            <w:webHidden/>
          </w:rPr>
          <w:instrText xml:space="preserve"> PAGEREF _Toc213919782 \h </w:instrText>
        </w:r>
        <w:r>
          <w:rPr>
            <w:noProof/>
            <w:webHidden/>
          </w:rPr>
        </w:r>
        <w:r>
          <w:rPr>
            <w:noProof/>
            <w:webHidden/>
          </w:rPr>
          <w:fldChar w:fldCharType="separate"/>
        </w:r>
        <w:r w:rsidR="00BA56B8">
          <w:rPr>
            <w:noProof/>
            <w:webHidden/>
          </w:rPr>
          <w:t>13</w:t>
        </w:r>
        <w:r>
          <w:rPr>
            <w:noProof/>
            <w:webHidden/>
          </w:rPr>
          <w:fldChar w:fldCharType="end"/>
        </w:r>
      </w:hyperlink>
    </w:p>
    <w:p w14:paraId="1E43EAD4" w14:textId="7F01D4F1" w:rsidR="00091568" w:rsidRDefault="00091568" w:rsidP="00EC23E1">
      <w:pPr>
        <w:pStyle w:val="TOC2"/>
        <w:rPr>
          <w:rFonts w:eastAsiaTheme="minorEastAsia"/>
          <w:noProof/>
          <w:color w:val="auto"/>
          <w:kern w:val="2"/>
          <w:lang w:eastAsia="en-GB"/>
          <w14:ligatures w14:val="standardContextual"/>
        </w:rPr>
      </w:pPr>
      <w:hyperlink w:anchor="_Toc213919783" w:history="1">
        <w:r w:rsidRPr="003A46FB">
          <w:rPr>
            <w:rStyle w:val="Hyperlink"/>
            <w:noProof/>
          </w:rPr>
          <w:t>5.9.</w:t>
        </w:r>
        <w:r>
          <w:rPr>
            <w:rFonts w:eastAsiaTheme="minorEastAsia"/>
            <w:noProof/>
            <w:color w:val="auto"/>
            <w:kern w:val="2"/>
            <w:lang w:eastAsia="en-GB"/>
            <w14:ligatures w14:val="standardContextual"/>
          </w:rPr>
          <w:tab/>
        </w:r>
        <w:r w:rsidRPr="003A46FB">
          <w:rPr>
            <w:rStyle w:val="Hyperlink"/>
            <w:noProof/>
          </w:rPr>
          <w:t>Stewardship Groups</w:t>
        </w:r>
        <w:r>
          <w:rPr>
            <w:noProof/>
            <w:webHidden/>
          </w:rPr>
          <w:tab/>
        </w:r>
        <w:r>
          <w:rPr>
            <w:noProof/>
            <w:webHidden/>
          </w:rPr>
          <w:fldChar w:fldCharType="begin"/>
        </w:r>
        <w:r>
          <w:rPr>
            <w:noProof/>
            <w:webHidden/>
          </w:rPr>
          <w:instrText xml:space="preserve"> PAGEREF _Toc213919783 \h </w:instrText>
        </w:r>
        <w:r>
          <w:rPr>
            <w:noProof/>
            <w:webHidden/>
          </w:rPr>
        </w:r>
        <w:r>
          <w:rPr>
            <w:noProof/>
            <w:webHidden/>
          </w:rPr>
          <w:fldChar w:fldCharType="separate"/>
        </w:r>
        <w:r w:rsidR="00BA56B8">
          <w:rPr>
            <w:noProof/>
            <w:webHidden/>
          </w:rPr>
          <w:t>13</w:t>
        </w:r>
        <w:r>
          <w:rPr>
            <w:noProof/>
            <w:webHidden/>
          </w:rPr>
          <w:fldChar w:fldCharType="end"/>
        </w:r>
      </w:hyperlink>
    </w:p>
    <w:p w14:paraId="2E94789F" w14:textId="0481F805" w:rsidR="00091568" w:rsidRDefault="00091568" w:rsidP="00EC23E1">
      <w:pPr>
        <w:pStyle w:val="TOC2"/>
        <w:rPr>
          <w:rFonts w:eastAsiaTheme="minorEastAsia"/>
          <w:noProof/>
          <w:color w:val="auto"/>
          <w:kern w:val="2"/>
          <w:lang w:eastAsia="en-GB"/>
          <w14:ligatures w14:val="standardContextual"/>
        </w:rPr>
      </w:pPr>
      <w:hyperlink w:anchor="_Toc213919784" w:history="1">
        <w:r w:rsidRPr="003A46FB">
          <w:rPr>
            <w:rStyle w:val="Hyperlink"/>
            <w:noProof/>
          </w:rPr>
          <w:t>5.10.</w:t>
        </w:r>
        <w:r>
          <w:rPr>
            <w:rFonts w:eastAsiaTheme="minorEastAsia"/>
            <w:noProof/>
            <w:color w:val="auto"/>
            <w:kern w:val="2"/>
            <w:lang w:eastAsia="en-GB"/>
            <w14:ligatures w14:val="standardContextual"/>
          </w:rPr>
          <w:tab/>
        </w:r>
        <w:r w:rsidRPr="003A46FB">
          <w:rPr>
            <w:rStyle w:val="Hyperlink"/>
            <w:noProof/>
          </w:rPr>
          <w:t>Central Portfolio Management Office (CPMO)</w:t>
        </w:r>
        <w:r>
          <w:rPr>
            <w:noProof/>
            <w:webHidden/>
          </w:rPr>
          <w:tab/>
        </w:r>
        <w:r>
          <w:rPr>
            <w:noProof/>
            <w:webHidden/>
          </w:rPr>
          <w:fldChar w:fldCharType="begin"/>
        </w:r>
        <w:r>
          <w:rPr>
            <w:noProof/>
            <w:webHidden/>
          </w:rPr>
          <w:instrText xml:space="preserve"> PAGEREF _Toc213919784 \h </w:instrText>
        </w:r>
        <w:r>
          <w:rPr>
            <w:noProof/>
            <w:webHidden/>
          </w:rPr>
        </w:r>
        <w:r>
          <w:rPr>
            <w:noProof/>
            <w:webHidden/>
          </w:rPr>
          <w:fldChar w:fldCharType="separate"/>
        </w:r>
        <w:r w:rsidR="00BA56B8">
          <w:rPr>
            <w:noProof/>
            <w:webHidden/>
          </w:rPr>
          <w:t>13</w:t>
        </w:r>
        <w:r>
          <w:rPr>
            <w:noProof/>
            <w:webHidden/>
          </w:rPr>
          <w:fldChar w:fldCharType="end"/>
        </w:r>
      </w:hyperlink>
    </w:p>
    <w:p w14:paraId="10E428AE" w14:textId="7313FAB8" w:rsidR="00091568" w:rsidRDefault="00091568" w:rsidP="00EC23E1">
      <w:pPr>
        <w:pStyle w:val="TOC2"/>
        <w:rPr>
          <w:rFonts w:eastAsiaTheme="minorEastAsia"/>
          <w:noProof/>
          <w:color w:val="auto"/>
          <w:kern w:val="2"/>
          <w:lang w:eastAsia="en-GB"/>
          <w14:ligatures w14:val="standardContextual"/>
        </w:rPr>
      </w:pPr>
      <w:hyperlink w:anchor="_Toc213919786" w:history="1">
        <w:r w:rsidRPr="003A46FB">
          <w:rPr>
            <w:rStyle w:val="Hyperlink"/>
            <w:noProof/>
          </w:rPr>
          <w:t>5.11.</w:t>
        </w:r>
        <w:r>
          <w:rPr>
            <w:rFonts w:eastAsiaTheme="minorEastAsia"/>
            <w:noProof/>
            <w:color w:val="auto"/>
            <w:kern w:val="2"/>
            <w:lang w:eastAsia="en-GB"/>
            <w14:ligatures w14:val="standardContextual"/>
          </w:rPr>
          <w:tab/>
        </w:r>
        <w:r w:rsidRPr="003A46FB">
          <w:rPr>
            <w:rStyle w:val="Hyperlink"/>
            <w:noProof/>
          </w:rPr>
          <w:t>Chief Executive Officers’ Forum</w:t>
        </w:r>
        <w:r>
          <w:rPr>
            <w:noProof/>
            <w:webHidden/>
          </w:rPr>
          <w:tab/>
        </w:r>
        <w:r>
          <w:rPr>
            <w:noProof/>
            <w:webHidden/>
          </w:rPr>
          <w:fldChar w:fldCharType="begin"/>
        </w:r>
        <w:r>
          <w:rPr>
            <w:noProof/>
            <w:webHidden/>
          </w:rPr>
          <w:instrText xml:space="preserve"> PAGEREF _Toc213919786 \h </w:instrText>
        </w:r>
        <w:r>
          <w:rPr>
            <w:noProof/>
            <w:webHidden/>
          </w:rPr>
        </w:r>
        <w:r>
          <w:rPr>
            <w:noProof/>
            <w:webHidden/>
          </w:rPr>
          <w:fldChar w:fldCharType="separate"/>
        </w:r>
        <w:r w:rsidR="00BA56B8">
          <w:rPr>
            <w:noProof/>
            <w:webHidden/>
          </w:rPr>
          <w:t>14</w:t>
        </w:r>
        <w:r>
          <w:rPr>
            <w:noProof/>
            <w:webHidden/>
          </w:rPr>
          <w:fldChar w:fldCharType="end"/>
        </w:r>
      </w:hyperlink>
    </w:p>
    <w:p w14:paraId="1BF9688A" w14:textId="1CB48825" w:rsidR="00091568" w:rsidRDefault="00091568" w:rsidP="00EC23E1">
      <w:pPr>
        <w:pStyle w:val="TOC2"/>
        <w:rPr>
          <w:rFonts w:eastAsiaTheme="minorEastAsia"/>
          <w:noProof/>
          <w:color w:val="auto"/>
          <w:kern w:val="2"/>
          <w:lang w:eastAsia="en-GB"/>
          <w14:ligatures w14:val="standardContextual"/>
        </w:rPr>
      </w:pPr>
      <w:hyperlink w:anchor="_Toc213919787" w:history="1">
        <w:r w:rsidRPr="003A46FB">
          <w:rPr>
            <w:rStyle w:val="Hyperlink"/>
            <w:noProof/>
          </w:rPr>
          <w:t>5.12.</w:t>
        </w:r>
        <w:r>
          <w:rPr>
            <w:rFonts w:eastAsiaTheme="minorEastAsia"/>
            <w:noProof/>
            <w:color w:val="auto"/>
            <w:kern w:val="2"/>
            <w:lang w:eastAsia="en-GB"/>
            <w14:ligatures w14:val="standardContextual"/>
          </w:rPr>
          <w:tab/>
        </w:r>
        <w:r w:rsidRPr="003A46FB">
          <w:rPr>
            <w:rStyle w:val="Hyperlink"/>
            <w:noProof/>
          </w:rPr>
          <w:t>Executive Director of Finance and Commercial (Chief Finance Officer)</w:t>
        </w:r>
        <w:r>
          <w:rPr>
            <w:noProof/>
            <w:webHidden/>
          </w:rPr>
          <w:tab/>
        </w:r>
        <w:r>
          <w:rPr>
            <w:noProof/>
            <w:webHidden/>
          </w:rPr>
          <w:fldChar w:fldCharType="begin"/>
        </w:r>
        <w:r>
          <w:rPr>
            <w:noProof/>
            <w:webHidden/>
          </w:rPr>
          <w:instrText xml:space="preserve"> PAGEREF _Toc213919787 \h </w:instrText>
        </w:r>
        <w:r>
          <w:rPr>
            <w:noProof/>
            <w:webHidden/>
          </w:rPr>
        </w:r>
        <w:r>
          <w:rPr>
            <w:noProof/>
            <w:webHidden/>
          </w:rPr>
          <w:fldChar w:fldCharType="separate"/>
        </w:r>
        <w:r w:rsidR="00BA56B8">
          <w:rPr>
            <w:noProof/>
            <w:webHidden/>
          </w:rPr>
          <w:t>14</w:t>
        </w:r>
        <w:r>
          <w:rPr>
            <w:noProof/>
            <w:webHidden/>
          </w:rPr>
          <w:fldChar w:fldCharType="end"/>
        </w:r>
      </w:hyperlink>
    </w:p>
    <w:p w14:paraId="4A2C3AFE" w14:textId="70A6F17B" w:rsidR="00091568" w:rsidRDefault="00091568" w:rsidP="00EC23E1">
      <w:pPr>
        <w:pStyle w:val="TOC2"/>
        <w:rPr>
          <w:rFonts w:eastAsiaTheme="minorEastAsia"/>
          <w:noProof/>
          <w:color w:val="auto"/>
          <w:kern w:val="2"/>
          <w:lang w:eastAsia="en-GB"/>
          <w14:ligatures w14:val="standardContextual"/>
        </w:rPr>
      </w:pPr>
      <w:hyperlink w:anchor="_Toc213919788" w:history="1">
        <w:r w:rsidRPr="003A46FB">
          <w:rPr>
            <w:rStyle w:val="Hyperlink"/>
            <w:noProof/>
          </w:rPr>
          <w:t>5.13.</w:t>
        </w:r>
        <w:r>
          <w:rPr>
            <w:rFonts w:eastAsiaTheme="minorEastAsia"/>
            <w:noProof/>
            <w:color w:val="auto"/>
            <w:kern w:val="2"/>
            <w:lang w:eastAsia="en-GB"/>
            <w14:ligatures w14:val="standardContextual"/>
          </w:rPr>
          <w:tab/>
        </w:r>
        <w:r w:rsidRPr="003A46FB">
          <w:rPr>
            <w:rStyle w:val="Hyperlink"/>
            <w:noProof/>
          </w:rPr>
          <w:t>Executive Director of Nursing (Chief Nurse)</w:t>
        </w:r>
        <w:r>
          <w:rPr>
            <w:noProof/>
            <w:webHidden/>
          </w:rPr>
          <w:tab/>
        </w:r>
        <w:r>
          <w:rPr>
            <w:noProof/>
            <w:webHidden/>
          </w:rPr>
          <w:fldChar w:fldCharType="begin"/>
        </w:r>
        <w:r>
          <w:rPr>
            <w:noProof/>
            <w:webHidden/>
          </w:rPr>
          <w:instrText xml:space="preserve"> PAGEREF _Toc213919788 \h </w:instrText>
        </w:r>
        <w:r>
          <w:rPr>
            <w:noProof/>
            <w:webHidden/>
          </w:rPr>
        </w:r>
        <w:r>
          <w:rPr>
            <w:noProof/>
            <w:webHidden/>
          </w:rPr>
          <w:fldChar w:fldCharType="separate"/>
        </w:r>
        <w:r w:rsidR="00BA56B8">
          <w:rPr>
            <w:noProof/>
            <w:webHidden/>
          </w:rPr>
          <w:t>14</w:t>
        </w:r>
        <w:r>
          <w:rPr>
            <w:noProof/>
            <w:webHidden/>
          </w:rPr>
          <w:fldChar w:fldCharType="end"/>
        </w:r>
      </w:hyperlink>
    </w:p>
    <w:p w14:paraId="1DDFF958" w14:textId="1E4D8EE9" w:rsidR="00091568" w:rsidRDefault="00091568" w:rsidP="00EC23E1">
      <w:pPr>
        <w:pStyle w:val="TOC2"/>
        <w:rPr>
          <w:rFonts w:eastAsiaTheme="minorEastAsia"/>
          <w:noProof/>
          <w:color w:val="auto"/>
          <w:kern w:val="2"/>
          <w:lang w:eastAsia="en-GB"/>
          <w14:ligatures w14:val="standardContextual"/>
        </w:rPr>
      </w:pPr>
      <w:hyperlink w:anchor="_Toc213919789" w:history="1">
        <w:r w:rsidRPr="003A46FB">
          <w:rPr>
            <w:rStyle w:val="Hyperlink"/>
            <w:noProof/>
          </w:rPr>
          <w:t>5.14.</w:t>
        </w:r>
        <w:r>
          <w:rPr>
            <w:rFonts w:eastAsiaTheme="minorEastAsia"/>
            <w:noProof/>
            <w:color w:val="auto"/>
            <w:kern w:val="2"/>
            <w:lang w:eastAsia="en-GB"/>
            <w14:ligatures w14:val="standardContextual"/>
          </w:rPr>
          <w:tab/>
        </w:r>
        <w:r w:rsidRPr="003A46FB">
          <w:rPr>
            <w:rStyle w:val="Hyperlink"/>
            <w:noProof/>
          </w:rPr>
          <w:t>Identified Operational Lead</w:t>
        </w:r>
        <w:r>
          <w:rPr>
            <w:noProof/>
            <w:webHidden/>
          </w:rPr>
          <w:tab/>
        </w:r>
        <w:r>
          <w:rPr>
            <w:noProof/>
            <w:webHidden/>
          </w:rPr>
          <w:fldChar w:fldCharType="begin"/>
        </w:r>
        <w:r>
          <w:rPr>
            <w:noProof/>
            <w:webHidden/>
          </w:rPr>
          <w:instrText xml:space="preserve"> PAGEREF _Toc213919789 \h </w:instrText>
        </w:r>
        <w:r>
          <w:rPr>
            <w:noProof/>
            <w:webHidden/>
          </w:rPr>
        </w:r>
        <w:r>
          <w:rPr>
            <w:noProof/>
            <w:webHidden/>
          </w:rPr>
          <w:fldChar w:fldCharType="separate"/>
        </w:r>
        <w:r w:rsidR="00BA56B8">
          <w:rPr>
            <w:noProof/>
            <w:webHidden/>
          </w:rPr>
          <w:t>14</w:t>
        </w:r>
        <w:r>
          <w:rPr>
            <w:noProof/>
            <w:webHidden/>
          </w:rPr>
          <w:fldChar w:fldCharType="end"/>
        </w:r>
      </w:hyperlink>
    </w:p>
    <w:p w14:paraId="346D5AFE" w14:textId="0F7D4D8B" w:rsidR="00091568" w:rsidRDefault="00091568" w:rsidP="00EC23E1">
      <w:pPr>
        <w:pStyle w:val="TOC2"/>
        <w:rPr>
          <w:rFonts w:eastAsiaTheme="minorEastAsia"/>
          <w:noProof/>
          <w:color w:val="auto"/>
          <w:kern w:val="2"/>
          <w:lang w:eastAsia="en-GB"/>
          <w14:ligatures w14:val="standardContextual"/>
        </w:rPr>
      </w:pPr>
      <w:hyperlink w:anchor="_Toc213919790" w:history="1">
        <w:r w:rsidRPr="003A46FB">
          <w:rPr>
            <w:rStyle w:val="Hyperlink"/>
            <w:noProof/>
          </w:rPr>
          <w:t>5.15.</w:t>
        </w:r>
        <w:r>
          <w:rPr>
            <w:rFonts w:eastAsiaTheme="minorEastAsia"/>
            <w:noProof/>
            <w:color w:val="auto"/>
            <w:kern w:val="2"/>
            <w:lang w:eastAsia="en-GB"/>
            <w14:ligatures w14:val="standardContextual"/>
          </w:rPr>
          <w:tab/>
        </w:r>
        <w:r w:rsidRPr="003A46FB">
          <w:rPr>
            <w:rStyle w:val="Hyperlink"/>
            <w:noProof/>
          </w:rPr>
          <w:t>Policy Authors</w:t>
        </w:r>
        <w:r>
          <w:rPr>
            <w:noProof/>
            <w:webHidden/>
          </w:rPr>
          <w:tab/>
        </w:r>
        <w:r>
          <w:rPr>
            <w:noProof/>
            <w:webHidden/>
          </w:rPr>
          <w:fldChar w:fldCharType="begin"/>
        </w:r>
        <w:r>
          <w:rPr>
            <w:noProof/>
            <w:webHidden/>
          </w:rPr>
          <w:instrText xml:space="preserve"> PAGEREF _Toc213919790 \h </w:instrText>
        </w:r>
        <w:r>
          <w:rPr>
            <w:noProof/>
            <w:webHidden/>
          </w:rPr>
        </w:r>
        <w:r>
          <w:rPr>
            <w:noProof/>
            <w:webHidden/>
          </w:rPr>
          <w:fldChar w:fldCharType="separate"/>
        </w:r>
        <w:r w:rsidR="00BA56B8">
          <w:rPr>
            <w:noProof/>
            <w:webHidden/>
          </w:rPr>
          <w:t>15</w:t>
        </w:r>
        <w:r>
          <w:rPr>
            <w:noProof/>
            <w:webHidden/>
          </w:rPr>
          <w:fldChar w:fldCharType="end"/>
        </w:r>
      </w:hyperlink>
    </w:p>
    <w:p w14:paraId="62489AB0" w14:textId="10456F61" w:rsidR="00091568" w:rsidRDefault="00091568" w:rsidP="00EC23E1">
      <w:pPr>
        <w:pStyle w:val="TOC2"/>
        <w:rPr>
          <w:rFonts w:eastAsiaTheme="minorEastAsia"/>
          <w:noProof/>
          <w:color w:val="auto"/>
          <w:kern w:val="2"/>
          <w:lang w:eastAsia="en-GB"/>
          <w14:ligatures w14:val="standardContextual"/>
        </w:rPr>
      </w:pPr>
      <w:hyperlink w:anchor="_Toc213919791" w:history="1">
        <w:r w:rsidRPr="003A46FB">
          <w:rPr>
            <w:rStyle w:val="Hyperlink"/>
            <w:noProof/>
          </w:rPr>
          <w:t>5.16.</w:t>
        </w:r>
        <w:r>
          <w:rPr>
            <w:rFonts w:eastAsiaTheme="minorEastAsia"/>
            <w:noProof/>
            <w:color w:val="auto"/>
            <w:kern w:val="2"/>
            <w:lang w:eastAsia="en-GB"/>
            <w14:ligatures w14:val="standardContextual"/>
          </w:rPr>
          <w:tab/>
        </w:r>
        <w:r w:rsidRPr="003A46FB">
          <w:rPr>
            <w:rStyle w:val="Hyperlink"/>
            <w:noProof/>
          </w:rPr>
          <w:t>Governance Lead</w:t>
        </w:r>
        <w:r>
          <w:rPr>
            <w:noProof/>
            <w:webHidden/>
          </w:rPr>
          <w:tab/>
        </w:r>
        <w:r>
          <w:rPr>
            <w:noProof/>
            <w:webHidden/>
          </w:rPr>
          <w:fldChar w:fldCharType="begin"/>
        </w:r>
        <w:r>
          <w:rPr>
            <w:noProof/>
            <w:webHidden/>
          </w:rPr>
          <w:instrText xml:space="preserve"> PAGEREF _Toc213919791 \h </w:instrText>
        </w:r>
        <w:r>
          <w:rPr>
            <w:noProof/>
            <w:webHidden/>
          </w:rPr>
        </w:r>
        <w:r>
          <w:rPr>
            <w:noProof/>
            <w:webHidden/>
          </w:rPr>
          <w:fldChar w:fldCharType="separate"/>
        </w:r>
        <w:r w:rsidR="00BA56B8">
          <w:rPr>
            <w:noProof/>
            <w:webHidden/>
          </w:rPr>
          <w:t>15</w:t>
        </w:r>
        <w:r>
          <w:rPr>
            <w:noProof/>
            <w:webHidden/>
          </w:rPr>
          <w:fldChar w:fldCharType="end"/>
        </w:r>
      </w:hyperlink>
    </w:p>
    <w:p w14:paraId="166338AB" w14:textId="5BCAB5DD" w:rsidR="00091568" w:rsidRDefault="00091568" w:rsidP="00EC23E1">
      <w:pPr>
        <w:pStyle w:val="TOC2"/>
        <w:rPr>
          <w:rFonts w:eastAsiaTheme="minorEastAsia"/>
          <w:noProof/>
          <w:color w:val="auto"/>
          <w:kern w:val="2"/>
          <w:lang w:eastAsia="en-GB"/>
          <w14:ligatures w14:val="standardContextual"/>
        </w:rPr>
      </w:pPr>
      <w:hyperlink w:anchor="_Toc213919792" w:history="1">
        <w:r w:rsidRPr="003A46FB">
          <w:rPr>
            <w:rStyle w:val="Hyperlink"/>
            <w:noProof/>
          </w:rPr>
          <w:t>5.17.</w:t>
        </w:r>
        <w:r>
          <w:rPr>
            <w:rFonts w:eastAsiaTheme="minorEastAsia"/>
            <w:noProof/>
            <w:color w:val="auto"/>
            <w:kern w:val="2"/>
            <w:lang w:eastAsia="en-GB"/>
            <w14:ligatures w14:val="standardContextual"/>
          </w:rPr>
          <w:tab/>
        </w:r>
        <w:r w:rsidRPr="003A46FB">
          <w:rPr>
            <w:rStyle w:val="Hyperlink"/>
            <w:noProof/>
          </w:rPr>
          <w:t>Line Managers</w:t>
        </w:r>
        <w:r>
          <w:rPr>
            <w:noProof/>
            <w:webHidden/>
          </w:rPr>
          <w:tab/>
        </w:r>
        <w:r>
          <w:rPr>
            <w:noProof/>
            <w:webHidden/>
          </w:rPr>
          <w:fldChar w:fldCharType="begin"/>
        </w:r>
        <w:r>
          <w:rPr>
            <w:noProof/>
            <w:webHidden/>
          </w:rPr>
          <w:instrText xml:space="preserve"> PAGEREF _Toc213919792 \h </w:instrText>
        </w:r>
        <w:r>
          <w:rPr>
            <w:noProof/>
            <w:webHidden/>
          </w:rPr>
        </w:r>
        <w:r>
          <w:rPr>
            <w:noProof/>
            <w:webHidden/>
          </w:rPr>
          <w:fldChar w:fldCharType="separate"/>
        </w:r>
        <w:r w:rsidR="00BA56B8">
          <w:rPr>
            <w:noProof/>
            <w:webHidden/>
          </w:rPr>
          <w:t>15</w:t>
        </w:r>
        <w:r>
          <w:rPr>
            <w:noProof/>
            <w:webHidden/>
          </w:rPr>
          <w:fldChar w:fldCharType="end"/>
        </w:r>
      </w:hyperlink>
    </w:p>
    <w:p w14:paraId="7781ACB8" w14:textId="14381CF6" w:rsidR="00091568" w:rsidRDefault="00091568" w:rsidP="00EC23E1">
      <w:pPr>
        <w:pStyle w:val="TOC2"/>
        <w:rPr>
          <w:rFonts w:eastAsiaTheme="minorEastAsia"/>
          <w:noProof/>
          <w:color w:val="auto"/>
          <w:kern w:val="2"/>
          <w:lang w:eastAsia="en-GB"/>
          <w14:ligatures w14:val="standardContextual"/>
        </w:rPr>
      </w:pPr>
      <w:hyperlink w:anchor="_Toc213919793" w:history="1">
        <w:r w:rsidRPr="003A46FB">
          <w:rPr>
            <w:rStyle w:val="Hyperlink"/>
            <w:noProof/>
          </w:rPr>
          <w:t>5.18.</w:t>
        </w:r>
        <w:r>
          <w:rPr>
            <w:rFonts w:eastAsiaTheme="minorEastAsia"/>
            <w:noProof/>
            <w:color w:val="auto"/>
            <w:kern w:val="2"/>
            <w:lang w:eastAsia="en-GB"/>
            <w14:ligatures w14:val="standardContextual"/>
          </w:rPr>
          <w:tab/>
        </w:r>
        <w:r w:rsidRPr="003A46FB">
          <w:rPr>
            <w:rStyle w:val="Hyperlink"/>
            <w:noProof/>
          </w:rPr>
          <w:t>All Staff</w:t>
        </w:r>
        <w:r>
          <w:rPr>
            <w:noProof/>
            <w:webHidden/>
          </w:rPr>
          <w:tab/>
        </w:r>
        <w:r>
          <w:rPr>
            <w:noProof/>
            <w:webHidden/>
          </w:rPr>
          <w:fldChar w:fldCharType="begin"/>
        </w:r>
        <w:r>
          <w:rPr>
            <w:noProof/>
            <w:webHidden/>
          </w:rPr>
          <w:instrText xml:space="preserve"> PAGEREF _Toc213919793 \h </w:instrText>
        </w:r>
        <w:r>
          <w:rPr>
            <w:noProof/>
            <w:webHidden/>
          </w:rPr>
        </w:r>
        <w:r>
          <w:rPr>
            <w:noProof/>
            <w:webHidden/>
          </w:rPr>
          <w:fldChar w:fldCharType="separate"/>
        </w:r>
        <w:r w:rsidR="00BA56B8">
          <w:rPr>
            <w:noProof/>
            <w:webHidden/>
          </w:rPr>
          <w:t>15</w:t>
        </w:r>
        <w:r>
          <w:rPr>
            <w:noProof/>
            <w:webHidden/>
          </w:rPr>
          <w:fldChar w:fldCharType="end"/>
        </w:r>
      </w:hyperlink>
    </w:p>
    <w:p w14:paraId="44CBFC50" w14:textId="09CC8AAF" w:rsidR="00091568" w:rsidRDefault="00091568">
      <w:pPr>
        <w:pStyle w:val="TOC1"/>
        <w:rPr>
          <w:rFonts w:eastAsiaTheme="minorEastAsia"/>
          <w:b w:val="0"/>
          <w:noProof/>
          <w:color w:val="auto"/>
          <w:kern w:val="2"/>
          <w:lang w:eastAsia="en-GB"/>
          <w14:ligatures w14:val="standardContextual"/>
        </w:rPr>
      </w:pPr>
      <w:hyperlink w:anchor="_Toc213919794" w:history="1">
        <w:r w:rsidRPr="003A46FB">
          <w:rPr>
            <w:rStyle w:val="Hyperlink"/>
            <w:noProof/>
          </w:rPr>
          <w:t>6.</w:t>
        </w:r>
        <w:r>
          <w:rPr>
            <w:rFonts w:eastAsiaTheme="minorEastAsia"/>
            <w:b w:val="0"/>
            <w:noProof/>
            <w:color w:val="auto"/>
            <w:kern w:val="2"/>
            <w:lang w:eastAsia="en-GB"/>
            <w14:ligatures w14:val="standardContextual"/>
          </w:rPr>
          <w:tab/>
        </w:r>
        <w:r w:rsidRPr="003A46FB">
          <w:rPr>
            <w:rStyle w:val="Hyperlink"/>
            <w:noProof/>
          </w:rPr>
          <w:t>Policy / Procedure Detail</w:t>
        </w:r>
        <w:r>
          <w:rPr>
            <w:noProof/>
            <w:webHidden/>
          </w:rPr>
          <w:tab/>
        </w:r>
        <w:r>
          <w:rPr>
            <w:noProof/>
            <w:webHidden/>
          </w:rPr>
          <w:fldChar w:fldCharType="begin"/>
        </w:r>
        <w:r>
          <w:rPr>
            <w:noProof/>
            <w:webHidden/>
          </w:rPr>
          <w:instrText xml:space="preserve"> PAGEREF _Toc213919794 \h </w:instrText>
        </w:r>
        <w:r>
          <w:rPr>
            <w:noProof/>
            <w:webHidden/>
          </w:rPr>
        </w:r>
        <w:r>
          <w:rPr>
            <w:noProof/>
            <w:webHidden/>
          </w:rPr>
          <w:fldChar w:fldCharType="separate"/>
        </w:r>
        <w:r w:rsidR="00BA56B8">
          <w:rPr>
            <w:noProof/>
            <w:webHidden/>
          </w:rPr>
          <w:t>15</w:t>
        </w:r>
        <w:r>
          <w:rPr>
            <w:noProof/>
            <w:webHidden/>
          </w:rPr>
          <w:fldChar w:fldCharType="end"/>
        </w:r>
      </w:hyperlink>
    </w:p>
    <w:p w14:paraId="609B7170" w14:textId="6BA6F731" w:rsidR="00091568" w:rsidRDefault="00091568" w:rsidP="00EC23E1">
      <w:pPr>
        <w:pStyle w:val="TOC2"/>
        <w:rPr>
          <w:rFonts w:eastAsiaTheme="minorEastAsia"/>
          <w:noProof/>
          <w:color w:val="auto"/>
          <w:kern w:val="2"/>
          <w:lang w:eastAsia="en-GB"/>
          <w14:ligatures w14:val="standardContextual"/>
        </w:rPr>
      </w:pPr>
      <w:hyperlink w:anchor="_Toc213919795" w:history="1">
        <w:r w:rsidRPr="003A46FB">
          <w:rPr>
            <w:rStyle w:val="Hyperlink"/>
            <w:noProof/>
          </w:rPr>
          <w:t>6.1.</w:t>
        </w:r>
        <w:r>
          <w:rPr>
            <w:rFonts w:eastAsiaTheme="minorEastAsia"/>
            <w:noProof/>
            <w:color w:val="auto"/>
            <w:kern w:val="2"/>
            <w:lang w:eastAsia="en-GB"/>
            <w14:ligatures w14:val="standardContextual"/>
          </w:rPr>
          <w:tab/>
        </w:r>
        <w:r w:rsidRPr="003A46FB">
          <w:rPr>
            <w:rStyle w:val="Hyperlink"/>
            <w:noProof/>
          </w:rPr>
          <w:t>Commissioned Services</w:t>
        </w:r>
        <w:r>
          <w:rPr>
            <w:noProof/>
            <w:webHidden/>
          </w:rPr>
          <w:tab/>
        </w:r>
        <w:r>
          <w:rPr>
            <w:noProof/>
            <w:webHidden/>
          </w:rPr>
          <w:fldChar w:fldCharType="begin"/>
        </w:r>
        <w:r>
          <w:rPr>
            <w:noProof/>
            <w:webHidden/>
          </w:rPr>
          <w:instrText xml:space="preserve"> PAGEREF _Toc213919795 \h </w:instrText>
        </w:r>
        <w:r>
          <w:rPr>
            <w:noProof/>
            <w:webHidden/>
          </w:rPr>
        </w:r>
        <w:r>
          <w:rPr>
            <w:noProof/>
            <w:webHidden/>
          </w:rPr>
          <w:fldChar w:fldCharType="separate"/>
        </w:r>
        <w:r w:rsidR="00BA56B8">
          <w:rPr>
            <w:noProof/>
            <w:webHidden/>
          </w:rPr>
          <w:t>16</w:t>
        </w:r>
        <w:r>
          <w:rPr>
            <w:noProof/>
            <w:webHidden/>
          </w:rPr>
          <w:fldChar w:fldCharType="end"/>
        </w:r>
      </w:hyperlink>
    </w:p>
    <w:p w14:paraId="465BB080" w14:textId="0595B17F" w:rsidR="00091568" w:rsidRDefault="00091568">
      <w:pPr>
        <w:pStyle w:val="TOC1"/>
        <w:rPr>
          <w:rFonts w:eastAsiaTheme="minorEastAsia"/>
          <w:b w:val="0"/>
          <w:noProof/>
          <w:color w:val="auto"/>
          <w:kern w:val="2"/>
          <w:lang w:eastAsia="en-GB"/>
          <w14:ligatures w14:val="standardContextual"/>
        </w:rPr>
      </w:pPr>
      <w:hyperlink w:anchor="_Toc213919796" w:history="1">
        <w:r w:rsidRPr="003A46FB">
          <w:rPr>
            <w:rStyle w:val="Hyperlink"/>
            <w:noProof/>
          </w:rPr>
          <w:t>Principles of Decision Making</w:t>
        </w:r>
        <w:r>
          <w:rPr>
            <w:noProof/>
            <w:webHidden/>
          </w:rPr>
          <w:tab/>
        </w:r>
        <w:r>
          <w:rPr>
            <w:noProof/>
            <w:webHidden/>
          </w:rPr>
          <w:fldChar w:fldCharType="begin"/>
        </w:r>
        <w:r>
          <w:rPr>
            <w:noProof/>
            <w:webHidden/>
          </w:rPr>
          <w:instrText xml:space="preserve"> PAGEREF _Toc213919796 \h </w:instrText>
        </w:r>
        <w:r>
          <w:rPr>
            <w:noProof/>
            <w:webHidden/>
          </w:rPr>
        </w:r>
        <w:r>
          <w:rPr>
            <w:noProof/>
            <w:webHidden/>
          </w:rPr>
          <w:fldChar w:fldCharType="separate"/>
        </w:r>
        <w:r w:rsidR="00BA56B8">
          <w:rPr>
            <w:noProof/>
            <w:webHidden/>
          </w:rPr>
          <w:t>17</w:t>
        </w:r>
        <w:r>
          <w:rPr>
            <w:noProof/>
            <w:webHidden/>
          </w:rPr>
          <w:fldChar w:fldCharType="end"/>
        </w:r>
      </w:hyperlink>
    </w:p>
    <w:p w14:paraId="468EFE09" w14:textId="21713766" w:rsidR="00091568" w:rsidRDefault="00091568" w:rsidP="00EC23E1">
      <w:pPr>
        <w:pStyle w:val="TOC2"/>
        <w:rPr>
          <w:rFonts w:eastAsiaTheme="minorEastAsia"/>
          <w:noProof/>
          <w:color w:val="auto"/>
          <w:kern w:val="2"/>
          <w:lang w:eastAsia="en-GB"/>
          <w14:ligatures w14:val="standardContextual"/>
        </w:rPr>
      </w:pPr>
      <w:hyperlink w:anchor="_Toc213919797" w:history="1">
        <w:r w:rsidRPr="003A46FB">
          <w:rPr>
            <w:rStyle w:val="Hyperlink"/>
            <w:noProof/>
          </w:rPr>
          <w:t>6.2.</w:t>
        </w:r>
        <w:r>
          <w:rPr>
            <w:rFonts w:eastAsiaTheme="minorEastAsia"/>
            <w:noProof/>
            <w:color w:val="auto"/>
            <w:kern w:val="2"/>
            <w:lang w:eastAsia="en-GB"/>
            <w14:ligatures w14:val="standardContextual"/>
          </w:rPr>
          <w:tab/>
        </w:r>
        <w:r w:rsidRPr="003A46FB">
          <w:rPr>
            <w:rStyle w:val="Hyperlink"/>
            <w:noProof/>
          </w:rPr>
          <w:t>The ICB Planning Cycle</w:t>
        </w:r>
        <w:r>
          <w:rPr>
            <w:noProof/>
            <w:webHidden/>
          </w:rPr>
          <w:tab/>
        </w:r>
        <w:r>
          <w:rPr>
            <w:noProof/>
            <w:webHidden/>
          </w:rPr>
          <w:fldChar w:fldCharType="begin"/>
        </w:r>
        <w:r>
          <w:rPr>
            <w:noProof/>
            <w:webHidden/>
          </w:rPr>
          <w:instrText xml:space="preserve"> PAGEREF _Toc213919797 \h </w:instrText>
        </w:r>
        <w:r>
          <w:rPr>
            <w:noProof/>
            <w:webHidden/>
          </w:rPr>
        </w:r>
        <w:r>
          <w:rPr>
            <w:noProof/>
            <w:webHidden/>
          </w:rPr>
          <w:fldChar w:fldCharType="separate"/>
        </w:r>
        <w:r w:rsidR="00BA56B8">
          <w:rPr>
            <w:noProof/>
            <w:webHidden/>
          </w:rPr>
          <w:t>17</w:t>
        </w:r>
        <w:r>
          <w:rPr>
            <w:noProof/>
            <w:webHidden/>
          </w:rPr>
          <w:fldChar w:fldCharType="end"/>
        </w:r>
      </w:hyperlink>
    </w:p>
    <w:p w14:paraId="76B46972" w14:textId="7DA89D43" w:rsidR="00091568" w:rsidRDefault="00091568" w:rsidP="00EC23E1">
      <w:pPr>
        <w:pStyle w:val="TOC2"/>
        <w:rPr>
          <w:rFonts w:eastAsiaTheme="minorEastAsia"/>
          <w:noProof/>
          <w:color w:val="auto"/>
          <w:kern w:val="2"/>
          <w:lang w:eastAsia="en-GB"/>
          <w14:ligatures w14:val="standardContextual"/>
        </w:rPr>
      </w:pPr>
      <w:hyperlink w:anchor="_Toc213919798" w:history="1">
        <w:r w:rsidRPr="003A46FB">
          <w:rPr>
            <w:rStyle w:val="Hyperlink"/>
            <w:noProof/>
          </w:rPr>
          <w:t>6.3.</w:t>
        </w:r>
        <w:r>
          <w:rPr>
            <w:rFonts w:eastAsiaTheme="minorEastAsia"/>
            <w:noProof/>
            <w:color w:val="auto"/>
            <w:kern w:val="2"/>
            <w:lang w:eastAsia="en-GB"/>
            <w14:ligatures w14:val="standardContextual"/>
          </w:rPr>
          <w:tab/>
        </w:r>
        <w:r w:rsidRPr="003A46FB">
          <w:rPr>
            <w:rStyle w:val="Hyperlink"/>
            <w:noProof/>
          </w:rPr>
          <w:t>Collaborative Commissioning</w:t>
        </w:r>
        <w:r>
          <w:rPr>
            <w:noProof/>
            <w:webHidden/>
          </w:rPr>
          <w:tab/>
        </w:r>
        <w:r>
          <w:rPr>
            <w:noProof/>
            <w:webHidden/>
          </w:rPr>
          <w:fldChar w:fldCharType="begin"/>
        </w:r>
        <w:r>
          <w:rPr>
            <w:noProof/>
            <w:webHidden/>
          </w:rPr>
          <w:instrText xml:space="preserve"> PAGEREF _Toc213919798 \h </w:instrText>
        </w:r>
        <w:r>
          <w:rPr>
            <w:noProof/>
            <w:webHidden/>
          </w:rPr>
        </w:r>
        <w:r>
          <w:rPr>
            <w:noProof/>
            <w:webHidden/>
          </w:rPr>
          <w:fldChar w:fldCharType="separate"/>
        </w:r>
        <w:r w:rsidR="00BA56B8">
          <w:rPr>
            <w:noProof/>
            <w:webHidden/>
          </w:rPr>
          <w:t>18</w:t>
        </w:r>
        <w:r>
          <w:rPr>
            <w:noProof/>
            <w:webHidden/>
          </w:rPr>
          <w:fldChar w:fldCharType="end"/>
        </w:r>
      </w:hyperlink>
    </w:p>
    <w:p w14:paraId="023E33E0" w14:textId="266B0BB1" w:rsidR="00091568" w:rsidRDefault="00091568" w:rsidP="00EC23E1">
      <w:pPr>
        <w:pStyle w:val="TOC2"/>
        <w:rPr>
          <w:rFonts w:eastAsiaTheme="minorEastAsia"/>
          <w:noProof/>
          <w:color w:val="auto"/>
          <w:kern w:val="2"/>
          <w:lang w:eastAsia="en-GB"/>
          <w14:ligatures w14:val="standardContextual"/>
        </w:rPr>
      </w:pPr>
      <w:hyperlink w:anchor="_Toc213919799" w:history="1">
        <w:r w:rsidRPr="003A46FB">
          <w:rPr>
            <w:rStyle w:val="Hyperlink"/>
            <w:noProof/>
          </w:rPr>
          <w:t>6.4.</w:t>
        </w:r>
        <w:r>
          <w:rPr>
            <w:rFonts w:eastAsiaTheme="minorEastAsia"/>
            <w:noProof/>
            <w:color w:val="auto"/>
            <w:kern w:val="2"/>
            <w:lang w:eastAsia="en-GB"/>
            <w14:ligatures w14:val="standardContextual"/>
          </w:rPr>
          <w:tab/>
        </w:r>
        <w:r w:rsidRPr="003A46FB">
          <w:rPr>
            <w:rStyle w:val="Hyperlink"/>
            <w:noProof/>
          </w:rPr>
          <w:t>Record Keeping</w:t>
        </w:r>
        <w:r>
          <w:rPr>
            <w:noProof/>
            <w:webHidden/>
          </w:rPr>
          <w:tab/>
        </w:r>
        <w:r>
          <w:rPr>
            <w:noProof/>
            <w:webHidden/>
          </w:rPr>
          <w:fldChar w:fldCharType="begin"/>
        </w:r>
        <w:r>
          <w:rPr>
            <w:noProof/>
            <w:webHidden/>
          </w:rPr>
          <w:instrText xml:space="preserve"> PAGEREF _Toc213919799 \h </w:instrText>
        </w:r>
        <w:r>
          <w:rPr>
            <w:noProof/>
            <w:webHidden/>
          </w:rPr>
        </w:r>
        <w:r>
          <w:rPr>
            <w:noProof/>
            <w:webHidden/>
          </w:rPr>
          <w:fldChar w:fldCharType="separate"/>
        </w:r>
        <w:r w:rsidR="00BA56B8">
          <w:rPr>
            <w:noProof/>
            <w:webHidden/>
          </w:rPr>
          <w:t>18</w:t>
        </w:r>
        <w:r>
          <w:rPr>
            <w:noProof/>
            <w:webHidden/>
          </w:rPr>
          <w:fldChar w:fldCharType="end"/>
        </w:r>
      </w:hyperlink>
    </w:p>
    <w:p w14:paraId="2758DCC9" w14:textId="361B61A4" w:rsidR="00091568" w:rsidRDefault="00091568" w:rsidP="00EC23E1">
      <w:pPr>
        <w:pStyle w:val="TOC2"/>
        <w:rPr>
          <w:rFonts w:eastAsiaTheme="minorEastAsia"/>
          <w:noProof/>
          <w:color w:val="auto"/>
          <w:kern w:val="2"/>
          <w:lang w:eastAsia="en-GB"/>
          <w14:ligatures w14:val="standardContextual"/>
        </w:rPr>
      </w:pPr>
      <w:hyperlink w:anchor="_Toc213919800" w:history="1">
        <w:r w:rsidRPr="003A46FB">
          <w:rPr>
            <w:rStyle w:val="Hyperlink"/>
            <w:noProof/>
          </w:rPr>
          <w:t>6.5.</w:t>
        </w:r>
        <w:r>
          <w:rPr>
            <w:rFonts w:eastAsiaTheme="minorEastAsia"/>
            <w:noProof/>
            <w:color w:val="auto"/>
            <w:kern w:val="2"/>
            <w:lang w:eastAsia="en-GB"/>
            <w14:ligatures w14:val="standardContextual"/>
          </w:rPr>
          <w:tab/>
        </w:r>
        <w:r w:rsidRPr="003A46FB">
          <w:rPr>
            <w:rStyle w:val="Hyperlink"/>
            <w:noProof/>
          </w:rPr>
          <w:t>Decision Making Prioritisation Framework</w:t>
        </w:r>
        <w:r>
          <w:rPr>
            <w:noProof/>
            <w:webHidden/>
          </w:rPr>
          <w:tab/>
        </w:r>
        <w:r>
          <w:rPr>
            <w:noProof/>
            <w:webHidden/>
          </w:rPr>
          <w:fldChar w:fldCharType="begin"/>
        </w:r>
        <w:r>
          <w:rPr>
            <w:noProof/>
            <w:webHidden/>
          </w:rPr>
          <w:instrText xml:space="preserve"> PAGEREF _Toc213919800 \h </w:instrText>
        </w:r>
        <w:r>
          <w:rPr>
            <w:noProof/>
            <w:webHidden/>
          </w:rPr>
        </w:r>
        <w:r>
          <w:rPr>
            <w:noProof/>
            <w:webHidden/>
          </w:rPr>
          <w:fldChar w:fldCharType="separate"/>
        </w:r>
        <w:r w:rsidR="00BA56B8">
          <w:rPr>
            <w:noProof/>
            <w:webHidden/>
          </w:rPr>
          <w:t>19</w:t>
        </w:r>
        <w:r>
          <w:rPr>
            <w:noProof/>
            <w:webHidden/>
          </w:rPr>
          <w:fldChar w:fldCharType="end"/>
        </w:r>
      </w:hyperlink>
    </w:p>
    <w:p w14:paraId="171ADEA5" w14:textId="145EFACF" w:rsidR="00091568" w:rsidRDefault="00091568" w:rsidP="00EC23E1">
      <w:pPr>
        <w:pStyle w:val="TOC2"/>
        <w:rPr>
          <w:rFonts w:eastAsiaTheme="minorEastAsia"/>
          <w:noProof/>
          <w:color w:val="auto"/>
          <w:kern w:val="2"/>
          <w:lang w:eastAsia="en-GB"/>
          <w14:ligatures w14:val="standardContextual"/>
        </w:rPr>
      </w:pPr>
      <w:hyperlink w:anchor="_Toc213919801" w:history="1">
        <w:r w:rsidRPr="003A46FB">
          <w:rPr>
            <w:rStyle w:val="Hyperlink"/>
            <w:noProof/>
          </w:rPr>
          <w:t>6.6.</w:t>
        </w:r>
        <w:r>
          <w:rPr>
            <w:rFonts w:eastAsiaTheme="minorEastAsia"/>
            <w:noProof/>
            <w:color w:val="auto"/>
            <w:kern w:val="2"/>
            <w:lang w:eastAsia="en-GB"/>
            <w14:ligatures w14:val="standardContextual"/>
          </w:rPr>
          <w:tab/>
        </w:r>
        <w:r w:rsidRPr="003A46FB">
          <w:rPr>
            <w:rStyle w:val="Hyperlink"/>
            <w:noProof/>
          </w:rPr>
          <w:t>Prioritisation Criteria</w:t>
        </w:r>
        <w:r>
          <w:rPr>
            <w:noProof/>
            <w:webHidden/>
          </w:rPr>
          <w:tab/>
        </w:r>
        <w:r>
          <w:rPr>
            <w:noProof/>
            <w:webHidden/>
          </w:rPr>
          <w:fldChar w:fldCharType="begin"/>
        </w:r>
        <w:r>
          <w:rPr>
            <w:noProof/>
            <w:webHidden/>
          </w:rPr>
          <w:instrText xml:space="preserve"> PAGEREF _Toc213919801 \h </w:instrText>
        </w:r>
        <w:r>
          <w:rPr>
            <w:noProof/>
            <w:webHidden/>
          </w:rPr>
        </w:r>
        <w:r>
          <w:rPr>
            <w:noProof/>
            <w:webHidden/>
          </w:rPr>
          <w:fldChar w:fldCharType="separate"/>
        </w:r>
        <w:r w:rsidR="00BA56B8">
          <w:rPr>
            <w:noProof/>
            <w:webHidden/>
          </w:rPr>
          <w:t>19</w:t>
        </w:r>
        <w:r>
          <w:rPr>
            <w:noProof/>
            <w:webHidden/>
          </w:rPr>
          <w:fldChar w:fldCharType="end"/>
        </w:r>
      </w:hyperlink>
    </w:p>
    <w:p w14:paraId="7CDC1F54" w14:textId="1B34D83F" w:rsidR="00091568" w:rsidRDefault="00091568">
      <w:pPr>
        <w:pStyle w:val="TOC1"/>
        <w:rPr>
          <w:rFonts w:eastAsiaTheme="minorEastAsia"/>
          <w:b w:val="0"/>
          <w:noProof/>
          <w:color w:val="auto"/>
          <w:kern w:val="2"/>
          <w:lang w:eastAsia="en-GB"/>
          <w14:ligatures w14:val="standardContextual"/>
        </w:rPr>
      </w:pPr>
      <w:hyperlink w:anchor="_Toc213919802" w:history="1">
        <w:r w:rsidRPr="003A46FB">
          <w:rPr>
            <w:rStyle w:val="Hyperlink"/>
            <w:noProof/>
          </w:rPr>
          <w:t>Decision-Making</w:t>
        </w:r>
        <w:r>
          <w:rPr>
            <w:noProof/>
            <w:webHidden/>
          </w:rPr>
          <w:tab/>
        </w:r>
        <w:r>
          <w:rPr>
            <w:noProof/>
            <w:webHidden/>
          </w:rPr>
          <w:fldChar w:fldCharType="begin"/>
        </w:r>
        <w:r>
          <w:rPr>
            <w:noProof/>
            <w:webHidden/>
          </w:rPr>
          <w:instrText xml:space="preserve"> PAGEREF _Toc213919802 \h </w:instrText>
        </w:r>
        <w:r>
          <w:rPr>
            <w:noProof/>
            <w:webHidden/>
          </w:rPr>
        </w:r>
        <w:r>
          <w:rPr>
            <w:noProof/>
            <w:webHidden/>
          </w:rPr>
          <w:fldChar w:fldCharType="separate"/>
        </w:r>
        <w:r w:rsidR="00BA56B8">
          <w:rPr>
            <w:noProof/>
            <w:webHidden/>
          </w:rPr>
          <w:t>20</w:t>
        </w:r>
        <w:r>
          <w:rPr>
            <w:noProof/>
            <w:webHidden/>
          </w:rPr>
          <w:fldChar w:fldCharType="end"/>
        </w:r>
      </w:hyperlink>
    </w:p>
    <w:p w14:paraId="23AACCFB" w14:textId="441A25F5" w:rsidR="00091568" w:rsidRDefault="00091568" w:rsidP="00EC23E1">
      <w:pPr>
        <w:pStyle w:val="TOC2"/>
        <w:rPr>
          <w:rFonts w:eastAsiaTheme="minorEastAsia"/>
          <w:noProof/>
          <w:color w:val="auto"/>
          <w:kern w:val="2"/>
          <w:lang w:eastAsia="en-GB"/>
          <w14:ligatures w14:val="standardContextual"/>
        </w:rPr>
      </w:pPr>
      <w:hyperlink w:anchor="_Toc213919803" w:history="1">
        <w:r w:rsidRPr="003A46FB">
          <w:rPr>
            <w:rStyle w:val="Hyperlink"/>
            <w:noProof/>
          </w:rPr>
          <w:t>6.7.</w:t>
        </w:r>
        <w:r>
          <w:rPr>
            <w:rFonts w:eastAsiaTheme="minorEastAsia"/>
            <w:noProof/>
            <w:color w:val="auto"/>
            <w:kern w:val="2"/>
            <w:lang w:eastAsia="en-GB"/>
            <w14:ligatures w14:val="standardContextual"/>
          </w:rPr>
          <w:tab/>
        </w:r>
        <w:r w:rsidRPr="003A46FB">
          <w:rPr>
            <w:rStyle w:val="Hyperlink"/>
            <w:noProof/>
          </w:rPr>
          <w:t>Stages of decision-making</w:t>
        </w:r>
        <w:r>
          <w:rPr>
            <w:noProof/>
            <w:webHidden/>
          </w:rPr>
          <w:tab/>
        </w:r>
        <w:r>
          <w:rPr>
            <w:noProof/>
            <w:webHidden/>
          </w:rPr>
          <w:fldChar w:fldCharType="begin"/>
        </w:r>
        <w:r>
          <w:rPr>
            <w:noProof/>
            <w:webHidden/>
          </w:rPr>
          <w:instrText xml:space="preserve"> PAGEREF _Toc213919803 \h </w:instrText>
        </w:r>
        <w:r>
          <w:rPr>
            <w:noProof/>
            <w:webHidden/>
          </w:rPr>
        </w:r>
        <w:r>
          <w:rPr>
            <w:noProof/>
            <w:webHidden/>
          </w:rPr>
          <w:fldChar w:fldCharType="separate"/>
        </w:r>
        <w:r w:rsidR="00BA56B8">
          <w:rPr>
            <w:noProof/>
            <w:webHidden/>
          </w:rPr>
          <w:t>20</w:t>
        </w:r>
        <w:r>
          <w:rPr>
            <w:noProof/>
            <w:webHidden/>
          </w:rPr>
          <w:fldChar w:fldCharType="end"/>
        </w:r>
      </w:hyperlink>
    </w:p>
    <w:p w14:paraId="6A868F93" w14:textId="37021D2E" w:rsidR="00091568" w:rsidRDefault="00091568" w:rsidP="00EC23E1">
      <w:pPr>
        <w:pStyle w:val="TOC2"/>
        <w:rPr>
          <w:rFonts w:eastAsiaTheme="minorEastAsia"/>
          <w:noProof/>
          <w:color w:val="auto"/>
          <w:kern w:val="2"/>
          <w:lang w:eastAsia="en-GB"/>
          <w14:ligatures w14:val="standardContextual"/>
        </w:rPr>
      </w:pPr>
      <w:hyperlink w:anchor="_Toc213919804" w:history="1">
        <w:r w:rsidRPr="003A46FB">
          <w:rPr>
            <w:rStyle w:val="Hyperlink"/>
            <w:noProof/>
          </w:rPr>
          <w:t>6.8.</w:t>
        </w:r>
        <w:r>
          <w:rPr>
            <w:rFonts w:eastAsiaTheme="minorEastAsia"/>
            <w:noProof/>
            <w:color w:val="auto"/>
            <w:kern w:val="2"/>
            <w:lang w:eastAsia="en-GB"/>
            <w14:ligatures w14:val="standardContextual"/>
          </w:rPr>
          <w:tab/>
        </w:r>
        <w:r w:rsidRPr="003A46FB">
          <w:rPr>
            <w:rStyle w:val="Hyperlink"/>
            <w:noProof/>
          </w:rPr>
          <w:t>Stage 1 - Planning and Gateway 0 to 1</w:t>
        </w:r>
        <w:r>
          <w:rPr>
            <w:noProof/>
            <w:webHidden/>
          </w:rPr>
          <w:tab/>
        </w:r>
        <w:r>
          <w:rPr>
            <w:noProof/>
            <w:webHidden/>
          </w:rPr>
          <w:fldChar w:fldCharType="begin"/>
        </w:r>
        <w:r>
          <w:rPr>
            <w:noProof/>
            <w:webHidden/>
          </w:rPr>
          <w:instrText xml:space="preserve"> PAGEREF _Toc213919804 \h </w:instrText>
        </w:r>
        <w:r>
          <w:rPr>
            <w:noProof/>
            <w:webHidden/>
          </w:rPr>
        </w:r>
        <w:r>
          <w:rPr>
            <w:noProof/>
            <w:webHidden/>
          </w:rPr>
          <w:fldChar w:fldCharType="separate"/>
        </w:r>
        <w:r w:rsidR="00BA56B8">
          <w:rPr>
            <w:noProof/>
            <w:webHidden/>
          </w:rPr>
          <w:t>20</w:t>
        </w:r>
        <w:r>
          <w:rPr>
            <w:noProof/>
            <w:webHidden/>
          </w:rPr>
          <w:fldChar w:fldCharType="end"/>
        </w:r>
      </w:hyperlink>
    </w:p>
    <w:p w14:paraId="473EE4CD" w14:textId="3E9A2BAD" w:rsidR="00091568" w:rsidRDefault="00091568" w:rsidP="00EC23E1">
      <w:pPr>
        <w:pStyle w:val="TOC2"/>
        <w:rPr>
          <w:rFonts w:eastAsiaTheme="minorEastAsia"/>
          <w:noProof/>
          <w:color w:val="auto"/>
          <w:kern w:val="2"/>
          <w:lang w:eastAsia="en-GB"/>
          <w14:ligatures w14:val="standardContextual"/>
        </w:rPr>
      </w:pPr>
      <w:hyperlink w:anchor="_Toc213919805" w:history="1">
        <w:r w:rsidRPr="003A46FB">
          <w:rPr>
            <w:rStyle w:val="Hyperlink"/>
            <w:noProof/>
          </w:rPr>
          <w:t>6.9.</w:t>
        </w:r>
        <w:r>
          <w:rPr>
            <w:rFonts w:eastAsiaTheme="minorEastAsia"/>
            <w:noProof/>
            <w:color w:val="auto"/>
            <w:kern w:val="2"/>
            <w:lang w:eastAsia="en-GB"/>
            <w14:ligatures w14:val="standardContextual"/>
          </w:rPr>
          <w:tab/>
        </w:r>
        <w:r w:rsidRPr="003A46FB">
          <w:rPr>
            <w:rStyle w:val="Hyperlink"/>
            <w:noProof/>
          </w:rPr>
          <w:t>Stage 2 - Business Case Development (Gateway 2)</w:t>
        </w:r>
        <w:r>
          <w:rPr>
            <w:noProof/>
            <w:webHidden/>
          </w:rPr>
          <w:tab/>
        </w:r>
        <w:r>
          <w:rPr>
            <w:noProof/>
            <w:webHidden/>
          </w:rPr>
          <w:fldChar w:fldCharType="begin"/>
        </w:r>
        <w:r>
          <w:rPr>
            <w:noProof/>
            <w:webHidden/>
          </w:rPr>
          <w:instrText xml:space="preserve"> PAGEREF _Toc213919805 \h </w:instrText>
        </w:r>
        <w:r>
          <w:rPr>
            <w:noProof/>
            <w:webHidden/>
          </w:rPr>
        </w:r>
        <w:r>
          <w:rPr>
            <w:noProof/>
            <w:webHidden/>
          </w:rPr>
          <w:fldChar w:fldCharType="separate"/>
        </w:r>
        <w:r w:rsidR="00BA56B8">
          <w:rPr>
            <w:noProof/>
            <w:webHidden/>
          </w:rPr>
          <w:t>21</w:t>
        </w:r>
        <w:r>
          <w:rPr>
            <w:noProof/>
            <w:webHidden/>
          </w:rPr>
          <w:fldChar w:fldCharType="end"/>
        </w:r>
      </w:hyperlink>
    </w:p>
    <w:p w14:paraId="52DC639D" w14:textId="4782E193" w:rsidR="00091568" w:rsidRDefault="00091568" w:rsidP="00EC23E1">
      <w:pPr>
        <w:pStyle w:val="TOC2"/>
        <w:rPr>
          <w:rFonts w:eastAsiaTheme="minorEastAsia"/>
          <w:noProof/>
          <w:color w:val="auto"/>
          <w:kern w:val="2"/>
          <w:lang w:eastAsia="en-GB"/>
          <w14:ligatures w14:val="standardContextual"/>
        </w:rPr>
      </w:pPr>
      <w:hyperlink w:anchor="_Toc213919806" w:history="1">
        <w:r w:rsidRPr="003A46FB">
          <w:rPr>
            <w:rStyle w:val="Hyperlink"/>
            <w:noProof/>
          </w:rPr>
          <w:t>6.10.</w:t>
        </w:r>
        <w:r>
          <w:rPr>
            <w:rFonts w:eastAsiaTheme="minorEastAsia"/>
            <w:noProof/>
            <w:color w:val="auto"/>
            <w:kern w:val="2"/>
            <w:lang w:eastAsia="en-GB"/>
            <w14:ligatures w14:val="standardContextual"/>
          </w:rPr>
          <w:tab/>
        </w:r>
        <w:r w:rsidRPr="003A46FB">
          <w:rPr>
            <w:rStyle w:val="Hyperlink"/>
            <w:noProof/>
          </w:rPr>
          <w:t>Stage 3 - Formal Approval</w:t>
        </w:r>
        <w:r>
          <w:rPr>
            <w:noProof/>
            <w:webHidden/>
          </w:rPr>
          <w:tab/>
        </w:r>
        <w:r>
          <w:rPr>
            <w:noProof/>
            <w:webHidden/>
          </w:rPr>
          <w:fldChar w:fldCharType="begin"/>
        </w:r>
        <w:r>
          <w:rPr>
            <w:noProof/>
            <w:webHidden/>
          </w:rPr>
          <w:instrText xml:space="preserve"> PAGEREF _Toc213919806 \h </w:instrText>
        </w:r>
        <w:r>
          <w:rPr>
            <w:noProof/>
            <w:webHidden/>
          </w:rPr>
        </w:r>
        <w:r>
          <w:rPr>
            <w:noProof/>
            <w:webHidden/>
          </w:rPr>
          <w:fldChar w:fldCharType="separate"/>
        </w:r>
        <w:r w:rsidR="00BA56B8">
          <w:rPr>
            <w:noProof/>
            <w:webHidden/>
          </w:rPr>
          <w:t>21</w:t>
        </w:r>
        <w:r>
          <w:rPr>
            <w:noProof/>
            <w:webHidden/>
          </w:rPr>
          <w:fldChar w:fldCharType="end"/>
        </w:r>
      </w:hyperlink>
    </w:p>
    <w:p w14:paraId="6BE66163" w14:textId="49C539A9" w:rsidR="00091568" w:rsidRDefault="00091568" w:rsidP="00EC23E1">
      <w:pPr>
        <w:pStyle w:val="TOC2"/>
        <w:rPr>
          <w:rFonts w:eastAsiaTheme="minorEastAsia"/>
          <w:noProof/>
          <w:color w:val="auto"/>
          <w:kern w:val="2"/>
          <w:lang w:eastAsia="en-GB"/>
          <w14:ligatures w14:val="standardContextual"/>
        </w:rPr>
      </w:pPr>
      <w:hyperlink w:anchor="_Toc213919807" w:history="1">
        <w:r w:rsidRPr="003A46FB">
          <w:rPr>
            <w:rStyle w:val="Hyperlink"/>
            <w:noProof/>
          </w:rPr>
          <w:t>6.11.</w:t>
        </w:r>
        <w:r>
          <w:rPr>
            <w:rFonts w:eastAsiaTheme="minorEastAsia"/>
            <w:noProof/>
            <w:color w:val="auto"/>
            <w:kern w:val="2"/>
            <w:lang w:eastAsia="en-GB"/>
            <w14:ligatures w14:val="standardContextual"/>
          </w:rPr>
          <w:tab/>
        </w:r>
        <w:r w:rsidRPr="003A46FB">
          <w:rPr>
            <w:rStyle w:val="Hyperlink"/>
            <w:noProof/>
          </w:rPr>
          <w:t>Stage 4 – Planning and Delivery (Gateway 3 to 5)</w:t>
        </w:r>
        <w:r>
          <w:rPr>
            <w:noProof/>
            <w:webHidden/>
          </w:rPr>
          <w:tab/>
        </w:r>
        <w:r>
          <w:rPr>
            <w:noProof/>
            <w:webHidden/>
          </w:rPr>
          <w:fldChar w:fldCharType="begin"/>
        </w:r>
        <w:r>
          <w:rPr>
            <w:noProof/>
            <w:webHidden/>
          </w:rPr>
          <w:instrText xml:space="preserve"> PAGEREF _Toc213919807 \h </w:instrText>
        </w:r>
        <w:r>
          <w:rPr>
            <w:noProof/>
            <w:webHidden/>
          </w:rPr>
        </w:r>
        <w:r>
          <w:rPr>
            <w:noProof/>
            <w:webHidden/>
          </w:rPr>
          <w:fldChar w:fldCharType="separate"/>
        </w:r>
        <w:r w:rsidR="00BA56B8">
          <w:rPr>
            <w:noProof/>
            <w:webHidden/>
          </w:rPr>
          <w:t>22</w:t>
        </w:r>
        <w:r>
          <w:rPr>
            <w:noProof/>
            <w:webHidden/>
          </w:rPr>
          <w:fldChar w:fldCharType="end"/>
        </w:r>
      </w:hyperlink>
    </w:p>
    <w:p w14:paraId="00330DA0" w14:textId="2FFB8733" w:rsidR="00091568" w:rsidRDefault="00091568" w:rsidP="00EC23E1">
      <w:pPr>
        <w:pStyle w:val="TOC2"/>
        <w:rPr>
          <w:rFonts w:eastAsiaTheme="minorEastAsia"/>
          <w:noProof/>
          <w:color w:val="auto"/>
          <w:kern w:val="2"/>
          <w:lang w:eastAsia="en-GB"/>
          <w14:ligatures w14:val="standardContextual"/>
        </w:rPr>
      </w:pPr>
      <w:hyperlink w:anchor="_Toc213919808" w:history="1">
        <w:r w:rsidRPr="003A46FB">
          <w:rPr>
            <w:rStyle w:val="Hyperlink"/>
            <w:noProof/>
          </w:rPr>
          <w:t>6.12.</w:t>
        </w:r>
        <w:r>
          <w:rPr>
            <w:rFonts w:eastAsiaTheme="minorEastAsia"/>
            <w:noProof/>
            <w:color w:val="auto"/>
            <w:kern w:val="2"/>
            <w:lang w:eastAsia="en-GB"/>
            <w14:ligatures w14:val="standardContextual"/>
          </w:rPr>
          <w:tab/>
        </w:r>
        <w:r w:rsidRPr="003A46FB">
          <w:rPr>
            <w:rStyle w:val="Hyperlink"/>
            <w:noProof/>
          </w:rPr>
          <w:t>Monitoring, Review and Validation (Gateway 6)</w:t>
        </w:r>
        <w:r>
          <w:rPr>
            <w:noProof/>
            <w:webHidden/>
          </w:rPr>
          <w:tab/>
        </w:r>
        <w:r>
          <w:rPr>
            <w:noProof/>
            <w:webHidden/>
          </w:rPr>
          <w:fldChar w:fldCharType="begin"/>
        </w:r>
        <w:r>
          <w:rPr>
            <w:noProof/>
            <w:webHidden/>
          </w:rPr>
          <w:instrText xml:space="preserve"> PAGEREF _Toc213919808 \h </w:instrText>
        </w:r>
        <w:r>
          <w:rPr>
            <w:noProof/>
            <w:webHidden/>
          </w:rPr>
        </w:r>
        <w:r>
          <w:rPr>
            <w:noProof/>
            <w:webHidden/>
          </w:rPr>
          <w:fldChar w:fldCharType="separate"/>
        </w:r>
        <w:r w:rsidR="00BA56B8">
          <w:rPr>
            <w:noProof/>
            <w:webHidden/>
          </w:rPr>
          <w:t>22</w:t>
        </w:r>
        <w:r>
          <w:rPr>
            <w:noProof/>
            <w:webHidden/>
          </w:rPr>
          <w:fldChar w:fldCharType="end"/>
        </w:r>
      </w:hyperlink>
    </w:p>
    <w:p w14:paraId="419E73F0" w14:textId="109A38AA" w:rsidR="00091568" w:rsidRDefault="00091568">
      <w:pPr>
        <w:pStyle w:val="TOC1"/>
        <w:rPr>
          <w:rFonts w:eastAsiaTheme="minorEastAsia"/>
          <w:b w:val="0"/>
          <w:noProof/>
          <w:color w:val="auto"/>
          <w:kern w:val="2"/>
          <w:lang w:eastAsia="en-GB"/>
          <w14:ligatures w14:val="standardContextual"/>
        </w:rPr>
      </w:pPr>
      <w:hyperlink w:anchor="_Toc213919809" w:history="1">
        <w:r w:rsidRPr="003A46FB">
          <w:rPr>
            <w:rStyle w:val="Hyperlink"/>
            <w:noProof/>
          </w:rPr>
          <w:t>Principles of Contracting</w:t>
        </w:r>
        <w:r>
          <w:rPr>
            <w:noProof/>
            <w:webHidden/>
          </w:rPr>
          <w:tab/>
        </w:r>
        <w:r>
          <w:rPr>
            <w:noProof/>
            <w:webHidden/>
          </w:rPr>
          <w:fldChar w:fldCharType="begin"/>
        </w:r>
        <w:r>
          <w:rPr>
            <w:noProof/>
            <w:webHidden/>
          </w:rPr>
          <w:instrText xml:space="preserve"> PAGEREF _Toc213919809 \h </w:instrText>
        </w:r>
        <w:r>
          <w:rPr>
            <w:noProof/>
            <w:webHidden/>
          </w:rPr>
        </w:r>
        <w:r>
          <w:rPr>
            <w:noProof/>
            <w:webHidden/>
          </w:rPr>
          <w:fldChar w:fldCharType="separate"/>
        </w:r>
        <w:r w:rsidR="00BA56B8">
          <w:rPr>
            <w:noProof/>
            <w:webHidden/>
          </w:rPr>
          <w:t>23</w:t>
        </w:r>
        <w:r>
          <w:rPr>
            <w:noProof/>
            <w:webHidden/>
          </w:rPr>
          <w:fldChar w:fldCharType="end"/>
        </w:r>
      </w:hyperlink>
    </w:p>
    <w:p w14:paraId="76D29C98" w14:textId="516325B3" w:rsidR="00091568" w:rsidRDefault="00091568" w:rsidP="00EC23E1">
      <w:pPr>
        <w:pStyle w:val="TOC2"/>
        <w:rPr>
          <w:rFonts w:eastAsiaTheme="minorEastAsia"/>
          <w:noProof/>
          <w:color w:val="auto"/>
          <w:kern w:val="2"/>
          <w:lang w:eastAsia="en-GB"/>
          <w14:ligatures w14:val="standardContextual"/>
        </w:rPr>
      </w:pPr>
      <w:hyperlink w:anchor="_Toc213919810" w:history="1">
        <w:r w:rsidRPr="003A46FB">
          <w:rPr>
            <w:rStyle w:val="Hyperlink"/>
            <w:noProof/>
          </w:rPr>
          <w:t>6.13.</w:t>
        </w:r>
        <w:r>
          <w:rPr>
            <w:rFonts w:eastAsiaTheme="minorEastAsia"/>
            <w:noProof/>
            <w:color w:val="auto"/>
            <w:kern w:val="2"/>
            <w:lang w:eastAsia="en-GB"/>
            <w14:ligatures w14:val="standardContextual"/>
          </w:rPr>
          <w:tab/>
        </w:r>
        <w:r w:rsidRPr="003A46FB">
          <w:rPr>
            <w:rStyle w:val="Hyperlink"/>
            <w:noProof/>
          </w:rPr>
          <w:t>Establishing Contracts</w:t>
        </w:r>
        <w:r>
          <w:rPr>
            <w:noProof/>
            <w:webHidden/>
          </w:rPr>
          <w:tab/>
        </w:r>
        <w:r>
          <w:rPr>
            <w:noProof/>
            <w:webHidden/>
          </w:rPr>
          <w:fldChar w:fldCharType="begin"/>
        </w:r>
        <w:r>
          <w:rPr>
            <w:noProof/>
            <w:webHidden/>
          </w:rPr>
          <w:instrText xml:space="preserve"> PAGEREF _Toc213919810 \h </w:instrText>
        </w:r>
        <w:r>
          <w:rPr>
            <w:noProof/>
            <w:webHidden/>
          </w:rPr>
        </w:r>
        <w:r>
          <w:rPr>
            <w:noProof/>
            <w:webHidden/>
          </w:rPr>
          <w:fldChar w:fldCharType="separate"/>
        </w:r>
        <w:r w:rsidR="00BA56B8">
          <w:rPr>
            <w:noProof/>
            <w:webHidden/>
          </w:rPr>
          <w:t>23</w:t>
        </w:r>
        <w:r>
          <w:rPr>
            <w:noProof/>
            <w:webHidden/>
          </w:rPr>
          <w:fldChar w:fldCharType="end"/>
        </w:r>
      </w:hyperlink>
    </w:p>
    <w:p w14:paraId="08CE7CB7" w14:textId="0EDB8FBF" w:rsidR="00091568" w:rsidRDefault="00091568" w:rsidP="00EC23E1">
      <w:pPr>
        <w:pStyle w:val="TOC2"/>
        <w:rPr>
          <w:rFonts w:eastAsiaTheme="minorEastAsia"/>
          <w:noProof/>
          <w:color w:val="auto"/>
          <w:kern w:val="2"/>
          <w:lang w:eastAsia="en-GB"/>
          <w14:ligatures w14:val="standardContextual"/>
        </w:rPr>
      </w:pPr>
      <w:hyperlink w:anchor="_Toc213919811" w:history="1">
        <w:r w:rsidRPr="003A46FB">
          <w:rPr>
            <w:rStyle w:val="Hyperlink"/>
            <w:noProof/>
          </w:rPr>
          <w:t>6.14.</w:t>
        </w:r>
        <w:r>
          <w:rPr>
            <w:rFonts w:eastAsiaTheme="minorEastAsia"/>
            <w:noProof/>
            <w:color w:val="auto"/>
            <w:kern w:val="2"/>
            <w:lang w:eastAsia="en-GB"/>
            <w14:ligatures w14:val="standardContextual"/>
          </w:rPr>
          <w:tab/>
        </w:r>
        <w:r w:rsidRPr="003A46FB">
          <w:rPr>
            <w:rStyle w:val="Hyperlink"/>
            <w:noProof/>
          </w:rPr>
          <w:t>Managing Contracts</w:t>
        </w:r>
        <w:r>
          <w:rPr>
            <w:noProof/>
            <w:webHidden/>
          </w:rPr>
          <w:tab/>
        </w:r>
        <w:r>
          <w:rPr>
            <w:noProof/>
            <w:webHidden/>
          </w:rPr>
          <w:fldChar w:fldCharType="begin"/>
        </w:r>
        <w:r>
          <w:rPr>
            <w:noProof/>
            <w:webHidden/>
          </w:rPr>
          <w:instrText xml:space="preserve"> PAGEREF _Toc213919811 \h </w:instrText>
        </w:r>
        <w:r>
          <w:rPr>
            <w:noProof/>
            <w:webHidden/>
          </w:rPr>
        </w:r>
        <w:r>
          <w:rPr>
            <w:noProof/>
            <w:webHidden/>
          </w:rPr>
          <w:fldChar w:fldCharType="separate"/>
        </w:r>
        <w:r w:rsidR="00BA56B8">
          <w:rPr>
            <w:noProof/>
            <w:webHidden/>
          </w:rPr>
          <w:t>24</w:t>
        </w:r>
        <w:r>
          <w:rPr>
            <w:noProof/>
            <w:webHidden/>
          </w:rPr>
          <w:fldChar w:fldCharType="end"/>
        </w:r>
      </w:hyperlink>
    </w:p>
    <w:p w14:paraId="749337F1" w14:textId="12F37730" w:rsidR="00091568" w:rsidRDefault="00091568" w:rsidP="00EC23E1">
      <w:pPr>
        <w:pStyle w:val="TOC2"/>
        <w:rPr>
          <w:rFonts w:eastAsiaTheme="minorEastAsia"/>
          <w:noProof/>
          <w:color w:val="auto"/>
          <w:kern w:val="2"/>
          <w:lang w:eastAsia="en-GB"/>
          <w14:ligatures w14:val="standardContextual"/>
        </w:rPr>
      </w:pPr>
      <w:hyperlink w:anchor="_Toc213919812" w:history="1">
        <w:r w:rsidRPr="003A46FB">
          <w:rPr>
            <w:rStyle w:val="Hyperlink"/>
            <w:noProof/>
          </w:rPr>
          <w:t>6.15.</w:t>
        </w:r>
        <w:r>
          <w:rPr>
            <w:rFonts w:eastAsiaTheme="minorEastAsia"/>
            <w:noProof/>
            <w:color w:val="auto"/>
            <w:kern w:val="2"/>
            <w:lang w:eastAsia="en-GB"/>
            <w14:ligatures w14:val="standardContextual"/>
          </w:rPr>
          <w:tab/>
        </w:r>
        <w:r w:rsidRPr="003A46FB">
          <w:rPr>
            <w:rStyle w:val="Hyperlink"/>
            <w:noProof/>
          </w:rPr>
          <w:t>Exit / Succession Planning Arrangements</w:t>
        </w:r>
        <w:r>
          <w:rPr>
            <w:noProof/>
            <w:webHidden/>
          </w:rPr>
          <w:tab/>
        </w:r>
        <w:r>
          <w:rPr>
            <w:noProof/>
            <w:webHidden/>
          </w:rPr>
          <w:fldChar w:fldCharType="begin"/>
        </w:r>
        <w:r>
          <w:rPr>
            <w:noProof/>
            <w:webHidden/>
          </w:rPr>
          <w:instrText xml:space="preserve"> PAGEREF _Toc213919812 \h </w:instrText>
        </w:r>
        <w:r>
          <w:rPr>
            <w:noProof/>
            <w:webHidden/>
          </w:rPr>
        </w:r>
        <w:r>
          <w:rPr>
            <w:noProof/>
            <w:webHidden/>
          </w:rPr>
          <w:fldChar w:fldCharType="separate"/>
        </w:r>
        <w:r w:rsidR="00BA56B8">
          <w:rPr>
            <w:noProof/>
            <w:webHidden/>
          </w:rPr>
          <w:t>24</w:t>
        </w:r>
        <w:r>
          <w:rPr>
            <w:noProof/>
            <w:webHidden/>
          </w:rPr>
          <w:fldChar w:fldCharType="end"/>
        </w:r>
      </w:hyperlink>
    </w:p>
    <w:p w14:paraId="4ED612FC" w14:textId="4FF17269" w:rsidR="00091568" w:rsidRDefault="00091568" w:rsidP="00EC23E1">
      <w:pPr>
        <w:pStyle w:val="TOC2"/>
        <w:rPr>
          <w:rFonts w:eastAsiaTheme="minorEastAsia"/>
          <w:noProof/>
          <w:color w:val="auto"/>
          <w:kern w:val="2"/>
          <w:lang w:eastAsia="en-GB"/>
          <w14:ligatures w14:val="standardContextual"/>
        </w:rPr>
      </w:pPr>
      <w:hyperlink w:anchor="_Toc213919813" w:history="1">
        <w:r w:rsidRPr="003A46FB">
          <w:rPr>
            <w:rStyle w:val="Hyperlink"/>
            <w:noProof/>
          </w:rPr>
          <w:t>6.16.</w:t>
        </w:r>
        <w:r>
          <w:rPr>
            <w:rFonts w:eastAsiaTheme="minorEastAsia"/>
            <w:noProof/>
            <w:color w:val="auto"/>
            <w:kern w:val="2"/>
            <w:lang w:eastAsia="en-GB"/>
            <w14:ligatures w14:val="standardContextual"/>
          </w:rPr>
          <w:tab/>
        </w:r>
        <w:r w:rsidRPr="003A46FB">
          <w:rPr>
            <w:rStyle w:val="Hyperlink"/>
            <w:noProof/>
          </w:rPr>
          <w:t>Benefits Realisation</w:t>
        </w:r>
        <w:r>
          <w:rPr>
            <w:noProof/>
            <w:webHidden/>
          </w:rPr>
          <w:tab/>
        </w:r>
        <w:r>
          <w:rPr>
            <w:noProof/>
            <w:webHidden/>
          </w:rPr>
          <w:fldChar w:fldCharType="begin"/>
        </w:r>
        <w:r>
          <w:rPr>
            <w:noProof/>
            <w:webHidden/>
          </w:rPr>
          <w:instrText xml:space="preserve"> PAGEREF _Toc213919813 \h </w:instrText>
        </w:r>
        <w:r>
          <w:rPr>
            <w:noProof/>
            <w:webHidden/>
          </w:rPr>
        </w:r>
        <w:r>
          <w:rPr>
            <w:noProof/>
            <w:webHidden/>
          </w:rPr>
          <w:fldChar w:fldCharType="separate"/>
        </w:r>
        <w:r w:rsidR="00BA56B8">
          <w:rPr>
            <w:noProof/>
            <w:webHidden/>
          </w:rPr>
          <w:t>25</w:t>
        </w:r>
        <w:r>
          <w:rPr>
            <w:noProof/>
            <w:webHidden/>
          </w:rPr>
          <w:fldChar w:fldCharType="end"/>
        </w:r>
      </w:hyperlink>
    </w:p>
    <w:p w14:paraId="05A31FE6" w14:textId="46555962" w:rsidR="00091568" w:rsidRDefault="00091568">
      <w:pPr>
        <w:pStyle w:val="TOC1"/>
        <w:rPr>
          <w:rFonts w:eastAsiaTheme="minorEastAsia"/>
          <w:b w:val="0"/>
          <w:noProof/>
          <w:color w:val="auto"/>
          <w:kern w:val="2"/>
          <w:lang w:eastAsia="en-GB"/>
          <w14:ligatures w14:val="standardContextual"/>
        </w:rPr>
      </w:pPr>
      <w:hyperlink w:anchor="_Toc213919814" w:history="1">
        <w:r w:rsidRPr="003A46FB">
          <w:rPr>
            <w:rStyle w:val="Hyperlink"/>
            <w:noProof/>
          </w:rPr>
          <w:t>Decommissioning and Disinvestment</w:t>
        </w:r>
        <w:r>
          <w:rPr>
            <w:noProof/>
            <w:webHidden/>
          </w:rPr>
          <w:tab/>
        </w:r>
        <w:r>
          <w:rPr>
            <w:noProof/>
            <w:webHidden/>
          </w:rPr>
          <w:fldChar w:fldCharType="begin"/>
        </w:r>
        <w:r>
          <w:rPr>
            <w:noProof/>
            <w:webHidden/>
          </w:rPr>
          <w:instrText xml:space="preserve"> PAGEREF _Toc213919814 \h </w:instrText>
        </w:r>
        <w:r>
          <w:rPr>
            <w:noProof/>
            <w:webHidden/>
          </w:rPr>
        </w:r>
        <w:r>
          <w:rPr>
            <w:noProof/>
            <w:webHidden/>
          </w:rPr>
          <w:fldChar w:fldCharType="separate"/>
        </w:r>
        <w:r w:rsidR="00BA56B8">
          <w:rPr>
            <w:noProof/>
            <w:webHidden/>
          </w:rPr>
          <w:t>26</w:t>
        </w:r>
        <w:r>
          <w:rPr>
            <w:noProof/>
            <w:webHidden/>
          </w:rPr>
          <w:fldChar w:fldCharType="end"/>
        </w:r>
      </w:hyperlink>
    </w:p>
    <w:p w14:paraId="5E0B5F91" w14:textId="2CED2992" w:rsidR="00091568" w:rsidRDefault="00091568" w:rsidP="00EC23E1">
      <w:pPr>
        <w:pStyle w:val="TOC2"/>
        <w:rPr>
          <w:rFonts w:eastAsiaTheme="minorEastAsia"/>
          <w:noProof/>
          <w:color w:val="auto"/>
          <w:kern w:val="2"/>
          <w:lang w:eastAsia="en-GB"/>
          <w14:ligatures w14:val="standardContextual"/>
        </w:rPr>
      </w:pPr>
      <w:hyperlink w:anchor="_Toc213919815" w:history="1">
        <w:r w:rsidRPr="003A46FB">
          <w:rPr>
            <w:rStyle w:val="Hyperlink"/>
            <w:noProof/>
          </w:rPr>
          <w:t>6.17.</w:t>
        </w:r>
        <w:r>
          <w:rPr>
            <w:rFonts w:eastAsiaTheme="minorEastAsia"/>
            <w:noProof/>
            <w:color w:val="auto"/>
            <w:kern w:val="2"/>
            <w:lang w:eastAsia="en-GB"/>
            <w14:ligatures w14:val="standardContextual"/>
          </w:rPr>
          <w:tab/>
        </w:r>
        <w:r w:rsidRPr="003A46FB">
          <w:rPr>
            <w:rStyle w:val="Hyperlink"/>
            <w:noProof/>
          </w:rPr>
          <w:t>Reasons for decommissioning or disinvesting.</w:t>
        </w:r>
        <w:r>
          <w:rPr>
            <w:noProof/>
            <w:webHidden/>
          </w:rPr>
          <w:tab/>
        </w:r>
        <w:r>
          <w:rPr>
            <w:noProof/>
            <w:webHidden/>
          </w:rPr>
          <w:fldChar w:fldCharType="begin"/>
        </w:r>
        <w:r>
          <w:rPr>
            <w:noProof/>
            <w:webHidden/>
          </w:rPr>
          <w:instrText xml:space="preserve"> PAGEREF _Toc213919815 \h </w:instrText>
        </w:r>
        <w:r>
          <w:rPr>
            <w:noProof/>
            <w:webHidden/>
          </w:rPr>
        </w:r>
        <w:r>
          <w:rPr>
            <w:noProof/>
            <w:webHidden/>
          </w:rPr>
          <w:fldChar w:fldCharType="separate"/>
        </w:r>
        <w:r w:rsidR="00BA56B8">
          <w:rPr>
            <w:noProof/>
            <w:webHidden/>
          </w:rPr>
          <w:t>26</w:t>
        </w:r>
        <w:r>
          <w:rPr>
            <w:noProof/>
            <w:webHidden/>
          </w:rPr>
          <w:fldChar w:fldCharType="end"/>
        </w:r>
      </w:hyperlink>
    </w:p>
    <w:p w14:paraId="755E3389" w14:textId="0F27F75A" w:rsidR="00091568" w:rsidRDefault="00091568" w:rsidP="00EC23E1">
      <w:pPr>
        <w:pStyle w:val="TOC2"/>
        <w:rPr>
          <w:rFonts w:eastAsiaTheme="minorEastAsia"/>
          <w:noProof/>
          <w:color w:val="auto"/>
          <w:kern w:val="2"/>
          <w:lang w:eastAsia="en-GB"/>
          <w14:ligatures w14:val="standardContextual"/>
        </w:rPr>
      </w:pPr>
      <w:hyperlink w:anchor="_Toc213919816" w:history="1">
        <w:r w:rsidRPr="003A46FB">
          <w:rPr>
            <w:rStyle w:val="Hyperlink"/>
            <w:noProof/>
          </w:rPr>
          <w:t>6.18.</w:t>
        </w:r>
        <w:r>
          <w:rPr>
            <w:rFonts w:eastAsiaTheme="minorEastAsia"/>
            <w:noProof/>
            <w:color w:val="auto"/>
            <w:kern w:val="2"/>
            <w:lang w:eastAsia="en-GB"/>
            <w14:ligatures w14:val="standardContextual"/>
          </w:rPr>
          <w:tab/>
        </w:r>
        <w:r w:rsidRPr="003A46FB">
          <w:rPr>
            <w:rStyle w:val="Hyperlink"/>
            <w:noProof/>
          </w:rPr>
          <w:t>Decommissioning / Disinvestment Principles</w:t>
        </w:r>
        <w:r>
          <w:rPr>
            <w:noProof/>
            <w:webHidden/>
          </w:rPr>
          <w:tab/>
        </w:r>
        <w:r>
          <w:rPr>
            <w:noProof/>
            <w:webHidden/>
          </w:rPr>
          <w:fldChar w:fldCharType="begin"/>
        </w:r>
        <w:r>
          <w:rPr>
            <w:noProof/>
            <w:webHidden/>
          </w:rPr>
          <w:instrText xml:space="preserve"> PAGEREF _Toc213919816 \h </w:instrText>
        </w:r>
        <w:r>
          <w:rPr>
            <w:noProof/>
            <w:webHidden/>
          </w:rPr>
        </w:r>
        <w:r>
          <w:rPr>
            <w:noProof/>
            <w:webHidden/>
          </w:rPr>
          <w:fldChar w:fldCharType="separate"/>
        </w:r>
        <w:r w:rsidR="00BA56B8">
          <w:rPr>
            <w:noProof/>
            <w:webHidden/>
          </w:rPr>
          <w:t>26</w:t>
        </w:r>
        <w:r>
          <w:rPr>
            <w:noProof/>
            <w:webHidden/>
          </w:rPr>
          <w:fldChar w:fldCharType="end"/>
        </w:r>
      </w:hyperlink>
    </w:p>
    <w:p w14:paraId="39EC0442" w14:textId="05731FAE" w:rsidR="00091568" w:rsidRDefault="00091568" w:rsidP="00EC23E1">
      <w:pPr>
        <w:pStyle w:val="TOC2"/>
        <w:rPr>
          <w:rFonts w:eastAsiaTheme="minorEastAsia"/>
          <w:noProof/>
          <w:color w:val="auto"/>
          <w:kern w:val="2"/>
          <w:lang w:eastAsia="en-GB"/>
          <w14:ligatures w14:val="standardContextual"/>
        </w:rPr>
      </w:pPr>
      <w:hyperlink w:anchor="_Toc213919817" w:history="1">
        <w:r w:rsidRPr="003A46FB">
          <w:rPr>
            <w:rStyle w:val="Hyperlink"/>
            <w:noProof/>
          </w:rPr>
          <w:t>6.19.</w:t>
        </w:r>
        <w:r>
          <w:rPr>
            <w:rFonts w:eastAsiaTheme="minorEastAsia"/>
            <w:noProof/>
            <w:color w:val="auto"/>
            <w:kern w:val="2"/>
            <w:lang w:eastAsia="en-GB"/>
            <w14:ligatures w14:val="standardContextual"/>
          </w:rPr>
          <w:tab/>
        </w:r>
        <w:r w:rsidRPr="003A46FB">
          <w:rPr>
            <w:rStyle w:val="Hyperlink"/>
            <w:noProof/>
          </w:rPr>
          <w:t>Criteria for disinvestment / decommissioning</w:t>
        </w:r>
        <w:r>
          <w:rPr>
            <w:noProof/>
            <w:webHidden/>
          </w:rPr>
          <w:tab/>
        </w:r>
        <w:r>
          <w:rPr>
            <w:noProof/>
            <w:webHidden/>
          </w:rPr>
          <w:fldChar w:fldCharType="begin"/>
        </w:r>
        <w:r>
          <w:rPr>
            <w:noProof/>
            <w:webHidden/>
          </w:rPr>
          <w:instrText xml:space="preserve"> PAGEREF _Toc213919817 \h </w:instrText>
        </w:r>
        <w:r>
          <w:rPr>
            <w:noProof/>
            <w:webHidden/>
          </w:rPr>
        </w:r>
        <w:r>
          <w:rPr>
            <w:noProof/>
            <w:webHidden/>
          </w:rPr>
          <w:fldChar w:fldCharType="separate"/>
        </w:r>
        <w:r w:rsidR="00BA56B8">
          <w:rPr>
            <w:noProof/>
            <w:webHidden/>
          </w:rPr>
          <w:t>27</w:t>
        </w:r>
        <w:r>
          <w:rPr>
            <w:noProof/>
            <w:webHidden/>
          </w:rPr>
          <w:fldChar w:fldCharType="end"/>
        </w:r>
      </w:hyperlink>
    </w:p>
    <w:p w14:paraId="2E6C2AA0" w14:textId="20886F5F" w:rsidR="00091568" w:rsidRDefault="00091568" w:rsidP="00EC23E1">
      <w:pPr>
        <w:pStyle w:val="TOC2"/>
        <w:rPr>
          <w:rFonts w:eastAsiaTheme="minorEastAsia"/>
          <w:noProof/>
          <w:color w:val="auto"/>
          <w:kern w:val="2"/>
          <w:lang w:eastAsia="en-GB"/>
          <w14:ligatures w14:val="standardContextual"/>
        </w:rPr>
      </w:pPr>
      <w:hyperlink w:anchor="_Toc213919818" w:history="1">
        <w:r w:rsidRPr="003A46FB">
          <w:rPr>
            <w:rStyle w:val="Hyperlink"/>
            <w:noProof/>
          </w:rPr>
          <w:t>6.20.</w:t>
        </w:r>
        <w:r>
          <w:rPr>
            <w:rFonts w:eastAsiaTheme="minorEastAsia"/>
            <w:noProof/>
            <w:color w:val="auto"/>
            <w:kern w:val="2"/>
            <w:lang w:eastAsia="en-GB"/>
            <w14:ligatures w14:val="standardContextual"/>
          </w:rPr>
          <w:tab/>
        </w:r>
        <w:r w:rsidRPr="003A46FB">
          <w:rPr>
            <w:rStyle w:val="Hyperlink"/>
            <w:noProof/>
          </w:rPr>
          <w:t>The Decommissioning or Disinvestment process</w:t>
        </w:r>
        <w:r>
          <w:rPr>
            <w:noProof/>
            <w:webHidden/>
          </w:rPr>
          <w:tab/>
        </w:r>
        <w:r>
          <w:rPr>
            <w:noProof/>
            <w:webHidden/>
          </w:rPr>
          <w:fldChar w:fldCharType="begin"/>
        </w:r>
        <w:r>
          <w:rPr>
            <w:noProof/>
            <w:webHidden/>
          </w:rPr>
          <w:instrText xml:space="preserve"> PAGEREF _Toc213919818 \h </w:instrText>
        </w:r>
        <w:r>
          <w:rPr>
            <w:noProof/>
            <w:webHidden/>
          </w:rPr>
        </w:r>
        <w:r>
          <w:rPr>
            <w:noProof/>
            <w:webHidden/>
          </w:rPr>
          <w:fldChar w:fldCharType="separate"/>
        </w:r>
        <w:r w:rsidR="00BA56B8">
          <w:rPr>
            <w:noProof/>
            <w:webHidden/>
          </w:rPr>
          <w:t>27</w:t>
        </w:r>
        <w:r>
          <w:rPr>
            <w:noProof/>
            <w:webHidden/>
          </w:rPr>
          <w:fldChar w:fldCharType="end"/>
        </w:r>
      </w:hyperlink>
    </w:p>
    <w:p w14:paraId="06ABFD04" w14:textId="095F7765" w:rsidR="00091568" w:rsidRDefault="00091568" w:rsidP="00EC23E1">
      <w:pPr>
        <w:pStyle w:val="TOC2"/>
        <w:rPr>
          <w:rFonts w:eastAsiaTheme="minorEastAsia"/>
          <w:noProof/>
          <w:color w:val="auto"/>
          <w:kern w:val="2"/>
          <w:lang w:eastAsia="en-GB"/>
          <w14:ligatures w14:val="standardContextual"/>
        </w:rPr>
      </w:pPr>
      <w:hyperlink w:anchor="_Toc213919819" w:history="1">
        <w:r w:rsidRPr="003A46FB">
          <w:rPr>
            <w:rStyle w:val="Hyperlink"/>
            <w:noProof/>
          </w:rPr>
          <w:t>6.21.</w:t>
        </w:r>
        <w:r>
          <w:rPr>
            <w:rFonts w:eastAsiaTheme="minorEastAsia"/>
            <w:noProof/>
            <w:color w:val="auto"/>
            <w:kern w:val="2"/>
            <w:lang w:eastAsia="en-GB"/>
            <w14:ligatures w14:val="standardContextual"/>
          </w:rPr>
          <w:tab/>
        </w:r>
        <w:r w:rsidRPr="003A46FB">
          <w:rPr>
            <w:rStyle w:val="Hyperlink"/>
            <w:noProof/>
          </w:rPr>
          <w:t>Appeals Process</w:t>
        </w:r>
        <w:r>
          <w:rPr>
            <w:noProof/>
            <w:webHidden/>
          </w:rPr>
          <w:tab/>
        </w:r>
        <w:r>
          <w:rPr>
            <w:noProof/>
            <w:webHidden/>
          </w:rPr>
          <w:fldChar w:fldCharType="begin"/>
        </w:r>
        <w:r>
          <w:rPr>
            <w:noProof/>
            <w:webHidden/>
          </w:rPr>
          <w:instrText xml:space="preserve"> PAGEREF _Toc213919819 \h </w:instrText>
        </w:r>
        <w:r>
          <w:rPr>
            <w:noProof/>
            <w:webHidden/>
          </w:rPr>
        </w:r>
        <w:r>
          <w:rPr>
            <w:noProof/>
            <w:webHidden/>
          </w:rPr>
          <w:fldChar w:fldCharType="separate"/>
        </w:r>
        <w:r w:rsidR="00BA56B8">
          <w:rPr>
            <w:noProof/>
            <w:webHidden/>
          </w:rPr>
          <w:t>29</w:t>
        </w:r>
        <w:r>
          <w:rPr>
            <w:noProof/>
            <w:webHidden/>
          </w:rPr>
          <w:fldChar w:fldCharType="end"/>
        </w:r>
      </w:hyperlink>
    </w:p>
    <w:p w14:paraId="0F164179" w14:textId="3897CFB4" w:rsidR="00091568" w:rsidRDefault="00091568" w:rsidP="00EC23E1">
      <w:pPr>
        <w:pStyle w:val="TOC2"/>
        <w:rPr>
          <w:rFonts w:eastAsiaTheme="minorEastAsia"/>
          <w:noProof/>
          <w:color w:val="auto"/>
          <w:kern w:val="2"/>
          <w:lang w:eastAsia="en-GB"/>
          <w14:ligatures w14:val="standardContextual"/>
        </w:rPr>
      </w:pPr>
      <w:hyperlink w:anchor="_Toc213919820" w:history="1">
        <w:r w:rsidRPr="003A46FB">
          <w:rPr>
            <w:rStyle w:val="Hyperlink"/>
            <w:noProof/>
          </w:rPr>
          <w:t>6.22.</w:t>
        </w:r>
        <w:r>
          <w:rPr>
            <w:rFonts w:eastAsiaTheme="minorEastAsia"/>
            <w:noProof/>
            <w:color w:val="auto"/>
            <w:kern w:val="2"/>
            <w:lang w:eastAsia="en-GB"/>
            <w14:ligatures w14:val="standardContextual"/>
          </w:rPr>
          <w:tab/>
        </w:r>
        <w:r w:rsidRPr="003A46FB">
          <w:rPr>
            <w:rStyle w:val="Hyperlink"/>
            <w:noProof/>
          </w:rPr>
          <w:t>Assessment of Impact</w:t>
        </w:r>
        <w:r>
          <w:rPr>
            <w:noProof/>
            <w:webHidden/>
          </w:rPr>
          <w:tab/>
        </w:r>
        <w:r>
          <w:rPr>
            <w:noProof/>
            <w:webHidden/>
          </w:rPr>
          <w:fldChar w:fldCharType="begin"/>
        </w:r>
        <w:r>
          <w:rPr>
            <w:noProof/>
            <w:webHidden/>
          </w:rPr>
          <w:instrText xml:space="preserve"> PAGEREF _Toc213919820 \h </w:instrText>
        </w:r>
        <w:r>
          <w:rPr>
            <w:noProof/>
            <w:webHidden/>
          </w:rPr>
        </w:r>
        <w:r>
          <w:rPr>
            <w:noProof/>
            <w:webHidden/>
          </w:rPr>
          <w:fldChar w:fldCharType="separate"/>
        </w:r>
        <w:r w:rsidR="00BA56B8">
          <w:rPr>
            <w:noProof/>
            <w:webHidden/>
          </w:rPr>
          <w:t>30</w:t>
        </w:r>
        <w:r>
          <w:rPr>
            <w:noProof/>
            <w:webHidden/>
          </w:rPr>
          <w:fldChar w:fldCharType="end"/>
        </w:r>
      </w:hyperlink>
    </w:p>
    <w:p w14:paraId="63DA6937" w14:textId="556B1C89" w:rsidR="00091568" w:rsidRDefault="00091568" w:rsidP="00EC23E1">
      <w:pPr>
        <w:pStyle w:val="TOC2"/>
        <w:rPr>
          <w:rFonts w:eastAsiaTheme="minorEastAsia"/>
          <w:noProof/>
          <w:color w:val="auto"/>
          <w:kern w:val="2"/>
          <w:lang w:eastAsia="en-GB"/>
          <w14:ligatures w14:val="standardContextual"/>
        </w:rPr>
      </w:pPr>
      <w:hyperlink w:anchor="_Toc213919821" w:history="1">
        <w:r w:rsidRPr="003A46FB">
          <w:rPr>
            <w:rStyle w:val="Hyperlink"/>
            <w:noProof/>
          </w:rPr>
          <w:t>6.23.</w:t>
        </w:r>
        <w:r>
          <w:rPr>
            <w:rFonts w:eastAsiaTheme="minorEastAsia"/>
            <w:noProof/>
            <w:color w:val="auto"/>
            <w:kern w:val="2"/>
            <w:lang w:eastAsia="en-GB"/>
            <w14:ligatures w14:val="standardContextual"/>
          </w:rPr>
          <w:tab/>
        </w:r>
        <w:r w:rsidRPr="003A46FB">
          <w:rPr>
            <w:rStyle w:val="Hyperlink"/>
            <w:noProof/>
          </w:rPr>
          <w:t>Decommissioning / Disinvestment Assessment</w:t>
        </w:r>
        <w:r>
          <w:rPr>
            <w:noProof/>
            <w:webHidden/>
          </w:rPr>
          <w:tab/>
        </w:r>
        <w:r>
          <w:rPr>
            <w:noProof/>
            <w:webHidden/>
          </w:rPr>
          <w:fldChar w:fldCharType="begin"/>
        </w:r>
        <w:r>
          <w:rPr>
            <w:noProof/>
            <w:webHidden/>
          </w:rPr>
          <w:instrText xml:space="preserve"> PAGEREF _Toc213919821 \h </w:instrText>
        </w:r>
        <w:r>
          <w:rPr>
            <w:noProof/>
            <w:webHidden/>
          </w:rPr>
        </w:r>
        <w:r>
          <w:rPr>
            <w:noProof/>
            <w:webHidden/>
          </w:rPr>
          <w:fldChar w:fldCharType="separate"/>
        </w:r>
        <w:r w:rsidR="00BA56B8">
          <w:rPr>
            <w:noProof/>
            <w:webHidden/>
          </w:rPr>
          <w:t>30</w:t>
        </w:r>
        <w:r>
          <w:rPr>
            <w:noProof/>
            <w:webHidden/>
          </w:rPr>
          <w:fldChar w:fldCharType="end"/>
        </w:r>
      </w:hyperlink>
    </w:p>
    <w:p w14:paraId="4D034DE7" w14:textId="764F4A3C" w:rsidR="00091568" w:rsidRDefault="00091568">
      <w:pPr>
        <w:pStyle w:val="TOC1"/>
        <w:rPr>
          <w:rFonts w:eastAsiaTheme="minorEastAsia"/>
          <w:b w:val="0"/>
          <w:noProof/>
          <w:color w:val="auto"/>
          <w:kern w:val="2"/>
          <w:lang w:eastAsia="en-GB"/>
          <w14:ligatures w14:val="standardContextual"/>
        </w:rPr>
      </w:pPr>
      <w:hyperlink w:anchor="_Toc213919822" w:history="1">
        <w:r w:rsidRPr="003A46FB">
          <w:rPr>
            <w:rStyle w:val="Hyperlink"/>
            <w:noProof/>
          </w:rPr>
          <w:t>7.</w:t>
        </w:r>
        <w:r>
          <w:rPr>
            <w:rFonts w:eastAsiaTheme="minorEastAsia"/>
            <w:b w:val="0"/>
            <w:noProof/>
            <w:color w:val="auto"/>
            <w:kern w:val="2"/>
            <w:lang w:eastAsia="en-GB"/>
            <w14:ligatures w14:val="standardContextual"/>
          </w:rPr>
          <w:tab/>
        </w:r>
        <w:r w:rsidRPr="003A46FB">
          <w:rPr>
            <w:rStyle w:val="Hyperlink"/>
            <w:noProof/>
          </w:rPr>
          <w:t>Monitoring Compliance (with this policy)</w:t>
        </w:r>
        <w:r>
          <w:rPr>
            <w:noProof/>
            <w:webHidden/>
          </w:rPr>
          <w:tab/>
        </w:r>
        <w:r>
          <w:rPr>
            <w:noProof/>
            <w:webHidden/>
          </w:rPr>
          <w:fldChar w:fldCharType="begin"/>
        </w:r>
        <w:r>
          <w:rPr>
            <w:noProof/>
            <w:webHidden/>
          </w:rPr>
          <w:instrText xml:space="preserve"> PAGEREF _Toc213919822 \h </w:instrText>
        </w:r>
        <w:r>
          <w:rPr>
            <w:noProof/>
            <w:webHidden/>
          </w:rPr>
        </w:r>
        <w:r>
          <w:rPr>
            <w:noProof/>
            <w:webHidden/>
          </w:rPr>
          <w:fldChar w:fldCharType="separate"/>
        </w:r>
        <w:r w:rsidR="00BA56B8">
          <w:rPr>
            <w:noProof/>
            <w:webHidden/>
          </w:rPr>
          <w:t>31</w:t>
        </w:r>
        <w:r>
          <w:rPr>
            <w:noProof/>
            <w:webHidden/>
          </w:rPr>
          <w:fldChar w:fldCharType="end"/>
        </w:r>
      </w:hyperlink>
    </w:p>
    <w:p w14:paraId="12D0787A" w14:textId="56B013A1" w:rsidR="00091568" w:rsidRDefault="00091568">
      <w:pPr>
        <w:pStyle w:val="TOC1"/>
        <w:rPr>
          <w:rFonts w:eastAsiaTheme="minorEastAsia"/>
          <w:b w:val="0"/>
          <w:noProof/>
          <w:color w:val="auto"/>
          <w:kern w:val="2"/>
          <w:lang w:eastAsia="en-GB"/>
          <w14:ligatures w14:val="standardContextual"/>
        </w:rPr>
      </w:pPr>
      <w:hyperlink w:anchor="_Toc213919823" w:history="1">
        <w:r w:rsidRPr="003A46FB">
          <w:rPr>
            <w:rStyle w:val="Hyperlink"/>
            <w:noProof/>
          </w:rPr>
          <w:t>8.</w:t>
        </w:r>
        <w:r>
          <w:rPr>
            <w:rFonts w:eastAsiaTheme="minorEastAsia"/>
            <w:b w:val="0"/>
            <w:noProof/>
            <w:color w:val="auto"/>
            <w:kern w:val="2"/>
            <w:lang w:eastAsia="en-GB"/>
            <w14:ligatures w14:val="standardContextual"/>
          </w:rPr>
          <w:tab/>
        </w:r>
        <w:r w:rsidRPr="003A46FB">
          <w:rPr>
            <w:rStyle w:val="Hyperlink"/>
            <w:noProof/>
          </w:rPr>
          <w:t>Staff Training</w:t>
        </w:r>
        <w:r>
          <w:rPr>
            <w:noProof/>
            <w:webHidden/>
          </w:rPr>
          <w:tab/>
        </w:r>
        <w:r>
          <w:rPr>
            <w:noProof/>
            <w:webHidden/>
          </w:rPr>
          <w:fldChar w:fldCharType="begin"/>
        </w:r>
        <w:r>
          <w:rPr>
            <w:noProof/>
            <w:webHidden/>
          </w:rPr>
          <w:instrText xml:space="preserve"> PAGEREF _Toc213919823 \h </w:instrText>
        </w:r>
        <w:r>
          <w:rPr>
            <w:noProof/>
            <w:webHidden/>
          </w:rPr>
        </w:r>
        <w:r>
          <w:rPr>
            <w:noProof/>
            <w:webHidden/>
          </w:rPr>
          <w:fldChar w:fldCharType="separate"/>
        </w:r>
        <w:r w:rsidR="00BA56B8">
          <w:rPr>
            <w:noProof/>
            <w:webHidden/>
          </w:rPr>
          <w:t>31</w:t>
        </w:r>
        <w:r>
          <w:rPr>
            <w:noProof/>
            <w:webHidden/>
          </w:rPr>
          <w:fldChar w:fldCharType="end"/>
        </w:r>
      </w:hyperlink>
    </w:p>
    <w:p w14:paraId="62AAA6D3" w14:textId="31B8F05E" w:rsidR="00091568" w:rsidRDefault="00091568">
      <w:pPr>
        <w:pStyle w:val="TOC1"/>
        <w:rPr>
          <w:rFonts w:eastAsiaTheme="minorEastAsia"/>
          <w:b w:val="0"/>
          <w:noProof/>
          <w:color w:val="auto"/>
          <w:kern w:val="2"/>
          <w:lang w:eastAsia="en-GB"/>
          <w14:ligatures w14:val="standardContextual"/>
        </w:rPr>
      </w:pPr>
      <w:hyperlink w:anchor="_Toc213919824" w:history="1">
        <w:r w:rsidRPr="003A46FB">
          <w:rPr>
            <w:rStyle w:val="Hyperlink"/>
            <w:noProof/>
          </w:rPr>
          <w:t>9.</w:t>
        </w:r>
        <w:r>
          <w:rPr>
            <w:rFonts w:eastAsiaTheme="minorEastAsia"/>
            <w:b w:val="0"/>
            <w:noProof/>
            <w:color w:val="auto"/>
            <w:kern w:val="2"/>
            <w:lang w:eastAsia="en-GB"/>
            <w14:ligatures w14:val="standardContextual"/>
          </w:rPr>
          <w:tab/>
        </w:r>
        <w:r w:rsidRPr="003A46FB">
          <w:rPr>
            <w:rStyle w:val="Hyperlink"/>
            <w:noProof/>
          </w:rPr>
          <w:t>Arrangements for Review</w:t>
        </w:r>
        <w:r>
          <w:rPr>
            <w:noProof/>
            <w:webHidden/>
          </w:rPr>
          <w:tab/>
        </w:r>
        <w:r>
          <w:rPr>
            <w:noProof/>
            <w:webHidden/>
          </w:rPr>
          <w:fldChar w:fldCharType="begin"/>
        </w:r>
        <w:r>
          <w:rPr>
            <w:noProof/>
            <w:webHidden/>
          </w:rPr>
          <w:instrText xml:space="preserve"> PAGEREF _Toc213919824 \h </w:instrText>
        </w:r>
        <w:r>
          <w:rPr>
            <w:noProof/>
            <w:webHidden/>
          </w:rPr>
        </w:r>
        <w:r>
          <w:rPr>
            <w:noProof/>
            <w:webHidden/>
          </w:rPr>
          <w:fldChar w:fldCharType="separate"/>
        </w:r>
        <w:r w:rsidR="00BA56B8">
          <w:rPr>
            <w:noProof/>
            <w:webHidden/>
          </w:rPr>
          <w:t>31</w:t>
        </w:r>
        <w:r>
          <w:rPr>
            <w:noProof/>
            <w:webHidden/>
          </w:rPr>
          <w:fldChar w:fldCharType="end"/>
        </w:r>
      </w:hyperlink>
    </w:p>
    <w:p w14:paraId="47CEE9EF" w14:textId="1516B2E4" w:rsidR="00091568" w:rsidRDefault="00091568">
      <w:pPr>
        <w:pStyle w:val="TOC1"/>
        <w:rPr>
          <w:rFonts w:eastAsiaTheme="minorEastAsia"/>
          <w:b w:val="0"/>
          <w:noProof/>
          <w:color w:val="auto"/>
          <w:kern w:val="2"/>
          <w:lang w:eastAsia="en-GB"/>
          <w14:ligatures w14:val="standardContextual"/>
        </w:rPr>
      </w:pPr>
      <w:hyperlink w:anchor="_Toc213919825" w:history="1">
        <w:r w:rsidRPr="003A46FB">
          <w:rPr>
            <w:rStyle w:val="Hyperlink"/>
            <w:noProof/>
          </w:rPr>
          <w:t>10.</w:t>
        </w:r>
        <w:r>
          <w:rPr>
            <w:rFonts w:eastAsiaTheme="minorEastAsia"/>
            <w:b w:val="0"/>
            <w:noProof/>
            <w:color w:val="auto"/>
            <w:kern w:val="2"/>
            <w:lang w:eastAsia="en-GB"/>
            <w14:ligatures w14:val="standardContextual"/>
          </w:rPr>
          <w:tab/>
        </w:r>
        <w:r w:rsidRPr="003A46FB">
          <w:rPr>
            <w:rStyle w:val="Hyperlink"/>
            <w:noProof/>
          </w:rPr>
          <w:t>Associated Policies, Guidance and Documents</w:t>
        </w:r>
        <w:r>
          <w:rPr>
            <w:noProof/>
            <w:webHidden/>
          </w:rPr>
          <w:tab/>
        </w:r>
        <w:r>
          <w:rPr>
            <w:noProof/>
            <w:webHidden/>
          </w:rPr>
          <w:fldChar w:fldCharType="begin"/>
        </w:r>
        <w:r>
          <w:rPr>
            <w:noProof/>
            <w:webHidden/>
          </w:rPr>
          <w:instrText xml:space="preserve"> PAGEREF _Toc213919825 \h </w:instrText>
        </w:r>
        <w:r>
          <w:rPr>
            <w:noProof/>
            <w:webHidden/>
          </w:rPr>
        </w:r>
        <w:r>
          <w:rPr>
            <w:noProof/>
            <w:webHidden/>
          </w:rPr>
          <w:fldChar w:fldCharType="separate"/>
        </w:r>
        <w:r w:rsidR="00BA56B8">
          <w:rPr>
            <w:noProof/>
            <w:webHidden/>
          </w:rPr>
          <w:t>31</w:t>
        </w:r>
        <w:r>
          <w:rPr>
            <w:noProof/>
            <w:webHidden/>
          </w:rPr>
          <w:fldChar w:fldCharType="end"/>
        </w:r>
      </w:hyperlink>
    </w:p>
    <w:p w14:paraId="67F14446" w14:textId="0D7753B6" w:rsidR="00091568" w:rsidRDefault="00091568">
      <w:pPr>
        <w:pStyle w:val="TOC1"/>
        <w:rPr>
          <w:rFonts w:eastAsiaTheme="minorEastAsia"/>
          <w:b w:val="0"/>
          <w:noProof/>
          <w:color w:val="auto"/>
          <w:kern w:val="2"/>
          <w:lang w:eastAsia="en-GB"/>
          <w14:ligatures w14:val="standardContextual"/>
        </w:rPr>
      </w:pPr>
      <w:hyperlink w:anchor="_Toc213919826" w:history="1">
        <w:r w:rsidRPr="003A46FB">
          <w:rPr>
            <w:rStyle w:val="Hyperlink"/>
            <w:noProof/>
          </w:rPr>
          <w:t>11.</w:t>
        </w:r>
        <w:r>
          <w:rPr>
            <w:rFonts w:eastAsiaTheme="minorEastAsia"/>
            <w:b w:val="0"/>
            <w:noProof/>
            <w:color w:val="auto"/>
            <w:kern w:val="2"/>
            <w:lang w:eastAsia="en-GB"/>
            <w14:ligatures w14:val="standardContextual"/>
          </w:rPr>
          <w:tab/>
        </w:r>
        <w:r w:rsidRPr="003A46FB">
          <w:rPr>
            <w:rStyle w:val="Hyperlink"/>
            <w:noProof/>
          </w:rPr>
          <w:t>References</w:t>
        </w:r>
        <w:r>
          <w:rPr>
            <w:noProof/>
            <w:webHidden/>
          </w:rPr>
          <w:tab/>
        </w:r>
        <w:r>
          <w:rPr>
            <w:noProof/>
            <w:webHidden/>
          </w:rPr>
          <w:fldChar w:fldCharType="begin"/>
        </w:r>
        <w:r>
          <w:rPr>
            <w:noProof/>
            <w:webHidden/>
          </w:rPr>
          <w:instrText xml:space="preserve"> PAGEREF _Toc213919826 \h </w:instrText>
        </w:r>
        <w:r>
          <w:rPr>
            <w:noProof/>
            <w:webHidden/>
          </w:rPr>
        </w:r>
        <w:r>
          <w:rPr>
            <w:noProof/>
            <w:webHidden/>
          </w:rPr>
          <w:fldChar w:fldCharType="separate"/>
        </w:r>
        <w:r w:rsidR="00BA56B8">
          <w:rPr>
            <w:noProof/>
            <w:webHidden/>
          </w:rPr>
          <w:t>32</w:t>
        </w:r>
        <w:r>
          <w:rPr>
            <w:noProof/>
            <w:webHidden/>
          </w:rPr>
          <w:fldChar w:fldCharType="end"/>
        </w:r>
      </w:hyperlink>
    </w:p>
    <w:p w14:paraId="2DD51217" w14:textId="7FD855EA" w:rsidR="00091568" w:rsidRDefault="00091568">
      <w:pPr>
        <w:pStyle w:val="TOC1"/>
        <w:rPr>
          <w:rFonts w:eastAsiaTheme="minorEastAsia"/>
          <w:b w:val="0"/>
          <w:noProof/>
          <w:color w:val="auto"/>
          <w:kern w:val="2"/>
          <w:lang w:eastAsia="en-GB"/>
          <w14:ligatures w14:val="standardContextual"/>
        </w:rPr>
      </w:pPr>
      <w:hyperlink w:anchor="_Toc213919827" w:history="1">
        <w:r w:rsidRPr="003A46FB">
          <w:rPr>
            <w:rStyle w:val="Hyperlink"/>
            <w:noProof/>
          </w:rPr>
          <w:t>12.</w:t>
        </w:r>
        <w:r>
          <w:rPr>
            <w:rFonts w:eastAsiaTheme="minorEastAsia"/>
            <w:b w:val="0"/>
            <w:noProof/>
            <w:color w:val="auto"/>
            <w:kern w:val="2"/>
            <w:lang w:eastAsia="en-GB"/>
            <w14:ligatures w14:val="standardContextual"/>
          </w:rPr>
          <w:tab/>
        </w:r>
        <w:r w:rsidRPr="003A46FB">
          <w:rPr>
            <w:rStyle w:val="Hyperlink"/>
            <w:noProof/>
          </w:rPr>
          <w:t>Equality and Health Inequalities Impact Assessment</w:t>
        </w:r>
        <w:r>
          <w:rPr>
            <w:noProof/>
            <w:webHidden/>
          </w:rPr>
          <w:tab/>
        </w:r>
        <w:r>
          <w:rPr>
            <w:noProof/>
            <w:webHidden/>
          </w:rPr>
          <w:fldChar w:fldCharType="begin"/>
        </w:r>
        <w:r>
          <w:rPr>
            <w:noProof/>
            <w:webHidden/>
          </w:rPr>
          <w:instrText xml:space="preserve"> PAGEREF _Toc213919827 \h </w:instrText>
        </w:r>
        <w:r>
          <w:rPr>
            <w:noProof/>
            <w:webHidden/>
          </w:rPr>
        </w:r>
        <w:r>
          <w:rPr>
            <w:noProof/>
            <w:webHidden/>
          </w:rPr>
          <w:fldChar w:fldCharType="separate"/>
        </w:r>
        <w:r w:rsidR="00BA56B8">
          <w:rPr>
            <w:noProof/>
            <w:webHidden/>
          </w:rPr>
          <w:t>32</w:t>
        </w:r>
        <w:r>
          <w:rPr>
            <w:noProof/>
            <w:webHidden/>
          </w:rPr>
          <w:fldChar w:fldCharType="end"/>
        </w:r>
      </w:hyperlink>
    </w:p>
    <w:p w14:paraId="6223BBF8" w14:textId="1DE6D33C" w:rsidR="00091568" w:rsidRDefault="00091568">
      <w:pPr>
        <w:pStyle w:val="TOC1"/>
        <w:rPr>
          <w:rFonts w:eastAsiaTheme="minorEastAsia"/>
          <w:b w:val="0"/>
          <w:noProof/>
          <w:color w:val="auto"/>
          <w:kern w:val="2"/>
          <w:lang w:eastAsia="en-GB"/>
          <w14:ligatures w14:val="standardContextual"/>
        </w:rPr>
      </w:pPr>
      <w:hyperlink w:anchor="_Toc213919828" w:history="1">
        <w:r w:rsidRPr="003A46FB">
          <w:rPr>
            <w:rStyle w:val="Hyperlink"/>
            <w:rFonts w:eastAsiaTheme="majorEastAsia"/>
            <w:noProof/>
          </w:rPr>
          <w:t>13.</w:t>
        </w:r>
        <w:r>
          <w:rPr>
            <w:rFonts w:eastAsiaTheme="minorEastAsia"/>
            <w:b w:val="0"/>
            <w:noProof/>
            <w:color w:val="auto"/>
            <w:kern w:val="2"/>
            <w:lang w:eastAsia="en-GB"/>
            <w14:ligatures w14:val="standardContextual"/>
          </w:rPr>
          <w:tab/>
        </w:r>
        <w:r w:rsidRPr="003A46FB">
          <w:rPr>
            <w:rStyle w:val="Hyperlink"/>
            <w:rFonts w:eastAsiaTheme="majorEastAsia"/>
            <w:noProof/>
          </w:rPr>
          <w:t>Appendices</w:t>
        </w:r>
        <w:r>
          <w:rPr>
            <w:noProof/>
            <w:webHidden/>
          </w:rPr>
          <w:tab/>
        </w:r>
        <w:r>
          <w:rPr>
            <w:noProof/>
            <w:webHidden/>
          </w:rPr>
          <w:fldChar w:fldCharType="begin"/>
        </w:r>
        <w:r>
          <w:rPr>
            <w:noProof/>
            <w:webHidden/>
          </w:rPr>
          <w:instrText xml:space="preserve"> PAGEREF _Toc213919828 \h </w:instrText>
        </w:r>
        <w:r>
          <w:rPr>
            <w:noProof/>
            <w:webHidden/>
          </w:rPr>
        </w:r>
        <w:r>
          <w:rPr>
            <w:noProof/>
            <w:webHidden/>
          </w:rPr>
          <w:fldChar w:fldCharType="separate"/>
        </w:r>
        <w:r w:rsidR="00BA56B8">
          <w:rPr>
            <w:noProof/>
            <w:webHidden/>
          </w:rPr>
          <w:t>32</w:t>
        </w:r>
        <w:r>
          <w:rPr>
            <w:noProof/>
            <w:webHidden/>
          </w:rPr>
          <w:fldChar w:fldCharType="end"/>
        </w:r>
      </w:hyperlink>
    </w:p>
    <w:p w14:paraId="0FEEFB1A" w14:textId="7E40C491" w:rsidR="00091568" w:rsidRDefault="00091568">
      <w:pPr>
        <w:pStyle w:val="TOC1"/>
        <w:rPr>
          <w:rFonts w:eastAsiaTheme="minorEastAsia"/>
          <w:b w:val="0"/>
          <w:noProof/>
          <w:color w:val="auto"/>
          <w:kern w:val="2"/>
          <w:lang w:eastAsia="en-GB"/>
          <w14:ligatures w14:val="standardContextual"/>
        </w:rPr>
      </w:pPr>
      <w:hyperlink w:anchor="_Toc213919829" w:history="1">
        <w:r w:rsidRPr="003A46FB">
          <w:rPr>
            <w:rStyle w:val="Hyperlink"/>
            <w:rFonts w:eastAsiaTheme="majorEastAsia"/>
            <w:noProof/>
          </w:rPr>
          <w:t>Appendix A - Equality Impact Assessment (EIA)</w:t>
        </w:r>
        <w:r>
          <w:rPr>
            <w:noProof/>
            <w:webHidden/>
          </w:rPr>
          <w:tab/>
        </w:r>
        <w:r>
          <w:rPr>
            <w:noProof/>
            <w:webHidden/>
          </w:rPr>
          <w:fldChar w:fldCharType="begin"/>
        </w:r>
        <w:r>
          <w:rPr>
            <w:noProof/>
            <w:webHidden/>
          </w:rPr>
          <w:instrText xml:space="preserve"> PAGEREF _Toc213919829 \h </w:instrText>
        </w:r>
        <w:r>
          <w:rPr>
            <w:noProof/>
            <w:webHidden/>
          </w:rPr>
        </w:r>
        <w:r>
          <w:rPr>
            <w:noProof/>
            <w:webHidden/>
          </w:rPr>
          <w:fldChar w:fldCharType="separate"/>
        </w:r>
        <w:r w:rsidR="00BA56B8">
          <w:rPr>
            <w:noProof/>
            <w:webHidden/>
          </w:rPr>
          <w:t>33</w:t>
        </w:r>
        <w:r>
          <w:rPr>
            <w:noProof/>
            <w:webHidden/>
          </w:rPr>
          <w:fldChar w:fldCharType="end"/>
        </w:r>
      </w:hyperlink>
    </w:p>
    <w:p w14:paraId="5E23DE66" w14:textId="4DB94B1B" w:rsidR="00091568" w:rsidRDefault="00091568">
      <w:pPr>
        <w:pStyle w:val="TOC1"/>
        <w:rPr>
          <w:rFonts w:eastAsiaTheme="minorEastAsia"/>
          <w:b w:val="0"/>
          <w:noProof/>
          <w:color w:val="auto"/>
          <w:kern w:val="2"/>
          <w:lang w:eastAsia="en-GB"/>
          <w14:ligatures w14:val="standardContextual"/>
        </w:rPr>
      </w:pPr>
      <w:hyperlink w:anchor="_Toc213919830" w:history="1">
        <w:r w:rsidRPr="003A46FB">
          <w:rPr>
            <w:rStyle w:val="Hyperlink"/>
            <w:rFonts w:eastAsiaTheme="majorEastAsia"/>
            <w:noProof/>
          </w:rPr>
          <w:t>Appendix B – Decision Making Flowcharts</w:t>
        </w:r>
        <w:r>
          <w:rPr>
            <w:noProof/>
            <w:webHidden/>
          </w:rPr>
          <w:tab/>
        </w:r>
        <w:r>
          <w:rPr>
            <w:noProof/>
            <w:webHidden/>
          </w:rPr>
          <w:fldChar w:fldCharType="begin"/>
        </w:r>
        <w:r>
          <w:rPr>
            <w:noProof/>
            <w:webHidden/>
          </w:rPr>
          <w:instrText xml:space="preserve"> PAGEREF _Toc213919830 \h </w:instrText>
        </w:r>
        <w:r>
          <w:rPr>
            <w:noProof/>
            <w:webHidden/>
          </w:rPr>
        </w:r>
        <w:r>
          <w:rPr>
            <w:noProof/>
            <w:webHidden/>
          </w:rPr>
          <w:fldChar w:fldCharType="separate"/>
        </w:r>
        <w:r w:rsidR="00BA56B8">
          <w:rPr>
            <w:noProof/>
            <w:webHidden/>
          </w:rPr>
          <w:t>35</w:t>
        </w:r>
        <w:r>
          <w:rPr>
            <w:noProof/>
            <w:webHidden/>
          </w:rPr>
          <w:fldChar w:fldCharType="end"/>
        </w:r>
      </w:hyperlink>
    </w:p>
    <w:p w14:paraId="2117D39C" w14:textId="3AD6DDD4" w:rsidR="00091568" w:rsidRDefault="00091568">
      <w:pPr>
        <w:pStyle w:val="TOC1"/>
        <w:rPr>
          <w:rFonts w:eastAsiaTheme="minorEastAsia"/>
          <w:b w:val="0"/>
          <w:noProof/>
          <w:color w:val="auto"/>
          <w:kern w:val="2"/>
          <w:lang w:eastAsia="en-GB"/>
          <w14:ligatures w14:val="standardContextual"/>
        </w:rPr>
      </w:pPr>
      <w:hyperlink w:anchor="_Toc213919831" w:history="1">
        <w:r w:rsidRPr="003A46FB">
          <w:rPr>
            <w:rStyle w:val="Hyperlink"/>
            <w:rFonts w:eastAsiaTheme="majorEastAsia"/>
            <w:noProof/>
          </w:rPr>
          <w:t>Appendix C – Decommissioning Process Flow Chart</w:t>
        </w:r>
        <w:r>
          <w:rPr>
            <w:noProof/>
            <w:webHidden/>
          </w:rPr>
          <w:tab/>
        </w:r>
        <w:r>
          <w:rPr>
            <w:noProof/>
            <w:webHidden/>
          </w:rPr>
          <w:fldChar w:fldCharType="begin"/>
        </w:r>
        <w:r>
          <w:rPr>
            <w:noProof/>
            <w:webHidden/>
          </w:rPr>
          <w:instrText xml:space="preserve"> PAGEREF _Toc213919831 \h </w:instrText>
        </w:r>
        <w:r>
          <w:rPr>
            <w:noProof/>
            <w:webHidden/>
          </w:rPr>
        </w:r>
        <w:r>
          <w:rPr>
            <w:noProof/>
            <w:webHidden/>
          </w:rPr>
          <w:fldChar w:fldCharType="separate"/>
        </w:r>
        <w:r w:rsidR="00BA56B8">
          <w:rPr>
            <w:noProof/>
            <w:webHidden/>
          </w:rPr>
          <w:t>38</w:t>
        </w:r>
        <w:r>
          <w:rPr>
            <w:noProof/>
            <w:webHidden/>
          </w:rPr>
          <w:fldChar w:fldCharType="end"/>
        </w:r>
      </w:hyperlink>
    </w:p>
    <w:p w14:paraId="2A1DD85F" w14:textId="51F85F9E" w:rsidR="00091568" w:rsidRDefault="00091568">
      <w:pPr>
        <w:pStyle w:val="TOC1"/>
        <w:rPr>
          <w:rFonts w:eastAsiaTheme="minorEastAsia"/>
          <w:b w:val="0"/>
          <w:noProof/>
          <w:color w:val="auto"/>
          <w:kern w:val="2"/>
          <w:lang w:eastAsia="en-GB"/>
          <w14:ligatures w14:val="standardContextual"/>
        </w:rPr>
      </w:pPr>
      <w:hyperlink w:anchor="_Toc213919832" w:history="1">
        <w:r w:rsidRPr="003A46FB">
          <w:rPr>
            <w:rStyle w:val="Hyperlink"/>
            <w:rFonts w:eastAsiaTheme="majorEastAsia"/>
            <w:noProof/>
          </w:rPr>
          <w:t>Appendix D – Decommissioning / Disinvestment Assessment</w:t>
        </w:r>
        <w:r>
          <w:rPr>
            <w:noProof/>
            <w:webHidden/>
          </w:rPr>
          <w:tab/>
        </w:r>
        <w:r>
          <w:rPr>
            <w:noProof/>
            <w:webHidden/>
          </w:rPr>
          <w:fldChar w:fldCharType="begin"/>
        </w:r>
        <w:r>
          <w:rPr>
            <w:noProof/>
            <w:webHidden/>
          </w:rPr>
          <w:instrText xml:space="preserve"> PAGEREF _Toc213919832 \h </w:instrText>
        </w:r>
        <w:r>
          <w:rPr>
            <w:noProof/>
            <w:webHidden/>
          </w:rPr>
        </w:r>
        <w:r>
          <w:rPr>
            <w:noProof/>
            <w:webHidden/>
          </w:rPr>
          <w:fldChar w:fldCharType="separate"/>
        </w:r>
        <w:r w:rsidR="00BA56B8">
          <w:rPr>
            <w:noProof/>
            <w:webHidden/>
          </w:rPr>
          <w:t>39</w:t>
        </w:r>
        <w:r>
          <w:rPr>
            <w:noProof/>
            <w:webHidden/>
          </w:rPr>
          <w:fldChar w:fldCharType="end"/>
        </w:r>
      </w:hyperlink>
    </w:p>
    <w:p w14:paraId="5602800A" w14:textId="7DAD41C9" w:rsidR="00091568" w:rsidRDefault="00091568">
      <w:pPr>
        <w:pStyle w:val="TOC1"/>
        <w:rPr>
          <w:rFonts w:eastAsiaTheme="minorEastAsia"/>
          <w:b w:val="0"/>
          <w:noProof/>
          <w:color w:val="auto"/>
          <w:kern w:val="2"/>
          <w:lang w:eastAsia="en-GB"/>
          <w14:ligatures w14:val="standardContextual"/>
        </w:rPr>
      </w:pPr>
      <w:hyperlink w:anchor="_Toc213919833" w:history="1">
        <w:r w:rsidRPr="003A46FB">
          <w:rPr>
            <w:rStyle w:val="Hyperlink"/>
            <w:rFonts w:eastAsiaTheme="majorEastAsia"/>
            <w:noProof/>
          </w:rPr>
          <w:t>Appendix E - Contract Review Checklist</w:t>
        </w:r>
        <w:r>
          <w:rPr>
            <w:noProof/>
            <w:webHidden/>
          </w:rPr>
          <w:tab/>
        </w:r>
        <w:r>
          <w:rPr>
            <w:noProof/>
            <w:webHidden/>
          </w:rPr>
          <w:fldChar w:fldCharType="begin"/>
        </w:r>
        <w:r>
          <w:rPr>
            <w:noProof/>
            <w:webHidden/>
          </w:rPr>
          <w:instrText xml:space="preserve"> PAGEREF _Toc213919833 \h </w:instrText>
        </w:r>
        <w:r>
          <w:rPr>
            <w:noProof/>
            <w:webHidden/>
          </w:rPr>
        </w:r>
        <w:r>
          <w:rPr>
            <w:noProof/>
            <w:webHidden/>
          </w:rPr>
          <w:fldChar w:fldCharType="separate"/>
        </w:r>
        <w:r w:rsidR="00BA56B8">
          <w:rPr>
            <w:noProof/>
            <w:webHidden/>
          </w:rPr>
          <w:t>41</w:t>
        </w:r>
        <w:r>
          <w:rPr>
            <w:noProof/>
            <w:webHidden/>
          </w:rPr>
          <w:fldChar w:fldCharType="end"/>
        </w:r>
      </w:hyperlink>
    </w:p>
    <w:p w14:paraId="38F6DD12" w14:textId="76DCF72D" w:rsidR="00091568" w:rsidRDefault="00091568">
      <w:pPr>
        <w:pStyle w:val="TOC1"/>
        <w:rPr>
          <w:rFonts w:eastAsiaTheme="minorEastAsia"/>
          <w:b w:val="0"/>
          <w:noProof/>
          <w:color w:val="auto"/>
          <w:kern w:val="2"/>
          <w:lang w:eastAsia="en-GB"/>
          <w14:ligatures w14:val="standardContextual"/>
        </w:rPr>
      </w:pPr>
      <w:hyperlink w:anchor="_Toc213919834" w:history="1">
        <w:r w:rsidRPr="003A46FB">
          <w:rPr>
            <w:rStyle w:val="Hyperlink"/>
            <w:rFonts w:eastAsiaTheme="majorEastAsia"/>
            <w:noProof/>
          </w:rPr>
          <w:t>Appendix F – Decision-Making Prioritisation Framework</w:t>
        </w:r>
        <w:r>
          <w:rPr>
            <w:noProof/>
            <w:webHidden/>
          </w:rPr>
          <w:tab/>
        </w:r>
        <w:r>
          <w:rPr>
            <w:noProof/>
            <w:webHidden/>
          </w:rPr>
          <w:fldChar w:fldCharType="begin"/>
        </w:r>
        <w:r>
          <w:rPr>
            <w:noProof/>
            <w:webHidden/>
          </w:rPr>
          <w:instrText xml:space="preserve"> PAGEREF _Toc213919834 \h </w:instrText>
        </w:r>
        <w:r>
          <w:rPr>
            <w:noProof/>
            <w:webHidden/>
          </w:rPr>
        </w:r>
        <w:r>
          <w:rPr>
            <w:noProof/>
            <w:webHidden/>
          </w:rPr>
          <w:fldChar w:fldCharType="separate"/>
        </w:r>
        <w:r w:rsidR="00BA56B8">
          <w:rPr>
            <w:noProof/>
            <w:webHidden/>
          </w:rPr>
          <w:t>43</w:t>
        </w:r>
        <w:r>
          <w:rPr>
            <w:noProof/>
            <w:webHidden/>
          </w:rPr>
          <w:fldChar w:fldCharType="end"/>
        </w:r>
      </w:hyperlink>
    </w:p>
    <w:p w14:paraId="718BC26B" w14:textId="1CA5FBA1" w:rsidR="00091568" w:rsidRDefault="00091568">
      <w:pPr>
        <w:pStyle w:val="TOC1"/>
        <w:rPr>
          <w:rFonts w:eastAsiaTheme="minorEastAsia"/>
          <w:b w:val="0"/>
          <w:noProof/>
          <w:color w:val="auto"/>
          <w:kern w:val="2"/>
          <w:lang w:eastAsia="en-GB"/>
          <w14:ligatures w14:val="standardContextual"/>
        </w:rPr>
      </w:pPr>
      <w:hyperlink w:anchor="_Toc213919835" w:history="1">
        <w:r w:rsidRPr="003A46FB">
          <w:rPr>
            <w:rStyle w:val="Hyperlink"/>
            <w:rFonts w:eastAsiaTheme="majorEastAsia"/>
            <w:noProof/>
          </w:rPr>
          <w:t>Appendix G – Role of Committees in Decision Making</w:t>
        </w:r>
        <w:r>
          <w:rPr>
            <w:noProof/>
            <w:webHidden/>
          </w:rPr>
          <w:tab/>
        </w:r>
        <w:r>
          <w:rPr>
            <w:noProof/>
            <w:webHidden/>
          </w:rPr>
          <w:fldChar w:fldCharType="begin"/>
        </w:r>
        <w:r>
          <w:rPr>
            <w:noProof/>
            <w:webHidden/>
          </w:rPr>
          <w:instrText xml:space="preserve"> PAGEREF _Toc213919835 \h </w:instrText>
        </w:r>
        <w:r>
          <w:rPr>
            <w:noProof/>
            <w:webHidden/>
          </w:rPr>
        </w:r>
        <w:r>
          <w:rPr>
            <w:noProof/>
            <w:webHidden/>
          </w:rPr>
          <w:fldChar w:fldCharType="separate"/>
        </w:r>
        <w:r w:rsidR="00BA56B8">
          <w:rPr>
            <w:noProof/>
            <w:webHidden/>
          </w:rPr>
          <w:t>45</w:t>
        </w:r>
        <w:r>
          <w:rPr>
            <w:noProof/>
            <w:webHidden/>
          </w:rPr>
          <w:fldChar w:fldCharType="end"/>
        </w:r>
      </w:hyperlink>
    </w:p>
    <w:p w14:paraId="19AE7CA2" w14:textId="3F628E6D" w:rsidR="00091568" w:rsidRDefault="00091568">
      <w:pPr>
        <w:pStyle w:val="TOC1"/>
        <w:rPr>
          <w:rFonts w:eastAsiaTheme="minorEastAsia"/>
          <w:b w:val="0"/>
          <w:noProof/>
          <w:color w:val="auto"/>
          <w:kern w:val="2"/>
          <w:lang w:eastAsia="en-GB"/>
          <w14:ligatures w14:val="standardContextual"/>
        </w:rPr>
      </w:pPr>
      <w:hyperlink w:anchor="_Toc213919836" w:history="1">
        <w:r w:rsidRPr="003A46FB">
          <w:rPr>
            <w:rStyle w:val="Hyperlink"/>
            <w:rFonts w:eastAsiaTheme="majorEastAsia"/>
            <w:noProof/>
          </w:rPr>
          <w:t>Appendix H – Business Case Checklist</w:t>
        </w:r>
        <w:r>
          <w:rPr>
            <w:noProof/>
            <w:webHidden/>
          </w:rPr>
          <w:tab/>
        </w:r>
        <w:r>
          <w:rPr>
            <w:noProof/>
            <w:webHidden/>
          </w:rPr>
          <w:fldChar w:fldCharType="begin"/>
        </w:r>
        <w:r>
          <w:rPr>
            <w:noProof/>
            <w:webHidden/>
          </w:rPr>
          <w:instrText xml:space="preserve"> PAGEREF _Toc213919836 \h </w:instrText>
        </w:r>
        <w:r>
          <w:rPr>
            <w:noProof/>
            <w:webHidden/>
          </w:rPr>
        </w:r>
        <w:r>
          <w:rPr>
            <w:noProof/>
            <w:webHidden/>
          </w:rPr>
          <w:fldChar w:fldCharType="separate"/>
        </w:r>
        <w:r w:rsidR="00BA56B8">
          <w:rPr>
            <w:noProof/>
            <w:webHidden/>
          </w:rPr>
          <w:t>47</w:t>
        </w:r>
        <w:r>
          <w:rPr>
            <w:noProof/>
            <w:webHidden/>
          </w:rPr>
          <w:fldChar w:fldCharType="end"/>
        </w:r>
      </w:hyperlink>
    </w:p>
    <w:p w14:paraId="55F00CC5" w14:textId="40962621" w:rsidR="00091568" w:rsidRDefault="00091568">
      <w:pPr>
        <w:pStyle w:val="TOC1"/>
        <w:rPr>
          <w:rFonts w:eastAsiaTheme="minorEastAsia"/>
          <w:b w:val="0"/>
          <w:noProof/>
          <w:color w:val="auto"/>
          <w:kern w:val="2"/>
          <w:lang w:eastAsia="en-GB"/>
          <w14:ligatures w14:val="standardContextual"/>
        </w:rPr>
      </w:pPr>
      <w:hyperlink w:anchor="_Toc213919837" w:history="1">
        <w:r w:rsidRPr="003A46FB">
          <w:rPr>
            <w:rStyle w:val="Hyperlink"/>
            <w:rFonts w:eastAsiaTheme="majorEastAsia"/>
            <w:noProof/>
          </w:rPr>
          <w:t>Appendix I – Contract Exit Plan/ Succession Plan Template</w:t>
        </w:r>
        <w:r>
          <w:rPr>
            <w:noProof/>
            <w:webHidden/>
          </w:rPr>
          <w:tab/>
        </w:r>
        <w:r>
          <w:rPr>
            <w:noProof/>
            <w:webHidden/>
          </w:rPr>
          <w:fldChar w:fldCharType="begin"/>
        </w:r>
        <w:r>
          <w:rPr>
            <w:noProof/>
            <w:webHidden/>
          </w:rPr>
          <w:instrText xml:space="preserve"> PAGEREF _Toc213919837 \h </w:instrText>
        </w:r>
        <w:r>
          <w:rPr>
            <w:noProof/>
            <w:webHidden/>
          </w:rPr>
        </w:r>
        <w:r>
          <w:rPr>
            <w:noProof/>
            <w:webHidden/>
          </w:rPr>
          <w:fldChar w:fldCharType="separate"/>
        </w:r>
        <w:r w:rsidR="00BA56B8">
          <w:rPr>
            <w:noProof/>
            <w:webHidden/>
          </w:rPr>
          <w:t>48</w:t>
        </w:r>
        <w:r>
          <w:rPr>
            <w:noProof/>
            <w:webHidden/>
          </w:rPr>
          <w:fldChar w:fldCharType="end"/>
        </w:r>
      </w:hyperlink>
    </w:p>
    <w:p w14:paraId="7526CB10" w14:textId="0001BCD2" w:rsidR="00091568" w:rsidRDefault="00091568">
      <w:pPr>
        <w:pStyle w:val="TOC1"/>
        <w:rPr>
          <w:rFonts w:eastAsiaTheme="minorEastAsia"/>
          <w:b w:val="0"/>
          <w:noProof/>
          <w:color w:val="auto"/>
          <w:kern w:val="2"/>
          <w:lang w:eastAsia="en-GB"/>
          <w14:ligatures w14:val="standardContextual"/>
        </w:rPr>
      </w:pPr>
      <w:hyperlink w:anchor="_Toc213919838" w:history="1">
        <w:r w:rsidRPr="003A46FB">
          <w:rPr>
            <w:rStyle w:val="Hyperlink"/>
            <w:rFonts w:cs="Arial"/>
            <w:bCs/>
            <w:noProof/>
          </w:rPr>
          <w:t>This template exit</w:t>
        </w:r>
        <w:r w:rsidRPr="003A46FB">
          <w:rPr>
            <w:rStyle w:val="Hyperlink"/>
            <w:rFonts w:cs="Arial"/>
            <w:noProof/>
          </w:rPr>
          <w:t>/ succession</w:t>
        </w:r>
        <w:r w:rsidRPr="003A46FB">
          <w:rPr>
            <w:rStyle w:val="Hyperlink"/>
            <w:rFonts w:cs="Arial"/>
            <w:bCs/>
            <w:noProof/>
          </w:rPr>
          <w:t xml:space="preserve"> plan is for use where no </w:t>
        </w:r>
        <w:r w:rsidRPr="003A46FB">
          <w:rPr>
            <w:rStyle w:val="Hyperlink"/>
            <w:rFonts w:cs="Arial"/>
            <w:noProof/>
          </w:rPr>
          <w:t xml:space="preserve">specific </w:t>
        </w:r>
        <w:r w:rsidRPr="003A46FB">
          <w:rPr>
            <w:rStyle w:val="Hyperlink"/>
            <w:rFonts w:cs="Arial"/>
            <w:bCs/>
            <w:noProof/>
          </w:rPr>
          <w:t>exit arrangements are set out within the contract.</w:t>
        </w:r>
        <w:r>
          <w:rPr>
            <w:noProof/>
            <w:webHidden/>
          </w:rPr>
          <w:tab/>
        </w:r>
        <w:r>
          <w:rPr>
            <w:noProof/>
            <w:webHidden/>
          </w:rPr>
          <w:fldChar w:fldCharType="begin"/>
        </w:r>
        <w:r>
          <w:rPr>
            <w:noProof/>
            <w:webHidden/>
          </w:rPr>
          <w:instrText xml:space="preserve"> PAGEREF _Toc213919838 \h </w:instrText>
        </w:r>
        <w:r>
          <w:rPr>
            <w:noProof/>
            <w:webHidden/>
          </w:rPr>
        </w:r>
        <w:r>
          <w:rPr>
            <w:noProof/>
            <w:webHidden/>
          </w:rPr>
          <w:fldChar w:fldCharType="separate"/>
        </w:r>
        <w:r w:rsidR="00BA56B8">
          <w:rPr>
            <w:noProof/>
            <w:webHidden/>
          </w:rPr>
          <w:t>48</w:t>
        </w:r>
        <w:r>
          <w:rPr>
            <w:noProof/>
            <w:webHidden/>
          </w:rPr>
          <w:fldChar w:fldCharType="end"/>
        </w:r>
      </w:hyperlink>
    </w:p>
    <w:p w14:paraId="178F854A" w14:textId="40D9CA91" w:rsidR="00F40D75" w:rsidRPr="00F40D75" w:rsidRDefault="009034A2" w:rsidP="009034A2">
      <w:pPr>
        <w:tabs>
          <w:tab w:val="right" w:pos="9639"/>
        </w:tabs>
        <w:spacing w:before="0" w:after="0"/>
        <w:ind w:left="0" w:right="-46"/>
        <w:rPr>
          <w:rFonts w:ascii="AppleSystemUIFont" w:hAnsi="AppleSystemUIFont" w:cs="AppleSystemUIFont"/>
          <w:sz w:val="26"/>
          <w:szCs w:val="26"/>
        </w:rPr>
      </w:pPr>
      <w:r>
        <w:rPr>
          <w:rFonts w:ascii="AppleSystemUIFont" w:hAnsi="AppleSystemUIFont" w:cs="AppleSystemUIFont"/>
          <w:sz w:val="26"/>
          <w:szCs w:val="26"/>
        </w:rPr>
        <w:fldChar w:fldCharType="end"/>
      </w:r>
      <w:r w:rsidR="00F40D75" w:rsidRPr="00F40D75">
        <w:rPr>
          <w:rFonts w:ascii="AppleSystemUIFont" w:hAnsi="AppleSystemUIFont" w:cs="AppleSystemUIFont"/>
          <w:sz w:val="26"/>
          <w:szCs w:val="26"/>
        </w:rPr>
        <w:br w:type="page"/>
      </w:r>
    </w:p>
    <w:p w14:paraId="77F9215A" w14:textId="77777777" w:rsidR="00F40D75" w:rsidRPr="008F0CC8" w:rsidRDefault="00F40D75" w:rsidP="00DF1054">
      <w:pPr>
        <w:pStyle w:val="Heading2"/>
        <w:numPr>
          <w:ilvl w:val="0"/>
          <w:numId w:val="11"/>
        </w:numPr>
      </w:pPr>
      <w:bookmarkStart w:id="2" w:name="_Toc95149168"/>
      <w:bookmarkStart w:id="3" w:name="_Toc108099461"/>
      <w:bookmarkStart w:id="4" w:name="_Toc213919770"/>
      <w:r w:rsidRPr="008F0CC8">
        <w:lastRenderedPageBreak/>
        <w:t>Introduction</w:t>
      </w:r>
      <w:bookmarkEnd w:id="2"/>
      <w:bookmarkEnd w:id="3"/>
      <w:bookmarkEnd w:id="4"/>
    </w:p>
    <w:p w14:paraId="241B0AA9" w14:textId="75D0AF75" w:rsidR="00B4794F" w:rsidRPr="003B5193" w:rsidRDefault="00B4794F" w:rsidP="001E38EE">
      <w:pPr>
        <w:pStyle w:val="Style1"/>
      </w:pPr>
      <w:r w:rsidRPr="003B5193">
        <w:t xml:space="preserve">The </w:t>
      </w:r>
      <w:r w:rsidR="001D212C">
        <w:t xml:space="preserve">Mid and South Essex </w:t>
      </w:r>
      <w:r w:rsidR="005D7804" w:rsidRPr="003B5193">
        <w:t>Integrated Care Board (</w:t>
      </w:r>
      <w:r w:rsidRPr="003B5193">
        <w:t>ICB</w:t>
      </w:r>
      <w:r w:rsidR="005D7804" w:rsidRPr="003B5193">
        <w:t>)</w:t>
      </w:r>
      <w:r w:rsidRPr="003B5193">
        <w:t xml:space="preserve">, as part of the Integrated Care System (ICS) receives a fixed budget from NHS England to enable it to fulfil </w:t>
      </w:r>
      <w:r w:rsidR="00E27F6E">
        <w:t>its statutory functions</w:t>
      </w:r>
      <w:r w:rsidR="00A43180">
        <w:t>,</w:t>
      </w:r>
      <w:r w:rsidR="00E27F6E">
        <w:t xml:space="preserve"> </w:t>
      </w:r>
      <w:r w:rsidR="0026103C">
        <w:t>duties</w:t>
      </w:r>
      <w:r w:rsidR="00A43180">
        <w:t xml:space="preserve"> and the health aspect of the Integrated Care Strategy set by the Integrated Care Partnership (ICP)</w:t>
      </w:r>
      <w:r w:rsidRPr="003B5193">
        <w:t xml:space="preserve">. </w:t>
      </w:r>
      <w:r w:rsidR="007641D7">
        <w:t>The ICB</w:t>
      </w:r>
      <w:r w:rsidRPr="003B5193">
        <w:t xml:space="preserve"> has a statutory responsibility to maintain financial balance and, as part of discharging this obligation, </w:t>
      </w:r>
      <w:r w:rsidR="009A4473" w:rsidRPr="003B5193">
        <w:t>must</w:t>
      </w:r>
      <w:r w:rsidRPr="003B5193">
        <w:t xml:space="preserve"> decide how and where finite local resources are allocated. </w:t>
      </w:r>
    </w:p>
    <w:p w14:paraId="17E2C242" w14:textId="61E82273" w:rsidR="00B4794F" w:rsidRPr="00BB45C4" w:rsidRDefault="00B4794F" w:rsidP="001E38EE">
      <w:pPr>
        <w:pStyle w:val="Style1"/>
      </w:pPr>
      <w:bookmarkStart w:id="5" w:name="_Toc95149169"/>
      <w:bookmarkStart w:id="6" w:name="_Toc108099462"/>
      <w:r w:rsidRPr="00BB45C4">
        <w:t xml:space="preserve">The need for health care is always greater than the resources available to a society to meet demand. Therefore, it is evident that it will not be possible for the ICB to commission all the health care that is needed or wanted by the population it serves and, as a result, it will need to prioritise its commissioning intentions based on the needs of the local population. </w:t>
      </w:r>
    </w:p>
    <w:p w14:paraId="71431CFD" w14:textId="65104D34" w:rsidR="00B4794F" w:rsidRPr="003B5193" w:rsidRDefault="00B4794F" w:rsidP="001E38EE">
      <w:pPr>
        <w:pStyle w:val="Style1"/>
      </w:pPr>
      <w:r w:rsidRPr="003B5193">
        <w:t>In carrying out these functions, the ICB will act with a view to securing health services that are provided in a way which promotes the NHS Constitution among patients, staff</w:t>
      </w:r>
      <w:r w:rsidR="00595C9E">
        <w:t>,</w:t>
      </w:r>
      <w:r w:rsidRPr="003B5193">
        <w:t xml:space="preserve"> and members of the public. Patients have a right to expect that the ICB will assess and prioritise the health requirements of the local community and commission the services to meet those needs as considered necessary. </w:t>
      </w:r>
    </w:p>
    <w:p w14:paraId="36BC0CE6" w14:textId="303A6118" w:rsidR="00B4794F" w:rsidRPr="003B5193" w:rsidRDefault="00B4794F" w:rsidP="001E38EE">
      <w:pPr>
        <w:pStyle w:val="Style1"/>
      </w:pPr>
      <w:r w:rsidRPr="003B5193">
        <w:t xml:space="preserve">Those with the responsibility for health care budgets </w:t>
      </w:r>
      <w:r w:rsidR="000955EB" w:rsidRPr="003B5193">
        <w:t>must</w:t>
      </w:r>
      <w:r w:rsidRPr="003B5193">
        <w:t xml:space="preserve"> make decisions about priorities at three levels: when developing strategic plans (the main priorities), when deciding year on year which investment and disinvestments to make, and at the individual patient level.</w:t>
      </w:r>
    </w:p>
    <w:p w14:paraId="6747981D" w14:textId="0B560905" w:rsidR="00B4794F" w:rsidRPr="003B5193" w:rsidRDefault="00B4794F" w:rsidP="001E38EE">
      <w:pPr>
        <w:pStyle w:val="Style1"/>
      </w:pPr>
      <w:r w:rsidRPr="003B5193">
        <w:t xml:space="preserve">The </w:t>
      </w:r>
      <w:r w:rsidR="007C7EF8" w:rsidRPr="003B5193">
        <w:t>Decision</w:t>
      </w:r>
      <w:r w:rsidR="005E0498">
        <w:t>-</w:t>
      </w:r>
      <w:r w:rsidR="007C7EF8" w:rsidRPr="003B5193">
        <w:t>Making</w:t>
      </w:r>
      <w:r w:rsidRPr="003B5193">
        <w:t xml:space="preserve"> Policy and Procedure is to be applied when making both clinical and non-clinical (e.g.</w:t>
      </w:r>
      <w:r w:rsidR="000955EB">
        <w:t>,</w:t>
      </w:r>
      <w:r w:rsidRPr="003B5193">
        <w:t xml:space="preserve"> IT) decisions.</w:t>
      </w:r>
    </w:p>
    <w:p w14:paraId="40A37218" w14:textId="3B96B6C2" w:rsidR="00B4794F" w:rsidRPr="003B5193" w:rsidRDefault="00B4794F" w:rsidP="001E38EE">
      <w:pPr>
        <w:pStyle w:val="Style1"/>
      </w:pPr>
      <w:r w:rsidRPr="003B5193">
        <w:t>The</w:t>
      </w:r>
      <w:r w:rsidR="001D212C">
        <w:t xml:space="preserve"> ICB</w:t>
      </w:r>
      <w:r w:rsidRPr="003B5193">
        <w:t xml:space="preserve"> will ensure that procurement decisions </w:t>
      </w:r>
      <w:r w:rsidR="001732B6">
        <w:t xml:space="preserve">in relation to </w:t>
      </w:r>
      <w:r w:rsidR="001732B6" w:rsidRPr="003B5193">
        <w:t xml:space="preserve">our clinical services </w:t>
      </w:r>
      <w:r w:rsidRPr="003B5193">
        <w:t xml:space="preserve">are fully informed and based on health outcomes data by utilising all reliable data sources combined with population health data and clinical analysis. </w:t>
      </w:r>
    </w:p>
    <w:p w14:paraId="1D430B83" w14:textId="1F92A5E8" w:rsidR="00F40D75" w:rsidRPr="00F40D75" w:rsidRDefault="00F40D75" w:rsidP="008F0CC8">
      <w:pPr>
        <w:pStyle w:val="Heading2"/>
      </w:pPr>
      <w:bookmarkStart w:id="7" w:name="_Toc213919771"/>
      <w:r w:rsidRPr="00F40D75">
        <w:t xml:space="preserve">Purpose / </w:t>
      </w:r>
      <w:r w:rsidR="00E42BA2">
        <w:t>Policy</w:t>
      </w:r>
      <w:r w:rsidRPr="00F40D75">
        <w:t xml:space="preserve"> </w:t>
      </w:r>
      <w:r w:rsidRPr="00C7154C">
        <w:t>Statement</w:t>
      </w:r>
      <w:bookmarkEnd w:id="5"/>
      <w:bookmarkEnd w:id="6"/>
      <w:bookmarkEnd w:id="7"/>
    </w:p>
    <w:p w14:paraId="38200896" w14:textId="77777777" w:rsidR="00DB5503" w:rsidRDefault="00B4794F" w:rsidP="001E38EE">
      <w:pPr>
        <w:pStyle w:val="Style1"/>
      </w:pPr>
      <w:bookmarkStart w:id="8" w:name="_Toc95149170"/>
      <w:bookmarkStart w:id="9" w:name="_Toc108099463"/>
      <w:r w:rsidRPr="0088282C">
        <w:t xml:space="preserve">The purpose of this policy is to </w:t>
      </w:r>
      <w:r w:rsidR="009B0E86">
        <w:t>set out</w:t>
      </w:r>
      <w:r w:rsidR="000E159B">
        <w:t xml:space="preserve"> an ethical framework that underpins and applies to the priority setting processe</w:t>
      </w:r>
      <w:r w:rsidR="007847D6">
        <w:t>s required to enable the ICB to discharge its statutory functions</w:t>
      </w:r>
      <w:r w:rsidR="00DB5503">
        <w:t xml:space="preserve"> within the financial envelope it is set by NHS England.   </w:t>
      </w:r>
      <w:proofErr w:type="gramStart"/>
      <w:r w:rsidR="00DB5503">
        <w:t>In particular, providing</w:t>
      </w:r>
      <w:proofErr w:type="gramEnd"/>
      <w:r w:rsidR="00DB5503">
        <w:t xml:space="preserve"> the basis for decision-making in:</w:t>
      </w:r>
    </w:p>
    <w:p w14:paraId="1CF4A272" w14:textId="77777777" w:rsidR="00377B48" w:rsidRDefault="00377B48" w:rsidP="00223A24">
      <w:pPr>
        <w:pStyle w:val="ListParagraph"/>
        <w:numPr>
          <w:ilvl w:val="0"/>
          <w:numId w:val="29"/>
        </w:numPr>
      </w:pPr>
      <w:r>
        <w:t xml:space="preserve">The development of strategic plans for individual services </w:t>
      </w:r>
    </w:p>
    <w:p w14:paraId="0340B87B" w14:textId="77777777" w:rsidR="00377B48" w:rsidRDefault="00377B48" w:rsidP="00223A24">
      <w:pPr>
        <w:pStyle w:val="ListParagraph"/>
        <w:numPr>
          <w:ilvl w:val="0"/>
          <w:numId w:val="29"/>
        </w:numPr>
      </w:pPr>
      <w:r>
        <w:t>making investment and disinvestment decisions during the annual commissioning cycle</w:t>
      </w:r>
    </w:p>
    <w:p w14:paraId="36DB0FC6" w14:textId="77777777" w:rsidR="00377B48" w:rsidRDefault="00377B48" w:rsidP="00223A24">
      <w:pPr>
        <w:pStyle w:val="ListParagraph"/>
        <w:numPr>
          <w:ilvl w:val="0"/>
          <w:numId w:val="29"/>
        </w:numPr>
      </w:pPr>
      <w:r>
        <w:t>making in-year decisions about service developments or disinvestments</w:t>
      </w:r>
    </w:p>
    <w:p w14:paraId="7E755384" w14:textId="77777777" w:rsidR="00316B28" w:rsidRDefault="00377B48" w:rsidP="00223A24">
      <w:pPr>
        <w:pStyle w:val="ListParagraph"/>
        <w:numPr>
          <w:ilvl w:val="0"/>
          <w:numId w:val="29"/>
        </w:numPr>
      </w:pPr>
      <w:r>
        <w:t>management of</w:t>
      </w:r>
      <w:r w:rsidR="002F2FDF">
        <w:t xml:space="preserve"> restricted services, including</w:t>
      </w:r>
      <w:r w:rsidR="00316B28">
        <w:t xml:space="preserve"> individual funding requests.</w:t>
      </w:r>
    </w:p>
    <w:p w14:paraId="39EEC992" w14:textId="77777777" w:rsidR="00D71F49" w:rsidRDefault="00466163" w:rsidP="001E38EE">
      <w:pPr>
        <w:pStyle w:val="Style1"/>
      </w:pPr>
      <w:r>
        <w:t>The purpose of setting out the principles and consideration</w:t>
      </w:r>
      <w:r w:rsidR="00D71F49">
        <w:t>s to guide priority setting is to:</w:t>
      </w:r>
    </w:p>
    <w:p w14:paraId="68C9D653" w14:textId="112F1F4D" w:rsidR="00D71F49" w:rsidRDefault="00C63ECB" w:rsidP="00223A24">
      <w:pPr>
        <w:pStyle w:val="ListParagraph"/>
        <w:numPr>
          <w:ilvl w:val="0"/>
          <w:numId w:val="30"/>
        </w:numPr>
      </w:pPr>
      <w:r>
        <w:lastRenderedPageBreak/>
        <w:t>p</w:t>
      </w:r>
      <w:r w:rsidR="00D71F49">
        <w:t>rovide a coherent framework for decision</w:t>
      </w:r>
      <w:r w:rsidR="00DF440D">
        <w:t>-</w:t>
      </w:r>
      <w:r w:rsidR="00D71F49">
        <w:t>making</w:t>
      </w:r>
      <w:r>
        <w:t xml:space="preserve"> (both investments, disinvestments</w:t>
      </w:r>
      <w:r w:rsidR="00CF4FAF">
        <w:t>,</w:t>
      </w:r>
      <w:r>
        <w:t xml:space="preserve"> and decommissioning)</w:t>
      </w:r>
      <w:r w:rsidR="00DE5D4D">
        <w:t>.</w:t>
      </w:r>
    </w:p>
    <w:p w14:paraId="1F90A2EF" w14:textId="57D0926E" w:rsidR="00D71F49" w:rsidRDefault="00D71F49" w:rsidP="00223A24">
      <w:pPr>
        <w:pStyle w:val="ListParagraph"/>
        <w:numPr>
          <w:ilvl w:val="0"/>
          <w:numId w:val="30"/>
        </w:numPr>
      </w:pPr>
      <w:r>
        <w:t>promote fairness and consistency in decision</w:t>
      </w:r>
      <w:r w:rsidR="00C63ECB">
        <w:t>-</w:t>
      </w:r>
      <w:r>
        <w:t>making</w:t>
      </w:r>
      <w:r w:rsidR="00DE5D4D">
        <w:t>.</w:t>
      </w:r>
    </w:p>
    <w:p w14:paraId="5D295C62" w14:textId="6A13B96E" w:rsidR="00CF4FAF" w:rsidRDefault="00D71F49" w:rsidP="00223A24">
      <w:pPr>
        <w:pStyle w:val="ListParagraph"/>
        <w:numPr>
          <w:ilvl w:val="0"/>
          <w:numId w:val="30"/>
        </w:numPr>
      </w:pPr>
      <w:r>
        <w:t>ensure that the</w:t>
      </w:r>
      <w:r w:rsidR="004B6D1B">
        <w:t>re is a clear and comprehensive rationale for decisions.</w:t>
      </w:r>
    </w:p>
    <w:p w14:paraId="2C075489" w14:textId="4E063150" w:rsidR="00B4794F" w:rsidRPr="0088282C" w:rsidRDefault="00D71F49" w:rsidP="00223A24">
      <w:pPr>
        <w:pStyle w:val="ListParagraph"/>
        <w:numPr>
          <w:ilvl w:val="0"/>
          <w:numId w:val="30"/>
        </w:numPr>
      </w:pPr>
      <w:r>
        <w:t>enable the ICB to discharge its functions and deliver the health aspects of the</w:t>
      </w:r>
      <w:r w:rsidR="00771D26">
        <w:t xml:space="preserve"> strategy set by the ICP </w:t>
      </w:r>
      <w:r w:rsidR="00B4794F" w:rsidRPr="0088282C">
        <w:t>in a safe, fair and transparent manner.</w:t>
      </w:r>
    </w:p>
    <w:p w14:paraId="5C4C447C" w14:textId="3A95D192" w:rsidR="00A7383E" w:rsidRDefault="00B4794F" w:rsidP="00235AD0">
      <w:pPr>
        <w:pStyle w:val="Style1"/>
      </w:pPr>
      <w:r w:rsidRPr="0088282C">
        <w:t>Decommissioning and investment decisions impact on patients and providers therefore requires a formal process, which provides an evidence trail and ratification by a decision</w:t>
      </w:r>
      <w:r w:rsidR="00614C73">
        <w:t>-</w:t>
      </w:r>
      <w:r w:rsidRPr="0088282C">
        <w:t>making authority in the face of potential appeals and legal challenge by an affected party.</w:t>
      </w:r>
      <w:r w:rsidR="00614C73">
        <w:t xml:space="preserve">  This policy therefore sets out the governance process for decision-making as well as the evaluation criteria used when appraising </w:t>
      </w:r>
      <w:r w:rsidR="00FE7E02">
        <w:t>investment and disinvestment cases</w:t>
      </w:r>
      <w:r w:rsidR="00E210A9">
        <w:t>.  This is explained in detail throughout the policy,</w:t>
      </w:r>
      <w:r w:rsidR="00241CDA">
        <w:t xml:space="preserve"> appendix b and c,</w:t>
      </w:r>
      <w:r w:rsidR="00E210A9">
        <w:t xml:space="preserve"> but is summarised below</w:t>
      </w:r>
      <w:r w:rsidR="00235AD0">
        <w:t>:</w:t>
      </w:r>
    </w:p>
    <w:p w14:paraId="29B949E5" w14:textId="185B927E" w:rsidR="00235AD0" w:rsidRDefault="00235AD0" w:rsidP="00235AD0">
      <w:pPr>
        <w:pStyle w:val="Style1"/>
        <w:numPr>
          <w:ilvl w:val="0"/>
          <w:numId w:val="0"/>
        </w:numPr>
      </w:pPr>
      <w:r w:rsidRPr="00625237">
        <w:rPr>
          <w:rFonts w:eastAsiaTheme="majorEastAsia"/>
          <w:noProof/>
        </w:rPr>
        <w:drawing>
          <wp:inline distT="0" distB="0" distL="0" distR="0" wp14:anchorId="0C0F97C3" wp14:editId="7C52CAC8">
            <wp:extent cx="6296025" cy="4116204"/>
            <wp:effectExtent l="0" t="0" r="0" b="0"/>
            <wp:docPr id="2108462180" name="Picture 1" descr="A flowchart showing the steps required to ensure that the proposal fits in with stratiegic priorities and is viable and affordab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62180" name="Picture 1" descr="A flowchart showing the steps required to ensure that the proposal fits in with stratiegic priorities and is viable and affordable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8455" cy="4157019"/>
                    </a:xfrm>
                    <a:prstGeom prst="rect">
                      <a:avLst/>
                    </a:prstGeom>
                    <a:noFill/>
                    <a:ln>
                      <a:noFill/>
                    </a:ln>
                  </pic:spPr>
                </pic:pic>
              </a:graphicData>
            </a:graphic>
          </wp:inline>
        </w:drawing>
      </w:r>
    </w:p>
    <w:p w14:paraId="73F57F57" w14:textId="77777777" w:rsidR="00E210A9" w:rsidRDefault="00E210A9" w:rsidP="00235AD0">
      <w:pPr>
        <w:pStyle w:val="Style1"/>
        <w:numPr>
          <w:ilvl w:val="0"/>
          <w:numId w:val="0"/>
        </w:numPr>
      </w:pPr>
    </w:p>
    <w:p w14:paraId="51E2D40F" w14:textId="773F6D94" w:rsidR="00A35A54" w:rsidRDefault="00A35A54" w:rsidP="00235AD0">
      <w:pPr>
        <w:pStyle w:val="Style1"/>
        <w:numPr>
          <w:ilvl w:val="0"/>
          <w:numId w:val="0"/>
        </w:numPr>
      </w:pPr>
      <w:r w:rsidRPr="000F3DC8">
        <w:rPr>
          <w:rFonts w:ascii="Arial" w:eastAsiaTheme="majorEastAsia" w:hAnsi="Arial" w:cs="Times New Roman"/>
          <w:b/>
          <w:noProof/>
          <w:color w:val="005EB8"/>
          <w:sz w:val="32"/>
          <w:szCs w:val="26"/>
        </w:rPr>
        <w:lastRenderedPageBreak/>
        <w:drawing>
          <wp:inline distT="0" distB="0" distL="0" distR="0" wp14:anchorId="65493D46" wp14:editId="52F22B71">
            <wp:extent cx="6210300" cy="4353536"/>
            <wp:effectExtent l="0" t="0" r="0" b="9525"/>
            <wp:docPr id="2125732812" name="Picture 2" descr="Flowchart detailing the steps to take in the development of a business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32812" name="Picture 2" descr="Flowchart detailing the steps to take in the development of a business ca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0" cy="4353536"/>
                    </a:xfrm>
                    <a:prstGeom prst="rect">
                      <a:avLst/>
                    </a:prstGeom>
                    <a:noFill/>
                    <a:ln>
                      <a:noFill/>
                    </a:ln>
                  </pic:spPr>
                </pic:pic>
              </a:graphicData>
            </a:graphic>
          </wp:inline>
        </w:drawing>
      </w:r>
    </w:p>
    <w:p w14:paraId="68BA988C" w14:textId="7F68EC97" w:rsidR="00A35A54" w:rsidRDefault="00A35A54" w:rsidP="00235AD0">
      <w:pPr>
        <w:pStyle w:val="Style1"/>
        <w:numPr>
          <w:ilvl w:val="0"/>
          <w:numId w:val="0"/>
        </w:numPr>
      </w:pPr>
      <w:r w:rsidRPr="00204209">
        <w:rPr>
          <w:rFonts w:ascii="Arial" w:eastAsiaTheme="majorEastAsia" w:hAnsi="Arial" w:cs="Times New Roman"/>
          <w:b/>
          <w:noProof/>
          <w:color w:val="005EB8"/>
          <w:sz w:val="32"/>
          <w:szCs w:val="26"/>
        </w:rPr>
        <w:drawing>
          <wp:inline distT="0" distB="0" distL="0" distR="0" wp14:anchorId="774955B6" wp14:editId="56FA038E">
            <wp:extent cx="6209705" cy="4181475"/>
            <wp:effectExtent l="0" t="0" r="635" b="0"/>
            <wp:docPr id="1597354190" name="Picture 3" descr="Flowchart detailing the ICB formal approval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54190" name="Picture 3" descr="Flowchart detailing the ICB formal approval stage"/>
                    <pic:cNvPicPr>
                      <a:picLocks noChangeAspect="1" noChangeArrowheads="1"/>
                    </pic:cNvPicPr>
                  </pic:nvPicPr>
                  <pic:blipFill rotWithShape="1">
                    <a:blip r:embed="rId19">
                      <a:extLst>
                        <a:ext uri="{28A0092B-C50C-407E-A947-70E740481C1C}">
                          <a14:useLocalDpi xmlns:a14="http://schemas.microsoft.com/office/drawing/2010/main" val="0"/>
                        </a:ext>
                      </a:extLst>
                    </a:blip>
                    <a:srcRect b="1834"/>
                    <a:stretch/>
                  </pic:blipFill>
                  <pic:spPr bwMode="auto">
                    <a:xfrm>
                      <a:off x="0" y="0"/>
                      <a:ext cx="6210300" cy="4181876"/>
                    </a:xfrm>
                    <a:prstGeom prst="rect">
                      <a:avLst/>
                    </a:prstGeom>
                    <a:noFill/>
                    <a:ln>
                      <a:noFill/>
                    </a:ln>
                    <a:extLst>
                      <a:ext uri="{53640926-AAD7-44D8-BBD7-CCE9431645EC}">
                        <a14:shadowObscured xmlns:a14="http://schemas.microsoft.com/office/drawing/2010/main"/>
                      </a:ext>
                    </a:extLst>
                  </pic:spPr>
                </pic:pic>
              </a:graphicData>
            </a:graphic>
          </wp:inline>
        </w:drawing>
      </w:r>
    </w:p>
    <w:p w14:paraId="6EBFACD3" w14:textId="4579DE68" w:rsidR="00A35A54" w:rsidRDefault="00A35A54" w:rsidP="00235AD0">
      <w:pPr>
        <w:pStyle w:val="Style1"/>
        <w:numPr>
          <w:ilvl w:val="0"/>
          <w:numId w:val="0"/>
        </w:numPr>
      </w:pPr>
      <w:r w:rsidRPr="00F65F85">
        <w:rPr>
          <w:rFonts w:ascii="Arial" w:eastAsiaTheme="majorEastAsia" w:hAnsi="Arial" w:cs="Times New Roman"/>
          <w:b/>
          <w:noProof/>
          <w:color w:val="005EB8"/>
          <w:sz w:val="32"/>
          <w:szCs w:val="26"/>
        </w:rPr>
        <w:lastRenderedPageBreak/>
        <w:drawing>
          <wp:inline distT="0" distB="0" distL="0" distR="0" wp14:anchorId="6F560343" wp14:editId="68BBE698">
            <wp:extent cx="6210300" cy="4051515"/>
            <wp:effectExtent l="0" t="0" r="0" b="6350"/>
            <wp:docPr id="1734411771" name="Picture 4" descr="Flowchart detailing the commissioning  / service restriction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11771" name="Picture 4" descr="Flowchart detailing the commissioning  / service restriction decis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300" cy="4051515"/>
                    </a:xfrm>
                    <a:prstGeom prst="rect">
                      <a:avLst/>
                    </a:prstGeom>
                    <a:noFill/>
                    <a:ln>
                      <a:noFill/>
                    </a:ln>
                  </pic:spPr>
                </pic:pic>
              </a:graphicData>
            </a:graphic>
          </wp:inline>
        </w:drawing>
      </w:r>
    </w:p>
    <w:p w14:paraId="53EB2F53" w14:textId="77777777" w:rsidR="00F40D75" w:rsidRPr="00F40D75" w:rsidRDefault="00F40D75" w:rsidP="008F0CC8">
      <w:pPr>
        <w:pStyle w:val="Heading2"/>
      </w:pPr>
      <w:bookmarkStart w:id="10" w:name="_Toc213919772"/>
      <w:r w:rsidRPr="00F40D75">
        <w:t>Scope</w:t>
      </w:r>
      <w:bookmarkEnd w:id="8"/>
      <w:bookmarkEnd w:id="9"/>
      <w:bookmarkEnd w:id="10"/>
    </w:p>
    <w:p w14:paraId="00835FB1" w14:textId="3937245B" w:rsidR="00F40D75" w:rsidRPr="00F40D75" w:rsidRDefault="00090B87" w:rsidP="001E38EE">
      <w:pPr>
        <w:pStyle w:val="Style1"/>
      </w:pPr>
      <w:r>
        <w:t xml:space="preserve">This </w:t>
      </w:r>
      <w:r w:rsidR="00E42BA2">
        <w:t xml:space="preserve">policy and </w:t>
      </w:r>
      <w:r>
        <w:t xml:space="preserve">procedure </w:t>
      </w:r>
      <w:proofErr w:type="gramStart"/>
      <w:r>
        <w:t>applies</w:t>
      </w:r>
      <w:proofErr w:type="gramEnd"/>
      <w:r>
        <w:t xml:space="preserve"> to all staff working within MSE Integrated Care </w:t>
      </w:r>
      <w:r w:rsidR="00616D54">
        <w:t>Board</w:t>
      </w:r>
      <w:r w:rsidR="00A7635A">
        <w:t xml:space="preserve"> and covers all contractual agreements utilised by the ICB</w:t>
      </w:r>
      <w:r>
        <w:t>.</w:t>
      </w:r>
    </w:p>
    <w:p w14:paraId="4AFAC94A" w14:textId="77777777" w:rsidR="00F40D75" w:rsidRPr="00F40D75" w:rsidRDefault="00F40D75" w:rsidP="008F0CC8">
      <w:pPr>
        <w:pStyle w:val="Heading2"/>
      </w:pPr>
      <w:bookmarkStart w:id="11" w:name="_Toc95149171"/>
      <w:bookmarkStart w:id="12" w:name="_Toc108099464"/>
      <w:bookmarkStart w:id="13" w:name="_Toc213919773"/>
      <w:r w:rsidRPr="00F40D75">
        <w:t>Definitions</w:t>
      </w:r>
      <w:bookmarkEnd w:id="11"/>
      <w:bookmarkEnd w:id="12"/>
      <w:bookmarkEnd w:id="13"/>
    </w:p>
    <w:p w14:paraId="2DD691AD" w14:textId="4C7AC6C8" w:rsidR="004476AD" w:rsidRDefault="004476AD" w:rsidP="001E38EE">
      <w:pPr>
        <w:pStyle w:val="Style1"/>
      </w:pPr>
      <w:proofErr w:type="gramStart"/>
      <w:r>
        <w:t>For the purpose of</w:t>
      </w:r>
      <w:proofErr w:type="gramEnd"/>
      <w:r>
        <w:t xml:space="preserve"> this </w:t>
      </w:r>
      <w:r w:rsidR="00E42BA2">
        <w:t xml:space="preserve">policy </w:t>
      </w:r>
      <w:r>
        <w:t>the following definition</w:t>
      </w:r>
      <w:r w:rsidR="00585F22">
        <w:t>s</w:t>
      </w:r>
      <w:r>
        <w:t xml:space="preserve"> have been applied: </w:t>
      </w:r>
    </w:p>
    <w:p w14:paraId="7FF11DF4" w14:textId="24CD6CD1" w:rsidR="00643986" w:rsidRDefault="00B4794F" w:rsidP="00842283">
      <w:pPr>
        <w:pStyle w:val="ListParagraph"/>
      </w:pPr>
      <w:r w:rsidRPr="00991A2E">
        <w:rPr>
          <w:b/>
          <w:bCs/>
        </w:rPr>
        <w:t>Investment:</w:t>
      </w:r>
      <w:r>
        <w:t xml:space="preserve"> Funding allocated to support service provision across MSE ICS.</w:t>
      </w:r>
    </w:p>
    <w:p w14:paraId="6D85C357" w14:textId="437CE575" w:rsidR="00643986" w:rsidRPr="00643986" w:rsidRDefault="00643986" w:rsidP="00842283">
      <w:pPr>
        <w:pStyle w:val="ListParagraph"/>
        <w:rPr>
          <w:rFonts w:asciiTheme="majorHAnsi" w:hAnsiTheme="majorHAnsi" w:cstheme="majorHAnsi"/>
          <w:color w:val="202A30"/>
        </w:rPr>
      </w:pPr>
      <w:r w:rsidRPr="00643986">
        <w:rPr>
          <w:b/>
          <w:bCs/>
        </w:rPr>
        <w:t xml:space="preserve">Commissioning: </w:t>
      </w:r>
      <w:r>
        <w:t>Commissioning is the continual process of planning, agreeing</w:t>
      </w:r>
      <w:r w:rsidR="003006FA">
        <w:t>,</w:t>
      </w:r>
      <w:r>
        <w:t xml:space="preserve"> and monitoring services.  </w:t>
      </w:r>
      <w:r w:rsidRPr="00643986">
        <w:rPr>
          <w:rFonts w:asciiTheme="majorHAnsi" w:hAnsiTheme="majorHAnsi" w:cstheme="majorHAnsi"/>
          <w:color w:val="202A30"/>
        </w:rPr>
        <w:t>Commissioning is not one action but many, ranging from the health-needs assessment for a population, through the clinically based design of patient pathways, to service specification and contract negotiation or procurement, with continuous quality assessment.</w:t>
      </w:r>
    </w:p>
    <w:p w14:paraId="3FA3C35C" w14:textId="275A2D59" w:rsidR="00643986" w:rsidRPr="00643986" w:rsidRDefault="00643986" w:rsidP="00643986">
      <w:pPr>
        <w:pStyle w:val="NormalWeb"/>
        <w:shd w:val="clear" w:color="auto" w:fill="FFFFFF"/>
        <w:spacing w:before="0" w:beforeAutospacing="0" w:after="225" w:afterAutospacing="0"/>
        <w:ind w:left="1440" w:hanging="1440"/>
        <w:textAlignment w:val="baseline"/>
        <w:rPr>
          <w:rFonts w:asciiTheme="majorHAnsi" w:hAnsiTheme="majorHAnsi" w:cstheme="majorHAnsi"/>
          <w:color w:val="202A30"/>
        </w:rPr>
      </w:pPr>
      <w:r>
        <w:rPr>
          <w:rFonts w:asciiTheme="majorHAnsi" w:hAnsiTheme="majorHAnsi" w:cstheme="majorHAnsi"/>
          <w:color w:val="202A30"/>
        </w:rPr>
        <w:tab/>
      </w:r>
      <w:r w:rsidRPr="00643986">
        <w:rPr>
          <w:rFonts w:asciiTheme="majorHAnsi" w:hAnsiTheme="majorHAnsi" w:cstheme="majorHAnsi"/>
          <w:color w:val="202A30"/>
        </w:rPr>
        <w:t>There is no single geography across which all services should be commissioned: some local services can be designed and secured for a population of a few thousand, while for rare disorders, services need to be considered and secured nationally.</w:t>
      </w:r>
    </w:p>
    <w:p w14:paraId="4EC15D23" w14:textId="2389114B" w:rsidR="004476AD" w:rsidRDefault="004476AD" w:rsidP="00842283">
      <w:pPr>
        <w:pStyle w:val="ListParagraph"/>
      </w:pPr>
      <w:r w:rsidRPr="00B4794F">
        <w:rPr>
          <w:b/>
          <w:bCs/>
        </w:rPr>
        <w:t>Decommissioning</w:t>
      </w:r>
      <w:r>
        <w:t xml:space="preserve">: This relates to the withdrawal of funding from a provider organisation that is </w:t>
      </w:r>
      <w:r w:rsidRPr="00991A2E">
        <w:t>subsequently</w:t>
      </w:r>
      <w:r>
        <w:t xml:space="preserve"> re-commissioned in a different format. </w:t>
      </w:r>
    </w:p>
    <w:p w14:paraId="5A1E2393" w14:textId="021F4EF7" w:rsidR="00CF2514" w:rsidRDefault="004476AD" w:rsidP="00842283">
      <w:pPr>
        <w:pStyle w:val="ListParagraph"/>
      </w:pPr>
      <w:r w:rsidRPr="00C31C1A">
        <w:rPr>
          <w:b/>
          <w:bCs/>
        </w:rPr>
        <w:lastRenderedPageBreak/>
        <w:t>Disinvestment:</w:t>
      </w:r>
      <w:r>
        <w:t xml:space="preserve"> This relates to the withdrawal of funding from a provider organisation and the subsequent stopping of the service.</w:t>
      </w:r>
    </w:p>
    <w:p w14:paraId="2AEDEA27" w14:textId="5BFADE59" w:rsidR="00CF2514" w:rsidRPr="00991A2E" w:rsidRDefault="00CF2514" w:rsidP="00842283">
      <w:pPr>
        <w:pStyle w:val="ListParagraph"/>
      </w:pPr>
      <w:r w:rsidRPr="00842283">
        <w:rPr>
          <w:b/>
          <w:bCs/>
        </w:rPr>
        <w:t>Engagement</w:t>
      </w:r>
      <w:r w:rsidR="00991A2E" w:rsidRPr="00842283">
        <w:rPr>
          <w:b/>
          <w:bCs/>
        </w:rPr>
        <w:t>:</w:t>
      </w:r>
      <w:r w:rsidR="00991A2E">
        <w:t xml:space="preserve"> </w:t>
      </w:r>
      <w:r w:rsidR="00BC5A7F">
        <w:t xml:space="preserve">This is the </w:t>
      </w:r>
      <w:r w:rsidR="009B6F81">
        <w:t xml:space="preserve">on-going </w:t>
      </w:r>
      <w:r w:rsidR="00BC5A7F">
        <w:t>process of reaching out to people, residents, service users, staff, partners and stakeholder to</w:t>
      </w:r>
      <w:r w:rsidR="00DF4036">
        <w:t xml:space="preserve"> seek feedback thoughts and ideas on commissioning decision made by the ICB.</w:t>
      </w:r>
      <w:r w:rsidR="0087293C">
        <w:t xml:space="preserve">  Consultation can be an element of </w:t>
      </w:r>
      <w:r w:rsidR="001F140D">
        <w:t>the engagement spectrum.</w:t>
      </w:r>
      <w:r w:rsidR="000A618B">
        <w:t xml:space="preserve">  The ICB has a duty to involve the population in commissioning decisions, which can be partly achieved through engagement.</w:t>
      </w:r>
    </w:p>
    <w:p w14:paraId="53ADCD81" w14:textId="349BC36D" w:rsidR="00CF2514" w:rsidRDefault="001F140D" w:rsidP="00842283">
      <w:pPr>
        <w:pStyle w:val="ListParagraph"/>
      </w:pPr>
      <w:r>
        <w:rPr>
          <w:b/>
          <w:bCs/>
        </w:rPr>
        <w:t xml:space="preserve">Consultation / </w:t>
      </w:r>
      <w:r w:rsidR="00CF2514" w:rsidRPr="00842283">
        <w:rPr>
          <w:b/>
          <w:bCs/>
        </w:rPr>
        <w:t>Consulted</w:t>
      </w:r>
      <w:r w:rsidR="00991A2E" w:rsidRPr="00842283">
        <w:rPr>
          <w:b/>
          <w:bCs/>
        </w:rPr>
        <w:t>:</w:t>
      </w:r>
      <w:r w:rsidR="00991A2E">
        <w:t xml:space="preserve"> </w:t>
      </w:r>
      <w:r>
        <w:t>Formal public consultation takes engagement a step further with a legal requirement to involve local people in substantive service change</w:t>
      </w:r>
      <w:r w:rsidR="00045296">
        <w:t>.</w:t>
      </w:r>
      <w:r w:rsidR="009704E7">
        <w:t xml:space="preserve">  This is usually where there is a change of access, location or withdrawal of a service that has no replacement.</w:t>
      </w:r>
      <w:r w:rsidR="00045296">
        <w:t xml:space="preserve">  Before any public consultation is undertaken, there would be pre-consultation engagement.  Consultation is normally a one-off process for a specific decision, </w:t>
      </w:r>
      <w:r w:rsidR="009B6F81">
        <w:t>project, policy or strategy.</w:t>
      </w:r>
      <w:r w:rsidR="00045296">
        <w:t xml:space="preserve"> </w:t>
      </w:r>
    </w:p>
    <w:p w14:paraId="2EB5B32B" w14:textId="45DC01B4" w:rsidR="004476AD" w:rsidRPr="00F40D75" w:rsidRDefault="004476AD" w:rsidP="001E38EE">
      <w:pPr>
        <w:pStyle w:val="Style1"/>
      </w:pPr>
      <w:proofErr w:type="gramStart"/>
      <w:r>
        <w:t>In the event that</w:t>
      </w:r>
      <w:proofErr w:type="gramEnd"/>
      <w:r>
        <w:t xml:space="preserve"> </w:t>
      </w:r>
      <w:r w:rsidR="00B06B72">
        <w:t>decommissioning,</w:t>
      </w:r>
      <w:r>
        <w:t xml:space="preserve"> or disinvestment is proposed, the ICB recogni</w:t>
      </w:r>
      <w:r w:rsidR="00B65053">
        <w:t>s</w:t>
      </w:r>
      <w:r>
        <w:t>e</w:t>
      </w:r>
      <w:r w:rsidR="00E51999">
        <w:t>s</w:t>
      </w:r>
      <w:r>
        <w:t xml:space="preserve"> that a number of steps will be required prior to a final decision being taken by the </w:t>
      </w:r>
      <w:r w:rsidR="00236F22">
        <w:t>ICB</w:t>
      </w:r>
      <w:r>
        <w:t xml:space="preserve"> </w:t>
      </w:r>
      <w:r w:rsidR="00236F22">
        <w:t>Board</w:t>
      </w:r>
      <w:r>
        <w:t>. These include consideration as to whether a consultation exercise is required with partner organi</w:t>
      </w:r>
      <w:r w:rsidR="00236F22">
        <w:t>s</w:t>
      </w:r>
      <w:r>
        <w:t>ations, patients, public and the Health Overview and Scrutiny Committee</w:t>
      </w:r>
      <w:r w:rsidR="00236F22">
        <w:t>s.</w:t>
      </w:r>
    </w:p>
    <w:p w14:paraId="03DAB5D5" w14:textId="281A1041" w:rsidR="00F40D75" w:rsidRPr="00F40D75" w:rsidRDefault="00F40D75" w:rsidP="008F0CC8">
      <w:pPr>
        <w:pStyle w:val="Heading2"/>
      </w:pPr>
      <w:bookmarkStart w:id="14" w:name="_Toc95149172"/>
      <w:bookmarkStart w:id="15" w:name="_Toc108099465"/>
      <w:bookmarkStart w:id="16" w:name="_Toc213919774"/>
      <w:r w:rsidRPr="00F40D75">
        <w:t>Roles and Responsibilities</w:t>
      </w:r>
      <w:bookmarkEnd w:id="14"/>
      <w:bookmarkEnd w:id="15"/>
      <w:bookmarkEnd w:id="16"/>
    </w:p>
    <w:p w14:paraId="73B271A2" w14:textId="2F707682" w:rsidR="00F40D75" w:rsidRPr="004902CA" w:rsidRDefault="00F40D75" w:rsidP="00AA20C6">
      <w:pPr>
        <w:pStyle w:val="Heading3"/>
      </w:pPr>
      <w:bookmarkStart w:id="17" w:name="_Toc95149173"/>
      <w:bookmarkStart w:id="18" w:name="_Toc213919775"/>
      <w:r w:rsidRPr="004902CA">
        <w:t>Integrated Care Board</w:t>
      </w:r>
      <w:bookmarkEnd w:id="17"/>
      <w:r w:rsidR="003934CE">
        <w:t xml:space="preserve"> (‘the Board')</w:t>
      </w:r>
      <w:bookmarkEnd w:id="18"/>
    </w:p>
    <w:p w14:paraId="76D54086" w14:textId="6670CAD0" w:rsidR="00A04376" w:rsidRDefault="00327C7E" w:rsidP="00A04376">
      <w:pPr>
        <w:pStyle w:val="Style2"/>
      </w:pPr>
      <w:bookmarkStart w:id="19" w:name="_Toc95149174"/>
      <w:bookmarkStart w:id="20" w:name="_Toc95149175"/>
      <w:r>
        <w:t xml:space="preserve">The </w:t>
      </w:r>
      <w:r w:rsidR="00032306">
        <w:t>Board retains</w:t>
      </w:r>
      <w:r>
        <w:t xml:space="preserve"> overarching responsibility for decision-making and </w:t>
      </w:r>
      <w:r w:rsidR="000471F3">
        <w:t xml:space="preserve">sets out is framework for </w:t>
      </w:r>
      <w:r w:rsidR="000471F3" w:rsidRPr="0077741B">
        <w:t>delegating</w:t>
      </w:r>
      <w:r w:rsidR="000471F3">
        <w:t xml:space="preserve"> authority for the approval of decisions within the Scheme of Reservation and Delegation</w:t>
      </w:r>
      <w:r w:rsidR="00650F43">
        <w:t>.</w:t>
      </w:r>
    </w:p>
    <w:p w14:paraId="7134764A" w14:textId="609AB876" w:rsidR="00A04376" w:rsidRDefault="00A04376" w:rsidP="00A04376">
      <w:pPr>
        <w:pStyle w:val="Style2"/>
      </w:pPr>
      <w:r>
        <w:t xml:space="preserve">The Board sets the </w:t>
      </w:r>
      <w:r w:rsidR="0017440B">
        <w:t>commissioning direction of the ICB and establishes its strategic priorities, aims and objectives.</w:t>
      </w:r>
    </w:p>
    <w:p w14:paraId="35A35BC3" w14:textId="56AF1978" w:rsidR="002C2CF9" w:rsidRDefault="002C2CF9" w:rsidP="000606D6">
      <w:pPr>
        <w:pStyle w:val="Style2"/>
      </w:pPr>
      <w:r w:rsidRPr="0088282C">
        <w:t xml:space="preserve">The Board will oversee the approval of all investment /disinvestment decisions over </w:t>
      </w:r>
      <w:r>
        <w:rPr>
          <w:b/>
        </w:rPr>
        <w:t>£</w:t>
      </w:r>
      <w:r w:rsidR="00DA7D2E">
        <w:rPr>
          <w:b/>
        </w:rPr>
        <w:t>10</w:t>
      </w:r>
      <w:r>
        <w:rPr>
          <w:b/>
        </w:rPr>
        <w:t xml:space="preserve">,000,001 </w:t>
      </w:r>
      <w:r>
        <w:t xml:space="preserve">within existing agreed budgets and over </w:t>
      </w:r>
      <w:r>
        <w:rPr>
          <w:b/>
        </w:rPr>
        <w:t>£2,500,000</w:t>
      </w:r>
      <w:r>
        <w:t xml:space="preserve"> </w:t>
      </w:r>
      <w:r w:rsidR="000D7F4D">
        <w:t>where there is</w:t>
      </w:r>
      <w:r>
        <w:t xml:space="preserve"> no budgetary provision.  The </w:t>
      </w:r>
      <w:r w:rsidRPr="0088282C">
        <w:t xml:space="preserve">scrutiny of such proposals will </w:t>
      </w:r>
      <w:r w:rsidR="00327C7E">
        <w:t xml:space="preserve">generally </w:t>
      </w:r>
      <w:r w:rsidRPr="0088282C">
        <w:t>be held in public, for which supporting papers will be available on the ICB’s website</w:t>
      </w:r>
      <w:bookmarkEnd w:id="19"/>
      <w:r w:rsidRPr="00327C7E">
        <w:t>.</w:t>
      </w:r>
      <w:r w:rsidR="00C430BA">
        <w:t xml:space="preserve">  The ICB Constitution sets out provision for meetings to be held ‘in camera’ where </w:t>
      </w:r>
      <w:r w:rsidR="00A751BD">
        <w:t xml:space="preserve">there is a legal requirement to uphold </w:t>
      </w:r>
      <w:r w:rsidR="006661F5">
        <w:t>confidentiality,</w:t>
      </w:r>
      <w:r w:rsidR="00A751BD">
        <w:t xml:space="preserve"> or it is not in the public interest to discuss in a public meeting.</w:t>
      </w:r>
    </w:p>
    <w:p w14:paraId="7A732F0D" w14:textId="782107F7" w:rsidR="003960B6" w:rsidRPr="00327C7E" w:rsidRDefault="003960B6" w:rsidP="000606D6">
      <w:pPr>
        <w:pStyle w:val="Style2"/>
      </w:pPr>
      <w:r>
        <w:t xml:space="preserve">The </w:t>
      </w:r>
      <w:r w:rsidR="003934CE">
        <w:t>Board is also responsible for ensuring the ICB meets its statutory responsibilities such as involving and engaging with the public over decision-making within the ICB.</w:t>
      </w:r>
    </w:p>
    <w:p w14:paraId="78E612AD" w14:textId="2EB065FC" w:rsidR="00C11EBA" w:rsidRPr="00F40D75" w:rsidRDefault="00C11EBA" w:rsidP="00C11EBA">
      <w:pPr>
        <w:pStyle w:val="Heading3"/>
      </w:pPr>
      <w:bookmarkStart w:id="21" w:name="_Toc95149176"/>
      <w:bookmarkStart w:id="22" w:name="_Toc213919776"/>
      <w:r w:rsidRPr="00F40D75">
        <w:t xml:space="preserve">Chief </w:t>
      </w:r>
      <w:r w:rsidRPr="000606D6">
        <w:t>Executive</w:t>
      </w:r>
      <w:bookmarkEnd w:id="21"/>
      <w:r w:rsidR="00486D87">
        <w:t xml:space="preserve"> Officer</w:t>
      </w:r>
      <w:bookmarkEnd w:id="22"/>
    </w:p>
    <w:p w14:paraId="7385F3F4" w14:textId="2B7FA17C" w:rsidR="00C11EBA" w:rsidRPr="000606D6" w:rsidRDefault="00C11EBA" w:rsidP="00C11EBA">
      <w:pPr>
        <w:pStyle w:val="Style2"/>
      </w:pPr>
      <w:r w:rsidRPr="002C2CF9">
        <w:t>As</w:t>
      </w:r>
      <w:r>
        <w:t xml:space="preserve"> set out in the Scheme of Reservation and Delegation the Chief Executive Officer </w:t>
      </w:r>
      <w:r w:rsidR="00BB3862">
        <w:t xml:space="preserve">is an integral part of </w:t>
      </w:r>
      <w:r w:rsidR="00DA4DD2">
        <w:t>decision-making</w:t>
      </w:r>
      <w:r w:rsidR="00BB3862">
        <w:t xml:space="preserve"> processes </w:t>
      </w:r>
      <w:r w:rsidR="00A41301">
        <w:t xml:space="preserve">and ensures decisions </w:t>
      </w:r>
      <w:r w:rsidR="00A41301">
        <w:lastRenderedPageBreak/>
        <w:t xml:space="preserve">are in accordance with the priorities of the ICB and </w:t>
      </w:r>
      <w:r w:rsidR="00644301">
        <w:t xml:space="preserve">approves business cases as part of </w:t>
      </w:r>
      <w:r w:rsidR="00A41301">
        <w:t>the Executive Committee</w:t>
      </w:r>
      <w:r w:rsidR="00B332EA">
        <w:t>.</w:t>
      </w:r>
      <w:r w:rsidR="00A41301">
        <w:t xml:space="preserve"> </w:t>
      </w:r>
      <w:r w:rsidR="00B332EA" w:rsidDel="00B332EA">
        <w:rPr>
          <w:b/>
          <w:bCs/>
        </w:rPr>
        <w:t xml:space="preserve"> </w:t>
      </w:r>
    </w:p>
    <w:p w14:paraId="74ECDA76" w14:textId="77777777" w:rsidR="00C11EBA" w:rsidRDefault="00C11EBA" w:rsidP="00C11EBA">
      <w:pPr>
        <w:pStyle w:val="Style2"/>
      </w:pPr>
      <w:r>
        <w:t>Business cases &lt;£250,000 can be approved by the Executive Director identified as the Senior Responsible Officer for the programme.</w:t>
      </w:r>
    </w:p>
    <w:p w14:paraId="23705DE0" w14:textId="5A62D70E" w:rsidR="003D436B" w:rsidRDefault="003D436B" w:rsidP="003D436B">
      <w:pPr>
        <w:pStyle w:val="Heading3"/>
      </w:pPr>
      <w:bookmarkStart w:id="23" w:name="_Toc213919777"/>
      <w:r>
        <w:t xml:space="preserve">ICB Executive </w:t>
      </w:r>
      <w:r w:rsidR="0008360E">
        <w:t>Committee</w:t>
      </w:r>
      <w:bookmarkEnd w:id="23"/>
    </w:p>
    <w:p w14:paraId="28CE271A" w14:textId="5D9F16AA" w:rsidR="003D436B" w:rsidRDefault="003D436B" w:rsidP="003D436B">
      <w:pPr>
        <w:pStyle w:val="Style2"/>
      </w:pPr>
      <w:r>
        <w:t xml:space="preserve">The ICB Executive </w:t>
      </w:r>
      <w:r w:rsidR="00F242D5">
        <w:t xml:space="preserve">Committee </w:t>
      </w:r>
      <w:r>
        <w:t>are r</w:t>
      </w:r>
      <w:r w:rsidRPr="00862D6A">
        <w:t xml:space="preserve">esponsible for </w:t>
      </w:r>
      <w:r>
        <w:t xml:space="preserve">the </w:t>
      </w:r>
      <w:r w:rsidRPr="00862D6A">
        <w:t>delivery of ICB objectives, including performance, quality</w:t>
      </w:r>
      <w:r>
        <w:t>,</w:t>
      </w:r>
      <w:r w:rsidRPr="00862D6A">
        <w:t xml:space="preserve"> and financial plans.  It will delegate activities, tasks</w:t>
      </w:r>
      <w:r>
        <w:t>,</w:t>
      </w:r>
      <w:r w:rsidRPr="00862D6A">
        <w:t xml:space="preserve"> and mitigations of risks to the </w:t>
      </w:r>
      <w:r w:rsidR="00833D59">
        <w:t>I</w:t>
      </w:r>
      <w:r w:rsidR="00F242D5">
        <w:t xml:space="preserve">CB </w:t>
      </w:r>
      <w:r w:rsidR="00833D59">
        <w:t>O</w:t>
      </w:r>
      <w:r w:rsidR="00F242D5">
        <w:t xml:space="preserve">perational </w:t>
      </w:r>
      <w:r w:rsidR="00833D59">
        <w:t>G</w:t>
      </w:r>
      <w:r w:rsidR="00F242D5">
        <w:t>roup (IOG)</w:t>
      </w:r>
      <w:r w:rsidR="00833D59" w:rsidRPr="00862D6A">
        <w:t xml:space="preserve"> </w:t>
      </w:r>
      <w:r w:rsidRPr="00862D6A">
        <w:t xml:space="preserve">and receive escalations and responses from </w:t>
      </w:r>
      <w:r w:rsidR="00833D59">
        <w:t>IOG</w:t>
      </w:r>
      <w:r w:rsidR="00833D59" w:rsidRPr="00862D6A">
        <w:t xml:space="preserve"> </w:t>
      </w:r>
      <w:r w:rsidRPr="00862D6A">
        <w:t>in respect of business case proposals.</w:t>
      </w:r>
      <w:r>
        <w:t xml:space="preserve">  </w:t>
      </w:r>
    </w:p>
    <w:p w14:paraId="07BEEA4A" w14:textId="0868792C" w:rsidR="003D436B" w:rsidRDefault="003D436B" w:rsidP="003D436B">
      <w:pPr>
        <w:pStyle w:val="Style2"/>
      </w:pPr>
      <w:r>
        <w:t xml:space="preserve">The Executive </w:t>
      </w:r>
      <w:r w:rsidR="00DA4DD2">
        <w:t xml:space="preserve">Committee </w:t>
      </w:r>
      <w:r>
        <w:t xml:space="preserve">must be sighted and ‘support’ all ideas/projects recommended by the </w:t>
      </w:r>
      <w:r w:rsidR="002C6B5F">
        <w:t xml:space="preserve">IOG </w:t>
      </w:r>
      <w:r>
        <w:t xml:space="preserve">prior to them progressing through to business case development and formal approval. </w:t>
      </w:r>
    </w:p>
    <w:p w14:paraId="422EC431" w14:textId="77777777" w:rsidR="003D436B" w:rsidRDefault="003D436B" w:rsidP="003D436B">
      <w:pPr>
        <w:pStyle w:val="Style2"/>
      </w:pPr>
      <w:r>
        <w:t xml:space="preserve">All proposals will need to have and ICB Executive sponsor </w:t>
      </w:r>
      <w:proofErr w:type="gramStart"/>
      <w:r>
        <w:t>in order to</w:t>
      </w:r>
      <w:proofErr w:type="gramEnd"/>
      <w:r>
        <w:t xml:space="preserve"> progress through decision-making.</w:t>
      </w:r>
    </w:p>
    <w:p w14:paraId="57EEA360" w14:textId="1E54C4CA" w:rsidR="00510EE6" w:rsidRDefault="0056200B" w:rsidP="003D436B">
      <w:pPr>
        <w:pStyle w:val="Style2"/>
      </w:pPr>
      <w:r>
        <w:t xml:space="preserve">The Executive </w:t>
      </w:r>
      <w:r w:rsidR="00651186">
        <w:t>Committee</w:t>
      </w:r>
      <w:r w:rsidR="00546280">
        <w:t xml:space="preserve"> will work with </w:t>
      </w:r>
      <w:r w:rsidR="00411C8A">
        <w:t>the ICB Operational Group</w:t>
      </w:r>
      <w:r w:rsidR="00B3276D">
        <w:t xml:space="preserve"> to guide the commissioning cycle of the ICB, considering the strategic direction of decision making.  </w:t>
      </w:r>
      <w:r w:rsidR="00B373A4">
        <w:t xml:space="preserve">It will set the strategic priorities </w:t>
      </w:r>
      <w:r w:rsidR="00A7532C">
        <w:t>of the ICB upon which</w:t>
      </w:r>
      <w:r w:rsidR="009A5F7D">
        <w:t xml:space="preserve"> future commissioning decisions will be based to ensure the ICB can deliver its operational plan</w:t>
      </w:r>
      <w:r w:rsidR="00DD7B19">
        <w:t xml:space="preserve">s.  In setting </w:t>
      </w:r>
      <w:r w:rsidR="003D1AB4">
        <w:t>priorities,</w:t>
      </w:r>
      <w:r w:rsidR="00DD7B19">
        <w:t xml:space="preserve"> the Executive </w:t>
      </w:r>
      <w:r w:rsidR="004A61EF">
        <w:t>Committee</w:t>
      </w:r>
      <w:r w:rsidR="00DD7B19">
        <w:t xml:space="preserve"> will ensure that:</w:t>
      </w:r>
    </w:p>
    <w:p w14:paraId="42F2E5F8" w14:textId="77777777" w:rsidR="00E664BF" w:rsidRPr="00991A2E" w:rsidRDefault="00E664BF" w:rsidP="00842283">
      <w:pPr>
        <w:pStyle w:val="ListParagraph"/>
      </w:pPr>
      <w:r w:rsidRPr="00991A2E">
        <w:t>Proposals are not considered in silo.  A holistic overview will provide a consistent approach to decision-making ensuring that all decisions fully support the achievement of system priorities within the overall financial envelope.</w:t>
      </w:r>
    </w:p>
    <w:p w14:paraId="7B6D2B44" w14:textId="77777777" w:rsidR="00E664BF" w:rsidRPr="00F00DB3" w:rsidRDefault="00E664BF" w:rsidP="00842283">
      <w:pPr>
        <w:pStyle w:val="ListParagraph"/>
      </w:pPr>
      <w:r w:rsidRPr="00F00DB3">
        <w:t>Decision-making is fair and equitable throughout the commissioning cycle.</w:t>
      </w:r>
    </w:p>
    <w:p w14:paraId="5DBE928B" w14:textId="77777777" w:rsidR="00324F4C" w:rsidRPr="00F00DB3" w:rsidRDefault="00324F4C" w:rsidP="00842283">
      <w:pPr>
        <w:pStyle w:val="ListParagraph"/>
      </w:pPr>
      <w:r w:rsidRPr="00F00DB3">
        <w:t>All cases are considered equitably against the funding available.</w:t>
      </w:r>
    </w:p>
    <w:p w14:paraId="2621B72E" w14:textId="64D55435" w:rsidR="00E664BF" w:rsidRPr="00F00DB3" w:rsidRDefault="00AF3351" w:rsidP="00842283">
      <w:pPr>
        <w:pStyle w:val="ListParagraph"/>
      </w:pPr>
      <w:r w:rsidRPr="00F00DB3">
        <w:t>Funding of treatments which have been identified as a lo</w:t>
      </w:r>
      <w:r w:rsidR="00F00DB3" w:rsidRPr="00F00DB3">
        <w:t>w</w:t>
      </w:r>
      <w:r w:rsidRPr="00F00DB3">
        <w:t xml:space="preserve"> clinical </w:t>
      </w:r>
      <w:r w:rsidR="00F00DB3" w:rsidRPr="00F00DB3">
        <w:t xml:space="preserve">priority </w:t>
      </w:r>
      <w:r w:rsidRPr="00F00DB3">
        <w:t>or are of low clinical value is avoided.</w:t>
      </w:r>
    </w:p>
    <w:p w14:paraId="767D33B4" w14:textId="77777777" w:rsidR="00E664BF" w:rsidRPr="00991A2E" w:rsidRDefault="00E664BF" w:rsidP="00842283">
      <w:pPr>
        <w:pStyle w:val="ListParagraph"/>
      </w:pPr>
      <w:r w:rsidRPr="00991A2E">
        <w:t>Investment and disinvestment cases are reviewed alongside population health analytics to ensure that the needs of our population are met.</w:t>
      </w:r>
    </w:p>
    <w:p w14:paraId="3C3571FC" w14:textId="77777777" w:rsidR="00E664BF" w:rsidRPr="00991A2E" w:rsidRDefault="00E664BF" w:rsidP="00842283">
      <w:pPr>
        <w:pStyle w:val="ListParagraph"/>
      </w:pPr>
      <w:r w:rsidRPr="00991A2E">
        <w:t>The health economy and local communities are sufficiently aware of or consider opportunity costs.</w:t>
      </w:r>
    </w:p>
    <w:p w14:paraId="5DB26773" w14:textId="77777777" w:rsidR="009F4612" w:rsidRDefault="00E664BF" w:rsidP="009F4612">
      <w:pPr>
        <w:pStyle w:val="ListParagraph"/>
      </w:pPr>
      <w:r>
        <w:t xml:space="preserve">The </w:t>
      </w:r>
      <w:r w:rsidRPr="009F4612">
        <w:t>failure</w:t>
      </w:r>
      <w:r>
        <w:t xml:space="preserve"> to address disinvestment and redirection of resources is mitigated.</w:t>
      </w:r>
    </w:p>
    <w:p w14:paraId="256917E5" w14:textId="3BD648A4" w:rsidR="00DD7B19" w:rsidRDefault="00E664BF" w:rsidP="009F4612">
      <w:pPr>
        <w:pStyle w:val="ListParagraph"/>
      </w:pPr>
      <w:r>
        <w:t>Clinical and public engagement is at the centre of ICB planning processes.</w:t>
      </w:r>
    </w:p>
    <w:p w14:paraId="61DA3814" w14:textId="40124CFA" w:rsidR="0008360E" w:rsidRDefault="002272E0" w:rsidP="003D436B">
      <w:pPr>
        <w:pStyle w:val="Style2"/>
      </w:pPr>
      <w:r>
        <w:t>The Executive Committee can approve business cases</w:t>
      </w:r>
      <w:r w:rsidR="00840AE8">
        <w:t xml:space="preserve"> between £250,000 and £5m (within existing budgets) and </w:t>
      </w:r>
      <w:r w:rsidR="00C01E5B">
        <w:t>&lt;£100,000</w:t>
      </w:r>
      <w:r w:rsidR="00F508BE">
        <w:t xml:space="preserve"> (with no budgetary provision)</w:t>
      </w:r>
      <w:r w:rsidR="0008360E">
        <w:t>.</w:t>
      </w:r>
    </w:p>
    <w:p w14:paraId="6A53A6C7" w14:textId="2682C8FE" w:rsidR="00F508BE" w:rsidRPr="00862D6A" w:rsidRDefault="00793049" w:rsidP="003D436B">
      <w:pPr>
        <w:pStyle w:val="Style2"/>
      </w:pPr>
      <w:r>
        <w:t>The Executive Committee meets</w:t>
      </w:r>
      <w:r w:rsidR="00A85515">
        <w:t xml:space="preserve"> as a </w:t>
      </w:r>
      <w:r w:rsidR="00A9324C">
        <w:t>‘</w:t>
      </w:r>
      <w:r w:rsidR="00A85515">
        <w:t>commissioning board</w:t>
      </w:r>
      <w:r w:rsidR="007F736C">
        <w:t>’</w:t>
      </w:r>
      <w:r w:rsidR="00A85515">
        <w:t xml:space="preserve"> </w:t>
      </w:r>
      <w:proofErr w:type="gramStart"/>
      <w:r w:rsidR="00A85515">
        <w:t>on a monthly basis</w:t>
      </w:r>
      <w:proofErr w:type="gramEnd"/>
      <w:r w:rsidR="00A85515">
        <w:t xml:space="preserve"> to consider business cases and decisions </w:t>
      </w:r>
      <w:r w:rsidR="007F736C">
        <w:t xml:space="preserve">relating to investment or disinvestment </w:t>
      </w:r>
      <w:r w:rsidR="007F736C">
        <w:lastRenderedPageBreak/>
        <w:t xml:space="preserve">and also receives reports from Senior Responsible Officers regarding their portfolio of work and performance </w:t>
      </w:r>
      <w:r w:rsidR="00215E64">
        <w:t>of Providers.</w:t>
      </w:r>
    </w:p>
    <w:p w14:paraId="3B859122" w14:textId="6FA73560" w:rsidR="003D436B" w:rsidRDefault="003D436B" w:rsidP="003D436B">
      <w:pPr>
        <w:pStyle w:val="Heading3"/>
      </w:pPr>
      <w:bookmarkStart w:id="24" w:name="_Toc213919778"/>
      <w:r>
        <w:t>ICB</w:t>
      </w:r>
      <w:r w:rsidRPr="00643986">
        <w:t xml:space="preserve"> </w:t>
      </w:r>
      <w:r w:rsidR="0008360E">
        <w:t>Operational Group</w:t>
      </w:r>
      <w:r w:rsidRPr="00643986">
        <w:t xml:space="preserve"> </w:t>
      </w:r>
      <w:r>
        <w:t>(</w:t>
      </w:r>
      <w:r w:rsidR="00DF1001">
        <w:t>IOG</w:t>
      </w:r>
      <w:r>
        <w:t>)</w:t>
      </w:r>
      <w:bookmarkEnd w:id="24"/>
    </w:p>
    <w:p w14:paraId="0E1DA3C4" w14:textId="0A30B12A" w:rsidR="003D436B" w:rsidRDefault="003D436B" w:rsidP="003D436B">
      <w:pPr>
        <w:pStyle w:val="Style2"/>
      </w:pPr>
      <w:r>
        <w:t xml:space="preserve">The </w:t>
      </w:r>
      <w:r w:rsidR="00DF1001">
        <w:t xml:space="preserve">IOG </w:t>
      </w:r>
      <w:r>
        <w:t>f</w:t>
      </w:r>
      <w:r w:rsidRPr="00862D6A">
        <w:t>unctions as the operational “engine room” of the ICB.  All expenditure exceeding £50k must be ‘</w:t>
      </w:r>
      <w:r>
        <w:t>supported’</w:t>
      </w:r>
      <w:r w:rsidRPr="00862D6A">
        <w:t xml:space="preserve"> by the </w:t>
      </w:r>
      <w:r w:rsidR="00682B39">
        <w:t xml:space="preserve">IOG </w:t>
      </w:r>
      <w:r>
        <w:t xml:space="preserve">before proceeding to any formal </w:t>
      </w:r>
      <w:r w:rsidRPr="0077741B">
        <w:t>approval</w:t>
      </w:r>
      <w:r>
        <w:t xml:space="preserve"> stages</w:t>
      </w:r>
      <w:r w:rsidR="007267DB">
        <w:t xml:space="preserve"> according to the </w:t>
      </w:r>
      <w:r w:rsidR="00735149">
        <w:t xml:space="preserve">Scheme </w:t>
      </w:r>
      <w:r w:rsidR="007267DB">
        <w:t xml:space="preserve">of </w:t>
      </w:r>
      <w:r w:rsidR="00735149">
        <w:t xml:space="preserve">Reservation </w:t>
      </w:r>
      <w:r w:rsidR="007267DB">
        <w:t xml:space="preserve">and </w:t>
      </w:r>
      <w:r w:rsidR="00735149">
        <w:t>Delegation</w:t>
      </w:r>
      <w:r w:rsidRPr="00862D6A">
        <w:t>.</w:t>
      </w:r>
      <w:r>
        <w:t xml:space="preserve">  </w:t>
      </w:r>
    </w:p>
    <w:p w14:paraId="22204496" w14:textId="507E4235" w:rsidR="003D436B" w:rsidRDefault="003D436B" w:rsidP="003D436B">
      <w:pPr>
        <w:pStyle w:val="Style2"/>
      </w:pPr>
      <w:r>
        <w:t xml:space="preserve">The </w:t>
      </w:r>
      <w:r w:rsidR="00682B39">
        <w:t>IOG</w:t>
      </w:r>
      <w:r>
        <w:t xml:space="preserve"> includes representatives from </w:t>
      </w:r>
      <w:r w:rsidRPr="00862D6A">
        <w:t xml:space="preserve">Executive Officer direct line reports from all Directorates across ICB, providing insight and guidance to </w:t>
      </w:r>
      <w:r>
        <w:t xml:space="preserve">the </w:t>
      </w:r>
      <w:r w:rsidRPr="00862D6A">
        <w:t xml:space="preserve">development of ICB business and achievement of ICB objectives. </w:t>
      </w:r>
      <w:r>
        <w:t xml:space="preserve">As such, the </w:t>
      </w:r>
      <w:r w:rsidR="009E09B1">
        <w:t>IOG</w:t>
      </w:r>
      <w:r>
        <w:t xml:space="preserve"> facilitates operational delivery as directed by the ICB Executive </w:t>
      </w:r>
      <w:r w:rsidR="00DA4DD2">
        <w:t>Committee</w:t>
      </w:r>
      <w:r>
        <w:t xml:space="preserve">. </w:t>
      </w:r>
    </w:p>
    <w:p w14:paraId="4AF3F2AD" w14:textId="16BEBECD" w:rsidR="003D436B" w:rsidRDefault="009E09B1" w:rsidP="003D436B">
      <w:pPr>
        <w:pStyle w:val="Style2"/>
      </w:pPr>
      <w:r>
        <w:t xml:space="preserve">IOG </w:t>
      </w:r>
      <w:r w:rsidR="003D436B">
        <w:t xml:space="preserve">contributes to the </w:t>
      </w:r>
      <w:r w:rsidR="00486D87">
        <w:t>decision-making</w:t>
      </w:r>
      <w:r w:rsidR="003D436B">
        <w:t xml:space="preserve"> process by ensuring that any projects/ideas include consideration of all aspects for which the ICB are responsible (i.e. clinical, quality and corporate governance</w:t>
      </w:r>
      <w:r w:rsidR="008141E0">
        <w:t>, impacts across different areas of the health and care system</w:t>
      </w:r>
      <w:r w:rsidR="003D436B">
        <w:t>).</w:t>
      </w:r>
      <w:r w:rsidR="001F3F3C">
        <w:t xml:space="preserve">  The IOG will</w:t>
      </w:r>
      <w:r w:rsidR="004B014D">
        <w:t xml:space="preserve"> make decisions as to whether a project should proceed through ‘gateway 0’</w:t>
      </w:r>
      <w:r w:rsidR="008141E0">
        <w:t xml:space="preserve"> by considering the ‘plans on a page’ proposals prior to the development of business cases</w:t>
      </w:r>
      <w:r w:rsidR="00E40D35">
        <w:t xml:space="preserve"> for formal approval through due governance.</w:t>
      </w:r>
    </w:p>
    <w:p w14:paraId="2ABDB7B4" w14:textId="520EBE24" w:rsidR="002C5FE2" w:rsidRPr="00862D6A" w:rsidRDefault="002C5FE2" w:rsidP="003D436B">
      <w:pPr>
        <w:pStyle w:val="Style2"/>
      </w:pPr>
      <w:r>
        <w:t xml:space="preserve">IOG also considers and provides recommendations to the Executive Committee regarding the priorities of the ICB </w:t>
      </w:r>
      <w:r w:rsidR="00061BCE">
        <w:t>in the context of available resources and the capacity of</w:t>
      </w:r>
      <w:r w:rsidR="0072315C">
        <w:t xml:space="preserve"> delivery teams and enabling functions.</w:t>
      </w:r>
    </w:p>
    <w:p w14:paraId="2A8723E7" w14:textId="5EED45E6" w:rsidR="003D436B" w:rsidRDefault="003D436B" w:rsidP="003D436B">
      <w:pPr>
        <w:pStyle w:val="Heading3"/>
      </w:pPr>
      <w:bookmarkStart w:id="25" w:name="_Toc213919779"/>
      <w:r>
        <w:t xml:space="preserve">Finance and </w:t>
      </w:r>
      <w:r w:rsidR="004C2ED5">
        <w:t xml:space="preserve">Performance </w:t>
      </w:r>
      <w:r>
        <w:t>Committee</w:t>
      </w:r>
      <w:bookmarkEnd w:id="25"/>
    </w:p>
    <w:p w14:paraId="1D79138F" w14:textId="0740BA9E" w:rsidR="003D436B" w:rsidRDefault="003D436B" w:rsidP="003D436B">
      <w:pPr>
        <w:pStyle w:val="Style2"/>
      </w:pPr>
      <w:r w:rsidRPr="002C2CF9">
        <w:t xml:space="preserve">The Finance and </w:t>
      </w:r>
      <w:r w:rsidR="004C2ED5">
        <w:t>Performance</w:t>
      </w:r>
      <w:r w:rsidR="004C2ED5" w:rsidRPr="002C2CF9">
        <w:t xml:space="preserve"> </w:t>
      </w:r>
      <w:r w:rsidRPr="002C2CF9">
        <w:t xml:space="preserve">Committee will approve all investment / disinvestment decisions </w:t>
      </w:r>
      <w:r w:rsidRPr="00514AF2">
        <w:t>between</w:t>
      </w:r>
      <w:r w:rsidRPr="002C2CF9">
        <w:t xml:space="preserve"> £</w:t>
      </w:r>
      <w:r w:rsidR="004C2ED5">
        <w:t>5</w:t>
      </w:r>
      <w:r w:rsidRPr="002C2CF9">
        <w:t>,000,000 and £</w:t>
      </w:r>
      <w:r w:rsidR="004C2ED5">
        <w:t>10</w:t>
      </w:r>
      <w:r w:rsidRPr="002C2CF9">
        <w:t>,000,000 within existing agreed budgets</w:t>
      </w:r>
      <w:r>
        <w:t xml:space="preserve"> and </w:t>
      </w:r>
      <w:r>
        <w:rPr>
          <w:b/>
          <w:bCs/>
        </w:rPr>
        <w:t>£</w:t>
      </w:r>
      <w:r w:rsidR="00A50067">
        <w:rPr>
          <w:b/>
          <w:bCs/>
        </w:rPr>
        <w:t>10</w:t>
      </w:r>
      <w:r>
        <w:rPr>
          <w:b/>
          <w:bCs/>
        </w:rPr>
        <w:t xml:space="preserve">0,000 and £2,500,000 </w:t>
      </w:r>
      <w:r>
        <w:t>where there is no existing budgetary provision</w:t>
      </w:r>
      <w:r w:rsidRPr="00D648C0">
        <w:t xml:space="preserve">. </w:t>
      </w:r>
      <w:r>
        <w:t xml:space="preserve">  </w:t>
      </w:r>
    </w:p>
    <w:p w14:paraId="48F02918" w14:textId="594402D5" w:rsidR="003D436B" w:rsidRPr="0088282C" w:rsidRDefault="003D436B" w:rsidP="003D436B">
      <w:pPr>
        <w:pStyle w:val="Style2"/>
      </w:pPr>
      <w:r>
        <w:t xml:space="preserve">The Finance and </w:t>
      </w:r>
      <w:r w:rsidR="00A50067">
        <w:t xml:space="preserve">Performance </w:t>
      </w:r>
      <w:r>
        <w:t>Committee is the sponsoring committee responsible for monitoring compliance with the Decision-Making Policy.</w:t>
      </w:r>
    </w:p>
    <w:p w14:paraId="5A76D05D" w14:textId="79BB9ADB" w:rsidR="00F40D75" w:rsidRPr="00F40D75" w:rsidRDefault="00D11A33" w:rsidP="00AA20C6">
      <w:pPr>
        <w:pStyle w:val="Heading3"/>
      </w:pPr>
      <w:bookmarkStart w:id="26" w:name="_Toc213919780"/>
      <w:r>
        <w:t xml:space="preserve">The Quality </w:t>
      </w:r>
      <w:r w:rsidR="00F40D75" w:rsidRPr="00F40D75">
        <w:t>Committee</w:t>
      </w:r>
      <w:bookmarkEnd w:id="26"/>
      <w:r w:rsidR="00F40D75" w:rsidRPr="00F40D75">
        <w:t xml:space="preserve"> </w:t>
      </w:r>
      <w:bookmarkEnd w:id="20"/>
    </w:p>
    <w:p w14:paraId="062B7418" w14:textId="6802FAEE" w:rsidR="004C0EA4" w:rsidRPr="004C0EA4" w:rsidRDefault="00757253" w:rsidP="00D648C0">
      <w:pPr>
        <w:pStyle w:val="Style2"/>
      </w:pPr>
      <w:r>
        <w:t>The Quality Committee is r</w:t>
      </w:r>
      <w:r w:rsidR="004C0EA4" w:rsidRPr="004C0EA4">
        <w:t xml:space="preserve">esponsible for overseeing continued improvement in the quality of services, quality governance and oversight of Equality/Health Inequality Impact </w:t>
      </w:r>
      <w:r w:rsidR="004C0EA4" w:rsidRPr="00D648C0">
        <w:t>Assessments</w:t>
      </w:r>
      <w:r w:rsidR="004C0EA4" w:rsidRPr="004C0EA4">
        <w:t xml:space="preserve"> e.g.</w:t>
      </w:r>
      <w:r w:rsidR="00267F92">
        <w:t>,</w:t>
      </w:r>
      <w:r w:rsidR="004C0EA4" w:rsidRPr="004C0EA4">
        <w:t xml:space="preserve"> in support of business cases, ensuring they are adequately governed.</w:t>
      </w:r>
    </w:p>
    <w:p w14:paraId="3500B03D" w14:textId="78BE2605" w:rsidR="002C2CF9" w:rsidRPr="0088282C" w:rsidRDefault="002C2CF9" w:rsidP="00D648C0">
      <w:pPr>
        <w:pStyle w:val="Style2"/>
      </w:pPr>
      <w:r w:rsidRPr="0088282C">
        <w:t xml:space="preserve">The Quality Committee will be made aware of all </w:t>
      </w:r>
      <w:r w:rsidR="00D648C0">
        <w:t xml:space="preserve">investment / </w:t>
      </w:r>
      <w:r w:rsidRPr="0088282C">
        <w:t xml:space="preserve">decommissioning / disinvestment proposals that impact upon clinical services and seek assurance that </w:t>
      </w:r>
      <w:r w:rsidR="00267F92">
        <w:t>all</w:t>
      </w:r>
      <w:r w:rsidRPr="0088282C">
        <w:t xml:space="preserve"> concerns have been addressed prior to approval. </w:t>
      </w:r>
    </w:p>
    <w:p w14:paraId="0B10312E" w14:textId="71372F05" w:rsidR="001B3C09" w:rsidRPr="00AA20C6" w:rsidRDefault="001B3C09" w:rsidP="00AA20C6">
      <w:pPr>
        <w:pStyle w:val="Heading3"/>
      </w:pPr>
      <w:bookmarkStart w:id="27" w:name="_Hlk89684904"/>
      <w:bookmarkStart w:id="28" w:name="_Toc213919781"/>
      <w:r w:rsidRPr="00AA20C6">
        <w:t xml:space="preserve">Primary Care Commissioning Committee </w:t>
      </w:r>
      <w:r w:rsidR="000C4762">
        <w:t>(PCCC)</w:t>
      </w:r>
      <w:bookmarkEnd w:id="28"/>
    </w:p>
    <w:bookmarkEnd w:id="27"/>
    <w:p w14:paraId="7CEF9DE1" w14:textId="45E6074C" w:rsidR="00F47D1C" w:rsidRDefault="000C4762" w:rsidP="000606D6">
      <w:pPr>
        <w:pStyle w:val="Style2"/>
      </w:pPr>
      <w:r>
        <w:t>The PCCC is the d</w:t>
      </w:r>
      <w:r w:rsidR="00862D6A" w:rsidRPr="0077741B">
        <w:t>ecision</w:t>
      </w:r>
      <w:r w:rsidR="00080E97">
        <w:t>-</w:t>
      </w:r>
      <w:r w:rsidR="00862D6A" w:rsidRPr="0077741B">
        <w:t>making committee in relation to the ICB’s delegated functions for Primary Care</w:t>
      </w:r>
      <w:r w:rsidR="00324655">
        <w:t xml:space="preserve"> (GP, </w:t>
      </w:r>
      <w:r w:rsidR="002C1C87">
        <w:t xml:space="preserve">Pharmaceutical, Ophthalmic and </w:t>
      </w:r>
      <w:r w:rsidR="00324655">
        <w:t xml:space="preserve">Dental </w:t>
      </w:r>
      <w:r w:rsidR="00324655">
        <w:lastRenderedPageBreak/>
        <w:t>services)</w:t>
      </w:r>
      <w:r w:rsidR="00862D6A" w:rsidRPr="0077741B">
        <w:t>.  Approval of core contractual investments</w:t>
      </w:r>
      <w:r w:rsidR="00755219">
        <w:rPr>
          <w:rStyle w:val="FootnoteReference"/>
        </w:rPr>
        <w:footnoteReference w:id="2"/>
      </w:r>
      <w:r w:rsidR="00875006">
        <w:t xml:space="preserve"> </w:t>
      </w:r>
      <w:r w:rsidR="00862D6A" w:rsidRPr="0077741B">
        <w:t>(including Primary Care estate)</w:t>
      </w:r>
      <w:r w:rsidR="000F7F00">
        <w:t xml:space="preserve"> will be presented to the PCCC for approval in accordance with the ICB Scheme of Reservation and Delegation</w:t>
      </w:r>
      <w:r w:rsidR="00514AF2">
        <w:t xml:space="preserve"> and be escalated</w:t>
      </w:r>
      <w:r w:rsidR="00141FC0">
        <w:t xml:space="preserve"> </w:t>
      </w:r>
      <w:r w:rsidR="00A30CA1">
        <w:t xml:space="preserve">accordingly where the financial envelope exceeds the authority of PCCC (i.e. </w:t>
      </w:r>
      <w:r w:rsidR="002F2CC5">
        <w:t>exceeding £</w:t>
      </w:r>
      <w:r w:rsidR="00D01A42">
        <w:t>5</w:t>
      </w:r>
      <w:r w:rsidR="002F2CC5">
        <w:t>,000,000)</w:t>
      </w:r>
      <w:r w:rsidR="00ED7E84">
        <w:t>, at which point</w:t>
      </w:r>
      <w:r w:rsidR="00F47D1C">
        <w:t xml:space="preserve"> the decision will be presented to the Finance and Performance Committee</w:t>
      </w:r>
      <w:r w:rsidR="003169A1">
        <w:t xml:space="preserve"> and possibly the Board</w:t>
      </w:r>
      <w:r w:rsidR="00862D6A" w:rsidRPr="0077741B">
        <w:t>.</w:t>
      </w:r>
    </w:p>
    <w:p w14:paraId="7E42F890" w14:textId="77777777" w:rsidR="00297D09" w:rsidRDefault="002F2C71" w:rsidP="000606D6">
      <w:pPr>
        <w:pStyle w:val="Style2"/>
      </w:pPr>
      <w:r>
        <w:t>Decisions within the remit of PCCC (i.e.</w:t>
      </w:r>
      <w:r w:rsidR="00297D09">
        <w:t xml:space="preserve"> within existing budgets or nationally defined entitlement) should first be socialised with the Executive Committee before approval by the PCCC.</w:t>
      </w:r>
    </w:p>
    <w:p w14:paraId="326A85FD" w14:textId="4E8802A8" w:rsidR="001B3C09" w:rsidRPr="0077741B" w:rsidRDefault="00297D09" w:rsidP="000606D6">
      <w:pPr>
        <w:pStyle w:val="Style2"/>
      </w:pPr>
      <w:r>
        <w:t>Decision outside the remit of PCCC (i.e.</w:t>
      </w:r>
      <w:r w:rsidR="006034BA">
        <w:t xml:space="preserve"> outside of nationally defined entitlements or for cases without an existing budget) should first be socialised with </w:t>
      </w:r>
      <w:proofErr w:type="gramStart"/>
      <w:r w:rsidR="006034BA">
        <w:t>PCCC, but</w:t>
      </w:r>
      <w:proofErr w:type="gramEnd"/>
      <w:r w:rsidR="006034BA">
        <w:t xml:space="preserve"> then presented to the relevant authority in accordance with the Scheme of Reservation and </w:t>
      </w:r>
      <w:r w:rsidR="00810A42">
        <w:t>Delegation such as the Executive Committee).</w:t>
      </w:r>
      <w:r w:rsidR="000F7F00">
        <w:t xml:space="preserve">  </w:t>
      </w:r>
    </w:p>
    <w:p w14:paraId="7A5E6791" w14:textId="1EDA57DF" w:rsidR="002C2CF9" w:rsidRPr="002C2CF9" w:rsidRDefault="002C2CF9" w:rsidP="00AA20C6">
      <w:pPr>
        <w:pStyle w:val="Heading3"/>
      </w:pPr>
      <w:bookmarkStart w:id="29" w:name="_Toc213919782"/>
      <w:r w:rsidRPr="002C2CF9">
        <w:t>Clinical and Multiple-Professional Congress</w:t>
      </w:r>
      <w:r w:rsidR="00862D6A">
        <w:t xml:space="preserve"> (</w:t>
      </w:r>
      <w:proofErr w:type="spellStart"/>
      <w:r w:rsidR="00862D6A">
        <w:t>CLiMP</w:t>
      </w:r>
      <w:proofErr w:type="spellEnd"/>
      <w:r w:rsidR="00862D6A">
        <w:t>)</w:t>
      </w:r>
      <w:bookmarkEnd w:id="29"/>
    </w:p>
    <w:p w14:paraId="12B831F2" w14:textId="427F8D9B" w:rsidR="002C2CF9" w:rsidRDefault="002C2CF9" w:rsidP="000606D6">
      <w:pPr>
        <w:pStyle w:val="Style2"/>
      </w:pPr>
      <w:r>
        <w:t xml:space="preserve">The </w:t>
      </w:r>
      <w:r w:rsidRPr="00E00FD7">
        <w:t xml:space="preserve">Clinical and Multiple-Professional </w:t>
      </w:r>
      <w:r w:rsidR="002F2CC5">
        <w:t>Congress is an a</w:t>
      </w:r>
      <w:r w:rsidRPr="00E00FD7">
        <w:t xml:space="preserve">dvisory </w:t>
      </w:r>
      <w:r>
        <w:t>C</w:t>
      </w:r>
      <w:r w:rsidRPr="00E00FD7">
        <w:t>ommittee</w:t>
      </w:r>
      <w:r>
        <w:t xml:space="preserve"> responsible for </w:t>
      </w:r>
      <w:r w:rsidRPr="00E00FD7">
        <w:t xml:space="preserve">driving the identification and delivery of transformation programmes across the ICS; providing clinical and professional scrutiny; acting as a sounding </w:t>
      </w:r>
      <w:r>
        <w:t>b</w:t>
      </w:r>
      <w:r w:rsidRPr="00E00FD7">
        <w:t>oard of multi</w:t>
      </w:r>
      <w:r>
        <w:t xml:space="preserve"> </w:t>
      </w:r>
      <w:r w:rsidRPr="00E00FD7">
        <w:t>professionals across health and care sectors</w:t>
      </w:r>
      <w:r>
        <w:t>; providing c</w:t>
      </w:r>
      <w:r w:rsidRPr="00E00FD7">
        <w:t xml:space="preserve">linical advice to major </w:t>
      </w:r>
      <w:r>
        <w:t xml:space="preserve">investment and disinvestment </w:t>
      </w:r>
      <w:r w:rsidRPr="00E00FD7">
        <w:t>cases</w:t>
      </w:r>
      <w:r w:rsidR="000644C8">
        <w:t>,</w:t>
      </w:r>
      <w:r>
        <w:t xml:space="preserve"> amendments to the Procedure of Limited Clinical Effectiveness (POLCE)</w:t>
      </w:r>
      <w:r w:rsidR="000644C8">
        <w:t xml:space="preserve"> and the consideration of service restriction policies</w:t>
      </w:r>
      <w:r>
        <w:t>.</w:t>
      </w:r>
      <w:r w:rsidR="00693F8B">
        <w:t xml:space="preserve">  </w:t>
      </w:r>
    </w:p>
    <w:p w14:paraId="3ED25322" w14:textId="3268504C" w:rsidR="00486D87" w:rsidRDefault="00693F8B" w:rsidP="005F5D6F">
      <w:pPr>
        <w:pStyle w:val="Style2"/>
      </w:pPr>
      <w:r>
        <w:t xml:space="preserve">All ideas/proposals with a clinical impact should be </w:t>
      </w:r>
      <w:r w:rsidR="006F006E">
        <w:t xml:space="preserve">scrutinised by the </w:t>
      </w:r>
      <w:proofErr w:type="spellStart"/>
      <w:r w:rsidR="006F006E">
        <w:t>CLiMP</w:t>
      </w:r>
      <w:proofErr w:type="spellEnd"/>
      <w:r w:rsidR="004F4BE3">
        <w:t>, or an appropriate clinical expert,</w:t>
      </w:r>
      <w:r w:rsidR="006F006E">
        <w:t xml:space="preserve"> who will </w:t>
      </w:r>
      <w:r w:rsidR="0068628A">
        <w:t>ensure that decisions are clinically sound</w:t>
      </w:r>
      <w:r w:rsidR="00A24694">
        <w:t>,</w:t>
      </w:r>
      <w:r w:rsidR="0068628A">
        <w:t xml:space="preserve"> and any resulting impact of service change</w:t>
      </w:r>
      <w:r w:rsidR="00597B9F">
        <w:t>s</w:t>
      </w:r>
      <w:r w:rsidR="0068628A">
        <w:t xml:space="preserve"> identified in impact assessments are appropriately mitigated or managed.</w:t>
      </w:r>
    </w:p>
    <w:p w14:paraId="5C17494D" w14:textId="77777777" w:rsidR="00267A79" w:rsidRDefault="00267A79" w:rsidP="00267A79">
      <w:pPr>
        <w:pStyle w:val="Heading3"/>
      </w:pPr>
      <w:bookmarkStart w:id="30" w:name="_Toc184404018"/>
      <w:bookmarkStart w:id="31" w:name="_Toc184404019"/>
      <w:bookmarkStart w:id="32" w:name="_Toc184404020"/>
      <w:bookmarkStart w:id="33" w:name="_Toc213919783"/>
      <w:bookmarkEnd w:id="30"/>
      <w:bookmarkEnd w:id="31"/>
      <w:bookmarkEnd w:id="32"/>
      <w:r>
        <w:t>Stewardship Groups</w:t>
      </w:r>
      <w:bookmarkEnd w:id="33"/>
    </w:p>
    <w:p w14:paraId="04640450" w14:textId="77777777" w:rsidR="00267A79" w:rsidRDefault="00267A79" w:rsidP="00267A79">
      <w:pPr>
        <w:pStyle w:val="Style2"/>
      </w:pPr>
      <w:r>
        <w:t xml:space="preserve">Stewardship Groups bring together small teams of frontline health and care staff and managers to collaborate as ‘stewards’ using their different perspectives, skills, and knowledge alongside population-level data, to take a fresh look at the value delivered from our shared resources.  </w:t>
      </w:r>
    </w:p>
    <w:p w14:paraId="0C0635C6" w14:textId="77777777" w:rsidR="00267A79" w:rsidRDefault="00267A79" w:rsidP="00267A79">
      <w:pPr>
        <w:pStyle w:val="Style2"/>
      </w:pPr>
      <w:r>
        <w:t xml:space="preserve">Stewardship Groups are aligned around ‘care areas’ such as cancer care or stroke and through their innovative work may propose ideas, projects, or changes in care pathways, that will be processed through this policy.  </w:t>
      </w:r>
    </w:p>
    <w:p w14:paraId="6549B60F" w14:textId="0A3F895F" w:rsidR="00267A79" w:rsidRDefault="00267A79" w:rsidP="00267A79">
      <w:pPr>
        <w:pStyle w:val="Style2"/>
      </w:pPr>
      <w:r>
        <w:t xml:space="preserve">Additionally, ideas generated from other forums; impacting on care areas will need to be routed to the Stewardship Groups </w:t>
      </w:r>
      <w:r w:rsidR="00CA158C">
        <w:t>(where in place)</w:t>
      </w:r>
      <w:r>
        <w:t xml:space="preserve"> to ensure there is a cohesive approach to new ways of working for the benefit of our residents.</w:t>
      </w:r>
    </w:p>
    <w:p w14:paraId="47CB13A6" w14:textId="720148CF" w:rsidR="00C11EBA" w:rsidRPr="002C2CF9" w:rsidRDefault="00C11EBA" w:rsidP="00C11EBA">
      <w:pPr>
        <w:pStyle w:val="Heading3"/>
      </w:pPr>
      <w:bookmarkStart w:id="34" w:name="_Toc213919784"/>
      <w:r w:rsidRPr="002C2CF9">
        <w:t>Central P</w:t>
      </w:r>
      <w:r w:rsidR="081E2E94">
        <w:t>ortfolio</w:t>
      </w:r>
      <w:r w:rsidRPr="002C2CF9">
        <w:t xml:space="preserve"> Management Office (CPMO)</w:t>
      </w:r>
      <w:bookmarkEnd w:id="34"/>
    </w:p>
    <w:p w14:paraId="54BDAB5F" w14:textId="1D581FEF" w:rsidR="00C11EBA" w:rsidRDefault="00C11EBA" w:rsidP="00C11EBA">
      <w:pPr>
        <w:pStyle w:val="Style2"/>
      </w:pPr>
      <w:r w:rsidRPr="0088282C">
        <w:lastRenderedPageBreak/>
        <w:t>The CPMO will ensure that all investment / disinvestment proposals have complied with the necessary governance requirements e.g.</w:t>
      </w:r>
      <w:r>
        <w:t>,</w:t>
      </w:r>
      <w:r w:rsidRPr="0088282C">
        <w:t xml:space="preserve"> completed</w:t>
      </w:r>
      <w:r>
        <w:t>,</w:t>
      </w:r>
      <w:r w:rsidRPr="0088282C">
        <w:t xml:space="preserve"> and approved</w:t>
      </w:r>
      <w:r w:rsidR="00574912">
        <w:t xml:space="preserve"> programme </w:t>
      </w:r>
      <w:r w:rsidR="000D69D9">
        <w:t>workbooks</w:t>
      </w:r>
      <w:r w:rsidR="00574912">
        <w:t>,</w:t>
      </w:r>
      <w:r w:rsidRPr="0088282C">
        <w:t xml:space="preserve"> Equality Health Inequalities Impact Assessment</w:t>
      </w:r>
      <w:r w:rsidR="00574912">
        <w:t>s</w:t>
      </w:r>
      <w:r w:rsidRPr="0088282C">
        <w:t>, Quality Impact Assessment, Data Protection Impact Assessment and Digital Technology Assessment Criteria (DTAC) where relevant</w:t>
      </w:r>
      <w:r w:rsidR="00AB2BB2">
        <w:t>.</w:t>
      </w:r>
      <w:r w:rsidR="00F136EF">
        <w:t xml:space="preserve"> </w:t>
      </w:r>
    </w:p>
    <w:p w14:paraId="0B64386D" w14:textId="77777777" w:rsidR="00C11EBA" w:rsidRDefault="00C11EBA" w:rsidP="00C11EBA">
      <w:pPr>
        <w:pStyle w:val="Style2"/>
      </w:pPr>
      <w:r>
        <w:t xml:space="preserve">The CPMO will maintain a central registry of ideas/proposals as well as projects in progress. </w:t>
      </w:r>
    </w:p>
    <w:p w14:paraId="5563DDD9" w14:textId="74E1695A" w:rsidR="00574912" w:rsidRDefault="00574912" w:rsidP="00C11EBA">
      <w:pPr>
        <w:pStyle w:val="Style2"/>
      </w:pPr>
      <w:r>
        <w:t xml:space="preserve">The CPMO will track programmes of work to ensure </w:t>
      </w:r>
      <w:r w:rsidR="00446DD0">
        <w:t>review of benefits realisation and effectiveness according to the intentions set out in the originating business case.</w:t>
      </w:r>
    </w:p>
    <w:p w14:paraId="5D20E7DB" w14:textId="77777777" w:rsidR="00B31468" w:rsidRDefault="00B31468" w:rsidP="000606D6">
      <w:pPr>
        <w:pStyle w:val="Heading3"/>
      </w:pPr>
      <w:bookmarkStart w:id="35" w:name="_Toc184404024"/>
      <w:bookmarkStart w:id="36" w:name="_Toc184404025"/>
      <w:bookmarkStart w:id="37" w:name="_Toc184404026"/>
      <w:bookmarkStart w:id="38" w:name="_Toc184404027"/>
      <w:bookmarkStart w:id="39" w:name="_Toc184404028"/>
      <w:bookmarkStart w:id="40" w:name="_Toc184404029"/>
      <w:bookmarkStart w:id="41" w:name="_Toc184404030"/>
      <w:bookmarkStart w:id="42" w:name="_Toc184404031"/>
      <w:bookmarkStart w:id="43" w:name="_Toc184404032"/>
      <w:bookmarkStart w:id="44" w:name="_Toc184404033"/>
      <w:bookmarkStart w:id="45" w:name="_Toc184404034"/>
      <w:bookmarkStart w:id="46" w:name="_Toc213919786"/>
      <w:bookmarkEnd w:id="35"/>
      <w:bookmarkEnd w:id="36"/>
      <w:bookmarkEnd w:id="37"/>
      <w:bookmarkEnd w:id="38"/>
      <w:bookmarkEnd w:id="39"/>
      <w:bookmarkEnd w:id="40"/>
      <w:bookmarkEnd w:id="41"/>
      <w:bookmarkEnd w:id="42"/>
      <w:bookmarkEnd w:id="43"/>
      <w:bookmarkEnd w:id="44"/>
      <w:bookmarkEnd w:id="45"/>
      <w:r>
        <w:t>Chief Executive Officers’ Forum</w:t>
      </w:r>
      <w:bookmarkEnd w:id="46"/>
    </w:p>
    <w:p w14:paraId="1E2AE48C" w14:textId="77777777" w:rsidR="0061770A" w:rsidRDefault="00F7359A" w:rsidP="00F7359A">
      <w:pPr>
        <w:pStyle w:val="Style2"/>
      </w:pPr>
      <w:r>
        <w:t>The Chief Executive Officers’ Forum is a meeting of Chief Executive</w:t>
      </w:r>
      <w:r w:rsidR="00012E93">
        <w:t xml:space="preserve"> Officers</w:t>
      </w:r>
      <w:r>
        <w:t xml:space="preserve"> from system Partners who </w:t>
      </w:r>
      <w:r w:rsidR="00012E93">
        <w:t>together are accountable for performance improvement across the system.</w:t>
      </w:r>
      <w:r w:rsidR="0061770A">
        <w:t xml:space="preserve">  </w:t>
      </w:r>
    </w:p>
    <w:p w14:paraId="7FA5B889" w14:textId="3829E8E7" w:rsidR="00B31468" w:rsidRDefault="0061770A" w:rsidP="00F7359A">
      <w:pPr>
        <w:pStyle w:val="Style2"/>
      </w:pPr>
      <w:r>
        <w:t xml:space="preserve">Each Chief Executive </w:t>
      </w:r>
      <w:r w:rsidR="00F73E04">
        <w:t xml:space="preserve">Officer </w:t>
      </w:r>
      <w:r>
        <w:t>is responsible for a portfolio of work</w:t>
      </w:r>
      <w:r w:rsidR="007D051C">
        <w:t xml:space="preserve"> to address specific areas of priority e.g.</w:t>
      </w:r>
      <w:r w:rsidR="00F73E04">
        <w:t xml:space="preserve"> workforce.  Together they </w:t>
      </w:r>
      <w:r w:rsidR="003B4E7B">
        <w:t>meet as a forum and will consider</w:t>
      </w:r>
      <w:r w:rsidR="00DD3571">
        <w:t xml:space="preserve"> system work required to address financial sustainability and performance issues. </w:t>
      </w:r>
    </w:p>
    <w:p w14:paraId="1BBE9278" w14:textId="5A5616B1" w:rsidR="00BF4B5E" w:rsidRDefault="00D442CE" w:rsidP="000606D6">
      <w:pPr>
        <w:pStyle w:val="Heading3"/>
      </w:pPr>
      <w:bookmarkStart w:id="47" w:name="_Toc213919787"/>
      <w:r>
        <w:t xml:space="preserve">Executive </w:t>
      </w:r>
      <w:r w:rsidR="003C51D4">
        <w:t>Director of Finance and Commercial (</w:t>
      </w:r>
      <w:r>
        <w:t>Chief Finance Officer</w:t>
      </w:r>
      <w:r w:rsidR="003C51D4">
        <w:t>)</w:t>
      </w:r>
      <w:bookmarkEnd w:id="47"/>
    </w:p>
    <w:p w14:paraId="7FDDB663" w14:textId="795E0F64" w:rsidR="00DB6601" w:rsidRPr="000606D6" w:rsidRDefault="00F611C1" w:rsidP="000606D6">
      <w:pPr>
        <w:pStyle w:val="Style2"/>
      </w:pPr>
      <w:r>
        <w:t xml:space="preserve">The </w:t>
      </w:r>
      <w:r w:rsidR="00D442CE">
        <w:t xml:space="preserve">Executive </w:t>
      </w:r>
      <w:r w:rsidR="003C51D4">
        <w:t>Director of Finance and Commercial</w:t>
      </w:r>
      <w:r w:rsidR="00772FC6">
        <w:t xml:space="preserve"> (referred to as the CFO)</w:t>
      </w:r>
      <w:r>
        <w:t xml:space="preserve"> is responsible for e</w:t>
      </w:r>
      <w:r w:rsidR="00075C95" w:rsidRPr="000606D6">
        <w:t>nsur</w:t>
      </w:r>
      <w:r>
        <w:t>ing</w:t>
      </w:r>
      <w:r w:rsidR="00075C95" w:rsidRPr="000606D6">
        <w:t xml:space="preserve"> systems are in place to deliver the financial duties of the ICB. Including establishing the annual budget and budget management processes.</w:t>
      </w:r>
      <w:r w:rsidR="00FB3A12">
        <w:t xml:space="preserve">  As such</w:t>
      </w:r>
      <w:r w:rsidR="002E1AD5">
        <w:t>,</w:t>
      </w:r>
      <w:r w:rsidR="00FB3A12">
        <w:t xml:space="preserve"> the </w:t>
      </w:r>
      <w:r w:rsidR="004273F1">
        <w:t>CFO</w:t>
      </w:r>
      <w:r w:rsidR="00FB3A12">
        <w:t xml:space="preserve"> is responsible for making sure that financial decision-making within the ICB is robust</w:t>
      </w:r>
      <w:r w:rsidR="00A5697D">
        <w:t xml:space="preserve">; </w:t>
      </w:r>
      <w:r w:rsidR="00E600F1">
        <w:t>consequently,</w:t>
      </w:r>
      <w:r w:rsidR="00A5697D">
        <w:t xml:space="preserve"> they are the Executive Sponsor for this policy.</w:t>
      </w:r>
    </w:p>
    <w:p w14:paraId="291D092A" w14:textId="52128751" w:rsidR="00E600F1" w:rsidRPr="000606D6" w:rsidRDefault="0009708D" w:rsidP="005D125C">
      <w:pPr>
        <w:pStyle w:val="Style2"/>
      </w:pPr>
      <w:r>
        <w:t xml:space="preserve">They are also responsible for the </w:t>
      </w:r>
      <w:r w:rsidRPr="000606D6">
        <w:t>develop</w:t>
      </w:r>
      <w:r>
        <w:t>ment of</w:t>
      </w:r>
      <w:r w:rsidRPr="000606D6">
        <w:t xml:space="preserve"> </w:t>
      </w:r>
      <w:r w:rsidR="00075C95" w:rsidRPr="000606D6">
        <w:t>the Capital Resource Use Plan for approval by the Board and report</w:t>
      </w:r>
      <w:r>
        <w:t>ing</w:t>
      </w:r>
      <w:r w:rsidR="00075C95" w:rsidRPr="000606D6">
        <w:t xml:space="preserve"> how the ICB has exercised its functions in accordance with the Plan within the Annual Report</w:t>
      </w:r>
      <w:r w:rsidR="00FB3A12">
        <w:t>.</w:t>
      </w:r>
    </w:p>
    <w:p w14:paraId="742C1BF8" w14:textId="16A58232" w:rsidR="00267A79" w:rsidRPr="00F40D75" w:rsidRDefault="005807B5" w:rsidP="00267A79">
      <w:pPr>
        <w:pStyle w:val="Heading3"/>
      </w:pPr>
      <w:bookmarkStart w:id="48" w:name="_Toc213919788"/>
      <w:r>
        <w:t xml:space="preserve">Executive </w:t>
      </w:r>
      <w:r w:rsidR="00772FC6">
        <w:t xml:space="preserve">Director of </w:t>
      </w:r>
      <w:r w:rsidR="00267A79">
        <w:t>Nurs</w:t>
      </w:r>
      <w:r>
        <w:t>ing (Chief Nurse)</w:t>
      </w:r>
      <w:bookmarkEnd w:id="48"/>
    </w:p>
    <w:p w14:paraId="5B39F4B9" w14:textId="59E5F8A8" w:rsidR="00267A79" w:rsidRDefault="00267A79" w:rsidP="00267A79">
      <w:pPr>
        <w:pStyle w:val="Style2"/>
      </w:pPr>
      <w:r>
        <w:t xml:space="preserve">The </w:t>
      </w:r>
      <w:r w:rsidR="00772FC6">
        <w:t>Executive Director of Nursing (</w:t>
      </w:r>
      <w:r w:rsidR="00B20BF9">
        <w:t>r</w:t>
      </w:r>
      <w:r w:rsidR="00772FC6">
        <w:t xml:space="preserve">eferred to as the </w:t>
      </w:r>
      <w:r>
        <w:t xml:space="preserve">Chief Nurse </w:t>
      </w:r>
      <w:r w:rsidR="00772FC6">
        <w:t xml:space="preserve">or CN) </w:t>
      </w:r>
      <w:r>
        <w:t xml:space="preserve">is the Executive Director responsible for ensuring that the required </w:t>
      </w:r>
      <w:r w:rsidRPr="00CC74CA">
        <w:t>quality</w:t>
      </w:r>
      <w:r>
        <w:t xml:space="preserve"> and patient safety considerations have been undertaken prior to any investment / decommissioning / disinvestment in a clinical service.</w:t>
      </w:r>
    </w:p>
    <w:p w14:paraId="596E5252" w14:textId="62695D1F" w:rsidR="00267A79" w:rsidRPr="00F40D75" w:rsidRDefault="00267A79" w:rsidP="00267A79">
      <w:pPr>
        <w:pStyle w:val="Style2"/>
      </w:pPr>
      <w:r>
        <w:t xml:space="preserve">The Chief Nurse is </w:t>
      </w:r>
      <w:r w:rsidRPr="00075C95">
        <w:t>the lead Executive Officer ensuring appropriate advice and explanations</w:t>
      </w:r>
      <w:r>
        <w:t xml:space="preserve"> </w:t>
      </w:r>
      <w:r w:rsidRPr="00075C95">
        <w:t>are provided to the Quality Committe</w:t>
      </w:r>
      <w:r>
        <w:t>e.</w:t>
      </w:r>
    </w:p>
    <w:p w14:paraId="4FB42C71" w14:textId="006B5984" w:rsidR="00BE2AB4" w:rsidRDefault="00CC74CA" w:rsidP="000606D6">
      <w:pPr>
        <w:pStyle w:val="Heading3"/>
      </w:pPr>
      <w:bookmarkStart w:id="49" w:name="_Toc213919789"/>
      <w:r>
        <w:t xml:space="preserve">Identified </w:t>
      </w:r>
      <w:r w:rsidR="00C37B68" w:rsidRPr="000606D6">
        <w:t>Operational</w:t>
      </w:r>
      <w:r w:rsidR="00C37B68">
        <w:t xml:space="preserve"> </w:t>
      </w:r>
      <w:r w:rsidR="00C37B68" w:rsidRPr="00CC74CA">
        <w:t>Lead</w:t>
      </w:r>
      <w:bookmarkEnd w:id="49"/>
    </w:p>
    <w:p w14:paraId="5225E738" w14:textId="08031321" w:rsidR="00BE2AB4" w:rsidRDefault="00BE2AB4" w:rsidP="000606D6">
      <w:pPr>
        <w:pStyle w:val="Style2"/>
      </w:pPr>
      <w:r>
        <w:t xml:space="preserve">The Operational Lead responsible for </w:t>
      </w:r>
      <w:r w:rsidR="008334BF">
        <w:t xml:space="preserve">commissioning </w:t>
      </w:r>
      <w:r>
        <w:t>the service is required to undertake the following actions when considering</w:t>
      </w:r>
      <w:r w:rsidR="00635D5A">
        <w:t xml:space="preserve"> investment /</w:t>
      </w:r>
      <w:r>
        <w:t xml:space="preserve"> disinvestment / decommissioning </w:t>
      </w:r>
      <w:r w:rsidR="003F31B7">
        <w:t xml:space="preserve">of </w:t>
      </w:r>
      <w:r>
        <w:t>a service:</w:t>
      </w:r>
    </w:p>
    <w:p w14:paraId="65E338DB" w14:textId="6A438420" w:rsidR="003D259E" w:rsidRDefault="00831E8E" w:rsidP="00223A24">
      <w:pPr>
        <w:pStyle w:val="ListParagraph"/>
        <w:widowControl w:val="0"/>
        <w:numPr>
          <w:ilvl w:val="1"/>
          <w:numId w:val="15"/>
        </w:numPr>
        <w:autoSpaceDE w:val="0"/>
        <w:autoSpaceDN w:val="0"/>
        <w:spacing w:before="1" w:after="0" w:line="293" w:lineRule="exact"/>
        <w:ind w:left="1701" w:right="-46" w:hanging="567"/>
      </w:pPr>
      <w:r>
        <w:lastRenderedPageBreak/>
        <w:t>Follow t</w:t>
      </w:r>
      <w:r w:rsidR="003D259E">
        <w:t>he decision-making policy,</w:t>
      </w:r>
      <w:r>
        <w:t xml:space="preserve"> ensuring that</w:t>
      </w:r>
      <w:r w:rsidR="003D259E">
        <w:t xml:space="preserve"> all advice, engagement</w:t>
      </w:r>
      <w:r w:rsidR="00B5631F">
        <w:t>,</w:t>
      </w:r>
      <w:r w:rsidR="003D259E">
        <w:t xml:space="preserve"> and due process is followed in progressing a decision</w:t>
      </w:r>
      <w:r w:rsidR="00F51781">
        <w:t xml:space="preserve"> and that approvals are sought in accordance with the Scheme of Reservation and Delegation</w:t>
      </w:r>
      <w:r w:rsidR="003D259E">
        <w:t>.</w:t>
      </w:r>
    </w:p>
    <w:p w14:paraId="38605E15" w14:textId="77777777" w:rsidR="001D60F4" w:rsidRDefault="001D60F4" w:rsidP="00223A24">
      <w:pPr>
        <w:pStyle w:val="ListParagraph"/>
        <w:widowControl w:val="0"/>
        <w:numPr>
          <w:ilvl w:val="1"/>
          <w:numId w:val="15"/>
        </w:numPr>
        <w:autoSpaceDE w:val="0"/>
        <w:autoSpaceDN w:val="0"/>
        <w:spacing w:before="1" w:after="0" w:line="293" w:lineRule="exact"/>
        <w:ind w:left="1701" w:right="-46" w:hanging="567"/>
      </w:pPr>
      <w:r>
        <w:t>Seek advice of the governance team to navigate decision-making processes.</w:t>
      </w:r>
    </w:p>
    <w:p w14:paraId="18B907C7" w14:textId="7F2C6B20" w:rsidR="00697CCB" w:rsidRDefault="00697CCB" w:rsidP="00223A24">
      <w:pPr>
        <w:pStyle w:val="ListParagraph"/>
        <w:widowControl w:val="0"/>
        <w:numPr>
          <w:ilvl w:val="1"/>
          <w:numId w:val="15"/>
        </w:numPr>
        <w:autoSpaceDE w:val="0"/>
        <w:autoSpaceDN w:val="0"/>
        <w:spacing w:before="1" w:after="0" w:line="293" w:lineRule="exact"/>
        <w:ind w:left="1701" w:right="-46" w:hanging="567"/>
      </w:pPr>
      <w:r>
        <w:t xml:space="preserve">Be pro-active within the commissioning cycle to ensure that the </w:t>
      </w:r>
      <w:r w:rsidR="00090375">
        <w:t xml:space="preserve">Executive </w:t>
      </w:r>
      <w:r w:rsidR="00DA4DD2">
        <w:t>Committee</w:t>
      </w:r>
      <w:r>
        <w:t xml:space="preserve"> </w:t>
      </w:r>
      <w:r w:rsidR="00877BF0">
        <w:t>are</w:t>
      </w:r>
      <w:r>
        <w:t xml:space="preserve"> sighted on proposals.</w:t>
      </w:r>
    </w:p>
    <w:p w14:paraId="138A4201" w14:textId="77777777" w:rsidR="00346AFB" w:rsidRDefault="00346AFB" w:rsidP="00223A24">
      <w:pPr>
        <w:pStyle w:val="ListParagraph"/>
        <w:widowControl w:val="0"/>
        <w:numPr>
          <w:ilvl w:val="1"/>
          <w:numId w:val="15"/>
        </w:numPr>
        <w:autoSpaceDE w:val="0"/>
        <w:autoSpaceDN w:val="0"/>
        <w:spacing w:before="1" w:after="0" w:line="293" w:lineRule="exact"/>
        <w:ind w:left="1701" w:right="-46" w:hanging="567"/>
      </w:pPr>
      <w:r>
        <w:t>Develop robust business cases in line with the Decision-Making Policy.</w:t>
      </w:r>
    </w:p>
    <w:p w14:paraId="132434A6" w14:textId="4671B71A" w:rsidR="00BE2AB4" w:rsidRDefault="00BE2AB4" w:rsidP="00223A24">
      <w:pPr>
        <w:pStyle w:val="ListParagraph"/>
        <w:widowControl w:val="0"/>
        <w:numPr>
          <w:ilvl w:val="1"/>
          <w:numId w:val="15"/>
        </w:numPr>
        <w:autoSpaceDE w:val="0"/>
        <w:autoSpaceDN w:val="0"/>
        <w:spacing w:before="1" w:after="0" w:line="293" w:lineRule="exact"/>
        <w:ind w:left="1701" w:right="-46" w:hanging="567"/>
      </w:pPr>
      <w:r>
        <w:t>Secure legal advice through our legal</w:t>
      </w:r>
      <w:r>
        <w:rPr>
          <w:spacing w:val="-5"/>
        </w:rPr>
        <w:t xml:space="preserve"> </w:t>
      </w:r>
      <w:r>
        <w:t>framework</w:t>
      </w:r>
      <w:r w:rsidR="003F31B7">
        <w:t xml:space="preserve"> where appropriate</w:t>
      </w:r>
      <w:r>
        <w:t>.</w:t>
      </w:r>
    </w:p>
    <w:p w14:paraId="6F048DF5" w14:textId="32FBE9AD" w:rsidR="00BE2AB4" w:rsidRDefault="008109DD" w:rsidP="00223A24">
      <w:pPr>
        <w:pStyle w:val="ListParagraph"/>
        <w:widowControl w:val="0"/>
        <w:numPr>
          <w:ilvl w:val="1"/>
          <w:numId w:val="15"/>
        </w:numPr>
        <w:autoSpaceDE w:val="0"/>
        <w:autoSpaceDN w:val="0"/>
        <w:spacing w:before="0" w:after="0"/>
        <w:ind w:left="1701" w:right="-46" w:hanging="567"/>
      </w:pPr>
      <w:r>
        <w:t>Establish a robust benefits realisation process to a</w:t>
      </w:r>
      <w:r w:rsidR="00BE2AB4">
        <w:t xml:space="preserve">ssess the </w:t>
      </w:r>
      <w:r w:rsidR="00C255DE">
        <w:t xml:space="preserve">potential and realisable </w:t>
      </w:r>
      <w:r w:rsidR="00BE2AB4">
        <w:t>benefits to improve the effectiveness</w:t>
      </w:r>
      <w:r w:rsidR="009A7F3F">
        <w:t xml:space="preserve"> of the service</w:t>
      </w:r>
      <w:r w:rsidR="00BE2AB4">
        <w:t>.</w:t>
      </w:r>
      <w:r w:rsidR="004500E5">
        <w:t xml:space="preserve"> </w:t>
      </w:r>
    </w:p>
    <w:p w14:paraId="1CC6DF0D" w14:textId="3D483AE9" w:rsidR="00BE2AB4" w:rsidRDefault="00BE2AB4" w:rsidP="00223A24">
      <w:pPr>
        <w:pStyle w:val="ListParagraph"/>
        <w:widowControl w:val="0"/>
        <w:numPr>
          <w:ilvl w:val="1"/>
          <w:numId w:val="15"/>
        </w:numPr>
        <w:autoSpaceDE w:val="0"/>
        <w:autoSpaceDN w:val="0"/>
        <w:spacing w:before="0" w:after="0" w:line="237" w:lineRule="auto"/>
        <w:ind w:left="1701" w:right="-46" w:hanging="567"/>
      </w:pPr>
      <w:r>
        <w:t xml:space="preserve">Inform </w:t>
      </w:r>
      <w:r w:rsidR="004500E5">
        <w:t xml:space="preserve">the </w:t>
      </w:r>
      <w:r w:rsidR="00CA21E0">
        <w:t>C</w:t>
      </w:r>
      <w:r>
        <w:t>PMO and the relevant department of the benefits identified and plan with them how to obtain valid evidence of positive</w:t>
      </w:r>
      <w:r>
        <w:rPr>
          <w:spacing w:val="-1"/>
        </w:rPr>
        <w:t xml:space="preserve"> </w:t>
      </w:r>
      <w:r>
        <w:t>progress.</w:t>
      </w:r>
    </w:p>
    <w:p w14:paraId="1467B0B2" w14:textId="13522391" w:rsidR="00BE2AB4" w:rsidRDefault="00BE2AB4" w:rsidP="00223A24">
      <w:pPr>
        <w:pStyle w:val="ListParagraph"/>
        <w:widowControl w:val="0"/>
        <w:numPr>
          <w:ilvl w:val="1"/>
          <w:numId w:val="15"/>
        </w:numPr>
        <w:autoSpaceDE w:val="0"/>
        <w:autoSpaceDN w:val="0"/>
        <w:spacing w:before="3" w:after="0" w:line="293" w:lineRule="exact"/>
        <w:ind w:left="1701" w:right="-46" w:hanging="567"/>
      </w:pPr>
      <w:r>
        <w:t xml:space="preserve">Review, with the </w:t>
      </w:r>
      <w:r w:rsidR="0017505F">
        <w:t>C</w:t>
      </w:r>
      <w:r>
        <w:t>PMO, the monitoring of the benefits</w:t>
      </w:r>
      <w:r>
        <w:rPr>
          <w:spacing w:val="-11"/>
        </w:rPr>
        <w:t xml:space="preserve"> </w:t>
      </w:r>
      <w:r>
        <w:t>realised.</w:t>
      </w:r>
    </w:p>
    <w:p w14:paraId="68F24E44" w14:textId="726F6B2D" w:rsidR="00BE2AB4" w:rsidRDefault="00BE2AB4" w:rsidP="00223A24">
      <w:pPr>
        <w:pStyle w:val="ListParagraph"/>
        <w:widowControl w:val="0"/>
        <w:numPr>
          <w:ilvl w:val="1"/>
          <w:numId w:val="15"/>
        </w:numPr>
        <w:autoSpaceDE w:val="0"/>
        <w:autoSpaceDN w:val="0"/>
        <w:spacing w:before="0" w:after="0" w:line="293" w:lineRule="exact"/>
        <w:ind w:left="1701" w:right="-46" w:hanging="567"/>
      </w:pPr>
      <w:r>
        <w:t>Undertake impact</w:t>
      </w:r>
      <w:r>
        <w:rPr>
          <w:spacing w:val="-3"/>
        </w:rPr>
        <w:t xml:space="preserve"> </w:t>
      </w:r>
      <w:r>
        <w:t>analysis</w:t>
      </w:r>
      <w:r w:rsidR="00104301">
        <w:t xml:space="preserve"> assessments.</w:t>
      </w:r>
    </w:p>
    <w:p w14:paraId="32B169FC" w14:textId="77777777" w:rsidR="00BE2AB4" w:rsidRDefault="00BE2AB4" w:rsidP="00223A24">
      <w:pPr>
        <w:pStyle w:val="ListParagraph"/>
        <w:widowControl w:val="0"/>
        <w:numPr>
          <w:ilvl w:val="1"/>
          <w:numId w:val="15"/>
        </w:numPr>
        <w:autoSpaceDE w:val="0"/>
        <w:autoSpaceDN w:val="0"/>
        <w:spacing w:before="0" w:after="0" w:line="293" w:lineRule="exact"/>
        <w:ind w:left="1701" w:right="-46" w:hanging="567"/>
      </w:pPr>
      <w:r>
        <w:t>Keep a risk log of issues</w:t>
      </w:r>
      <w:r>
        <w:rPr>
          <w:spacing w:val="-11"/>
        </w:rPr>
        <w:t xml:space="preserve"> </w:t>
      </w:r>
      <w:r>
        <w:t>identified.</w:t>
      </w:r>
    </w:p>
    <w:p w14:paraId="5B3BB5DF" w14:textId="50C3A95C" w:rsidR="00BE2AB4" w:rsidRDefault="00BE2AB4" w:rsidP="00223A24">
      <w:pPr>
        <w:pStyle w:val="ListParagraph"/>
        <w:widowControl w:val="0"/>
        <w:numPr>
          <w:ilvl w:val="1"/>
          <w:numId w:val="15"/>
        </w:numPr>
        <w:autoSpaceDE w:val="0"/>
        <w:autoSpaceDN w:val="0"/>
        <w:spacing w:before="4" w:after="0" w:line="235" w:lineRule="auto"/>
        <w:ind w:left="1701" w:right="-46" w:hanging="567"/>
      </w:pPr>
      <w:r>
        <w:t xml:space="preserve">Prepare a case to be considered by the relevant Committee in respect of </w:t>
      </w:r>
      <w:r w:rsidR="00104301">
        <w:t xml:space="preserve">investment / disinvestment / </w:t>
      </w:r>
      <w:r>
        <w:t>decommissioning of</w:t>
      </w:r>
      <w:r>
        <w:rPr>
          <w:spacing w:val="1"/>
        </w:rPr>
        <w:t xml:space="preserve"> </w:t>
      </w:r>
      <w:r w:rsidR="00104301">
        <w:rPr>
          <w:spacing w:val="1"/>
        </w:rPr>
        <w:t xml:space="preserve">a </w:t>
      </w:r>
      <w:r>
        <w:t>service.</w:t>
      </w:r>
    </w:p>
    <w:p w14:paraId="1D312FDE" w14:textId="0D84E5B3" w:rsidR="00BE2AB4" w:rsidRDefault="00A00270" w:rsidP="00223A24">
      <w:pPr>
        <w:pStyle w:val="ListParagraph"/>
        <w:widowControl w:val="0"/>
        <w:numPr>
          <w:ilvl w:val="1"/>
          <w:numId w:val="15"/>
        </w:numPr>
        <w:autoSpaceDE w:val="0"/>
        <w:autoSpaceDN w:val="0"/>
        <w:spacing w:before="3" w:after="0"/>
        <w:ind w:left="1701" w:right="-46" w:hanging="567"/>
      </w:pPr>
      <w:r>
        <w:t>Notify the provider of the 10</w:t>
      </w:r>
      <w:r w:rsidR="00F611C1">
        <w:t>-</w:t>
      </w:r>
      <w:r>
        <w:t xml:space="preserve">day appeals process (see </w:t>
      </w:r>
      <w:r w:rsidRPr="007D6D10">
        <w:t>point 6.</w:t>
      </w:r>
      <w:r w:rsidR="00B758E9">
        <w:t xml:space="preserve">21 </w:t>
      </w:r>
      <w:r>
        <w:t>below).</w:t>
      </w:r>
    </w:p>
    <w:p w14:paraId="0E7D4D02" w14:textId="535DE4C8" w:rsidR="00232F9D" w:rsidRDefault="00232F9D" w:rsidP="00223A24">
      <w:pPr>
        <w:pStyle w:val="ListParagraph"/>
        <w:widowControl w:val="0"/>
        <w:numPr>
          <w:ilvl w:val="1"/>
          <w:numId w:val="15"/>
        </w:numPr>
        <w:autoSpaceDE w:val="0"/>
        <w:autoSpaceDN w:val="0"/>
        <w:spacing w:before="3" w:after="0"/>
        <w:ind w:left="1701" w:right="-46" w:hanging="567"/>
      </w:pPr>
      <w:r>
        <w:t xml:space="preserve">Ensure that </w:t>
      </w:r>
      <w:r w:rsidR="00FB6CE5">
        <w:t xml:space="preserve">demobilisation </w:t>
      </w:r>
      <w:r>
        <w:t xml:space="preserve">‘exit’ arrangements exist for </w:t>
      </w:r>
      <w:r w:rsidR="0085179C">
        <w:t>contracts with non-recurrent funding or coming to the end of the contract.</w:t>
      </w:r>
    </w:p>
    <w:p w14:paraId="58A05115" w14:textId="434EED8A" w:rsidR="00F40D75" w:rsidRPr="00F40D75" w:rsidRDefault="00E42BA2" w:rsidP="000606D6">
      <w:pPr>
        <w:pStyle w:val="Heading3"/>
      </w:pPr>
      <w:bookmarkStart w:id="50" w:name="_Toc95149177"/>
      <w:bookmarkStart w:id="51" w:name="_Toc213919790"/>
      <w:r>
        <w:t xml:space="preserve">Policy </w:t>
      </w:r>
      <w:r w:rsidR="00F40D75" w:rsidRPr="000606D6">
        <w:t>Authors</w:t>
      </w:r>
      <w:bookmarkEnd w:id="50"/>
      <w:bookmarkEnd w:id="51"/>
    </w:p>
    <w:p w14:paraId="1F84E0F1" w14:textId="1D625B1A" w:rsidR="004216FE" w:rsidRDefault="004216FE" w:rsidP="000606D6">
      <w:pPr>
        <w:pStyle w:val="Style2"/>
      </w:pPr>
      <w:bookmarkStart w:id="52" w:name="_Toc84611053"/>
      <w:r>
        <w:t xml:space="preserve">The </w:t>
      </w:r>
      <w:r w:rsidR="00E42BA2">
        <w:t>Policy</w:t>
      </w:r>
      <w:r>
        <w:t xml:space="preserve"> Author</w:t>
      </w:r>
      <w:r w:rsidR="00485472">
        <w:t xml:space="preserve"> and the Quality Committee</w:t>
      </w:r>
      <w:r>
        <w:t xml:space="preserve"> is responsible for:</w:t>
      </w:r>
    </w:p>
    <w:p w14:paraId="195368B9" w14:textId="3E6CB422" w:rsidR="00F40D75" w:rsidRDefault="004216FE" w:rsidP="00223A24">
      <w:pPr>
        <w:pStyle w:val="ListParagraph"/>
        <w:widowControl w:val="0"/>
        <w:numPr>
          <w:ilvl w:val="1"/>
          <w:numId w:val="15"/>
        </w:numPr>
        <w:autoSpaceDE w:val="0"/>
        <w:autoSpaceDN w:val="0"/>
        <w:spacing w:before="1" w:after="0" w:line="293" w:lineRule="exact"/>
        <w:ind w:left="1701" w:right="-46" w:hanging="567"/>
      </w:pPr>
      <w:r>
        <w:t xml:space="preserve">ensuring that all key stakeholders have been </w:t>
      </w:r>
      <w:r w:rsidR="00827957">
        <w:t>engag</w:t>
      </w:r>
      <w:r>
        <w:t xml:space="preserve">ed in the development of this </w:t>
      </w:r>
      <w:r w:rsidR="00E42BA2">
        <w:t>policy</w:t>
      </w:r>
      <w:r>
        <w:t>, adhering to ICB governance arrangements.</w:t>
      </w:r>
    </w:p>
    <w:p w14:paraId="0400AA45" w14:textId="1B54A1CF" w:rsidR="004216FE" w:rsidRPr="00F40D75" w:rsidRDefault="004216FE" w:rsidP="00223A24">
      <w:pPr>
        <w:pStyle w:val="ListParagraph"/>
        <w:widowControl w:val="0"/>
        <w:numPr>
          <w:ilvl w:val="1"/>
          <w:numId w:val="15"/>
        </w:numPr>
        <w:autoSpaceDE w:val="0"/>
        <w:autoSpaceDN w:val="0"/>
        <w:spacing w:before="1" w:after="0" w:line="293" w:lineRule="exact"/>
        <w:ind w:left="1701" w:right="-46" w:hanging="567"/>
      </w:pPr>
      <w:r>
        <w:t xml:space="preserve">ensuring that all staff are aware of the purpose and aims of this </w:t>
      </w:r>
      <w:r w:rsidR="00E42BA2">
        <w:t>policy</w:t>
      </w:r>
      <w:r>
        <w:t xml:space="preserve"> and that the appropriate governance arrangements are in place to support compliance.</w:t>
      </w:r>
    </w:p>
    <w:p w14:paraId="638C6FCE" w14:textId="00E43587" w:rsidR="00F40D75" w:rsidRPr="00F40D75" w:rsidRDefault="00F40D75" w:rsidP="000606D6">
      <w:pPr>
        <w:pStyle w:val="Heading3"/>
      </w:pPr>
      <w:bookmarkStart w:id="53" w:name="_Toc95149179"/>
      <w:bookmarkStart w:id="54" w:name="_Toc213919791"/>
      <w:bookmarkEnd w:id="52"/>
      <w:r w:rsidRPr="000606D6">
        <w:t>Governance</w:t>
      </w:r>
      <w:r w:rsidRPr="00F40D75">
        <w:t xml:space="preserve"> Lead</w:t>
      </w:r>
      <w:bookmarkEnd w:id="53"/>
      <w:bookmarkEnd w:id="54"/>
    </w:p>
    <w:p w14:paraId="49CC9889" w14:textId="774CECE5" w:rsidR="00485472" w:rsidRDefault="004216FE" w:rsidP="000606D6">
      <w:pPr>
        <w:pStyle w:val="Style2"/>
      </w:pPr>
      <w:r>
        <w:t>The ICB Governance Lead is responsible for ensuring that this p</w:t>
      </w:r>
      <w:r w:rsidR="00E42BA2">
        <w:t xml:space="preserve">olicy </w:t>
      </w:r>
      <w:r>
        <w:t xml:space="preserve">remains up to date and </w:t>
      </w:r>
      <w:r w:rsidRPr="00CC74CA">
        <w:t>included</w:t>
      </w:r>
      <w:r>
        <w:t xml:space="preserve"> within the suite of policies and procedures communicated to all ICB staff.</w:t>
      </w:r>
    </w:p>
    <w:p w14:paraId="20D66EC7" w14:textId="3C05FD87" w:rsidR="00F40D75" w:rsidRPr="00F40D75" w:rsidRDefault="00F40D75" w:rsidP="000606D6">
      <w:pPr>
        <w:pStyle w:val="Heading3"/>
      </w:pPr>
      <w:bookmarkStart w:id="55" w:name="_Toc95149180"/>
      <w:bookmarkStart w:id="56" w:name="_Toc213919792"/>
      <w:r w:rsidRPr="00F40D75">
        <w:t xml:space="preserve">Line </w:t>
      </w:r>
      <w:r w:rsidRPr="000606D6">
        <w:t>Managers</w:t>
      </w:r>
      <w:bookmarkEnd w:id="55"/>
      <w:bookmarkEnd w:id="56"/>
      <w:r w:rsidRPr="00F40D75">
        <w:t xml:space="preserve"> </w:t>
      </w:r>
    </w:p>
    <w:p w14:paraId="2653A27A" w14:textId="75678F3D" w:rsidR="00344967" w:rsidRPr="00F40D75" w:rsidRDefault="004216FE" w:rsidP="000606D6">
      <w:pPr>
        <w:pStyle w:val="Style2"/>
      </w:pPr>
      <w:r>
        <w:t xml:space="preserve">All line managers are responsible for ensuring that their staff are aware of this </w:t>
      </w:r>
      <w:r w:rsidR="00E42BA2">
        <w:t>policy</w:t>
      </w:r>
      <w:r>
        <w:t xml:space="preserve"> and that </w:t>
      </w:r>
      <w:r w:rsidRPr="00CC74CA">
        <w:t>this</w:t>
      </w:r>
      <w:r>
        <w:t xml:space="preserve"> is adhered to when making any </w:t>
      </w:r>
      <w:r w:rsidR="008D32E6">
        <w:t xml:space="preserve">investment / </w:t>
      </w:r>
      <w:r>
        <w:t>decommissioning / disinvestment decisions.</w:t>
      </w:r>
    </w:p>
    <w:p w14:paraId="77315517" w14:textId="7FA61062" w:rsidR="00F40D75" w:rsidRPr="00F40D75" w:rsidRDefault="00F40D75" w:rsidP="000606D6">
      <w:pPr>
        <w:pStyle w:val="Heading3"/>
      </w:pPr>
      <w:bookmarkStart w:id="57" w:name="_Toc95149181"/>
      <w:bookmarkStart w:id="58" w:name="_Toc213919793"/>
      <w:r w:rsidRPr="000606D6">
        <w:t>All</w:t>
      </w:r>
      <w:r w:rsidRPr="00F40D75">
        <w:t xml:space="preserve"> Staff</w:t>
      </w:r>
      <w:bookmarkEnd w:id="57"/>
      <w:bookmarkEnd w:id="58"/>
    </w:p>
    <w:p w14:paraId="3A9A5A01" w14:textId="3FD5D2CF" w:rsidR="00F40D75" w:rsidRPr="00F40D75" w:rsidRDefault="004216FE" w:rsidP="000606D6">
      <w:pPr>
        <w:pStyle w:val="Style2"/>
      </w:pPr>
      <w:r>
        <w:t xml:space="preserve">All ICB staff are responsible for adhering to the content of this </w:t>
      </w:r>
      <w:r w:rsidR="00E42BA2">
        <w:t>policy</w:t>
      </w:r>
      <w:r>
        <w:t>.</w:t>
      </w:r>
    </w:p>
    <w:p w14:paraId="4E7B9B93" w14:textId="73C70551" w:rsidR="00F40D75" w:rsidRDefault="00CC74CA" w:rsidP="000606D6">
      <w:pPr>
        <w:pStyle w:val="Heading2"/>
      </w:pPr>
      <w:bookmarkStart w:id="59" w:name="_Toc95149182"/>
      <w:bookmarkStart w:id="60" w:name="_Toc108099466"/>
      <w:bookmarkStart w:id="61" w:name="_Toc213919794"/>
      <w:r w:rsidRPr="000606D6">
        <w:t>Policy</w:t>
      </w:r>
      <w:r>
        <w:t xml:space="preserve"> / </w:t>
      </w:r>
      <w:r w:rsidR="00F40D75" w:rsidRPr="00F40D75">
        <w:t>P</w:t>
      </w:r>
      <w:r w:rsidR="004E5A4D">
        <w:t>rocedure</w:t>
      </w:r>
      <w:r w:rsidR="00F40D75" w:rsidRPr="00F40D75">
        <w:t xml:space="preserve"> </w:t>
      </w:r>
      <w:r w:rsidR="00F40D75" w:rsidRPr="00CC74CA">
        <w:t>Detail</w:t>
      </w:r>
      <w:bookmarkEnd w:id="59"/>
      <w:bookmarkEnd w:id="60"/>
      <w:bookmarkEnd w:id="61"/>
    </w:p>
    <w:p w14:paraId="59318B3D" w14:textId="7C7BFE32" w:rsidR="004D64C9" w:rsidRDefault="004D64C9" w:rsidP="00FD1C74">
      <w:pPr>
        <w:pStyle w:val="Heading3"/>
      </w:pPr>
      <w:bookmarkStart w:id="62" w:name="_Toc213919795"/>
      <w:r>
        <w:lastRenderedPageBreak/>
        <w:t>Commissioned Services</w:t>
      </w:r>
      <w:bookmarkEnd w:id="62"/>
    </w:p>
    <w:p w14:paraId="708DE585" w14:textId="272DDDC9" w:rsidR="004D64C9" w:rsidRDefault="004D64C9" w:rsidP="00F060A7">
      <w:pPr>
        <w:pStyle w:val="Style2"/>
      </w:pPr>
      <w:r>
        <w:t xml:space="preserve">The ICB commissions </w:t>
      </w:r>
      <w:r w:rsidR="008D5BFE">
        <w:t>services for our population in Primary Care (including GP, Pharmacy, Optometry and Dental services</w:t>
      </w:r>
      <w:r w:rsidR="00F060A7">
        <w:t xml:space="preserve">), in our community, in mental health services and in our </w:t>
      </w:r>
      <w:r w:rsidR="00FD1C74">
        <w:t xml:space="preserve">acute </w:t>
      </w:r>
      <w:r w:rsidR="00F060A7">
        <w:t>hospitals.</w:t>
      </w:r>
      <w:r w:rsidR="008D5BFE">
        <w:t xml:space="preserve"> </w:t>
      </w:r>
      <w:r w:rsidR="004D33A5">
        <w:t xml:space="preserve"> There are services the ICB does not commission, </w:t>
      </w:r>
      <w:r w:rsidR="00637807">
        <w:t xml:space="preserve">which remain the </w:t>
      </w:r>
      <w:r w:rsidR="00FD1C74">
        <w:t>responsibility</w:t>
      </w:r>
      <w:r w:rsidR="00637807">
        <w:t xml:space="preserve"> of NHS England</w:t>
      </w:r>
      <w:r w:rsidR="00FD1C74">
        <w:t>,</w:t>
      </w:r>
      <w:r w:rsidR="00637807">
        <w:t xml:space="preserve"> such as some specialised services</w:t>
      </w:r>
      <w:r w:rsidR="00E1030C">
        <w:t>.</w:t>
      </w:r>
    </w:p>
    <w:p w14:paraId="3BF23E97" w14:textId="6F18A838" w:rsidR="00862FD7" w:rsidRDefault="00862FD7" w:rsidP="00862FD7">
      <w:pPr>
        <w:pStyle w:val="Style2"/>
      </w:pPr>
      <w:r w:rsidRPr="00862FD7">
        <w:t>The over-riding commissioning policy requirement is that all commissioning must be based on value for money, defined as ‘the best mix of quality and effectiveness for the least outlay.</w:t>
      </w:r>
    </w:p>
    <w:p w14:paraId="08449E3F" w14:textId="128859A1" w:rsidR="00103855" w:rsidRPr="00103855" w:rsidRDefault="00103855" w:rsidP="00103855">
      <w:pPr>
        <w:pStyle w:val="Style2"/>
      </w:pPr>
      <w:r w:rsidRPr="00103855">
        <w:t xml:space="preserve">The Mid and South Essex Integrated Care Board (ICB) commissioning position is that </w:t>
      </w:r>
      <w:r w:rsidR="003C03D4">
        <w:t>services/</w:t>
      </w:r>
      <w:r w:rsidRPr="00103855">
        <w:t xml:space="preserve">treatments not currently included in commissioned established care pathways (as identified for example in the Schedules to the service agreements with acute care providers) or identified for funding through the commissioning process are not routinely funded.  </w:t>
      </w:r>
    </w:p>
    <w:p w14:paraId="735F9C4D" w14:textId="6819DC5C" w:rsidR="005752B3" w:rsidRDefault="00B24C30" w:rsidP="005752B3">
      <w:pPr>
        <w:pStyle w:val="Style2"/>
      </w:pPr>
      <w:r>
        <w:t>T</w:t>
      </w:r>
      <w:r w:rsidR="00E1030C">
        <w:t xml:space="preserve">he ICB </w:t>
      </w:r>
      <w:r w:rsidR="00B97577">
        <w:t xml:space="preserve">may </w:t>
      </w:r>
      <w:r w:rsidR="00E1030C">
        <w:t>make the difficult decision to ‘not’ commission a service</w:t>
      </w:r>
      <w:r w:rsidR="00B97577">
        <w:t>/treatment</w:t>
      </w:r>
      <w:r w:rsidR="00E1030C">
        <w:t xml:space="preserve"> or only commission a service</w:t>
      </w:r>
      <w:r w:rsidR="00B97577">
        <w:t>/treatment</w:t>
      </w:r>
      <w:r w:rsidR="00D92AA3">
        <w:t xml:space="preserve"> in certain circumstances.  </w:t>
      </w:r>
      <w:r w:rsidR="00240E56">
        <w:t>In such cases</w:t>
      </w:r>
      <w:r w:rsidR="005752B3" w:rsidRPr="005A5F5C">
        <w:t xml:space="preserve"> the ICB has specific commissioning policy statements</w:t>
      </w:r>
      <w:r w:rsidR="00240E56">
        <w:t xml:space="preserve"> relating to the commissioning of these services/treatments</w:t>
      </w:r>
      <w:r w:rsidR="005752B3" w:rsidRPr="005A5F5C">
        <w:t xml:space="preserve"> based on clinical evidence of effectiveness or relative priority for funding.  </w:t>
      </w:r>
    </w:p>
    <w:p w14:paraId="2172DFD9" w14:textId="779C33FC" w:rsidR="00E1030C" w:rsidRDefault="00DF20FE" w:rsidP="00F060A7">
      <w:pPr>
        <w:pStyle w:val="Style2"/>
      </w:pPr>
      <w:r>
        <w:t>These services</w:t>
      </w:r>
      <w:r w:rsidR="00240E56">
        <w:t>/treatments</w:t>
      </w:r>
      <w:r>
        <w:t xml:space="preserve"> are therefore subject to a </w:t>
      </w:r>
      <w:r w:rsidR="002C59BC">
        <w:t>commissioning policy</w:t>
      </w:r>
      <w:r>
        <w:t xml:space="preserve"> </w:t>
      </w:r>
      <w:r w:rsidR="00942C62">
        <w:t>(</w:t>
      </w:r>
      <w:r>
        <w:t>Service Restriction</w:t>
      </w:r>
      <w:r w:rsidR="00942C62">
        <w:t>)</w:t>
      </w:r>
      <w:r>
        <w:t xml:space="preserve"> that describes the circumstances under which</w:t>
      </w:r>
      <w:r w:rsidR="00CC5FD2">
        <w:t xml:space="preserve"> that service might or m</w:t>
      </w:r>
      <w:r w:rsidR="009C3838">
        <w:t>ight</w:t>
      </w:r>
      <w:r w:rsidR="00CC5FD2">
        <w:t xml:space="preserve"> not be </w:t>
      </w:r>
      <w:r w:rsidR="009C3838">
        <w:t>provided</w:t>
      </w:r>
      <w:r w:rsidR="00CC5FD2">
        <w:t>.</w:t>
      </w:r>
    </w:p>
    <w:p w14:paraId="45985F4E" w14:textId="64D7353D" w:rsidR="00FA72E2" w:rsidRDefault="00FA72E2" w:rsidP="00F060A7">
      <w:pPr>
        <w:pStyle w:val="Style2"/>
      </w:pPr>
      <w:r>
        <w:t xml:space="preserve">Healthcare and the needs of our patients are sometimes complex and </w:t>
      </w:r>
      <w:r w:rsidR="00861A2C">
        <w:t xml:space="preserve">clinically </w:t>
      </w:r>
      <w:r>
        <w:t>exceptional</w:t>
      </w:r>
      <w:r w:rsidR="00C176D5">
        <w:t>.  It is the responsibility of the ICB to ensure consideration is given to those circumstances when making decisions and therefore has established an ‘Individual Funding Request</w:t>
      </w:r>
      <w:r w:rsidR="00402499">
        <w:t xml:space="preserve"> (IFR) Policy’. </w:t>
      </w:r>
    </w:p>
    <w:p w14:paraId="5280D468" w14:textId="68014ECA" w:rsidR="009A3C03" w:rsidRDefault="001C5ABA" w:rsidP="00F060A7">
      <w:pPr>
        <w:pStyle w:val="Style2"/>
      </w:pPr>
      <w:r>
        <w:t>The</w:t>
      </w:r>
      <w:r w:rsidR="009A3C03">
        <w:t xml:space="preserve"> Individual Funding Request</w:t>
      </w:r>
      <w:r w:rsidR="00381939">
        <w:t xml:space="preserve"> Policies support the decision-making process within the </w:t>
      </w:r>
      <w:r w:rsidR="00DF057E">
        <w:t>ICB but</w:t>
      </w:r>
      <w:r w:rsidR="00381939">
        <w:t xml:space="preserve"> sit</w:t>
      </w:r>
      <w:r>
        <w:t>s</w:t>
      </w:r>
      <w:r w:rsidR="00381939">
        <w:t xml:space="preserve"> outside the domain of this policy.</w:t>
      </w:r>
      <w:r w:rsidR="007C1D86">
        <w:t xml:space="preserve">  Any decisions relating to </w:t>
      </w:r>
      <w:r w:rsidR="001B5C9A">
        <w:t>individual funding requests</w:t>
      </w:r>
      <w:r w:rsidR="007C1D86">
        <w:t xml:space="preserve"> follow</w:t>
      </w:r>
      <w:r w:rsidR="001B5C9A">
        <w:t>s</w:t>
      </w:r>
      <w:r w:rsidR="007C1D86">
        <w:t xml:space="preserve"> </w:t>
      </w:r>
      <w:r w:rsidR="001B5C9A">
        <w:t>the IFR policy</w:t>
      </w:r>
      <w:r w:rsidR="007C1D86">
        <w:t>, whilst</w:t>
      </w:r>
      <w:r w:rsidR="00FB6261">
        <w:t xml:space="preserve"> ensuring governance routes outlined herein are adhered to.</w:t>
      </w:r>
    </w:p>
    <w:p w14:paraId="041DE24E" w14:textId="2DB8EDBB" w:rsidR="00792DA5" w:rsidRDefault="00792DA5" w:rsidP="00F060A7">
      <w:pPr>
        <w:pStyle w:val="Style2"/>
      </w:pPr>
      <w:r>
        <w:t>There are circumstances in which the ICB may change</w:t>
      </w:r>
      <w:r w:rsidR="00850C86">
        <w:t xml:space="preserve"> a previous decision to commission a service</w:t>
      </w:r>
      <w:r w:rsidR="00FE7A65">
        <w:t>; to either decommission or disinvest in a service for example:</w:t>
      </w:r>
    </w:p>
    <w:p w14:paraId="3DEBE912" w14:textId="1E297BBF" w:rsidR="00FE7A65" w:rsidRDefault="005C5966" w:rsidP="00223A24">
      <w:pPr>
        <w:pStyle w:val="ListParagraph"/>
        <w:widowControl w:val="0"/>
        <w:numPr>
          <w:ilvl w:val="1"/>
          <w:numId w:val="15"/>
        </w:numPr>
        <w:autoSpaceDE w:val="0"/>
        <w:autoSpaceDN w:val="0"/>
        <w:spacing w:before="1" w:after="0" w:line="293" w:lineRule="exact"/>
        <w:ind w:left="1701" w:right="-46" w:hanging="567"/>
      </w:pPr>
      <w:r>
        <w:t>Where a service is not clinically effective and other services exist to serve the needs of the population, the ICB may disinvest in the service.</w:t>
      </w:r>
    </w:p>
    <w:p w14:paraId="52FC5AA8" w14:textId="7576FAA0" w:rsidR="0061368C" w:rsidRDefault="0097774C" w:rsidP="00223A24">
      <w:pPr>
        <w:pStyle w:val="ListParagraph"/>
        <w:widowControl w:val="0"/>
        <w:numPr>
          <w:ilvl w:val="1"/>
          <w:numId w:val="15"/>
        </w:numPr>
        <w:autoSpaceDE w:val="0"/>
        <w:autoSpaceDN w:val="0"/>
        <w:spacing w:before="1" w:after="0" w:line="293" w:lineRule="exact"/>
        <w:ind w:left="1701" w:right="-46" w:hanging="567"/>
      </w:pPr>
      <w:r>
        <w:t>Where the quality of services of a provider does not meet the standards required of the ICB the service may be decommissioned.</w:t>
      </w:r>
    </w:p>
    <w:p w14:paraId="7C506755" w14:textId="11E03085" w:rsidR="0061368C" w:rsidRDefault="0097774C" w:rsidP="00223A24">
      <w:pPr>
        <w:pStyle w:val="ListParagraph"/>
        <w:widowControl w:val="0"/>
        <w:numPr>
          <w:ilvl w:val="1"/>
          <w:numId w:val="15"/>
        </w:numPr>
        <w:autoSpaceDE w:val="0"/>
        <w:autoSpaceDN w:val="0"/>
        <w:spacing w:before="1" w:after="0" w:line="293" w:lineRule="exact"/>
        <w:ind w:left="1701" w:right="-46" w:hanging="567"/>
      </w:pPr>
      <w:r>
        <w:t xml:space="preserve">Where the innovative work of our </w:t>
      </w:r>
      <w:r w:rsidR="00237B4C">
        <w:t>Stewardship and other Group</w:t>
      </w:r>
      <w:r w:rsidR="00A43163">
        <w:t>s</w:t>
      </w:r>
      <w:r w:rsidR="00237B4C">
        <w:t xml:space="preserve"> </w:t>
      </w:r>
      <w:r w:rsidR="00F750E2">
        <w:t>suggests</w:t>
      </w:r>
      <w:r w:rsidR="00237B4C">
        <w:t xml:space="preserve"> that there may be more benefit from changing the way a service is provided.</w:t>
      </w:r>
    </w:p>
    <w:p w14:paraId="51652B3D" w14:textId="15388C74" w:rsidR="0061368C" w:rsidRDefault="004A7818" w:rsidP="00223A24">
      <w:pPr>
        <w:pStyle w:val="ListParagraph"/>
        <w:widowControl w:val="0"/>
        <w:numPr>
          <w:ilvl w:val="1"/>
          <w:numId w:val="15"/>
        </w:numPr>
        <w:autoSpaceDE w:val="0"/>
        <w:autoSpaceDN w:val="0"/>
        <w:spacing w:before="1" w:after="0" w:line="293" w:lineRule="exact"/>
        <w:ind w:left="1701" w:right="-46" w:hanging="567"/>
      </w:pPr>
      <w:r>
        <w:t>Where, due to financial constraints, the ICB can no longer afford to provide a service, that is then moved to a ‘restricted service’</w:t>
      </w:r>
      <w:r w:rsidR="00DF057E">
        <w:t xml:space="preserve"> or a service that is no longer provided at all (a non-commissioned service).</w:t>
      </w:r>
    </w:p>
    <w:p w14:paraId="16BB1C03" w14:textId="3570F54A" w:rsidR="0061368C" w:rsidRPr="004D64C9" w:rsidRDefault="0061368C" w:rsidP="0061368C">
      <w:pPr>
        <w:pStyle w:val="Style2"/>
      </w:pPr>
      <w:r>
        <w:lastRenderedPageBreak/>
        <w:t xml:space="preserve">The decommissioning and disinvestment process is subject to this decision-making policy and is described in more detail from </w:t>
      </w:r>
      <w:r w:rsidRPr="00824B03">
        <w:t xml:space="preserve">section </w:t>
      </w:r>
      <w:r w:rsidR="00824B03" w:rsidRPr="00824B03">
        <w:t>6.</w:t>
      </w:r>
      <w:r w:rsidR="00D365E1">
        <w:t>20</w:t>
      </w:r>
      <w:r w:rsidRPr="00824B03">
        <w:t>.</w:t>
      </w:r>
    </w:p>
    <w:p w14:paraId="0AAFF9EC" w14:textId="632D3AB1" w:rsidR="00126397" w:rsidRDefault="00126397" w:rsidP="00126397">
      <w:pPr>
        <w:pStyle w:val="Heading2"/>
        <w:numPr>
          <w:ilvl w:val="0"/>
          <w:numId w:val="0"/>
        </w:numPr>
        <w:ind w:left="1134"/>
      </w:pPr>
      <w:bookmarkStart w:id="63" w:name="_Toc213919796"/>
      <w:r>
        <w:t>Principles of Decision Making</w:t>
      </w:r>
      <w:bookmarkEnd w:id="63"/>
    </w:p>
    <w:p w14:paraId="3EDF9DC6" w14:textId="320B5F49" w:rsidR="00126397" w:rsidRPr="00F858BB" w:rsidRDefault="005428CD" w:rsidP="00F858BB">
      <w:pPr>
        <w:pStyle w:val="Heading3"/>
      </w:pPr>
      <w:bookmarkStart w:id="64" w:name="_Toc213919797"/>
      <w:r>
        <w:t>The ICB Planning Cycle</w:t>
      </w:r>
      <w:bookmarkEnd w:id="64"/>
    </w:p>
    <w:p w14:paraId="5228F981" w14:textId="054345D8" w:rsidR="00126397" w:rsidRDefault="00C25AD4" w:rsidP="00C25AD4">
      <w:pPr>
        <w:pStyle w:val="Style2"/>
      </w:pPr>
      <w:r>
        <w:t>The ICB is responsible for developing a plan for meeting the health needs of our residents</w:t>
      </w:r>
      <w:r w:rsidR="00022575">
        <w:t xml:space="preserve"> (</w:t>
      </w:r>
      <w:r w:rsidR="003C48F8">
        <w:t xml:space="preserve">as </w:t>
      </w:r>
      <w:r w:rsidR="0002404B">
        <w:t>set out in the Integrated Care Strategy established by the ICP)</w:t>
      </w:r>
      <w:r>
        <w:t>, managing the NHS budget and arranging for the provision of health services in a geographical area.  Nationally, the expectation is that the ICB will:</w:t>
      </w:r>
    </w:p>
    <w:p w14:paraId="4E94C7C7" w14:textId="7AD8C2BE" w:rsidR="00C25AD4" w:rsidRDefault="00C25AD4" w:rsidP="00223A24">
      <w:pPr>
        <w:pStyle w:val="ListParagraph"/>
        <w:widowControl w:val="0"/>
        <w:numPr>
          <w:ilvl w:val="1"/>
          <w:numId w:val="15"/>
        </w:numPr>
        <w:autoSpaceDE w:val="0"/>
        <w:autoSpaceDN w:val="0"/>
        <w:spacing w:before="1" w:after="0" w:line="293" w:lineRule="exact"/>
        <w:ind w:left="1701" w:right="-46" w:hanging="567"/>
      </w:pPr>
      <w:r>
        <w:t>Improve outcomes in population health and healthcare.</w:t>
      </w:r>
    </w:p>
    <w:p w14:paraId="6CC44C2A" w14:textId="112F6B43" w:rsidR="00C25AD4" w:rsidRDefault="00C25AD4" w:rsidP="00223A24">
      <w:pPr>
        <w:pStyle w:val="ListParagraph"/>
        <w:widowControl w:val="0"/>
        <w:numPr>
          <w:ilvl w:val="1"/>
          <w:numId w:val="15"/>
        </w:numPr>
        <w:autoSpaceDE w:val="0"/>
        <w:autoSpaceDN w:val="0"/>
        <w:spacing w:before="1" w:after="0" w:line="293" w:lineRule="exact"/>
        <w:ind w:left="1701" w:right="-46" w:hanging="567"/>
      </w:pPr>
      <w:r>
        <w:t>Tackle inequalities in outcomes, experience, and access.</w:t>
      </w:r>
    </w:p>
    <w:p w14:paraId="7D7B2350" w14:textId="7ED317B2" w:rsidR="00C25AD4" w:rsidRDefault="00C25AD4" w:rsidP="00223A24">
      <w:pPr>
        <w:pStyle w:val="ListParagraph"/>
        <w:widowControl w:val="0"/>
        <w:numPr>
          <w:ilvl w:val="1"/>
          <w:numId w:val="15"/>
        </w:numPr>
        <w:autoSpaceDE w:val="0"/>
        <w:autoSpaceDN w:val="0"/>
        <w:spacing w:before="1" w:after="0" w:line="293" w:lineRule="exact"/>
        <w:ind w:left="1701" w:right="-46" w:hanging="567"/>
      </w:pPr>
      <w:r>
        <w:t>Enhance productivity and value for money.</w:t>
      </w:r>
    </w:p>
    <w:p w14:paraId="12B94CF2" w14:textId="645C7324" w:rsidR="00C25AD4" w:rsidRDefault="00C25AD4" w:rsidP="00223A24">
      <w:pPr>
        <w:pStyle w:val="ListParagraph"/>
        <w:widowControl w:val="0"/>
        <w:numPr>
          <w:ilvl w:val="1"/>
          <w:numId w:val="15"/>
        </w:numPr>
        <w:autoSpaceDE w:val="0"/>
        <w:autoSpaceDN w:val="0"/>
        <w:spacing w:before="1" w:after="0" w:line="293" w:lineRule="exact"/>
        <w:ind w:left="1701" w:right="-46" w:hanging="567"/>
      </w:pPr>
      <w:r>
        <w:t>Help the NHS support boarder social and economic development.</w:t>
      </w:r>
    </w:p>
    <w:p w14:paraId="2F389459" w14:textId="074C6FA5" w:rsidR="005E4CC5" w:rsidRPr="005E4CC5" w:rsidRDefault="006D2F48" w:rsidP="00903C63">
      <w:pPr>
        <w:pStyle w:val="Style2"/>
      </w:pPr>
      <w:r>
        <w:t>The ICB planning cycle</w:t>
      </w:r>
      <w:r w:rsidR="00066472">
        <w:t xml:space="preserve"> puts patients and the public at the heart of what we do and is the framework that </w:t>
      </w:r>
      <w:r w:rsidR="007F7400">
        <w:t>underpins how the ICB will achieve</w:t>
      </w:r>
      <w:r w:rsidR="003020BB">
        <w:t xml:space="preserve"> those national expectations,</w:t>
      </w:r>
      <w:r w:rsidR="005E4CC5">
        <w:t xml:space="preserve"> the asks of the Integrated Care Strategy and the collective ambitions and shared commitments of our partners across mid and south Essex.</w:t>
      </w:r>
    </w:p>
    <w:p w14:paraId="3CE90E32" w14:textId="3B964B2F" w:rsidR="00903C63" w:rsidRDefault="00B414DC" w:rsidP="006818F5">
      <w:pPr>
        <w:jc w:val="center"/>
      </w:pPr>
      <w:bookmarkStart w:id="65" w:name="_Toc145365766"/>
      <w:bookmarkStart w:id="66" w:name="_Toc145365941"/>
      <w:r>
        <w:rPr>
          <w:noProof/>
        </w:rPr>
        <w:drawing>
          <wp:inline distT="0" distB="0" distL="0" distR="0" wp14:anchorId="53975FC6" wp14:editId="062EFE69">
            <wp:extent cx="2771775" cy="2771775"/>
            <wp:effectExtent l="0" t="0" r="9525" b="9525"/>
            <wp:docPr id="2" name="Picture 2" descr="Diagram depicting the planning cycle of the Integrated Care Board with patients and public at the heart of what we do the diagram show the three key stages as strategic planning, procuring services and monitoring and evaluation of tho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depicting the planning cycle of the Integrated Care Board with patients and public at the heart of what we do the diagram show the three key stages as strategic planning, procuring services and monitoring and evaluation of those servi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noFill/>
                  </pic:spPr>
                </pic:pic>
              </a:graphicData>
            </a:graphic>
          </wp:inline>
        </w:drawing>
      </w:r>
      <w:bookmarkEnd w:id="65"/>
      <w:bookmarkEnd w:id="66"/>
    </w:p>
    <w:p w14:paraId="0550808D" w14:textId="1C1B6F89" w:rsidR="006A36E8" w:rsidRDefault="006A36E8" w:rsidP="003F1965">
      <w:pPr>
        <w:pStyle w:val="Style2"/>
      </w:pPr>
      <w:r>
        <w:t>As described in section 1 of this policy, the ICB must plan and prioritise its resources within the financial envelope set by NHS England; a challenging task that has competing asks and opportunity cost</w:t>
      </w:r>
      <w:r w:rsidR="00D922B8">
        <w:t>s</w:t>
      </w:r>
      <w:r w:rsidR="005A456D">
        <w:t>.</w:t>
      </w:r>
    </w:p>
    <w:p w14:paraId="247E0151" w14:textId="24402C93" w:rsidR="003F1965" w:rsidRDefault="003F1965" w:rsidP="00032517">
      <w:pPr>
        <w:pStyle w:val="Style2"/>
      </w:pPr>
      <w:r>
        <w:t xml:space="preserve">The ICB Joint Forward Plan </w:t>
      </w:r>
      <w:r w:rsidR="00D53A64">
        <w:t xml:space="preserve">(JFP) </w:t>
      </w:r>
      <w:r w:rsidR="00291EEA">
        <w:t xml:space="preserve">(approved by the ICB Board) </w:t>
      </w:r>
      <w:r>
        <w:t>outlines the joint ambitions, which both responds to, and supports the</w:t>
      </w:r>
      <w:r w:rsidR="005A456D">
        <w:t xml:space="preserve"> delivery of the Integrated Care Strategy (set by the ICP), and the</w:t>
      </w:r>
      <w:r>
        <w:t xml:space="preserve"> joint health and wellbeing strategies of our three upper tier local authority partners.  </w:t>
      </w:r>
      <w:r w:rsidR="00BD22AF">
        <w:t>It has a focus on ‘how’ the NHS plans to deliver its core legal duties</w:t>
      </w:r>
      <w:r w:rsidR="006520C1">
        <w:t xml:space="preserve">.  </w:t>
      </w:r>
      <w:r>
        <w:t>Joint Strategic Needs Assessments inform the strategies or our local authority partners and are therefore the starting point by which the needs of our population are assessed.</w:t>
      </w:r>
    </w:p>
    <w:p w14:paraId="2727974D" w14:textId="57D6A06D" w:rsidR="00E445C4" w:rsidRDefault="00E445C4" w:rsidP="003F1965">
      <w:pPr>
        <w:pStyle w:val="Style2"/>
      </w:pPr>
      <w:r>
        <w:lastRenderedPageBreak/>
        <w:t xml:space="preserve">A </w:t>
      </w:r>
      <w:r w:rsidR="00D53A64">
        <w:t>medium-term</w:t>
      </w:r>
      <w:r>
        <w:t xml:space="preserve"> plan</w:t>
      </w:r>
      <w:r w:rsidR="00D53A64">
        <w:t xml:space="preserve"> supports the JFP and financial sustainability</w:t>
      </w:r>
      <w:r w:rsidR="000011BD">
        <w:t xml:space="preserve"> by setting out how the ICB can continue to deliver its objectives, but within </w:t>
      </w:r>
      <w:r w:rsidR="00690B68">
        <w:t>an agreed financial envelope that looks to achieve the ask from NHS England to re-balance the finances within the system to achieve an agreed financial position.</w:t>
      </w:r>
    </w:p>
    <w:p w14:paraId="110539AD" w14:textId="7B527AB1" w:rsidR="003F1965" w:rsidRDefault="003F1965" w:rsidP="00474D18">
      <w:pPr>
        <w:pStyle w:val="Style2"/>
      </w:pPr>
      <w:r>
        <w:t xml:space="preserve">The </w:t>
      </w:r>
      <w:r w:rsidR="0069690D">
        <w:t xml:space="preserve">Executive </w:t>
      </w:r>
      <w:r w:rsidR="00B31E42">
        <w:t>Committee</w:t>
      </w:r>
      <w:r>
        <w:t xml:space="preserve"> is responsible for balancing those asks, reviewing service provision and deciding </w:t>
      </w:r>
      <w:r w:rsidRPr="00474D18">
        <w:t>priorities</w:t>
      </w:r>
      <w:r>
        <w:t xml:space="preserve"> at the outset of the year</w:t>
      </w:r>
      <w:r w:rsidR="00FD7CEB">
        <w:t>.  These will be documented in ‘commissioning intentions’ an</w:t>
      </w:r>
      <w:r w:rsidR="00B655A3">
        <w:t>d ‘</w:t>
      </w:r>
      <w:proofErr w:type="gramStart"/>
      <w:r w:rsidR="00B655A3">
        <w:t>priorities’</w:t>
      </w:r>
      <w:proofErr w:type="gramEnd"/>
      <w:r w:rsidR="00A7479B">
        <w:t xml:space="preserve">.  As such, </w:t>
      </w:r>
      <w:r w:rsidR="00762676">
        <w:t>groups with responsibility for designing, re-designing and innovating new services mus</w:t>
      </w:r>
      <w:r w:rsidR="00656086">
        <w:t>t</w:t>
      </w:r>
      <w:r w:rsidR="00762676">
        <w:t xml:space="preserve"> present their proposals and plans to the </w:t>
      </w:r>
      <w:r w:rsidR="007260B7">
        <w:t xml:space="preserve">Executive </w:t>
      </w:r>
      <w:r w:rsidR="003061D1">
        <w:t>Committee</w:t>
      </w:r>
      <w:r w:rsidR="00762676">
        <w:t xml:space="preserve"> at the outset of the year</w:t>
      </w:r>
      <w:r w:rsidR="00656086">
        <w:t xml:space="preserve">.  The </w:t>
      </w:r>
      <w:r w:rsidR="00346078">
        <w:t xml:space="preserve">Executive </w:t>
      </w:r>
      <w:r w:rsidR="003061D1">
        <w:t>Committee</w:t>
      </w:r>
      <w:r w:rsidR="00346078">
        <w:t xml:space="preserve"> </w:t>
      </w:r>
      <w:r w:rsidR="00656086">
        <w:t>will then consider how those asks fit with the priorities of the ICB and the wider system and decide</w:t>
      </w:r>
      <w:r w:rsidR="002A4F98">
        <w:t xml:space="preserve"> how the finite resources of the ICB will be spent.</w:t>
      </w:r>
    </w:p>
    <w:p w14:paraId="3086D872" w14:textId="0FB99C09" w:rsidR="00BA117D" w:rsidRDefault="00BA117D" w:rsidP="00474D18">
      <w:pPr>
        <w:pStyle w:val="Style2"/>
      </w:pPr>
      <w:r>
        <w:t>The ICB Board will</w:t>
      </w:r>
      <w:r w:rsidR="00291EEA">
        <w:t xml:space="preserve"> ultimately approve the commissioning intentions and priorities of the ICB, setting its strategic direction.</w:t>
      </w:r>
    </w:p>
    <w:p w14:paraId="7ABFDE16" w14:textId="21ABC4A1" w:rsidR="002A4F98" w:rsidRDefault="00EC7CE1" w:rsidP="003F1965">
      <w:pPr>
        <w:pStyle w:val="Style2"/>
      </w:pPr>
      <w:r>
        <w:t xml:space="preserve">All decisions, throughout the year, will then be made of the basis of the direction set by the </w:t>
      </w:r>
      <w:r w:rsidR="003061D1">
        <w:t xml:space="preserve">Board (and </w:t>
      </w:r>
      <w:r w:rsidR="00693A2F">
        <w:t xml:space="preserve">Executive </w:t>
      </w:r>
      <w:r w:rsidR="005D286C">
        <w:t>Committee</w:t>
      </w:r>
      <w:r w:rsidR="003061D1">
        <w:t>)</w:t>
      </w:r>
      <w:r w:rsidR="000B7839">
        <w:t>.</w:t>
      </w:r>
      <w:r w:rsidR="009E5DBD">
        <w:t xml:space="preserve">  The </w:t>
      </w:r>
      <w:r w:rsidR="00693A2F">
        <w:t xml:space="preserve">Executive </w:t>
      </w:r>
      <w:r w:rsidR="005D286C">
        <w:t>Committee</w:t>
      </w:r>
      <w:r w:rsidR="009E5DBD">
        <w:t xml:space="preserve"> will meet </w:t>
      </w:r>
      <w:r w:rsidR="004C4C5B">
        <w:t>monthly as a ‘commissioning board’ to consider proposals for investment / disinvestment</w:t>
      </w:r>
      <w:r w:rsidR="0019790A">
        <w:t xml:space="preserve"> as required throughout the year </w:t>
      </w:r>
      <w:r w:rsidR="00142D28">
        <w:t>in accordance with the commissioning intentions and priorities set at the beginning the year.  The</w:t>
      </w:r>
      <w:r w:rsidR="00B655A3">
        <w:t>y</w:t>
      </w:r>
      <w:r w:rsidR="00142D28">
        <w:t xml:space="preserve"> will meet </w:t>
      </w:r>
      <w:r w:rsidR="009E5DBD">
        <w:t xml:space="preserve">again mid-year to </w:t>
      </w:r>
      <w:r w:rsidR="00840CF4">
        <w:t>consider whether priorities, national direction or local need has changed that may require amendment</w:t>
      </w:r>
      <w:r w:rsidR="00CA453A">
        <w:t xml:space="preserve"> to ensure that decisions throughout the year remain in line with ICB priorities</w:t>
      </w:r>
      <w:r w:rsidR="00840CF4">
        <w:t>.</w:t>
      </w:r>
    </w:p>
    <w:p w14:paraId="43C8D593" w14:textId="53291878" w:rsidR="000D4553" w:rsidRDefault="00135D39" w:rsidP="003F1965">
      <w:pPr>
        <w:pStyle w:val="Style2"/>
      </w:pPr>
      <w:r>
        <w:t xml:space="preserve">The business case process </w:t>
      </w:r>
      <w:r w:rsidR="00967F4E">
        <w:t xml:space="preserve">(section </w:t>
      </w:r>
      <w:r w:rsidR="00824B03">
        <w:t>6.</w:t>
      </w:r>
      <w:r w:rsidR="00510880">
        <w:t xml:space="preserve">9 </w:t>
      </w:r>
      <w:r w:rsidR="00967F4E">
        <w:t xml:space="preserve">and </w:t>
      </w:r>
      <w:r w:rsidR="00824B03">
        <w:t>Appendix B</w:t>
      </w:r>
      <w:r w:rsidR="00967F4E">
        <w:t xml:space="preserve">) </w:t>
      </w:r>
      <w:r>
        <w:t>established within this policy ensure</w:t>
      </w:r>
      <w:r w:rsidR="006520C1">
        <w:t>s</w:t>
      </w:r>
      <w:r>
        <w:t xml:space="preserve"> that the route to designing and procuring services is robust</w:t>
      </w:r>
      <w:r w:rsidR="00086BEE">
        <w:t xml:space="preserve"> and that </w:t>
      </w:r>
      <w:r w:rsidR="001D09BB">
        <w:t xml:space="preserve">informed </w:t>
      </w:r>
      <w:r w:rsidR="00086BEE">
        <w:t xml:space="preserve">decisions </w:t>
      </w:r>
      <w:r w:rsidR="001D09BB">
        <w:t xml:space="preserve">are </w:t>
      </w:r>
      <w:r w:rsidR="00086BEE">
        <w:t xml:space="preserve">made by those </w:t>
      </w:r>
      <w:r w:rsidR="00B00BCB">
        <w:t xml:space="preserve">with authority </w:t>
      </w:r>
      <w:r w:rsidR="001D09BB">
        <w:t>set out within the Scheme of Reservation and Delegation.</w:t>
      </w:r>
      <w:r w:rsidR="00B00BCB">
        <w:t xml:space="preserve"> </w:t>
      </w:r>
    </w:p>
    <w:p w14:paraId="5A6E2FDE" w14:textId="3A8F736B" w:rsidR="00BB03C6" w:rsidRDefault="00AF6416" w:rsidP="003F1965">
      <w:pPr>
        <w:pStyle w:val="Style2"/>
      </w:pPr>
      <w:r>
        <w:t xml:space="preserve">Monitoring and evaluation of services is the primary responsibility of the identified operational lead </w:t>
      </w:r>
      <w:r w:rsidR="00D26FED">
        <w:t>(at service level) who will ensure that the intended benefits of decisions are realised</w:t>
      </w:r>
      <w:r w:rsidR="00EA53D6">
        <w:t xml:space="preserve"> and where this is not the case, corrective action will be taken to ensure the original need it met. </w:t>
      </w:r>
      <w:r w:rsidR="009933AF">
        <w:t xml:space="preserve"> This process is set out in more detail under section </w:t>
      </w:r>
      <w:r w:rsidR="00087EA0">
        <w:t>6.14 contract management (</w:t>
      </w:r>
      <w:r w:rsidR="00EE1312">
        <w:t xml:space="preserve">including </w:t>
      </w:r>
      <w:r w:rsidR="00087EA0">
        <w:t>quality, contract, performance review meeting</w:t>
      </w:r>
      <w:r w:rsidR="00EE1312">
        <w:t>s)</w:t>
      </w:r>
      <w:r w:rsidR="00EA53D6">
        <w:t xml:space="preserve"> </w:t>
      </w:r>
    </w:p>
    <w:p w14:paraId="3B10ECC2" w14:textId="6A9CA136" w:rsidR="00935C35" w:rsidRPr="00903C63" w:rsidRDefault="00EA53D6" w:rsidP="003F1965">
      <w:pPr>
        <w:pStyle w:val="Style2"/>
      </w:pPr>
      <w:r>
        <w:t>The outcome of this will be overseen by both the Quality Committee</w:t>
      </w:r>
      <w:r w:rsidR="00072BD6">
        <w:t xml:space="preserve"> and the </w:t>
      </w:r>
      <w:r w:rsidR="009D5ACC">
        <w:t>Finance and Performance Committee</w:t>
      </w:r>
      <w:r w:rsidR="000511E1">
        <w:t>, as well as informing the next planning round.</w:t>
      </w:r>
    </w:p>
    <w:p w14:paraId="0B805798" w14:textId="77777777" w:rsidR="005E6FF9" w:rsidRPr="00BB2D92" w:rsidRDefault="005E6FF9" w:rsidP="005E6FF9">
      <w:pPr>
        <w:pStyle w:val="Heading3"/>
      </w:pPr>
      <w:bookmarkStart w:id="67" w:name="_Toc213919798"/>
      <w:r w:rsidRPr="00BB2D92">
        <w:t>Collaborative Commissioning</w:t>
      </w:r>
      <w:bookmarkEnd w:id="67"/>
    </w:p>
    <w:p w14:paraId="55AD08E1" w14:textId="15E18ADB" w:rsidR="005E6FF9" w:rsidRPr="0088282C" w:rsidRDefault="00515273" w:rsidP="005E6FF9">
      <w:pPr>
        <w:pStyle w:val="Style2"/>
      </w:pPr>
      <w:r>
        <w:t>The ICB</w:t>
      </w:r>
      <w:r w:rsidRPr="0088282C">
        <w:t xml:space="preserve"> </w:t>
      </w:r>
      <w:r w:rsidR="005E6FF9" w:rsidRPr="0088282C">
        <w:t>will continue to explore opportunities to collaboratively procure services both to achieve value for money and develop markets e.g.</w:t>
      </w:r>
      <w:r w:rsidR="00AB452F">
        <w:t>,</w:t>
      </w:r>
      <w:r w:rsidR="005E6FF9" w:rsidRPr="0088282C">
        <w:t xml:space="preserve"> NHS, Local Authority and Third Sector partners</w:t>
      </w:r>
      <w:r w:rsidR="005E6FF9">
        <w:t>.</w:t>
      </w:r>
    </w:p>
    <w:p w14:paraId="77896A1D" w14:textId="77777777" w:rsidR="00962037" w:rsidRPr="0088282C" w:rsidRDefault="00962037" w:rsidP="00962037">
      <w:pPr>
        <w:pStyle w:val="Heading3"/>
      </w:pPr>
      <w:bookmarkStart w:id="68" w:name="_Toc213919799"/>
      <w:r w:rsidRPr="0088282C">
        <w:t>Record Keeping</w:t>
      </w:r>
      <w:bookmarkEnd w:id="68"/>
    </w:p>
    <w:p w14:paraId="6DB8D078" w14:textId="0C47980B" w:rsidR="00962037" w:rsidRPr="001E38EE" w:rsidRDefault="00962037" w:rsidP="00962037">
      <w:pPr>
        <w:pStyle w:val="Style2"/>
        <w:rPr>
          <w:bCs/>
        </w:rPr>
      </w:pPr>
      <w:r w:rsidRPr="0088282C">
        <w:t xml:space="preserve">An auditable record/trail of decision making and all communication relating to each decommissioning decision and contract termination must be kept by the </w:t>
      </w:r>
      <w:r w:rsidRPr="0088282C">
        <w:lastRenderedPageBreak/>
        <w:t xml:space="preserve">identified Operational Lead. This is vital, both to demonstrate that the </w:t>
      </w:r>
      <w:r>
        <w:t xml:space="preserve">decision-making </w:t>
      </w:r>
      <w:r w:rsidRPr="0088282C">
        <w:t xml:space="preserve">process </w:t>
      </w:r>
      <w:r>
        <w:t xml:space="preserve">(both investment and decommissioning / disinvestment) </w:t>
      </w:r>
      <w:r w:rsidRPr="0088282C">
        <w:t>was robust and transparent, and as evidence in the event of any challenge, legal or</w:t>
      </w:r>
      <w:r w:rsidRPr="0088282C">
        <w:rPr>
          <w:spacing w:val="1"/>
        </w:rPr>
        <w:t xml:space="preserve"> </w:t>
      </w:r>
      <w:r w:rsidRPr="0088282C">
        <w:t>otherwise.</w:t>
      </w:r>
      <w:r w:rsidR="003832BB">
        <w:t xml:space="preserve">  The ICB contract management</w:t>
      </w:r>
      <w:r w:rsidR="002879B8">
        <w:t xml:space="preserve"> system ‘</w:t>
      </w:r>
      <w:proofErr w:type="spellStart"/>
      <w:r w:rsidR="002879B8">
        <w:t>At</w:t>
      </w:r>
      <w:r w:rsidR="0087464E">
        <w:t>amis</w:t>
      </w:r>
      <w:proofErr w:type="spellEnd"/>
      <w:r w:rsidR="002879B8">
        <w:t xml:space="preserve">’ </w:t>
      </w:r>
      <w:r w:rsidR="0087351A">
        <w:t>is</w:t>
      </w:r>
      <w:r w:rsidR="002879B8">
        <w:t xml:space="preserve"> used as </w:t>
      </w:r>
      <w:r w:rsidR="0087351A">
        <w:t>the</w:t>
      </w:r>
      <w:r w:rsidR="002879B8">
        <w:t xml:space="preserve"> central repository</w:t>
      </w:r>
      <w:r w:rsidR="0087464E">
        <w:t xml:space="preserve"> for </w:t>
      </w:r>
      <w:r w:rsidR="0087351A">
        <w:t xml:space="preserve">final </w:t>
      </w:r>
      <w:r w:rsidR="00D13BA6">
        <w:t>documentation relating to procurements and contracts, including evidence of decision making.</w:t>
      </w:r>
    </w:p>
    <w:p w14:paraId="105EC00A" w14:textId="63F8F78F" w:rsidR="009D475D" w:rsidRPr="0088282C" w:rsidRDefault="00B32257" w:rsidP="009D475D">
      <w:pPr>
        <w:pStyle w:val="Heading3"/>
      </w:pPr>
      <w:bookmarkStart w:id="69" w:name="_Toc213919800"/>
      <w:r>
        <w:t>Decision Maki</w:t>
      </w:r>
      <w:r w:rsidR="00CE50EE">
        <w:t xml:space="preserve">ng </w:t>
      </w:r>
      <w:r w:rsidR="009D475D" w:rsidRPr="0088282C">
        <w:t>Prioritisation Framework</w:t>
      </w:r>
      <w:bookmarkEnd w:id="69"/>
    </w:p>
    <w:p w14:paraId="1DF9FF8D" w14:textId="020F6812" w:rsidR="009D475D" w:rsidRPr="0088282C" w:rsidRDefault="009D475D" w:rsidP="009D475D">
      <w:pPr>
        <w:pStyle w:val="Style2"/>
      </w:pPr>
      <w:r w:rsidRPr="0088282C">
        <w:t xml:space="preserve">Making good decisions regarding health care priorities involves the exercise of fair and rational judgement and discretion. Although there is no objective or infallible measure on which such decisions can be based, a </w:t>
      </w:r>
      <w:r w:rsidR="00CE50EE">
        <w:t xml:space="preserve">decision-making </w:t>
      </w:r>
      <w:r w:rsidRPr="0088282C">
        <w:t xml:space="preserve">Prioritisation Framework (see </w:t>
      </w:r>
      <w:r w:rsidRPr="0088282C">
        <w:rPr>
          <w:b/>
        </w:rPr>
        <w:t xml:space="preserve">Appendix </w:t>
      </w:r>
      <w:r>
        <w:rPr>
          <w:b/>
        </w:rPr>
        <w:t>F</w:t>
      </w:r>
      <w:r w:rsidRPr="0088282C">
        <w:rPr>
          <w:b/>
        </w:rPr>
        <w:t xml:space="preserve">) </w:t>
      </w:r>
      <w:r w:rsidRPr="0088282C">
        <w:t xml:space="preserve">enables decisions to be made within a consistent </w:t>
      </w:r>
      <w:r w:rsidR="000308AD">
        <w:t>framework</w:t>
      </w:r>
      <w:r w:rsidR="000308AD" w:rsidRPr="0088282C">
        <w:t xml:space="preserve"> </w:t>
      </w:r>
      <w:r w:rsidRPr="0088282C">
        <w:t>which respects the needs of individuals and the community. The MSE ICB recognises that its discretion will be affected by National Service Frameworks, National Institute for Health and Clinical Excellence (NICE) technology appraisal guidance and Secretary of State Directions to the NHS.</w:t>
      </w:r>
    </w:p>
    <w:p w14:paraId="1ACD7561" w14:textId="3B55CECD" w:rsidR="009D475D" w:rsidRDefault="009D475D" w:rsidP="009D475D">
      <w:pPr>
        <w:pStyle w:val="Style2"/>
      </w:pPr>
      <w:r w:rsidRPr="0088282C">
        <w:t xml:space="preserve">The purpose of the </w:t>
      </w:r>
      <w:r w:rsidR="001415AD">
        <w:t xml:space="preserve">decision-making </w:t>
      </w:r>
      <w:r w:rsidRPr="0088282C">
        <w:t>Prioritisation Framework is to support and underpin the decision</w:t>
      </w:r>
      <w:r>
        <w:t>-</w:t>
      </w:r>
      <w:r w:rsidRPr="0088282C">
        <w:t>making processes of the organisation (and decision</w:t>
      </w:r>
      <w:r w:rsidR="00AB452F">
        <w:t>-</w:t>
      </w:r>
      <w:r w:rsidRPr="0088282C">
        <w:t>making bodies) and to support lawful and consistent commissioning policy.</w:t>
      </w:r>
    </w:p>
    <w:p w14:paraId="571CC3B5" w14:textId="77777777" w:rsidR="009D475D" w:rsidRPr="000606D6" w:rsidRDefault="009D475D" w:rsidP="009D475D">
      <w:pPr>
        <w:pStyle w:val="Style2"/>
        <w:rPr>
          <w:rFonts w:ascii="Arial" w:hAnsi="Arial" w:cs="Arial"/>
        </w:rPr>
      </w:pPr>
      <w:r w:rsidRPr="000606D6">
        <w:t>This will be achieved by:</w:t>
      </w:r>
    </w:p>
    <w:p w14:paraId="058CDCCF" w14:textId="20AAF1B8" w:rsidR="009D475D" w:rsidRPr="000606D6" w:rsidRDefault="009D475D" w:rsidP="00223A24">
      <w:pPr>
        <w:pStyle w:val="ListParagraph"/>
        <w:widowControl w:val="0"/>
        <w:numPr>
          <w:ilvl w:val="1"/>
          <w:numId w:val="15"/>
        </w:numPr>
        <w:autoSpaceDE w:val="0"/>
        <w:autoSpaceDN w:val="0"/>
        <w:spacing w:before="1" w:after="0" w:line="293" w:lineRule="exact"/>
        <w:ind w:left="1701" w:right="-46" w:hanging="567"/>
      </w:pPr>
      <w:r w:rsidRPr="000606D6">
        <w:t>Providing a coherent structure for discussion, ensuring all important aspects of each issue are considered prior to decisions being made</w:t>
      </w:r>
      <w:r w:rsidR="00AB452F">
        <w:t>.</w:t>
      </w:r>
    </w:p>
    <w:p w14:paraId="07FFB3D0" w14:textId="5907EF1E" w:rsidR="009D475D" w:rsidRPr="000606D6" w:rsidRDefault="009D475D" w:rsidP="00223A24">
      <w:pPr>
        <w:pStyle w:val="ListParagraph"/>
        <w:widowControl w:val="0"/>
        <w:numPr>
          <w:ilvl w:val="1"/>
          <w:numId w:val="15"/>
        </w:numPr>
        <w:autoSpaceDE w:val="0"/>
        <w:autoSpaceDN w:val="0"/>
        <w:spacing w:before="1" w:after="0" w:line="293" w:lineRule="exact"/>
        <w:ind w:left="1701" w:right="-46" w:hanging="567"/>
      </w:pPr>
      <w:r w:rsidRPr="000606D6">
        <w:t xml:space="preserve">Promoting fairness and consistency in decision making from meeting to meeting and </w:t>
      </w:r>
      <w:proofErr w:type="gramStart"/>
      <w:r w:rsidRPr="000606D6">
        <w:t>with regard to</w:t>
      </w:r>
      <w:proofErr w:type="gramEnd"/>
      <w:r w:rsidRPr="000606D6">
        <w:t xml:space="preserve"> different clinical topics, reducing the potential for inequity</w:t>
      </w:r>
      <w:r w:rsidR="00AB452F">
        <w:t>.</w:t>
      </w:r>
    </w:p>
    <w:p w14:paraId="77A1F865" w14:textId="206D327C" w:rsidR="009D475D" w:rsidRPr="000606D6" w:rsidRDefault="009D475D" w:rsidP="00223A24">
      <w:pPr>
        <w:pStyle w:val="ListParagraph"/>
        <w:widowControl w:val="0"/>
        <w:numPr>
          <w:ilvl w:val="1"/>
          <w:numId w:val="15"/>
        </w:numPr>
        <w:autoSpaceDE w:val="0"/>
        <w:autoSpaceDN w:val="0"/>
        <w:spacing w:before="1" w:after="0" w:line="293" w:lineRule="exact"/>
        <w:ind w:left="1701" w:right="-46" w:hanging="567"/>
      </w:pPr>
      <w:r w:rsidRPr="000606D6">
        <w:t>Providing a means of explaining the reasons behind the decisions made</w:t>
      </w:r>
      <w:r w:rsidR="00AB452F">
        <w:t>.</w:t>
      </w:r>
    </w:p>
    <w:p w14:paraId="1BC31F9F" w14:textId="183677B2" w:rsidR="009D475D" w:rsidRPr="000606D6" w:rsidRDefault="009D475D" w:rsidP="00223A24">
      <w:pPr>
        <w:pStyle w:val="ListParagraph"/>
        <w:widowControl w:val="0"/>
        <w:numPr>
          <w:ilvl w:val="1"/>
          <w:numId w:val="15"/>
        </w:numPr>
        <w:autoSpaceDE w:val="0"/>
        <w:autoSpaceDN w:val="0"/>
        <w:spacing w:before="1" w:after="0" w:line="293" w:lineRule="exact"/>
        <w:ind w:left="1701" w:right="-46" w:hanging="567"/>
      </w:pPr>
      <w:r w:rsidRPr="000606D6">
        <w:t>Reducing risk of judicial review by implementation of robust decision-making processes that are based on evidence of clinical and cost effectiveness and an ethical framework so that the decisions are made in a manner which is fair, rational and lawful</w:t>
      </w:r>
      <w:r w:rsidR="00AB452F">
        <w:t>.</w:t>
      </w:r>
    </w:p>
    <w:p w14:paraId="27A0E404" w14:textId="77777777" w:rsidR="009D475D" w:rsidRPr="0088282C" w:rsidRDefault="009D475D" w:rsidP="00223A24">
      <w:pPr>
        <w:pStyle w:val="ListParagraph"/>
        <w:widowControl w:val="0"/>
        <w:numPr>
          <w:ilvl w:val="1"/>
          <w:numId w:val="15"/>
        </w:numPr>
        <w:autoSpaceDE w:val="0"/>
        <w:autoSpaceDN w:val="0"/>
        <w:spacing w:before="1" w:after="0" w:line="293" w:lineRule="exact"/>
        <w:ind w:left="1701" w:right="-46" w:hanging="567"/>
        <w:rPr>
          <w:rFonts w:ascii="Arial" w:hAnsi="Arial" w:cs="Arial"/>
        </w:rPr>
      </w:pPr>
      <w:r w:rsidRPr="000606D6">
        <w:t>Ensuring the values and strategic aspirations of the organisation are</w:t>
      </w:r>
      <w:r w:rsidRPr="0088282C">
        <w:rPr>
          <w:rFonts w:ascii="Arial" w:hAnsi="Arial" w:cs="Arial"/>
        </w:rPr>
        <w:t xml:space="preserve"> reflected in business</w:t>
      </w:r>
      <w:r w:rsidRPr="0088282C">
        <w:rPr>
          <w:rFonts w:ascii="Arial" w:hAnsi="Arial" w:cs="Arial"/>
          <w:spacing w:val="-1"/>
        </w:rPr>
        <w:t xml:space="preserve"> </w:t>
      </w:r>
      <w:r w:rsidRPr="0088282C">
        <w:rPr>
          <w:rFonts w:ascii="Arial" w:hAnsi="Arial" w:cs="Arial"/>
        </w:rPr>
        <w:t>decisions.</w:t>
      </w:r>
    </w:p>
    <w:p w14:paraId="62582B58" w14:textId="77777777" w:rsidR="009D475D" w:rsidRPr="0088282C" w:rsidRDefault="009D475D" w:rsidP="009D475D">
      <w:pPr>
        <w:pStyle w:val="Style2"/>
      </w:pPr>
      <w:r w:rsidRPr="0088282C">
        <w:t>Providing a consistent approach for the development of strategy and plans across the whole</w:t>
      </w:r>
      <w:r w:rsidRPr="0088282C">
        <w:rPr>
          <w:spacing w:val="-1"/>
        </w:rPr>
        <w:t xml:space="preserve"> </w:t>
      </w:r>
      <w:r w:rsidRPr="0088282C">
        <w:t>system</w:t>
      </w:r>
      <w:r>
        <w:t>.</w:t>
      </w:r>
    </w:p>
    <w:p w14:paraId="6B83AA27" w14:textId="77777777" w:rsidR="009D475D" w:rsidRPr="00CB79FC" w:rsidRDefault="009D475D" w:rsidP="009D475D">
      <w:pPr>
        <w:pStyle w:val="Heading3"/>
      </w:pPr>
      <w:bookmarkStart w:id="70" w:name="_Toc213919801"/>
      <w:r w:rsidRPr="00CB79FC">
        <w:t>Prioritisation Criteria</w:t>
      </w:r>
      <w:bookmarkEnd w:id="70"/>
      <w:r w:rsidRPr="00CB79FC">
        <w:t xml:space="preserve"> </w:t>
      </w:r>
    </w:p>
    <w:p w14:paraId="1DC15BFF" w14:textId="241830DD" w:rsidR="0046469D" w:rsidRDefault="009D475D" w:rsidP="00251032">
      <w:pPr>
        <w:pStyle w:val="Style2"/>
      </w:pPr>
      <w:r w:rsidRPr="0088282C">
        <w:t xml:space="preserve">Our prioritisation criteria are </w:t>
      </w:r>
      <w:proofErr w:type="gramStart"/>
      <w:r w:rsidRPr="0088282C">
        <w:t>the means by which</w:t>
      </w:r>
      <w:proofErr w:type="gramEnd"/>
      <w:r w:rsidRPr="0088282C">
        <w:t xml:space="preserve"> the ICB and our officers can </w:t>
      </w:r>
      <w:r w:rsidRPr="00CB79FC">
        <w:t>assess</w:t>
      </w:r>
      <w:r w:rsidRPr="0088282C">
        <w:t xml:space="preserve"> submitted development proposals in a clear and transparent way. The </w:t>
      </w:r>
      <w:r w:rsidR="0082320E">
        <w:t xml:space="preserve">decision-making </w:t>
      </w:r>
      <w:r w:rsidRPr="0088282C">
        <w:t xml:space="preserve">Prioritisation Framework attached at </w:t>
      </w:r>
      <w:r w:rsidRPr="0088282C">
        <w:rPr>
          <w:b/>
        </w:rPr>
        <w:t xml:space="preserve">Appendix </w:t>
      </w:r>
      <w:r>
        <w:rPr>
          <w:b/>
        </w:rPr>
        <w:t>F</w:t>
      </w:r>
      <w:r w:rsidRPr="0088282C">
        <w:rPr>
          <w:b/>
        </w:rPr>
        <w:t xml:space="preserve"> </w:t>
      </w:r>
      <w:r w:rsidR="0046469D">
        <w:t>uses the following criteria to prioritise decision making:</w:t>
      </w:r>
    </w:p>
    <w:p w14:paraId="0E07E8CE" w14:textId="4F31F262" w:rsidR="0046469D" w:rsidRDefault="0046469D" w:rsidP="009F3F2F">
      <w:pPr>
        <w:pStyle w:val="ListParagraph"/>
        <w:widowControl w:val="0"/>
        <w:numPr>
          <w:ilvl w:val="1"/>
          <w:numId w:val="15"/>
        </w:numPr>
        <w:autoSpaceDE w:val="0"/>
        <w:autoSpaceDN w:val="0"/>
        <w:spacing w:before="1" w:after="0" w:line="293" w:lineRule="exact"/>
        <w:ind w:left="1701" w:right="-46" w:hanging="567"/>
      </w:pPr>
      <w:r>
        <w:t>Addresses health need</w:t>
      </w:r>
      <w:r w:rsidR="001722B4">
        <w:t>.</w:t>
      </w:r>
    </w:p>
    <w:p w14:paraId="2954B620" w14:textId="4A2C77DC" w:rsidR="009F3F2F" w:rsidRDefault="009F3F2F" w:rsidP="009F3F2F">
      <w:pPr>
        <w:pStyle w:val="ListParagraph"/>
        <w:widowControl w:val="0"/>
        <w:numPr>
          <w:ilvl w:val="1"/>
          <w:numId w:val="15"/>
        </w:numPr>
        <w:autoSpaceDE w:val="0"/>
        <w:autoSpaceDN w:val="0"/>
        <w:spacing w:before="1" w:after="0" w:line="293" w:lineRule="exact"/>
        <w:ind w:left="1701" w:right="-46" w:hanging="567"/>
      </w:pPr>
      <w:r>
        <w:t xml:space="preserve">Patient </w:t>
      </w:r>
      <w:r w:rsidR="0046469D">
        <w:t>and public</w:t>
      </w:r>
      <w:r>
        <w:t xml:space="preserve"> acceptability, expectation</w:t>
      </w:r>
      <w:r w:rsidR="008E0599">
        <w:t>,</w:t>
      </w:r>
      <w:r>
        <w:t xml:space="preserve"> and involvement</w:t>
      </w:r>
      <w:r w:rsidR="001722B4">
        <w:t>.</w:t>
      </w:r>
    </w:p>
    <w:p w14:paraId="231EE7D9" w14:textId="26FF2018" w:rsidR="009F3F2F" w:rsidRDefault="009F3F2F" w:rsidP="009F3F2F">
      <w:pPr>
        <w:pStyle w:val="ListParagraph"/>
        <w:widowControl w:val="0"/>
        <w:numPr>
          <w:ilvl w:val="1"/>
          <w:numId w:val="15"/>
        </w:numPr>
        <w:autoSpaceDE w:val="0"/>
        <w:autoSpaceDN w:val="0"/>
        <w:spacing w:before="1" w:after="0" w:line="293" w:lineRule="exact"/>
        <w:ind w:left="1701" w:right="-46" w:hanging="567"/>
      </w:pPr>
      <w:r>
        <w:t>Evidence of effectiveness</w:t>
      </w:r>
      <w:r w:rsidR="001722B4">
        <w:t>.</w:t>
      </w:r>
    </w:p>
    <w:p w14:paraId="16D2BAA6" w14:textId="247F0526" w:rsidR="009F3F2F" w:rsidRDefault="009F3F2F" w:rsidP="009F3F2F">
      <w:pPr>
        <w:pStyle w:val="ListParagraph"/>
        <w:widowControl w:val="0"/>
        <w:numPr>
          <w:ilvl w:val="1"/>
          <w:numId w:val="15"/>
        </w:numPr>
        <w:autoSpaceDE w:val="0"/>
        <w:autoSpaceDN w:val="0"/>
        <w:spacing w:before="1" w:after="0" w:line="293" w:lineRule="exact"/>
        <w:ind w:left="1701" w:right="-46" w:hanging="567"/>
      </w:pPr>
      <w:r>
        <w:lastRenderedPageBreak/>
        <w:t>Benefit of intervention</w:t>
      </w:r>
      <w:r w:rsidR="001722B4">
        <w:t>.</w:t>
      </w:r>
    </w:p>
    <w:p w14:paraId="70F6CA28" w14:textId="37F540C5" w:rsidR="009F3F2F" w:rsidRDefault="009F3F2F" w:rsidP="009F3F2F">
      <w:pPr>
        <w:pStyle w:val="ListParagraph"/>
        <w:widowControl w:val="0"/>
        <w:numPr>
          <w:ilvl w:val="1"/>
          <w:numId w:val="15"/>
        </w:numPr>
        <w:autoSpaceDE w:val="0"/>
        <w:autoSpaceDN w:val="0"/>
        <w:spacing w:before="1" w:after="0" w:line="293" w:lineRule="exact"/>
        <w:ind w:left="1701" w:right="-46" w:hanging="567"/>
      </w:pPr>
      <w:r>
        <w:t>Access</w:t>
      </w:r>
      <w:r w:rsidR="001722B4">
        <w:t>.</w:t>
      </w:r>
    </w:p>
    <w:p w14:paraId="784E5212" w14:textId="56C2A7B9" w:rsidR="009F3F2F" w:rsidRDefault="009F3F2F" w:rsidP="009F3F2F">
      <w:pPr>
        <w:pStyle w:val="ListParagraph"/>
        <w:widowControl w:val="0"/>
        <w:numPr>
          <w:ilvl w:val="1"/>
          <w:numId w:val="15"/>
        </w:numPr>
        <w:autoSpaceDE w:val="0"/>
        <w:autoSpaceDN w:val="0"/>
        <w:spacing w:before="1" w:after="0" w:line="293" w:lineRule="exact"/>
        <w:ind w:left="1701" w:right="-46" w:hanging="567"/>
      </w:pPr>
      <w:r>
        <w:t>Strategic alignment</w:t>
      </w:r>
      <w:r w:rsidR="001722B4">
        <w:t>.</w:t>
      </w:r>
    </w:p>
    <w:p w14:paraId="3DFF81E3" w14:textId="04A93C1A" w:rsidR="009F3F2F" w:rsidRDefault="009F3F2F" w:rsidP="009F3F2F">
      <w:pPr>
        <w:pStyle w:val="ListParagraph"/>
        <w:widowControl w:val="0"/>
        <w:numPr>
          <w:ilvl w:val="1"/>
          <w:numId w:val="15"/>
        </w:numPr>
        <w:autoSpaceDE w:val="0"/>
        <w:autoSpaceDN w:val="0"/>
        <w:spacing w:before="1" w:after="0" w:line="293" w:lineRule="exact"/>
        <w:ind w:left="1701" w:right="-46" w:hanging="567"/>
      </w:pPr>
      <w:r>
        <w:t>Service quality and safety</w:t>
      </w:r>
      <w:r w:rsidR="001722B4">
        <w:t>.</w:t>
      </w:r>
    </w:p>
    <w:p w14:paraId="7670820E" w14:textId="6B736764" w:rsidR="009F3F2F" w:rsidRDefault="009F3F2F" w:rsidP="009F3F2F">
      <w:pPr>
        <w:pStyle w:val="ListParagraph"/>
        <w:widowControl w:val="0"/>
        <w:numPr>
          <w:ilvl w:val="1"/>
          <w:numId w:val="15"/>
        </w:numPr>
        <w:autoSpaceDE w:val="0"/>
        <w:autoSpaceDN w:val="0"/>
        <w:spacing w:before="1" w:after="0" w:line="293" w:lineRule="exact"/>
        <w:ind w:left="1701" w:right="-46" w:hanging="567"/>
      </w:pPr>
      <w:r>
        <w:t>Patient choice and service supply</w:t>
      </w:r>
      <w:r w:rsidR="001722B4">
        <w:t>.</w:t>
      </w:r>
    </w:p>
    <w:p w14:paraId="1ECE1F31" w14:textId="45525F23" w:rsidR="00903C63" w:rsidRDefault="009F3F2F" w:rsidP="009F3F2F">
      <w:pPr>
        <w:pStyle w:val="ListParagraph"/>
        <w:widowControl w:val="0"/>
        <w:numPr>
          <w:ilvl w:val="1"/>
          <w:numId w:val="15"/>
        </w:numPr>
        <w:autoSpaceDE w:val="0"/>
        <w:autoSpaceDN w:val="0"/>
        <w:spacing w:before="1" w:after="0" w:line="293" w:lineRule="exact"/>
        <w:ind w:left="1701" w:right="-46" w:hanging="567"/>
      </w:pPr>
      <w:r>
        <w:t>Health economy impact and risk</w:t>
      </w:r>
      <w:r w:rsidR="001722B4">
        <w:t>.</w:t>
      </w:r>
    </w:p>
    <w:p w14:paraId="37899C3E" w14:textId="099FC87D" w:rsidR="00903C63" w:rsidRDefault="00B05C31" w:rsidP="00B05C31">
      <w:pPr>
        <w:pStyle w:val="Heading2"/>
        <w:numPr>
          <w:ilvl w:val="0"/>
          <w:numId w:val="0"/>
        </w:numPr>
        <w:ind w:left="1134"/>
      </w:pPr>
      <w:bookmarkStart w:id="71" w:name="_Toc213919802"/>
      <w:r>
        <w:t>Decision-Making</w:t>
      </w:r>
      <w:bookmarkEnd w:id="71"/>
    </w:p>
    <w:p w14:paraId="0864E2E8" w14:textId="77777777" w:rsidR="00251032" w:rsidRDefault="00251032" w:rsidP="00251032">
      <w:pPr>
        <w:pStyle w:val="Heading3"/>
      </w:pPr>
      <w:bookmarkStart w:id="72" w:name="_Toc213919803"/>
      <w:r>
        <w:t>Stages of decision-making</w:t>
      </w:r>
      <w:bookmarkEnd w:id="72"/>
    </w:p>
    <w:p w14:paraId="78ECB974" w14:textId="0CABA1AF" w:rsidR="00251032" w:rsidRDefault="00D242CD" w:rsidP="00F1211D">
      <w:pPr>
        <w:pStyle w:val="Style2"/>
      </w:pPr>
      <w:r w:rsidRPr="00D242CD">
        <w:rPr>
          <w:b/>
          <w:bCs/>
        </w:rPr>
        <w:t>Appendix B</w:t>
      </w:r>
      <w:r>
        <w:t xml:space="preserve"> sets out the decision-making process.  </w:t>
      </w:r>
      <w:r w:rsidR="00F1211D">
        <w:t xml:space="preserve">There are </w:t>
      </w:r>
      <w:r w:rsidR="00D81622">
        <w:t xml:space="preserve">five </w:t>
      </w:r>
      <w:r w:rsidR="00F1211D">
        <w:t>stages:</w:t>
      </w:r>
    </w:p>
    <w:p w14:paraId="4EE768B4" w14:textId="246198DC" w:rsidR="00F1211D" w:rsidRDefault="00F1211D" w:rsidP="00223A24">
      <w:pPr>
        <w:pStyle w:val="ListParagraph"/>
        <w:widowControl w:val="0"/>
        <w:numPr>
          <w:ilvl w:val="1"/>
          <w:numId w:val="15"/>
        </w:numPr>
        <w:autoSpaceDE w:val="0"/>
        <w:autoSpaceDN w:val="0"/>
        <w:spacing w:before="1" w:after="0" w:line="293" w:lineRule="exact"/>
        <w:ind w:left="1701" w:right="-46" w:hanging="567"/>
      </w:pPr>
      <w:r>
        <w:t xml:space="preserve">Planning (as described in section </w:t>
      </w:r>
      <w:r w:rsidR="00C4269E">
        <w:t>6.8</w:t>
      </w:r>
      <w:r>
        <w:t>) and ‘Gateway 0</w:t>
      </w:r>
      <w:r w:rsidR="00A22CE4">
        <w:t xml:space="preserve"> &amp; Gateway 1</w:t>
      </w:r>
      <w:r>
        <w:t>’</w:t>
      </w:r>
      <w:r w:rsidR="001722B4">
        <w:t>.</w:t>
      </w:r>
    </w:p>
    <w:p w14:paraId="181A1D0A" w14:textId="37251349" w:rsidR="00F1211D" w:rsidRDefault="00FD5AB7" w:rsidP="00223A24">
      <w:pPr>
        <w:pStyle w:val="ListParagraph"/>
        <w:widowControl w:val="0"/>
        <w:numPr>
          <w:ilvl w:val="1"/>
          <w:numId w:val="15"/>
        </w:numPr>
        <w:autoSpaceDE w:val="0"/>
        <w:autoSpaceDN w:val="0"/>
        <w:spacing w:before="1" w:after="0" w:line="293" w:lineRule="exact"/>
        <w:ind w:left="1701" w:right="-46" w:hanging="567"/>
      </w:pPr>
      <w:r>
        <w:t>Business Case Development</w:t>
      </w:r>
      <w:r w:rsidR="00F143B6">
        <w:t xml:space="preserve"> (Gateway 2)</w:t>
      </w:r>
      <w:r w:rsidR="001722B4">
        <w:t>.</w:t>
      </w:r>
    </w:p>
    <w:p w14:paraId="10A0D532" w14:textId="4E413899" w:rsidR="00FD5AB7" w:rsidRDefault="00FC3191" w:rsidP="00223A24">
      <w:pPr>
        <w:pStyle w:val="ListParagraph"/>
        <w:widowControl w:val="0"/>
        <w:numPr>
          <w:ilvl w:val="1"/>
          <w:numId w:val="15"/>
        </w:numPr>
        <w:autoSpaceDE w:val="0"/>
        <w:autoSpaceDN w:val="0"/>
        <w:spacing w:before="1" w:after="0" w:line="293" w:lineRule="exact"/>
        <w:ind w:left="1701" w:right="-46" w:hanging="567"/>
      </w:pPr>
      <w:r>
        <w:t>Formal Approval</w:t>
      </w:r>
      <w:r w:rsidR="001722B4">
        <w:t>.</w:t>
      </w:r>
    </w:p>
    <w:p w14:paraId="211CAD33" w14:textId="7A955740" w:rsidR="00A22CE4" w:rsidRDefault="00A22CE4" w:rsidP="00223A24">
      <w:pPr>
        <w:pStyle w:val="ListParagraph"/>
        <w:widowControl w:val="0"/>
        <w:numPr>
          <w:ilvl w:val="1"/>
          <w:numId w:val="15"/>
        </w:numPr>
        <w:autoSpaceDE w:val="0"/>
        <w:autoSpaceDN w:val="0"/>
        <w:spacing w:before="1" w:after="0" w:line="293" w:lineRule="exact"/>
        <w:ind w:left="1701" w:right="-46" w:hanging="567"/>
      </w:pPr>
      <w:r>
        <w:t>Planning and Delivery (Gateway 3 to Gateway 5)</w:t>
      </w:r>
      <w:r w:rsidR="001722B4">
        <w:t>.</w:t>
      </w:r>
    </w:p>
    <w:p w14:paraId="6DB1D795" w14:textId="16594AC0" w:rsidR="003B7257" w:rsidRDefault="003B7257" w:rsidP="00223A24">
      <w:pPr>
        <w:pStyle w:val="ListParagraph"/>
        <w:widowControl w:val="0"/>
        <w:numPr>
          <w:ilvl w:val="1"/>
          <w:numId w:val="15"/>
        </w:numPr>
        <w:autoSpaceDE w:val="0"/>
        <w:autoSpaceDN w:val="0"/>
        <w:spacing w:before="1" w:after="0" w:line="293" w:lineRule="exact"/>
        <w:ind w:left="1701" w:right="-46" w:hanging="567"/>
      </w:pPr>
      <w:r>
        <w:t>Monitoring</w:t>
      </w:r>
      <w:r w:rsidR="002A12ED">
        <w:t>,</w:t>
      </w:r>
      <w:r>
        <w:t xml:space="preserve"> Review</w:t>
      </w:r>
      <w:r w:rsidR="002A12ED">
        <w:t xml:space="preserve"> and Validation</w:t>
      </w:r>
      <w:r w:rsidR="00A22CE4">
        <w:t xml:space="preserve"> (Gateway 6)</w:t>
      </w:r>
      <w:r w:rsidR="001722B4">
        <w:t>.</w:t>
      </w:r>
    </w:p>
    <w:p w14:paraId="60339838" w14:textId="152BDBD6" w:rsidR="00D81622" w:rsidRDefault="00DF2AB3" w:rsidP="00E15743">
      <w:pPr>
        <w:pStyle w:val="Style2"/>
      </w:pPr>
      <w:r>
        <w:t>Guidance for t</w:t>
      </w:r>
      <w:r w:rsidR="00D81622">
        <w:t>he gateway (project management) process</w:t>
      </w:r>
      <w:r>
        <w:t xml:space="preserve"> is included on our intranet </w:t>
      </w:r>
      <w:hyperlink r:id="rId22" w:history="1">
        <w:r w:rsidR="004B798D">
          <w:rPr>
            <w:rStyle w:val="Hyperlink"/>
          </w:rPr>
          <w:t>ICB Project Workbook Guidance</w:t>
        </w:r>
      </w:hyperlink>
      <w:r w:rsidR="004B798D">
        <w:t xml:space="preserve"> [</w:t>
      </w:r>
      <w:r>
        <w:t>hyperlinks]</w:t>
      </w:r>
      <w:r w:rsidR="00D81622">
        <w:t xml:space="preserve"> </w:t>
      </w:r>
    </w:p>
    <w:p w14:paraId="487A780E" w14:textId="07F39B68" w:rsidR="008B2E1E" w:rsidRDefault="00E15743" w:rsidP="00E15743">
      <w:pPr>
        <w:pStyle w:val="Style2"/>
      </w:pPr>
      <w:r>
        <w:t>All decisions will follow the decision-making process outlined herein.</w:t>
      </w:r>
      <w:r w:rsidR="002F6985">
        <w:t xml:space="preserve">  However, those for decommissioning or disinvestment will be subject to further consideration</w:t>
      </w:r>
      <w:r w:rsidR="00DD3038">
        <w:t xml:space="preserve"> set out in </w:t>
      </w:r>
      <w:r w:rsidR="00824B03">
        <w:t xml:space="preserve">from </w:t>
      </w:r>
      <w:r w:rsidR="00DD3038">
        <w:t xml:space="preserve">section </w:t>
      </w:r>
      <w:r w:rsidR="00824B03" w:rsidRPr="00824B03">
        <w:t>6.1</w:t>
      </w:r>
      <w:r w:rsidR="00375F8C">
        <w:t>8</w:t>
      </w:r>
      <w:r w:rsidR="00DD3038" w:rsidRPr="00824B03">
        <w:t>.</w:t>
      </w:r>
      <w:r>
        <w:t xml:space="preserve"> </w:t>
      </w:r>
      <w:r w:rsidR="009F7791">
        <w:t xml:space="preserve"> </w:t>
      </w:r>
    </w:p>
    <w:p w14:paraId="75568172" w14:textId="06732E6E" w:rsidR="002A12ED" w:rsidRDefault="00A82E6C" w:rsidP="00FB4308">
      <w:pPr>
        <w:pStyle w:val="Heading3"/>
      </w:pPr>
      <w:bookmarkStart w:id="73" w:name="_Toc213919804"/>
      <w:r>
        <w:t xml:space="preserve">Stage 1 - </w:t>
      </w:r>
      <w:r w:rsidR="00FB7477">
        <w:t xml:space="preserve">Planning and Gateway </w:t>
      </w:r>
      <w:r w:rsidR="00FB4308">
        <w:t>0</w:t>
      </w:r>
      <w:r w:rsidR="002F6B33">
        <w:t xml:space="preserve"> to 1</w:t>
      </w:r>
      <w:bookmarkEnd w:id="73"/>
    </w:p>
    <w:p w14:paraId="3FE02058" w14:textId="424EF9F5" w:rsidR="00251032" w:rsidRDefault="00A352D3" w:rsidP="00BE1D9D">
      <w:pPr>
        <w:pStyle w:val="Style2"/>
      </w:pPr>
      <w:r>
        <w:t>Each planning team within the ICB</w:t>
      </w:r>
      <w:r w:rsidR="00A21139">
        <w:t xml:space="preserve"> reports into a workstream</w:t>
      </w:r>
      <w:r w:rsidR="000A21EA">
        <w:t xml:space="preserve"> responsible </w:t>
      </w:r>
      <w:r w:rsidR="00542FB6">
        <w:t>for either overseeing performance or service transformation.</w:t>
      </w:r>
      <w:r w:rsidR="0011754B">
        <w:t xml:space="preserve">  These may be </w:t>
      </w:r>
      <w:r w:rsidR="008B59E1">
        <w:t xml:space="preserve">mid and south Essex system groups </w:t>
      </w:r>
      <w:r w:rsidR="0026202B">
        <w:t>(</w:t>
      </w:r>
      <w:r w:rsidR="00824B03">
        <w:t>e.g.,</w:t>
      </w:r>
      <w:r w:rsidR="002D08EF">
        <w:t xml:space="preserve"> workstreams reporting into portfolio groups led by the system Chief Executives</w:t>
      </w:r>
      <w:r w:rsidR="00D31BB7">
        <w:t xml:space="preserve"> or a stewardship group</w:t>
      </w:r>
      <w:r w:rsidR="002D08EF">
        <w:t xml:space="preserve">) </w:t>
      </w:r>
      <w:r w:rsidR="008B59E1">
        <w:t>or regional groups such a</w:t>
      </w:r>
      <w:r w:rsidR="002D08EF">
        <w:t>s</w:t>
      </w:r>
      <w:r w:rsidR="008B59E1">
        <w:t xml:space="preserve"> the ‘Cancer Board’</w:t>
      </w:r>
      <w:r w:rsidR="0026202B">
        <w:t>.</w:t>
      </w:r>
    </w:p>
    <w:p w14:paraId="6769D946" w14:textId="19A82C81" w:rsidR="008D2D91" w:rsidRDefault="008D2D91" w:rsidP="00BE1D9D">
      <w:pPr>
        <w:pStyle w:val="Style2"/>
      </w:pPr>
      <w:r>
        <w:t xml:space="preserve">These workstreams </w:t>
      </w:r>
      <w:r w:rsidR="00A24DE9">
        <w:t>are</w:t>
      </w:r>
      <w:r>
        <w:t xml:space="preserve"> responsible for the generation of proposals for new investment, changing commissioning models or patient pathways </w:t>
      </w:r>
      <w:r w:rsidR="00A11D49">
        <w:t>or for decommissioning / disinvestment.</w:t>
      </w:r>
    </w:p>
    <w:p w14:paraId="3FDEACEB" w14:textId="63151716" w:rsidR="00337029" w:rsidRDefault="002F5F01" w:rsidP="00BE1D9D">
      <w:pPr>
        <w:pStyle w:val="Style2"/>
      </w:pPr>
      <w:r>
        <w:t xml:space="preserve">The </w:t>
      </w:r>
      <w:r w:rsidR="00A42D0F">
        <w:t>ICB Executive Committee (operating a</w:t>
      </w:r>
      <w:r w:rsidR="00D86ACE">
        <w:t>s</w:t>
      </w:r>
      <w:r w:rsidR="00A42D0F">
        <w:t xml:space="preserve"> the Commissioning Board)</w:t>
      </w:r>
      <w:r w:rsidR="002D57FE">
        <w:t xml:space="preserve"> will consider proposals from the ICB planning teams</w:t>
      </w:r>
      <w:r w:rsidR="0099128D">
        <w:t xml:space="preserve"> in terms of their commissioning intentions either at the o</w:t>
      </w:r>
      <w:r w:rsidR="00E703B9">
        <w:t xml:space="preserve">utset of the year or during the mid-year </w:t>
      </w:r>
      <w:r w:rsidR="00A24DE9">
        <w:t xml:space="preserve">review </w:t>
      </w:r>
      <w:r w:rsidR="00E703B9">
        <w:t>meeting.</w:t>
      </w:r>
    </w:p>
    <w:p w14:paraId="29846618" w14:textId="60D7E616" w:rsidR="00C83BB1" w:rsidRDefault="00A25D1A" w:rsidP="00BE1D9D">
      <w:pPr>
        <w:pStyle w:val="Style2"/>
      </w:pPr>
      <w:r>
        <w:t>Gateway 0 is a process</w:t>
      </w:r>
      <w:r w:rsidR="00EE3DE6">
        <w:t xml:space="preserve"> established to ensure that firstly proposals accord to the approved commissioning intentions</w:t>
      </w:r>
      <w:r w:rsidR="00BC56CA">
        <w:t xml:space="preserve">, that </w:t>
      </w:r>
      <w:r w:rsidR="00F360CB">
        <w:t>it is affordable within the financial constraints of the system and that</w:t>
      </w:r>
      <w:r w:rsidR="00D15358">
        <w:t xml:space="preserve"> they </w:t>
      </w:r>
      <w:r w:rsidR="00C83BB1">
        <w:t xml:space="preserve">support a cohesive patient pathway across the system. </w:t>
      </w:r>
    </w:p>
    <w:p w14:paraId="12993082" w14:textId="19E8468B" w:rsidR="009009D6" w:rsidRDefault="009009D6" w:rsidP="00BE1D9D">
      <w:pPr>
        <w:pStyle w:val="Style2"/>
      </w:pPr>
      <w:r>
        <w:t xml:space="preserve">Groups involved in Gateway 0 </w:t>
      </w:r>
      <w:r w:rsidR="002409C0">
        <w:t xml:space="preserve">are representative of system partners to ensure that there is a collaborative approach to any </w:t>
      </w:r>
      <w:r w:rsidR="0073494E">
        <w:t>proposal for investment, decommissioning or disinvestment.</w:t>
      </w:r>
    </w:p>
    <w:p w14:paraId="658051D6" w14:textId="44F407B6" w:rsidR="00286962" w:rsidRDefault="00A82E6C" w:rsidP="00286962">
      <w:pPr>
        <w:pStyle w:val="Heading3"/>
      </w:pPr>
      <w:bookmarkStart w:id="74" w:name="_Toc213919805"/>
      <w:r>
        <w:lastRenderedPageBreak/>
        <w:t xml:space="preserve">Stage 2 - </w:t>
      </w:r>
      <w:r w:rsidR="00286962">
        <w:t>Business Case Development</w:t>
      </w:r>
      <w:r w:rsidR="002F6B33">
        <w:t xml:space="preserve"> (Gateway 2)</w:t>
      </w:r>
      <w:bookmarkEnd w:id="74"/>
    </w:p>
    <w:p w14:paraId="6A9D1AF8" w14:textId="35F4E4FB" w:rsidR="00286962" w:rsidRDefault="0045409B" w:rsidP="00BE1D9D">
      <w:pPr>
        <w:pStyle w:val="Style2"/>
      </w:pPr>
      <w:r>
        <w:t xml:space="preserve">Business cases </w:t>
      </w:r>
      <w:r w:rsidR="00A827D8">
        <w:t xml:space="preserve">must be produced </w:t>
      </w:r>
      <w:r w:rsidR="00907CB7">
        <w:t xml:space="preserve">for new proposals or </w:t>
      </w:r>
      <w:r>
        <w:t>when a change to existing commissioning arrangements</w:t>
      </w:r>
      <w:r w:rsidR="00A827D8">
        <w:t xml:space="preserve"> </w:t>
      </w:r>
      <w:r w:rsidR="00491AED">
        <w:t>is</w:t>
      </w:r>
      <w:r w:rsidR="00A827D8">
        <w:t xml:space="preserve"> proposed.  The ICB template business case</w:t>
      </w:r>
      <w:r w:rsidR="00047FF6">
        <w:t xml:space="preserve"> (either in Microsoft </w:t>
      </w:r>
      <w:r w:rsidR="008E0599">
        <w:t>PowerPoint</w:t>
      </w:r>
      <w:r w:rsidR="00047FF6">
        <w:t xml:space="preserve"> or </w:t>
      </w:r>
      <w:r w:rsidR="008E0599">
        <w:t xml:space="preserve">Word </w:t>
      </w:r>
      <w:r w:rsidR="00047FF6">
        <w:t>format)</w:t>
      </w:r>
      <w:r w:rsidR="00A827D8">
        <w:t xml:space="preserve"> is to be followed unless there is a national requirement that a specific template be used e.g. </w:t>
      </w:r>
      <w:r w:rsidR="00F448A7">
        <w:t>when bidding for NHS England ringfenced funds or Estates related business cases</w:t>
      </w:r>
      <w:r w:rsidR="00380EAB">
        <w:t>.</w:t>
      </w:r>
    </w:p>
    <w:p w14:paraId="515E3B2F" w14:textId="4A9412BB" w:rsidR="00613A1D" w:rsidRDefault="002358C4" w:rsidP="00BE1D9D">
      <w:pPr>
        <w:pStyle w:val="Style2"/>
      </w:pPr>
      <w:r>
        <w:t>Business cases are not required for</w:t>
      </w:r>
      <w:r w:rsidR="005F3613">
        <w:t>:</w:t>
      </w:r>
      <w:r>
        <w:t xml:space="preserve"> </w:t>
      </w:r>
    </w:p>
    <w:p w14:paraId="54E6F3D5" w14:textId="1C995C05" w:rsidR="00380EAB" w:rsidRDefault="00132EB9" w:rsidP="00223A24">
      <w:pPr>
        <w:pStyle w:val="ListParagraph"/>
        <w:widowControl w:val="0"/>
        <w:numPr>
          <w:ilvl w:val="1"/>
          <w:numId w:val="15"/>
        </w:numPr>
        <w:autoSpaceDE w:val="0"/>
        <w:autoSpaceDN w:val="0"/>
        <w:spacing w:before="1" w:after="0" w:line="293" w:lineRule="exact"/>
        <w:ind w:left="1701" w:right="-46" w:hanging="567"/>
      </w:pPr>
      <w:r>
        <w:t>T</w:t>
      </w:r>
      <w:r w:rsidR="002358C4">
        <w:t>he re-procurement of an existing service</w:t>
      </w:r>
      <w:r w:rsidR="00EF739D">
        <w:t xml:space="preserve"> where there is no significant change to </w:t>
      </w:r>
      <w:r w:rsidR="00907CB7">
        <w:t xml:space="preserve">the </w:t>
      </w:r>
      <w:r w:rsidR="00EF739D">
        <w:t>existing model</w:t>
      </w:r>
      <w:r w:rsidR="00907CB7">
        <w:t xml:space="preserve"> and financial envelope.</w:t>
      </w:r>
    </w:p>
    <w:p w14:paraId="57A9A29A" w14:textId="7BFBFCDB" w:rsidR="005F3613" w:rsidRDefault="005F3613" w:rsidP="00223A24">
      <w:pPr>
        <w:pStyle w:val="ListParagraph"/>
        <w:widowControl w:val="0"/>
        <w:numPr>
          <w:ilvl w:val="1"/>
          <w:numId w:val="15"/>
        </w:numPr>
        <w:autoSpaceDE w:val="0"/>
        <w:autoSpaceDN w:val="0"/>
        <w:spacing w:before="1" w:after="0" w:line="293" w:lineRule="exact"/>
        <w:ind w:left="1701" w:right="-46" w:hanging="567"/>
      </w:pPr>
      <w:r>
        <w:t>Use of ringfenced monies</w:t>
      </w:r>
      <w:r w:rsidR="00132EB9">
        <w:t xml:space="preserve"> </w:t>
      </w:r>
      <w:r w:rsidR="000445B4">
        <w:t>obtained via a bidding process.</w:t>
      </w:r>
    </w:p>
    <w:p w14:paraId="337EBDC5" w14:textId="4B13AEB1" w:rsidR="00A8767E" w:rsidRDefault="00A8767E" w:rsidP="00BE1D9D">
      <w:pPr>
        <w:pStyle w:val="Style2"/>
      </w:pPr>
      <w:r>
        <w:t>It is important to ensure that all relevant</w:t>
      </w:r>
      <w:r w:rsidR="00814356">
        <w:t xml:space="preserve"> experts (e.g. clinical or technical) are </w:t>
      </w:r>
      <w:r w:rsidR="00827957">
        <w:t xml:space="preserve">engaged </w:t>
      </w:r>
      <w:r w:rsidR="00814356">
        <w:t xml:space="preserve">and contribute to the development of a business case to ensure that it is a </w:t>
      </w:r>
      <w:r w:rsidR="0049141D">
        <w:t>sound and robust proposal.  This may include both the initial development of the case and presenting the case to</w:t>
      </w:r>
      <w:r w:rsidR="00B65F26">
        <w:t xml:space="preserve"> appropriate forums or ICB advisory or assurance committees/groups.  A summary of the groups that may be </w:t>
      </w:r>
      <w:r w:rsidR="00827957">
        <w:t xml:space="preserve">engaged </w:t>
      </w:r>
      <w:r w:rsidR="008464B5">
        <w:t>and their role in decision making is included at Appendix G.</w:t>
      </w:r>
    </w:p>
    <w:p w14:paraId="7CF14314" w14:textId="10B1418D" w:rsidR="0049141D" w:rsidRDefault="008464B5" w:rsidP="00BE1D9D">
      <w:pPr>
        <w:pStyle w:val="Style2"/>
      </w:pPr>
      <w:r>
        <w:t>To ensure that all proposal</w:t>
      </w:r>
      <w:r w:rsidR="00567357">
        <w:t>s</w:t>
      </w:r>
      <w:r>
        <w:t xml:space="preserve"> comply with </w:t>
      </w:r>
      <w:r w:rsidR="005D0471">
        <w:t xml:space="preserve">governance, </w:t>
      </w:r>
      <w:r>
        <w:t xml:space="preserve">legal </w:t>
      </w:r>
      <w:r w:rsidR="005F40A1">
        <w:t>and technical requirements, each element of the business case checklist must be completed, this will demonstrate:</w:t>
      </w:r>
    </w:p>
    <w:p w14:paraId="08C50EAB" w14:textId="709C0D1D" w:rsidR="006615BE" w:rsidRDefault="0022147B" w:rsidP="00223A24">
      <w:pPr>
        <w:pStyle w:val="ListParagraph"/>
        <w:widowControl w:val="0"/>
        <w:numPr>
          <w:ilvl w:val="1"/>
          <w:numId w:val="15"/>
        </w:numPr>
        <w:autoSpaceDE w:val="0"/>
        <w:autoSpaceDN w:val="0"/>
        <w:spacing w:before="1" w:after="0" w:line="293" w:lineRule="exact"/>
        <w:ind w:left="1701" w:right="-46" w:hanging="567"/>
      </w:pPr>
      <w:r>
        <w:t xml:space="preserve">Alignment to the Integrated Care Strategy and </w:t>
      </w:r>
      <w:r w:rsidR="006615BE">
        <w:t>strategic priorities (including those relating to health inequalities)</w:t>
      </w:r>
      <w:r w:rsidR="007D50CA">
        <w:t>.</w:t>
      </w:r>
    </w:p>
    <w:p w14:paraId="30223222" w14:textId="52812AEA" w:rsidR="00DE348D" w:rsidRDefault="0013559C" w:rsidP="00223A24">
      <w:pPr>
        <w:pStyle w:val="ListParagraph"/>
        <w:widowControl w:val="0"/>
        <w:numPr>
          <w:ilvl w:val="1"/>
          <w:numId w:val="15"/>
        </w:numPr>
        <w:autoSpaceDE w:val="0"/>
        <w:autoSpaceDN w:val="0"/>
        <w:spacing w:before="1" w:after="0" w:line="293" w:lineRule="exact"/>
        <w:ind w:left="1701" w:right="-46" w:hanging="567"/>
      </w:pPr>
      <w:r>
        <w:t xml:space="preserve">Support from the </w:t>
      </w:r>
      <w:r w:rsidR="000F1FD1">
        <w:t xml:space="preserve">relevant Stewardship Group, </w:t>
      </w:r>
      <w:r w:rsidR="00167744">
        <w:t>ICB Operational Group</w:t>
      </w:r>
      <w:r>
        <w:t xml:space="preserve">, Executive </w:t>
      </w:r>
      <w:r w:rsidR="00167744">
        <w:t>Committee</w:t>
      </w:r>
      <w:r w:rsidR="000F1FD1">
        <w:t>.</w:t>
      </w:r>
      <w:r>
        <w:t xml:space="preserve"> </w:t>
      </w:r>
    </w:p>
    <w:p w14:paraId="363A0029" w14:textId="2DB0151C" w:rsidR="005F40A1" w:rsidRDefault="005020E3" w:rsidP="00223A24">
      <w:pPr>
        <w:pStyle w:val="ListParagraph"/>
        <w:widowControl w:val="0"/>
        <w:numPr>
          <w:ilvl w:val="1"/>
          <w:numId w:val="15"/>
        </w:numPr>
        <w:autoSpaceDE w:val="0"/>
        <w:autoSpaceDN w:val="0"/>
        <w:spacing w:before="1" w:after="0" w:line="293" w:lineRule="exact"/>
        <w:ind w:left="1701" w:right="-46" w:hanging="567"/>
      </w:pPr>
      <w:r>
        <w:t>Financial commitment</w:t>
      </w:r>
      <w:r w:rsidR="007D50CA">
        <w:t>.</w:t>
      </w:r>
    </w:p>
    <w:p w14:paraId="78DAE5BE" w14:textId="34749F67" w:rsidR="00667220" w:rsidRDefault="00F63AA2" w:rsidP="00223A24">
      <w:pPr>
        <w:pStyle w:val="ListParagraph"/>
        <w:widowControl w:val="0"/>
        <w:numPr>
          <w:ilvl w:val="1"/>
          <w:numId w:val="15"/>
        </w:numPr>
        <w:autoSpaceDE w:val="0"/>
        <w:autoSpaceDN w:val="0"/>
        <w:spacing w:before="1" w:after="0" w:line="293" w:lineRule="exact"/>
        <w:ind w:left="1701" w:right="-46" w:hanging="567"/>
      </w:pPr>
      <w:r>
        <w:t>Engagement and co-production</w:t>
      </w:r>
      <w:r w:rsidR="007D50CA">
        <w:t>.</w:t>
      </w:r>
    </w:p>
    <w:p w14:paraId="10411BFF" w14:textId="7225E5F6" w:rsidR="00D11E69" w:rsidRDefault="00D11E69" w:rsidP="00223A24">
      <w:pPr>
        <w:pStyle w:val="ListParagraph"/>
        <w:widowControl w:val="0"/>
        <w:numPr>
          <w:ilvl w:val="1"/>
          <w:numId w:val="15"/>
        </w:numPr>
        <w:autoSpaceDE w:val="0"/>
        <w:autoSpaceDN w:val="0"/>
        <w:spacing w:before="1" w:after="0" w:line="293" w:lineRule="exact"/>
        <w:ind w:left="1701" w:right="-46" w:hanging="567"/>
      </w:pPr>
      <w:r>
        <w:t>Equality and Health Inequality Impact Assessments</w:t>
      </w:r>
      <w:r w:rsidR="00962E77">
        <w:t>, Quality Impact Assessments and any other assessment</w:t>
      </w:r>
      <w:r w:rsidR="00057CC5">
        <w:t>s</w:t>
      </w:r>
      <w:r w:rsidR="00962E77">
        <w:t xml:space="preserve"> required</w:t>
      </w:r>
      <w:r>
        <w:t xml:space="preserve"> are undertaken and actions to address any impact have been identifi</w:t>
      </w:r>
      <w:r w:rsidR="00954CD3">
        <w:t>ed.</w:t>
      </w:r>
    </w:p>
    <w:p w14:paraId="625D93D5" w14:textId="5E528748" w:rsidR="00F63AA2" w:rsidRDefault="0030743B" w:rsidP="00223A24">
      <w:pPr>
        <w:pStyle w:val="ListParagraph"/>
        <w:widowControl w:val="0"/>
        <w:numPr>
          <w:ilvl w:val="1"/>
          <w:numId w:val="15"/>
        </w:numPr>
        <w:autoSpaceDE w:val="0"/>
        <w:autoSpaceDN w:val="0"/>
        <w:spacing w:before="1" w:after="0" w:line="293" w:lineRule="exact"/>
        <w:ind w:left="1701" w:right="-46" w:hanging="567"/>
      </w:pPr>
      <w:r>
        <w:t xml:space="preserve">Compliance with </w:t>
      </w:r>
      <w:r w:rsidR="00463A36">
        <w:t>legal requirements and p</w:t>
      </w:r>
      <w:r>
        <w:t xml:space="preserve">rocurement </w:t>
      </w:r>
      <w:r w:rsidR="00463A36">
        <w:t>r</w:t>
      </w:r>
      <w:r>
        <w:t>egulations</w:t>
      </w:r>
      <w:r w:rsidR="007D50CA">
        <w:t>.</w:t>
      </w:r>
    </w:p>
    <w:p w14:paraId="24FE0890" w14:textId="57AA556A" w:rsidR="0030743B" w:rsidRDefault="0030743B" w:rsidP="00223A24">
      <w:pPr>
        <w:pStyle w:val="ListParagraph"/>
        <w:widowControl w:val="0"/>
        <w:numPr>
          <w:ilvl w:val="1"/>
          <w:numId w:val="15"/>
        </w:numPr>
        <w:autoSpaceDE w:val="0"/>
        <w:autoSpaceDN w:val="0"/>
        <w:spacing w:before="1" w:after="0" w:line="293" w:lineRule="exact"/>
        <w:ind w:left="1701" w:right="-46" w:hanging="567"/>
      </w:pPr>
      <w:r>
        <w:t>Compliance with digital and information security</w:t>
      </w:r>
      <w:r w:rsidR="00FC2AF6">
        <w:t xml:space="preserve"> standards</w:t>
      </w:r>
      <w:r w:rsidR="007D50CA">
        <w:t>.</w:t>
      </w:r>
    </w:p>
    <w:p w14:paraId="0F4742DD" w14:textId="3C9BB09B" w:rsidR="00D82977" w:rsidRDefault="00461D54" w:rsidP="00223A24">
      <w:pPr>
        <w:pStyle w:val="ListParagraph"/>
        <w:widowControl w:val="0"/>
        <w:numPr>
          <w:ilvl w:val="1"/>
          <w:numId w:val="15"/>
        </w:numPr>
        <w:autoSpaceDE w:val="0"/>
        <w:autoSpaceDN w:val="0"/>
        <w:spacing w:before="1" w:after="0" w:line="293" w:lineRule="exact"/>
        <w:ind w:left="1701" w:right="-46" w:hanging="567"/>
      </w:pPr>
      <w:r>
        <w:t>Clinical, HR, Estates and governance requirements have been met</w:t>
      </w:r>
      <w:r w:rsidR="007D50CA">
        <w:t>.</w:t>
      </w:r>
    </w:p>
    <w:p w14:paraId="708C3D87" w14:textId="3EF24DB6" w:rsidR="007D50CA" w:rsidRDefault="007D50CA" w:rsidP="00223A24">
      <w:pPr>
        <w:pStyle w:val="ListParagraph"/>
        <w:widowControl w:val="0"/>
        <w:numPr>
          <w:ilvl w:val="1"/>
          <w:numId w:val="15"/>
        </w:numPr>
        <w:autoSpaceDE w:val="0"/>
        <w:autoSpaceDN w:val="0"/>
        <w:spacing w:before="1" w:after="0" w:line="293" w:lineRule="exact"/>
        <w:ind w:left="1701" w:right="-46" w:hanging="567"/>
      </w:pPr>
      <w:r>
        <w:t>There is a commitment to the realisation of benefits as part of a cycle of continuous improvement.</w:t>
      </w:r>
    </w:p>
    <w:p w14:paraId="091AA6C4" w14:textId="6EA8CA81" w:rsidR="007D6D10" w:rsidRDefault="005D0471" w:rsidP="002F6B33">
      <w:pPr>
        <w:pStyle w:val="Style2"/>
      </w:pPr>
      <w:r>
        <w:t>The ICB has a legal duty to engage</w:t>
      </w:r>
      <w:r w:rsidR="00E158CB">
        <w:t>, outlined within its communications and engagement strategy</w:t>
      </w:r>
      <w:r w:rsidR="00B0363E">
        <w:t>, which will be following throughout the development of the business case proposa</w:t>
      </w:r>
      <w:r w:rsidR="009009D6">
        <w:t>l.</w:t>
      </w:r>
    </w:p>
    <w:p w14:paraId="00120521" w14:textId="480790FD" w:rsidR="0073494E" w:rsidRDefault="00A82E6C" w:rsidP="0073494E">
      <w:pPr>
        <w:pStyle w:val="Heading3"/>
      </w:pPr>
      <w:bookmarkStart w:id="75" w:name="_Toc213919806"/>
      <w:r>
        <w:t xml:space="preserve">Stage 3 - </w:t>
      </w:r>
      <w:r w:rsidR="007E5C56">
        <w:t>Formal Approval</w:t>
      </w:r>
      <w:bookmarkEnd w:id="75"/>
    </w:p>
    <w:p w14:paraId="4E352DDD" w14:textId="05E52E25" w:rsidR="007E5C56" w:rsidRDefault="0039173F" w:rsidP="00563C10">
      <w:pPr>
        <w:pStyle w:val="Style2"/>
      </w:pPr>
      <w:r>
        <w:t>The Scheme of Reservation and Delegation sets out</w:t>
      </w:r>
      <w:r w:rsidR="002C0366">
        <w:t xml:space="preserve"> the roles and decision making that the Board has either retained or delegated to committees or individuals within or outside of the ICB.  </w:t>
      </w:r>
      <w:r w:rsidR="001031C7">
        <w:t xml:space="preserve">All cases requiring the commitment or withdrawal of funding must be approved in accordance with </w:t>
      </w:r>
      <w:r w:rsidR="00564680">
        <w:t xml:space="preserve">that scheme. </w:t>
      </w:r>
    </w:p>
    <w:p w14:paraId="15520060" w14:textId="7C00AD14" w:rsidR="008A00B7" w:rsidRDefault="00563C10" w:rsidP="00491AED">
      <w:pPr>
        <w:pStyle w:val="Style2"/>
      </w:pPr>
      <w:r>
        <w:lastRenderedPageBreak/>
        <w:t xml:space="preserve">All cases must be supported by the </w:t>
      </w:r>
      <w:r w:rsidR="00A44602">
        <w:t>ICB Operational Group</w:t>
      </w:r>
      <w:r w:rsidR="00921539">
        <w:t xml:space="preserve"> </w:t>
      </w:r>
      <w:r w:rsidR="0093687C">
        <w:t xml:space="preserve">prior to being presented to either an Executive Director, </w:t>
      </w:r>
      <w:r w:rsidR="00A44602">
        <w:t>Executive Committee</w:t>
      </w:r>
      <w:r w:rsidR="0093687C">
        <w:t xml:space="preserve">, </w:t>
      </w:r>
      <w:r w:rsidR="00E64CDE">
        <w:t xml:space="preserve">the Primary Care Commissioning Committee (where appropriate), </w:t>
      </w:r>
      <w:r w:rsidR="0093687C">
        <w:t xml:space="preserve">the Finance &amp; </w:t>
      </w:r>
      <w:r w:rsidR="00A44602">
        <w:t xml:space="preserve">Performance </w:t>
      </w:r>
      <w:r w:rsidR="0093687C">
        <w:t>Committee or the Board (depending on the financial value involved).</w:t>
      </w:r>
      <w:r w:rsidR="00A44602">
        <w:t xml:space="preserve"> See </w:t>
      </w:r>
      <w:r w:rsidR="00A44602" w:rsidRPr="008B2704">
        <w:rPr>
          <w:b/>
          <w:bCs/>
        </w:rPr>
        <w:t>Appendix B</w:t>
      </w:r>
      <w:r w:rsidR="00A44602">
        <w:t xml:space="preserve"> for details.</w:t>
      </w:r>
    </w:p>
    <w:p w14:paraId="26267229" w14:textId="77777777" w:rsidR="008B2704" w:rsidRPr="00AB2ED1" w:rsidRDefault="008B2704" w:rsidP="008B2704">
      <w:pPr>
        <w:pStyle w:val="Style2"/>
      </w:pPr>
      <w:r w:rsidRPr="00AB2ED1">
        <w:t xml:space="preserve">The ICB acknowledges that all investments involve a degree of risk.  In deciding whether to invest, the ICB will </w:t>
      </w:r>
      <w:proofErr w:type="gramStart"/>
      <w:r w:rsidRPr="00AB2ED1">
        <w:t>take into account</w:t>
      </w:r>
      <w:proofErr w:type="gramEnd"/>
      <w:r w:rsidRPr="00AB2ED1">
        <w:t xml:space="preserve"> the risk and return of the proposed investment.</w:t>
      </w:r>
    </w:p>
    <w:p w14:paraId="2BF647C4" w14:textId="77777777" w:rsidR="008B2704" w:rsidRPr="00AB2ED1" w:rsidRDefault="008B2704" w:rsidP="008B2704">
      <w:pPr>
        <w:pStyle w:val="Style2"/>
      </w:pPr>
      <w:r w:rsidRPr="00AB2ED1">
        <w:t>Having made the decision to invest, the ICB will actively monitor and manage its investment to minimise the probability and impact of adverse outcomes.</w:t>
      </w:r>
    </w:p>
    <w:p w14:paraId="1F4FA225" w14:textId="63A2CCC5" w:rsidR="008B2704" w:rsidRDefault="008B2704" w:rsidP="008B2704">
      <w:pPr>
        <w:pStyle w:val="Style2"/>
      </w:pPr>
      <w:r w:rsidRPr="00AB2ED1">
        <w:t xml:space="preserve">If the ICB decides to approve the </w:t>
      </w:r>
      <w:r w:rsidR="00C34B3B" w:rsidRPr="00C34B3B">
        <w:t xml:space="preserve">new proposal or change to existing commissioning arrangements </w:t>
      </w:r>
      <w:r w:rsidR="001922F0">
        <w:t>(</w:t>
      </w:r>
      <w:r w:rsidRPr="00AB2ED1">
        <w:t>project</w:t>
      </w:r>
      <w:r w:rsidR="001922F0">
        <w:t>)</w:t>
      </w:r>
      <w:r w:rsidRPr="00AB2ED1">
        <w:t>, it will implement controls to minimise the probability and severity of loss associated with the project.</w:t>
      </w:r>
    </w:p>
    <w:p w14:paraId="76E63E05" w14:textId="288AF9FE" w:rsidR="00C947DC" w:rsidRDefault="0060315F" w:rsidP="00C947DC">
      <w:pPr>
        <w:pStyle w:val="Style2"/>
        <w:numPr>
          <w:ilvl w:val="0"/>
          <w:numId w:val="0"/>
        </w:numPr>
        <w:ind w:left="1134"/>
      </w:pPr>
      <w:r>
        <w:t>Dou</w:t>
      </w:r>
      <w:r w:rsidR="0068469E">
        <w:t>b</w:t>
      </w:r>
      <w:r>
        <w:t xml:space="preserve">le / </w:t>
      </w:r>
      <w:r w:rsidR="00C947DC">
        <w:t>Triple Lock</w:t>
      </w:r>
    </w:p>
    <w:p w14:paraId="307761F5" w14:textId="685233DE" w:rsidR="00C947DC" w:rsidRDefault="00043E96" w:rsidP="008B2704">
      <w:pPr>
        <w:pStyle w:val="Style2"/>
      </w:pPr>
      <w:r>
        <w:t>Where the ICB and/or mid and south Essex System is in financial recovery, it will adhere to the financial constraints imposed upon it and those it may wish to impose on itself</w:t>
      </w:r>
      <w:r w:rsidR="00F24835">
        <w:t xml:space="preserve"> to enact more stringent financial control over expenditure.</w:t>
      </w:r>
    </w:p>
    <w:p w14:paraId="58A5F494" w14:textId="5FE1B700" w:rsidR="00F24835" w:rsidRDefault="00F24835" w:rsidP="008B2704">
      <w:pPr>
        <w:pStyle w:val="Style2"/>
      </w:pPr>
      <w:r>
        <w:t xml:space="preserve">This may involve ‘double’, or ‘triple’ lock whereby approval for expenditure will need to be </w:t>
      </w:r>
      <w:r w:rsidR="001C632D">
        <w:t>sought by the internal ICB panel, ICB Executive Committee and where necessary NHS England.</w:t>
      </w:r>
    </w:p>
    <w:p w14:paraId="220DDCB3" w14:textId="0AF03B54" w:rsidR="00BB32C5" w:rsidRDefault="00BB32C5" w:rsidP="008B2704">
      <w:pPr>
        <w:pStyle w:val="Style2"/>
      </w:pPr>
      <w:r>
        <w:t>The level of financial control enacted as part of this process may vary from time to time, but will be published on the ICB intranet</w:t>
      </w:r>
      <w:r w:rsidR="00C16098">
        <w:t>:</w:t>
      </w:r>
      <w:r w:rsidR="0060315F">
        <w:t xml:space="preserve"> </w:t>
      </w:r>
      <w:hyperlink r:id="rId23" w:history="1">
        <w:r w:rsidR="00C16098">
          <w:rPr>
            <w:rStyle w:val="Hyperlink"/>
          </w:rPr>
          <w:t>Triple lock process</w:t>
        </w:r>
      </w:hyperlink>
      <w:r w:rsidR="00C16098">
        <w:t xml:space="preserve"> [hyperlinks]</w:t>
      </w:r>
    </w:p>
    <w:p w14:paraId="75999593" w14:textId="641B4F4C" w:rsidR="002F6B33" w:rsidRDefault="00A82E6C" w:rsidP="007E5C56">
      <w:pPr>
        <w:pStyle w:val="Heading3"/>
      </w:pPr>
      <w:bookmarkStart w:id="76" w:name="_Toc213919807"/>
      <w:r>
        <w:t xml:space="preserve">Stage 4 </w:t>
      </w:r>
      <w:r w:rsidR="002F6B33">
        <w:t>–</w:t>
      </w:r>
      <w:r>
        <w:t xml:space="preserve"> </w:t>
      </w:r>
      <w:r w:rsidR="002F6B33">
        <w:t>Planning and Delivery (Gateway 3 to 5)</w:t>
      </w:r>
      <w:bookmarkEnd w:id="76"/>
    </w:p>
    <w:p w14:paraId="41594AF5" w14:textId="39E8EA6C" w:rsidR="002F6B33" w:rsidRPr="002F6B33" w:rsidRDefault="004D5EEE" w:rsidP="002F6B33">
      <w:pPr>
        <w:pStyle w:val="Style2"/>
      </w:pPr>
      <w:r>
        <w:t>The planning and delivery phase ensure</w:t>
      </w:r>
      <w:r w:rsidR="00253252">
        <w:t>s</w:t>
      </w:r>
      <w:r>
        <w:t xml:space="preserve"> that the project is justifie</w:t>
      </w:r>
      <w:r w:rsidR="007D5D0D">
        <w:t>d, initiated (development of a Project Initiation Document (PID)), ‘worked up’</w:t>
      </w:r>
      <w:r w:rsidR="00E53AC6">
        <w:t xml:space="preserve"> (i.e. full completion of the project workbook and all associated impact assessments having been approved) and executed into project delivery</w:t>
      </w:r>
      <w:r w:rsidR="00253252">
        <w:t xml:space="preserve"> in accordance with ICB policies (i.e. Standing Financial Instructions and Procurement Policy).</w:t>
      </w:r>
    </w:p>
    <w:p w14:paraId="2CB38937" w14:textId="0982E598" w:rsidR="007E5C56" w:rsidRPr="007E5C56" w:rsidRDefault="007E5C56" w:rsidP="007E5C56">
      <w:pPr>
        <w:pStyle w:val="Heading3"/>
      </w:pPr>
      <w:bookmarkStart w:id="77" w:name="_Toc213919808"/>
      <w:r>
        <w:t>Monitoring, Review and Validation</w:t>
      </w:r>
      <w:r w:rsidR="002F6B33">
        <w:t xml:space="preserve"> (Gateway 6)</w:t>
      </w:r>
      <w:bookmarkEnd w:id="77"/>
    </w:p>
    <w:p w14:paraId="10EA60DB" w14:textId="77777777" w:rsidR="00FA61AB" w:rsidRDefault="00F16C0A" w:rsidP="00F16C0A">
      <w:pPr>
        <w:pStyle w:val="Style2"/>
      </w:pPr>
      <w:r w:rsidRPr="0088282C">
        <w:t xml:space="preserve">The ICB recognise the need to ensure that we apply best practice performance and contract management principles to all contracts and subsequently reviews whether commissioned services are meeting the needs of the population (as identified through the Joint Forward Plan and demand analysis) ‘and’ are of high quality and best value for money. </w:t>
      </w:r>
    </w:p>
    <w:p w14:paraId="684027F6" w14:textId="77777777" w:rsidR="00DE378C" w:rsidRDefault="00F1357F" w:rsidP="00DE378C">
      <w:pPr>
        <w:pStyle w:val="Style2"/>
      </w:pPr>
      <w:r>
        <w:t>On-going review of performance and the realisation of proposed benefits will be undertak</w:t>
      </w:r>
      <w:r w:rsidR="00AD1A4F">
        <w:t>en</w:t>
      </w:r>
      <w:r>
        <w:t xml:space="preserve"> as part of a continuous cycle</w:t>
      </w:r>
      <w:r w:rsidR="00AD1A4F">
        <w:t xml:space="preserve"> of contract management supporting the principles of continuous improvement</w:t>
      </w:r>
      <w:r w:rsidR="00825B1D">
        <w:t xml:space="preserve"> and ensuring that services remain clinically relevant and viable.</w:t>
      </w:r>
    </w:p>
    <w:p w14:paraId="5238CB7B" w14:textId="5FC3D352" w:rsidR="001F18DC" w:rsidRDefault="00751CF0" w:rsidP="00DF0CAD">
      <w:pPr>
        <w:pStyle w:val="Style2"/>
      </w:pPr>
      <w:r>
        <w:t>The ICB has introduced a</w:t>
      </w:r>
      <w:r w:rsidR="009C6439">
        <w:t xml:space="preserve"> </w:t>
      </w:r>
      <w:r w:rsidR="009C6439" w:rsidRPr="00DE378C">
        <w:t>new</w:t>
      </w:r>
      <w:r w:rsidR="009C6439">
        <w:t xml:space="preserve"> process for the management of contracts </w:t>
      </w:r>
      <w:r w:rsidR="00335DF9">
        <w:t xml:space="preserve">that encompasses these principles </w:t>
      </w:r>
      <w:r w:rsidR="009C6439">
        <w:t xml:space="preserve">as set out </w:t>
      </w:r>
      <w:r w:rsidR="00DF0CAD">
        <w:t>from</w:t>
      </w:r>
      <w:r w:rsidR="009C6439">
        <w:t xml:space="preserve"> section </w:t>
      </w:r>
      <w:r w:rsidR="00DF0CAD">
        <w:t>6.13</w:t>
      </w:r>
      <w:r w:rsidR="009C6439">
        <w:t xml:space="preserve"> below. </w:t>
      </w:r>
      <w:r>
        <w:t xml:space="preserve"> </w:t>
      </w:r>
      <w:r w:rsidR="009C6439">
        <w:t xml:space="preserve"> </w:t>
      </w:r>
    </w:p>
    <w:p w14:paraId="42D86B18" w14:textId="42EA05AB" w:rsidR="00B85EEC" w:rsidRDefault="00B85EEC" w:rsidP="00825B1D">
      <w:pPr>
        <w:pStyle w:val="Style2"/>
      </w:pPr>
      <w:r>
        <w:lastRenderedPageBreak/>
        <w:t>In addition, the Operational Lead will also need to ensure that benefits outlined within the original business case are realised and regularly reviewed</w:t>
      </w:r>
      <w:r w:rsidR="00CA2400">
        <w:t>.  I</w:t>
      </w:r>
      <w:r>
        <w:t xml:space="preserve">n cases where the benefits are not being realised consideration </w:t>
      </w:r>
      <w:r w:rsidR="00CA2400">
        <w:t>must be</w:t>
      </w:r>
      <w:r>
        <w:t xml:space="preserve"> given to the steps needed to bring the </w:t>
      </w:r>
      <w:r w:rsidR="001F18DC">
        <w:t>project/service back in line with its intended objectives/benefits</w:t>
      </w:r>
      <w:r w:rsidR="00CA2400">
        <w:t xml:space="preserve"> or to consider ceasing </w:t>
      </w:r>
      <w:r w:rsidR="00AF6519">
        <w:t xml:space="preserve">or transforming </w:t>
      </w:r>
      <w:r w:rsidR="00CA2400">
        <w:t>the project/service</w:t>
      </w:r>
      <w:r w:rsidR="001F18DC">
        <w:t>.</w:t>
      </w:r>
    </w:p>
    <w:p w14:paraId="08196C97" w14:textId="21D4203A" w:rsidR="0073494E" w:rsidRPr="0073494E" w:rsidRDefault="00F16C0A" w:rsidP="00825B1D">
      <w:pPr>
        <w:pStyle w:val="Style2"/>
      </w:pPr>
      <w:r w:rsidRPr="0088282C">
        <w:t xml:space="preserve">The process for identifying potential services for decommissioning needs to be systematic and there are </w:t>
      </w:r>
      <w:proofErr w:type="gramStart"/>
      <w:r w:rsidRPr="0088282C">
        <w:t>a number of</w:t>
      </w:r>
      <w:proofErr w:type="gramEnd"/>
      <w:r w:rsidRPr="0088282C">
        <w:t xml:space="preserve"> mechanisms utilised by our staff to evidence the need for review such as benefits analysis working groups, complaints, public health needs assessments etc.</w:t>
      </w:r>
      <w:r w:rsidR="00AF6519">
        <w:t xml:space="preserve"> This is described in more detail </w:t>
      </w:r>
      <w:r w:rsidR="007C4715">
        <w:t>from</w:t>
      </w:r>
      <w:r w:rsidR="00AF6519">
        <w:t xml:space="preserve"> section </w:t>
      </w:r>
      <w:r w:rsidR="007C4715">
        <w:t>6.17.</w:t>
      </w:r>
    </w:p>
    <w:p w14:paraId="248AAAD5" w14:textId="68028E9C" w:rsidR="001757B8" w:rsidRDefault="001757B8" w:rsidP="009F53F3">
      <w:pPr>
        <w:pStyle w:val="Heading2"/>
        <w:numPr>
          <w:ilvl w:val="0"/>
          <w:numId w:val="0"/>
        </w:numPr>
        <w:ind w:left="1134"/>
      </w:pPr>
      <w:bookmarkStart w:id="78" w:name="_Toc213919809"/>
      <w:r>
        <w:t>Principles of Contract</w:t>
      </w:r>
      <w:r w:rsidR="00D8692C">
        <w:t>ing</w:t>
      </w:r>
      <w:bookmarkEnd w:id="78"/>
      <w:r>
        <w:t xml:space="preserve"> </w:t>
      </w:r>
    </w:p>
    <w:p w14:paraId="022CACBB" w14:textId="6F23F063" w:rsidR="001757B8" w:rsidRDefault="54B502EC" w:rsidP="003A34CC">
      <w:pPr>
        <w:pStyle w:val="Heading3"/>
      </w:pPr>
      <w:bookmarkStart w:id="79" w:name="_Toc213919810"/>
      <w:r>
        <w:t>Establishing Contracts</w:t>
      </w:r>
      <w:bookmarkEnd w:id="79"/>
    </w:p>
    <w:p w14:paraId="58FFCFDD" w14:textId="15115B5C" w:rsidR="003A34CC" w:rsidRDefault="00B548EF" w:rsidP="00CA2808">
      <w:pPr>
        <w:pStyle w:val="Style2"/>
      </w:pPr>
      <w:r w:rsidRPr="007717BB">
        <w:rPr>
          <w:rFonts w:cstheme="minorHAnsi"/>
          <w:b/>
          <w:bCs/>
          <w:color w:val="202A30"/>
          <w:shd w:val="clear" w:color="auto" w:fill="FFFFFF"/>
        </w:rPr>
        <w:t>The NHS Standard Contract</w:t>
      </w:r>
      <w:r w:rsidRPr="00B548EF">
        <w:rPr>
          <w:rFonts w:cstheme="minorHAnsi"/>
          <w:color w:val="202A30"/>
          <w:shd w:val="clear" w:color="auto" w:fill="FFFFFF"/>
        </w:rPr>
        <w:t xml:space="preserve"> is mandated by NHS England for use by commissioners for all contracts for healthcare services other than primary care</w:t>
      </w:r>
      <w:r w:rsidR="00F16FB7">
        <w:rPr>
          <w:rFonts w:cstheme="minorHAnsi"/>
          <w:color w:val="202A30"/>
          <w:shd w:val="clear" w:color="auto" w:fill="FFFFFF"/>
        </w:rPr>
        <w:t xml:space="preserve"> (</w:t>
      </w:r>
      <w:hyperlink r:id="rId24" w:history="1">
        <w:r w:rsidR="000504FA">
          <w:rPr>
            <w:rStyle w:val="Hyperlink"/>
          </w:rPr>
          <w:t>NHS England » 2024/25 NHS Standard Contract</w:t>
        </w:r>
      </w:hyperlink>
      <w:r w:rsidR="00F16FB7">
        <w:t>).</w:t>
      </w:r>
      <w:r w:rsidR="004977D3">
        <w:t xml:space="preserve"> </w:t>
      </w:r>
      <w:r w:rsidR="00637F41">
        <w:t>T</w:t>
      </w:r>
      <w:r w:rsidR="000504FA">
        <w:t>he ICB</w:t>
      </w:r>
      <w:r w:rsidR="006D6EE9">
        <w:t xml:space="preserve"> Commercial Services</w:t>
      </w:r>
      <w:r w:rsidR="007124C1">
        <w:t xml:space="preserve">, </w:t>
      </w:r>
      <w:r w:rsidR="006D6EE9">
        <w:t>Contracting</w:t>
      </w:r>
      <w:r w:rsidR="000504FA">
        <w:t xml:space="preserve"> </w:t>
      </w:r>
      <w:r w:rsidR="007124C1">
        <w:t xml:space="preserve">and Procurement </w:t>
      </w:r>
      <w:r w:rsidR="006D6EE9">
        <w:t>Team</w:t>
      </w:r>
      <w:r w:rsidR="007124C1">
        <w:t>s</w:t>
      </w:r>
      <w:r w:rsidR="001E2888">
        <w:t xml:space="preserve"> will be able to provide expert advice</w:t>
      </w:r>
      <w:r w:rsidR="007124C1">
        <w:t xml:space="preserve"> to support staff to </w:t>
      </w:r>
      <w:r w:rsidR="00087DE9">
        <w:t xml:space="preserve">comply with </w:t>
      </w:r>
      <w:r w:rsidR="001335F8">
        <w:t>this mandate</w:t>
      </w:r>
      <w:r w:rsidR="009D0546">
        <w:t xml:space="preserve"> in line with the flowchart below</w:t>
      </w:r>
      <w:r w:rsidR="001335F8">
        <w:t>.</w:t>
      </w:r>
      <w:r w:rsidR="000D24A0">
        <w:t xml:space="preserve">  This may be supported by</w:t>
      </w:r>
      <w:r w:rsidR="00D1361C">
        <w:t xml:space="preserve"> service specifications for additional services such as Local Enhanced Services (LES) schemes with GP Practices.</w:t>
      </w:r>
    </w:p>
    <w:p w14:paraId="65A928C4" w14:textId="51EC8458" w:rsidR="00326CEF" w:rsidRPr="00054F21" w:rsidRDefault="00A208EA" w:rsidP="000D7807">
      <w:pPr>
        <w:pStyle w:val="Style2"/>
      </w:pPr>
      <w:r>
        <w:rPr>
          <w:b/>
          <w:bCs/>
        </w:rPr>
        <w:t>NHS Terms and Conditions for the provision of goods and services contract</w:t>
      </w:r>
      <w:r w:rsidR="00054F21">
        <w:rPr>
          <w:b/>
          <w:bCs/>
        </w:rPr>
        <w:t>s</w:t>
      </w:r>
      <w:r w:rsidR="00054F21">
        <w:t xml:space="preserve"> must be used when procuring / contracting for non-healthcare services.</w:t>
      </w:r>
    </w:p>
    <w:p w14:paraId="324CFD5B" w14:textId="72B78F0D" w:rsidR="007717BB" w:rsidRDefault="007717BB" w:rsidP="00054F21">
      <w:pPr>
        <w:pStyle w:val="Style2"/>
      </w:pPr>
      <w:r>
        <w:t>The ICB Contract Award</w:t>
      </w:r>
      <w:r w:rsidR="00980F3B">
        <w:t xml:space="preserve">, </w:t>
      </w:r>
      <w:r>
        <w:t>Extension</w:t>
      </w:r>
      <w:r w:rsidR="001972AB">
        <w:t>s</w:t>
      </w:r>
      <w:r>
        <w:t xml:space="preserve"> </w:t>
      </w:r>
      <w:r w:rsidR="00980F3B">
        <w:t xml:space="preserve">and Exit </w:t>
      </w:r>
      <w:r w:rsidR="001972AB">
        <w:t xml:space="preserve">Arrangements </w:t>
      </w:r>
      <w:r>
        <w:t>Guide</w:t>
      </w:r>
      <w:r w:rsidR="000545E4">
        <w:t xml:space="preserve"> sets out </w:t>
      </w:r>
      <w:r w:rsidR="00ED734A">
        <w:t>detaile</w:t>
      </w:r>
      <w:r w:rsidR="00A96766">
        <w:t>d</w:t>
      </w:r>
      <w:r w:rsidR="00ED734A">
        <w:t xml:space="preserve"> instruction for the establishment</w:t>
      </w:r>
      <w:r w:rsidR="002C1D0F">
        <w:t>,</w:t>
      </w:r>
      <w:r w:rsidR="00ED734A">
        <w:t xml:space="preserve"> extension of </w:t>
      </w:r>
      <w:r w:rsidR="002C1D0F">
        <w:t xml:space="preserve">and exit arrangements from </w:t>
      </w:r>
      <w:r w:rsidR="00ED734A">
        <w:t>contracts</w:t>
      </w:r>
      <w:r w:rsidR="001972AB">
        <w:t xml:space="preserve"> (and</w:t>
      </w:r>
      <w:r w:rsidR="002C1D0F">
        <w:t xml:space="preserve"> grants)</w:t>
      </w:r>
      <w:r w:rsidR="000E3F87">
        <w:t>, this can be found, alongside other guidance for procurement on the ICB intranet page:</w:t>
      </w:r>
      <w:r w:rsidR="00A96766">
        <w:t xml:space="preserve"> </w:t>
      </w:r>
      <w:hyperlink r:id="rId25" w:history="1">
        <w:r w:rsidR="00A96766">
          <w:rPr>
            <w:rStyle w:val="Hyperlink"/>
          </w:rPr>
          <w:t>Procurement and contracting</w:t>
        </w:r>
      </w:hyperlink>
      <w:r w:rsidR="00A96766">
        <w:t xml:space="preserve"> [hyperlinks]</w:t>
      </w:r>
    </w:p>
    <w:p w14:paraId="55E69F50" w14:textId="277AEFC4" w:rsidR="00054F21" w:rsidRPr="00D520C1" w:rsidRDefault="00054F21" w:rsidP="00054F21">
      <w:pPr>
        <w:pStyle w:val="Style2"/>
      </w:pPr>
      <w:r>
        <w:t xml:space="preserve">The ICB Scheme of Reservation and Delegation sets out who can sign/authorise contracts.  Advice regarding this can be sought from the contracts or governance team.  All contracts and associated documentation must be held within the </w:t>
      </w:r>
      <w:proofErr w:type="spellStart"/>
      <w:r>
        <w:t>Atamis</w:t>
      </w:r>
      <w:proofErr w:type="spellEnd"/>
      <w:r>
        <w:t xml:space="preserve"> system (used for contract management).</w:t>
      </w:r>
    </w:p>
    <w:p w14:paraId="4143C34C" w14:textId="040C6F82" w:rsidR="003A636B" w:rsidRDefault="5C0AA965" w:rsidP="00AD5E51">
      <w:pPr>
        <w:pStyle w:val="Style2"/>
      </w:pPr>
      <w:r w:rsidRPr="24ABF4BF">
        <w:rPr>
          <w:b/>
          <w:bCs/>
        </w:rPr>
        <w:t xml:space="preserve">Service Level Agreements (SLAs): </w:t>
      </w:r>
      <w:r w:rsidR="0F85FCCE">
        <w:t xml:space="preserve">are </w:t>
      </w:r>
      <w:r w:rsidR="006E5393">
        <w:t xml:space="preserve">not generally </w:t>
      </w:r>
      <w:r w:rsidR="00E95D43">
        <w:t xml:space="preserve">used by the ICB, other than exceptional circumstances for non-clinical services for example to define the relationship with a commissioning support unit (CSU). </w:t>
      </w:r>
    </w:p>
    <w:p w14:paraId="0575DF98" w14:textId="05B0E4BF" w:rsidR="00E456A4" w:rsidRDefault="00E456A4" w:rsidP="00AD5E51">
      <w:pPr>
        <w:pStyle w:val="Style2"/>
      </w:pPr>
      <w:r>
        <w:rPr>
          <w:b/>
          <w:bCs/>
        </w:rPr>
        <w:t>Memorandum of</w:t>
      </w:r>
      <w:r w:rsidR="00222EB9">
        <w:rPr>
          <w:b/>
          <w:bCs/>
        </w:rPr>
        <w:t xml:space="preserve"> Understanding (MOU): </w:t>
      </w:r>
      <w:r w:rsidR="00222EB9">
        <w:t>are used to document an agreement or way of working between parties where this is not defined in a formal contract.</w:t>
      </w:r>
    </w:p>
    <w:p w14:paraId="53BCE771" w14:textId="7C6A0EC9" w:rsidR="00AD5E51" w:rsidRPr="00AD5E51" w:rsidRDefault="169F6F46" w:rsidP="00223A24">
      <w:pPr>
        <w:pStyle w:val="Style2"/>
      </w:pPr>
      <w:r w:rsidRPr="24ABF4BF">
        <w:rPr>
          <w:b/>
          <w:bCs/>
        </w:rPr>
        <w:t>Grant Agreement</w:t>
      </w:r>
      <w:r w:rsidR="003C4A0C">
        <w:rPr>
          <w:b/>
          <w:bCs/>
        </w:rPr>
        <w:t>s</w:t>
      </w:r>
      <w:r>
        <w:t xml:space="preserve"> can be used to provide financial support to a voluntary organisation </w:t>
      </w:r>
      <w:r w:rsidR="535AE18D">
        <w:t xml:space="preserve">which provides or arranges for the provision of services which are </w:t>
      </w:r>
      <w:proofErr w:type="gramStart"/>
      <w:r w:rsidR="535AE18D" w:rsidRPr="00655730">
        <w:t>similar to</w:t>
      </w:r>
      <w:proofErr w:type="gramEnd"/>
      <w:r w:rsidR="535AE18D" w:rsidRPr="00655730">
        <w:t xml:space="preserve"> those in respect of which the Integrated Care Board has statutory functions. </w:t>
      </w:r>
      <w:r w:rsidR="0FDECBB0" w:rsidRPr="00655730">
        <w:t xml:space="preserve">Where the commissioner is providing funding support towards the costs a voluntary sector provider faces in running a service (and especially where some of the providers’ costs are being met by donations and/or payments by </w:t>
      </w:r>
      <w:r w:rsidR="0FDECBB0" w:rsidRPr="00655730">
        <w:lastRenderedPageBreak/>
        <w:t xml:space="preserve">service users), it will generally be more appropriate for commissioners to use a grant agreement rather than the Standard Contract.  </w:t>
      </w:r>
      <w:r w:rsidR="6DA9DA4D" w:rsidRPr="00655730">
        <w:t xml:space="preserve">Use of the Standard Contract is, however, necessary where </w:t>
      </w:r>
      <w:proofErr w:type="gramStart"/>
      <w:r w:rsidR="6DA9DA4D" w:rsidRPr="00655730">
        <w:t>it is clear that the</w:t>
      </w:r>
      <w:proofErr w:type="gramEnd"/>
      <w:r w:rsidR="6DA9DA4D" w:rsidRPr="00655730">
        <w:t xml:space="preserve"> commissioner is commissioning (as distinct from providing funding support for) a specific clinical service (as distinct from non-clinical or clinical support services) from a voluntary sector organisation.</w:t>
      </w:r>
      <w:r w:rsidR="6DA9DA4D">
        <w:t xml:space="preserve"> </w:t>
      </w:r>
      <w:r w:rsidR="535AE18D">
        <w:t>NHS England has published a grant agreement</w:t>
      </w:r>
      <w:r w:rsidR="5F11E18A">
        <w:t xml:space="preserve"> (</w:t>
      </w:r>
      <w:hyperlink r:id="rId26">
        <w:r w:rsidR="5F11E18A" w:rsidRPr="24ABF4BF">
          <w:rPr>
            <w:rStyle w:val="Hyperlink"/>
          </w:rPr>
          <w:t>NHS England » NHS model grant agreement</w:t>
        </w:r>
      </w:hyperlink>
      <w:r w:rsidR="22B8DB51">
        <w:t>)</w:t>
      </w:r>
      <w:r w:rsidR="535AE18D">
        <w:t xml:space="preserve">, guidance on the use of the draft model grant funding agreement </w:t>
      </w:r>
      <w:r w:rsidR="7C6DCD76">
        <w:t>(</w:t>
      </w:r>
      <w:hyperlink r:id="rId27">
        <w:r w:rsidR="7C6DCD76" w:rsidRPr="24ABF4BF">
          <w:rPr>
            <w:rStyle w:val="Hyperlink"/>
          </w:rPr>
          <w:t>NHS England » Guidance on the use of the model grant agreement</w:t>
        </w:r>
      </w:hyperlink>
      <w:r w:rsidR="7C6DCD76">
        <w:t>).</w:t>
      </w:r>
    </w:p>
    <w:p w14:paraId="1107CC2B" w14:textId="3021D2A2" w:rsidR="00AD5E51" w:rsidRPr="00AD5E51" w:rsidRDefault="00AD5E51" w:rsidP="006F370D">
      <w:pPr>
        <w:pStyle w:val="Style2"/>
      </w:pPr>
      <w:r w:rsidRPr="00AD5E51">
        <w:t>The model grant agreement is non-mandatory and is for local adaptation as required</w:t>
      </w:r>
      <w:r w:rsidR="00D10153">
        <w:t>, providing the overarching principles governing the grant are explicitly</w:t>
      </w:r>
      <w:r w:rsidR="00DD035D">
        <w:t xml:space="preserve"> maintained</w:t>
      </w:r>
      <w:r w:rsidRPr="00AD5E51">
        <w:t>.</w:t>
      </w:r>
    </w:p>
    <w:p w14:paraId="1A1B2401" w14:textId="2484A9A5" w:rsidR="009C6439" w:rsidRDefault="009C6439" w:rsidP="009C6439">
      <w:pPr>
        <w:pStyle w:val="Heading3"/>
      </w:pPr>
      <w:bookmarkStart w:id="80" w:name="_Toc213919811"/>
      <w:r>
        <w:t>Managing Contracts</w:t>
      </w:r>
      <w:bookmarkEnd w:id="80"/>
    </w:p>
    <w:p w14:paraId="2960D2BF" w14:textId="77777777" w:rsidR="009C6439" w:rsidRDefault="009C6439" w:rsidP="009C6439">
      <w:pPr>
        <w:pStyle w:val="Style2"/>
      </w:pPr>
      <w:r>
        <w:t>Quality, Contract, Performance Meeting (QCPM) providing structure to its approach to overseeing operational delivery and performance, service commitments and delivery plans, and reviewing activity and financial plans.  The QCPM will enable the ICB to:</w:t>
      </w:r>
    </w:p>
    <w:p w14:paraId="0281A4BC" w14:textId="77777777" w:rsidR="009C6439" w:rsidRDefault="009C6439" w:rsidP="00456365">
      <w:pPr>
        <w:pStyle w:val="ListParagraph"/>
      </w:pPr>
      <w:r>
        <w:t>To ensure that all services delivered under the contract attain the appropriate levels of quality and safety and are compliant with all aspects of the contract.</w:t>
      </w:r>
    </w:p>
    <w:p w14:paraId="42996E61" w14:textId="77777777" w:rsidR="009C6439" w:rsidRDefault="009C6439" w:rsidP="00456365">
      <w:pPr>
        <w:pStyle w:val="ListParagraph"/>
      </w:pPr>
      <w:r>
        <w:t>To ensure the contract is kept up to date and accurate including relevant contract variations are completed.</w:t>
      </w:r>
    </w:p>
    <w:p w14:paraId="5FC5F226" w14:textId="77777777" w:rsidR="00456365" w:rsidRDefault="009C6439" w:rsidP="00456365">
      <w:pPr>
        <w:pStyle w:val="ListParagraph"/>
      </w:pPr>
      <w:r>
        <w:t xml:space="preserve">To </w:t>
      </w:r>
      <w:r w:rsidRPr="00456365">
        <w:t>ensure</w:t>
      </w:r>
      <w:r>
        <w:t xml:space="preserve"> that financial and operational performance is monitored, and that assurance is received.</w:t>
      </w:r>
    </w:p>
    <w:p w14:paraId="25B5F036" w14:textId="07D70ACC" w:rsidR="009C6439" w:rsidRDefault="009C6439" w:rsidP="00456365">
      <w:pPr>
        <w:pStyle w:val="ListParagraph"/>
      </w:pPr>
      <w:r>
        <w:t>To ensure that any issues that may have an impact on the wider System are escalated to the appropriate forum for discussion.</w:t>
      </w:r>
    </w:p>
    <w:p w14:paraId="53ADD938" w14:textId="0136D02E" w:rsidR="009C6439" w:rsidRPr="00FF10B1" w:rsidRDefault="009C6439" w:rsidP="00D77368">
      <w:pPr>
        <w:pStyle w:val="Style2"/>
      </w:pPr>
      <w:r>
        <w:t xml:space="preserve">Contracts </w:t>
      </w:r>
      <w:r w:rsidR="003B72DE">
        <w:t xml:space="preserve">for clinical services </w:t>
      </w:r>
      <w:r>
        <w:t>will be assigned bronze, silver or gold status, which will indicate the level of contract management/monitoring required in accordance with the standard operating procedure for QCPM.</w:t>
      </w:r>
    </w:p>
    <w:p w14:paraId="4AE93DCD" w14:textId="6AEB3718" w:rsidR="003A34CC" w:rsidRDefault="525B181B" w:rsidP="00CA2808">
      <w:pPr>
        <w:pStyle w:val="Heading3"/>
      </w:pPr>
      <w:bookmarkStart w:id="81" w:name="_Toc213919812"/>
      <w:r>
        <w:t xml:space="preserve">Exit </w:t>
      </w:r>
      <w:r w:rsidR="00A744E5">
        <w:t xml:space="preserve">/ Succession </w:t>
      </w:r>
      <w:r w:rsidR="007C4715">
        <w:t xml:space="preserve">Planning </w:t>
      </w:r>
      <w:r w:rsidR="2026A2C1">
        <w:t>Arrangements</w:t>
      </w:r>
      <w:bookmarkEnd w:id="81"/>
    </w:p>
    <w:p w14:paraId="221439F3" w14:textId="23950F44" w:rsidR="00B55885" w:rsidRPr="00B55885" w:rsidRDefault="00B55885" w:rsidP="000D27B5">
      <w:pPr>
        <w:pStyle w:val="Style2"/>
        <w:numPr>
          <w:ilvl w:val="0"/>
          <w:numId w:val="0"/>
        </w:numPr>
        <w:rPr>
          <w:i/>
          <w:iCs/>
        </w:rPr>
      </w:pPr>
      <w:r>
        <w:rPr>
          <w:i/>
          <w:iCs/>
        </w:rPr>
        <w:t xml:space="preserve">Note: the principles of this section should be applied to all commissioned services, </w:t>
      </w:r>
      <w:r w:rsidR="00B77D3C">
        <w:rPr>
          <w:i/>
          <w:iCs/>
        </w:rPr>
        <w:t>however,</w:t>
      </w:r>
      <w:r>
        <w:rPr>
          <w:i/>
          <w:iCs/>
        </w:rPr>
        <w:t xml:space="preserve"> exit strategies for primary care contracts are</w:t>
      </w:r>
      <w:r w:rsidR="000D27B5">
        <w:rPr>
          <w:i/>
          <w:iCs/>
        </w:rPr>
        <w:t xml:space="preserve"> governed under </w:t>
      </w:r>
      <w:r w:rsidR="005E5EE7">
        <w:rPr>
          <w:i/>
          <w:iCs/>
        </w:rPr>
        <w:t>separate</w:t>
      </w:r>
      <w:r w:rsidR="000D27B5">
        <w:rPr>
          <w:i/>
          <w:iCs/>
        </w:rPr>
        <w:t xml:space="preserve"> arrangements within Primary Care.</w:t>
      </w:r>
    </w:p>
    <w:p w14:paraId="55F0676C" w14:textId="700106E9" w:rsidR="00620A5B" w:rsidRDefault="005A1A4E" w:rsidP="009879A5">
      <w:pPr>
        <w:pStyle w:val="Style2"/>
      </w:pPr>
      <w:r>
        <w:t xml:space="preserve">When establishing contracts, the operational lead must </w:t>
      </w:r>
      <w:r w:rsidR="00D77368">
        <w:t xml:space="preserve">not only </w:t>
      </w:r>
      <w:r>
        <w:t>consider</w:t>
      </w:r>
      <w:r w:rsidR="00204782">
        <w:t xml:space="preserve"> </w:t>
      </w:r>
      <w:r w:rsidR="00D77368">
        <w:t xml:space="preserve">the arrangements for the establishment of the </w:t>
      </w:r>
      <w:r w:rsidR="00445FE6">
        <w:t>service but</w:t>
      </w:r>
      <w:r w:rsidR="00D77368">
        <w:t xml:space="preserve"> must also consider</w:t>
      </w:r>
      <w:r w:rsidR="00F309DB">
        <w:t xml:space="preserve"> </w:t>
      </w:r>
      <w:r w:rsidR="00572949">
        <w:t xml:space="preserve">the impact of the </w:t>
      </w:r>
      <w:r w:rsidR="002C150E">
        <w:t>service coming to an end.  This is particularly important for services commissioned using non-recurrent funding</w:t>
      </w:r>
      <w:r w:rsidR="004F4A96">
        <w:t>,</w:t>
      </w:r>
      <w:r w:rsidR="002C150E">
        <w:t xml:space="preserve"> pilot’s</w:t>
      </w:r>
      <w:r w:rsidR="004F4A96">
        <w:t xml:space="preserve"> and </w:t>
      </w:r>
      <w:r w:rsidR="00115819">
        <w:t>short-term</w:t>
      </w:r>
      <w:r w:rsidR="004F4A96">
        <w:t xml:space="preserve"> projects</w:t>
      </w:r>
      <w:r w:rsidR="002C150E">
        <w:t>.</w:t>
      </w:r>
    </w:p>
    <w:p w14:paraId="7F047313" w14:textId="78387EC0" w:rsidR="00445FE6" w:rsidRDefault="00445FE6" w:rsidP="009879A5">
      <w:pPr>
        <w:pStyle w:val="Style2"/>
      </w:pPr>
      <w:r>
        <w:t xml:space="preserve">Services commissioned on a short-term basis </w:t>
      </w:r>
      <w:r w:rsidR="001C437A">
        <w:t>(3 years or less)</w:t>
      </w:r>
      <w:r w:rsidR="004F4A96">
        <w:t xml:space="preserve"> or funded non-recurrently</w:t>
      </w:r>
      <w:r w:rsidR="001C437A">
        <w:t xml:space="preserve"> </w:t>
      </w:r>
      <w:r>
        <w:t>must incorporate consideration of an exit strategy / succession plan (as appropriate) at the outset of the</w:t>
      </w:r>
      <w:r w:rsidR="001C437A">
        <w:t xml:space="preserve"> proposal (e.g. within the business case).</w:t>
      </w:r>
    </w:p>
    <w:p w14:paraId="75C2462D" w14:textId="77777777" w:rsidR="00544FB8" w:rsidRDefault="001C437A" w:rsidP="009879A5">
      <w:pPr>
        <w:pStyle w:val="Style2"/>
      </w:pPr>
      <w:r>
        <w:lastRenderedPageBreak/>
        <w:t xml:space="preserve">Where services are commissioned </w:t>
      </w:r>
      <w:r w:rsidR="00EE21DA">
        <w:t xml:space="preserve">for three years or more, </w:t>
      </w:r>
      <w:r w:rsidR="00712CF9">
        <w:t xml:space="preserve">Operational Leads must regularly review the </w:t>
      </w:r>
      <w:proofErr w:type="spellStart"/>
      <w:r w:rsidR="00712CF9">
        <w:t>Atamis</w:t>
      </w:r>
      <w:proofErr w:type="spellEnd"/>
      <w:r w:rsidR="00712CF9">
        <w:t xml:space="preserve"> system </w:t>
      </w:r>
      <w:r w:rsidR="00EE21DA">
        <w:t xml:space="preserve">for </w:t>
      </w:r>
      <w:r w:rsidR="00712CF9">
        <w:t xml:space="preserve">contracts within their remit </w:t>
      </w:r>
      <w:r w:rsidR="00D70435">
        <w:t>to determine contract end dates and ensure appropriate succession planning.</w:t>
      </w:r>
    </w:p>
    <w:p w14:paraId="4428EFFB" w14:textId="25D7C18D" w:rsidR="007D7F72" w:rsidRDefault="005B43B6" w:rsidP="009879A5">
      <w:pPr>
        <w:pStyle w:val="Style2"/>
      </w:pPr>
      <w:r>
        <w:t xml:space="preserve">Whilst the contracting review process will ensure services are reviewed for their effectiveness and the achievement of </w:t>
      </w:r>
      <w:r w:rsidR="008B420D">
        <w:t xml:space="preserve">its objectives and </w:t>
      </w:r>
      <w:r>
        <w:t xml:space="preserve">expected benefits, Operational Leads should also instigate a detailed service review </w:t>
      </w:r>
      <w:r w:rsidR="00D20586">
        <w:t>12-</w:t>
      </w:r>
      <w:r>
        <w:t>18 months before the expir</w:t>
      </w:r>
      <w:r w:rsidR="007D7F72">
        <w:t>y</w:t>
      </w:r>
      <w:r>
        <w:t xml:space="preserve"> of a contract </w:t>
      </w:r>
      <w:r w:rsidR="00C67F57">
        <w:t xml:space="preserve">(as set out in Appendix E) </w:t>
      </w:r>
      <w:r>
        <w:t>to assess performance and determine</w:t>
      </w:r>
      <w:r w:rsidR="007D7F72">
        <w:t>:</w:t>
      </w:r>
    </w:p>
    <w:p w14:paraId="581AC77F" w14:textId="546143A0" w:rsidR="007D7F72" w:rsidRDefault="007D7F72" w:rsidP="007D7F72">
      <w:pPr>
        <w:pStyle w:val="ListParagraph"/>
      </w:pPr>
      <w:r>
        <w:t>If the service</w:t>
      </w:r>
      <w:r w:rsidR="0093488D">
        <w:t xml:space="preserve"> </w:t>
      </w:r>
      <w:r w:rsidR="001755A6">
        <w:t xml:space="preserve">if effective and </w:t>
      </w:r>
      <w:r w:rsidR="0093488D">
        <w:t>should be continued</w:t>
      </w:r>
    </w:p>
    <w:p w14:paraId="2F865C23" w14:textId="38458478" w:rsidR="00712CF9" w:rsidRDefault="0093488D" w:rsidP="00032517">
      <w:pPr>
        <w:pStyle w:val="ListParagraph"/>
      </w:pPr>
      <w:r>
        <w:t xml:space="preserve">If </w:t>
      </w:r>
      <w:r w:rsidR="00E675C4">
        <w:t xml:space="preserve">the service is </w:t>
      </w:r>
      <w:r w:rsidR="00190D37">
        <w:t xml:space="preserve">ineffective and therefore </w:t>
      </w:r>
      <w:r w:rsidR="00E675C4">
        <w:t>likely to be decommissioned</w:t>
      </w:r>
    </w:p>
    <w:p w14:paraId="1772E2AE" w14:textId="75AB4A31" w:rsidR="00190D37" w:rsidRDefault="00190D37" w:rsidP="00032517">
      <w:pPr>
        <w:pStyle w:val="ListParagraph"/>
      </w:pPr>
      <w:r>
        <w:t>The impact of decommissioning the service</w:t>
      </w:r>
    </w:p>
    <w:p w14:paraId="464EFD6F" w14:textId="308C92E8" w:rsidR="00190D37" w:rsidRDefault="007C17F3" w:rsidP="00032517">
      <w:pPr>
        <w:pStyle w:val="ListParagraph"/>
      </w:pPr>
      <w:r>
        <w:t>Whether a different service is required to meet the needs of residents.</w:t>
      </w:r>
    </w:p>
    <w:p w14:paraId="4C781921" w14:textId="552B7162" w:rsidR="007C17F3" w:rsidRDefault="007C17F3" w:rsidP="009879A5">
      <w:pPr>
        <w:pStyle w:val="Style2"/>
      </w:pPr>
      <w:r>
        <w:t xml:space="preserve">For longer-term </w:t>
      </w:r>
      <w:r w:rsidR="00835C4A">
        <w:t xml:space="preserve">or complex </w:t>
      </w:r>
      <w:r>
        <w:t>contracts,</w:t>
      </w:r>
      <w:r w:rsidR="00835C4A">
        <w:t xml:space="preserve"> timescales may need to be adjusted to recognise different contract terms and conditions and to ensure the stability of services</w:t>
      </w:r>
      <w:r w:rsidR="006E3013">
        <w:t>.</w:t>
      </w:r>
    </w:p>
    <w:p w14:paraId="4F33ADD1" w14:textId="720EE6A0" w:rsidR="00D15729" w:rsidRDefault="0F1EAC7C" w:rsidP="009879A5">
      <w:pPr>
        <w:pStyle w:val="Style2"/>
      </w:pPr>
      <w:r>
        <w:t xml:space="preserve">All </w:t>
      </w:r>
      <w:r w:rsidR="006E3013">
        <w:t xml:space="preserve">Operational Leads </w:t>
      </w:r>
      <w:r>
        <w:t xml:space="preserve">commissioning </w:t>
      </w:r>
      <w:r w:rsidR="1277C909">
        <w:t xml:space="preserve">a service must ensure that a </w:t>
      </w:r>
      <w:r w:rsidR="00193F82">
        <w:t xml:space="preserve">succession </w:t>
      </w:r>
      <w:r w:rsidR="1277C909">
        <w:t xml:space="preserve">plan is completed </w:t>
      </w:r>
      <w:r w:rsidR="22D124A5">
        <w:t>as soon as notice of termination is issued by one part</w:t>
      </w:r>
      <w:r w:rsidR="00A744E5">
        <w:t>y</w:t>
      </w:r>
      <w:r w:rsidR="22D124A5">
        <w:t xml:space="preserve"> to the other or six months prior to the expiry of th</w:t>
      </w:r>
      <w:r w:rsidR="001205A8">
        <w:t>e</w:t>
      </w:r>
      <w:r w:rsidR="22D124A5">
        <w:t xml:space="preserve"> Agreement, </w:t>
      </w:r>
      <w:r w:rsidR="00A744E5">
        <w:t>whichever</w:t>
      </w:r>
      <w:r w:rsidR="22D124A5">
        <w:t xml:space="preserve"> occurs first</w:t>
      </w:r>
      <w:r w:rsidR="006903DB">
        <w:t>.</w:t>
      </w:r>
      <w:r w:rsidR="00D02C9C">
        <w:t xml:space="preserve"> </w:t>
      </w:r>
    </w:p>
    <w:p w14:paraId="3B24F9FB" w14:textId="62629932" w:rsidR="00CA2808" w:rsidRDefault="00D02C9C" w:rsidP="009879A5">
      <w:pPr>
        <w:pStyle w:val="Style2"/>
      </w:pPr>
      <w:r>
        <w:t>Appendix I</w:t>
      </w:r>
      <w:r w:rsidR="001B0512">
        <w:t xml:space="preserve"> sets out the </w:t>
      </w:r>
      <w:r w:rsidR="006405A5">
        <w:t>principal</w:t>
      </w:r>
      <w:r w:rsidR="001B0512">
        <w:t xml:space="preserve"> consideration</w:t>
      </w:r>
      <w:r w:rsidR="00A453E3">
        <w:t>s / checklist for exit / succession plans</w:t>
      </w:r>
      <w:r w:rsidR="008D61F5">
        <w:t xml:space="preserve"> to be agreed with providers when establishing exit arrangements</w:t>
      </w:r>
      <w:r w:rsidR="00A453E3">
        <w:t>.</w:t>
      </w:r>
      <w:r w:rsidR="00C35ABA">
        <w:t xml:space="preserve">  </w:t>
      </w:r>
      <w:r w:rsidR="00385229">
        <w:t>It sets out a list of processes to manage the exit of any contractor from delivering a service</w:t>
      </w:r>
      <w:r w:rsidR="007F2F3D">
        <w:t>.  This should be developed in accordance with the terms of the contract as a minimum.</w:t>
      </w:r>
      <w:r w:rsidR="22D124A5">
        <w:t xml:space="preserve"> </w:t>
      </w:r>
    </w:p>
    <w:p w14:paraId="287370B6" w14:textId="5CB75E6C" w:rsidR="00115819" w:rsidRDefault="000D27B5" w:rsidP="00B77D3C">
      <w:pPr>
        <w:pStyle w:val="Style2"/>
      </w:pPr>
      <w:r>
        <w:t xml:space="preserve">The ICB Contract Award, Extensions and Exit Arrangements Guide sets out detailed instruction for the establishment, extension of and exit arrangements from contracts (and grants), this can be found, alongside other guidance for procurement on the ICB intranet page: </w:t>
      </w:r>
      <w:hyperlink r:id="rId28" w:history="1">
        <w:r>
          <w:rPr>
            <w:rStyle w:val="Hyperlink"/>
          </w:rPr>
          <w:t>Procurement and contracting</w:t>
        </w:r>
      </w:hyperlink>
      <w:r>
        <w:t xml:space="preserve"> [hyperlinks]</w:t>
      </w:r>
      <w:r w:rsidR="000C5D12">
        <w:t>.  The guidance also includes a template exit agreement for grants.</w:t>
      </w:r>
    </w:p>
    <w:p w14:paraId="75CF4032" w14:textId="14973F5C" w:rsidR="009879A5" w:rsidRDefault="00B82D32" w:rsidP="009879A5">
      <w:pPr>
        <w:pStyle w:val="Heading3"/>
      </w:pPr>
      <w:bookmarkStart w:id="82" w:name="_Toc213919813"/>
      <w:r>
        <w:t>Benefit</w:t>
      </w:r>
      <w:r w:rsidR="003752E6">
        <w:t>s</w:t>
      </w:r>
      <w:r>
        <w:t xml:space="preserve"> Realisation</w:t>
      </w:r>
      <w:bookmarkEnd w:id="82"/>
      <w:r>
        <w:t xml:space="preserve"> </w:t>
      </w:r>
    </w:p>
    <w:p w14:paraId="5F27EDBE" w14:textId="486A664E" w:rsidR="00682D61" w:rsidRDefault="00682D61" w:rsidP="00032517">
      <w:pPr>
        <w:pStyle w:val="Style2"/>
      </w:pPr>
      <w:r>
        <w:t xml:space="preserve">Key to the success of any project / commissioned service is the establishment of expected benefits. </w:t>
      </w:r>
      <w:r w:rsidR="003B12AE">
        <w:t>Paragraph 6.12 establishes the requirement for</w:t>
      </w:r>
      <w:r w:rsidR="002440E8">
        <w:t xml:space="preserve"> projects to include benefits realisation as part of the business case planning and </w:t>
      </w:r>
      <w:r w:rsidR="00F24373">
        <w:t xml:space="preserve">on-going </w:t>
      </w:r>
      <w:r w:rsidR="002440E8">
        <w:t>service</w:t>
      </w:r>
      <w:r>
        <w:t>/contract management processes.</w:t>
      </w:r>
    </w:p>
    <w:p w14:paraId="7CE47026" w14:textId="77777777" w:rsidR="00C94247" w:rsidRDefault="00F24373" w:rsidP="00032517">
      <w:pPr>
        <w:pStyle w:val="Style2"/>
      </w:pPr>
      <w:r>
        <w:t>To establish the expected benefits</w:t>
      </w:r>
      <w:r w:rsidR="00403633">
        <w:t>, key data must be collected to determine performance prior to the establishment or transformation of a service</w:t>
      </w:r>
      <w:r w:rsidR="00C94247">
        <w:t>, otherwise there is no yardstick against which to measure benefits.</w:t>
      </w:r>
    </w:p>
    <w:p w14:paraId="78585815" w14:textId="77777777" w:rsidR="000361FF" w:rsidRDefault="00934B58" w:rsidP="00032517">
      <w:pPr>
        <w:pStyle w:val="Style2"/>
      </w:pPr>
      <w:r>
        <w:t xml:space="preserve">Expected benefits should clearly define service user / contract outcomes using SMART (specific, measurable, </w:t>
      </w:r>
      <w:r w:rsidR="009F0346">
        <w:t xml:space="preserve">achievable, realistic and timebound) principles. </w:t>
      </w:r>
    </w:p>
    <w:p w14:paraId="488966DB" w14:textId="1B78BA34" w:rsidR="009879A5" w:rsidRPr="003A34CC" w:rsidRDefault="000361FF" w:rsidP="00294FDB">
      <w:pPr>
        <w:pStyle w:val="Style2"/>
      </w:pPr>
      <w:r>
        <w:lastRenderedPageBreak/>
        <w:t>The delivery of benefits should be measure</w:t>
      </w:r>
      <w:r w:rsidR="00DA5AF7">
        <w:t>d</w:t>
      </w:r>
      <w:r>
        <w:t xml:space="preserve"> during the contract review period but also at the </w:t>
      </w:r>
      <w:r w:rsidR="00DA5AF7">
        <w:t>point when the longevity of a service is being review</w:t>
      </w:r>
      <w:r w:rsidR="00AF1EC7">
        <w:t xml:space="preserve"> or exit/succession strategies are being developed</w:t>
      </w:r>
      <w:r w:rsidR="00DA5AF7">
        <w:t>.</w:t>
      </w:r>
    </w:p>
    <w:p w14:paraId="5E30E4FE" w14:textId="76C86DE4" w:rsidR="00B05C31" w:rsidRDefault="009F53F3" w:rsidP="009F53F3">
      <w:pPr>
        <w:pStyle w:val="Heading2"/>
        <w:numPr>
          <w:ilvl w:val="0"/>
          <w:numId w:val="0"/>
        </w:numPr>
        <w:ind w:left="1134"/>
      </w:pPr>
      <w:bookmarkStart w:id="83" w:name="_Toc213919814"/>
      <w:r>
        <w:t>Decommissioning and Disinvestment</w:t>
      </w:r>
      <w:bookmarkEnd w:id="83"/>
    </w:p>
    <w:p w14:paraId="5AAD1224" w14:textId="53C2E540" w:rsidR="00061443" w:rsidRDefault="00061443" w:rsidP="00061443">
      <w:pPr>
        <w:pStyle w:val="Heading3"/>
      </w:pPr>
      <w:bookmarkStart w:id="84" w:name="_Toc213919815"/>
      <w:r>
        <w:t>Reasons for decommissioning or disinvesting.</w:t>
      </w:r>
      <w:bookmarkEnd w:id="84"/>
    </w:p>
    <w:p w14:paraId="54B7BFD2" w14:textId="0E36782D" w:rsidR="0083665A" w:rsidRPr="00AB2ED1" w:rsidRDefault="0083665A" w:rsidP="0083665A">
      <w:pPr>
        <w:pStyle w:val="Style2"/>
      </w:pPr>
      <w:r w:rsidRPr="000606D6">
        <w:t>The</w:t>
      </w:r>
      <w:r w:rsidRPr="00AB2ED1">
        <w:t xml:space="preserve"> drivers for proactively decommissioning a service include:</w:t>
      </w:r>
    </w:p>
    <w:p w14:paraId="2846C311" w14:textId="77777777" w:rsidR="0083665A" w:rsidRPr="00AB2ED1" w:rsidRDefault="0083665A" w:rsidP="0083665A">
      <w:pPr>
        <w:pStyle w:val="ListParagraph"/>
        <w:widowControl w:val="0"/>
        <w:numPr>
          <w:ilvl w:val="2"/>
          <w:numId w:val="14"/>
        </w:numPr>
        <w:autoSpaceDE w:val="0"/>
        <w:autoSpaceDN w:val="0"/>
        <w:spacing w:before="0" w:after="0"/>
        <w:ind w:left="1701" w:right="-46" w:hanging="567"/>
        <w:rPr>
          <w:rFonts w:ascii="Arial" w:hAnsi="Arial" w:cs="Arial"/>
        </w:rPr>
      </w:pPr>
      <w:r w:rsidRPr="00AB2ED1">
        <w:rPr>
          <w:rFonts w:ascii="Arial" w:hAnsi="Arial" w:cs="Arial"/>
        </w:rPr>
        <w:t>A persistent and serious risk to patient</w:t>
      </w:r>
      <w:r w:rsidRPr="00AB2ED1">
        <w:rPr>
          <w:rFonts w:ascii="Arial" w:hAnsi="Arial" w:cs="Arial"/>
          <w:spacing w:val="-3"/>
        </w:rPr>
        <w:t xml:space="preserve"> </w:t>
      </w:r>
      <w:r w:rsidRPr="00AB2ED1">
        <w:rPr>
          <w:rFonts w:ascii="Arial" w:hAnsi="Arial" w:cs="Arial"/>
        </w:rPr>
        <w:t>safety.</w:t>
      </w:r>
    </w:p>
    <w:p w14:paraId="3DB62C9B" w14:textId="77777777" w:rsidR="0083665A" w:rsidRPr="00AB2ED1" w:rsidRDefault="0083665A" w:rsidP="0083665A">
      <w:pPr>
        <w:pStyle w:val="ListParagraph"/>
        <w:widowControl w:val="0"/>
        <w:numPr>
          <w:ilvl w:val="2"/>
          <w:numId w:val="14"/>
        </w:numPr>
        <w:autoSpaceDE w:val="0"/>
        <w:autoSpaceDN w:val="0"/>
        <w:spacing w:before="0" w:after="0"/>
        <w:ind w:left="1701" w:right="-46" w:hanging="567"/>
        <w:rPr>
          <w:rFonts w:ascii="Arial" w:hAnsi="Arial" w:cs="Arial"/>
          <w:i/>
        </w:rPr>
      </w:pPr>
      <w:r w:rsidRPr="00AB2ED1">
        <w:rPr>
          <w:rFonts w:ascii="Arial" w:hAnsi="Arial" w:cs="Arial"/>
        </w:rPr>
        <w:t>The service represents poor value for</w:t>
      </w:r>
      <w:r w:rsidRPr="00AB2ED1">
        <w:rPr>
          <w:rFonts w:ascii="Arial" w:hAnsi="Arial" w:cs="Arial"/>
          <w:spacing w:val="2"/>
        </w:rPr>
        <w:t xml:space="preserve"> </w:t>
      </w:r>
      <w:r w:rsidRPr="00AB2ED1">
        <w:rPr>
          <w:rFonts w:ascii="Arial" w:hAnsi="Arial" w:cs="Arial"/>
        </w:rPr>
        <w:t>money</w:t>
      </w:r>
      <w:r w:rsidRPr="00AB2ED1">
        <w:rPr>
          <w:rFonts w:ascii="Arial" w:hAnsi="Arial" w:cs="Arial"/>
          <w:i/>
        </w:rPr>
        <w:t>.</w:t>
      </w:r>
    </w:p>
    <w:p w14:paraId="10DA1073" w14:textId="77777777" w:rsidR="0083665A" w:rsidRPr="00AB2ED1" w:rsidRDefault="0083665A" w:rsidP="0083665A">
      <w:pPr>
        <w:pStyle w:val="ListParagraph"/>
        <w:widowControl w:val="0"/>
        <w:numPr>
          <w:ilvl w:val="2"/>
          <w:numId w:val="14"/>
        </w:numPr>
        <w:autoSpaceDE w:val="0"/>
        <w:autoSpaceDN w:val="0"/>
        <w:spacing w:before="0" w:after="0"/>
        <w:ind w:left="1701" w:right="-46" w:hanging="567"/>
        <w:rPr>
          <w:rFonts w:ascii="Arial" w:hAnsi="Arial" w:cs="Arial"/>
        </w:rPr>
      </w:pPr>
      <w:r w:rsidRPr="00AB2ED1">
        <w:rPr>
          <w:rFonts w:ascii="Arial" w:hAnsi="Arial" w:cs="Arial"/>
        </w:rPr>
        <w:t>There is insufficient need/demand to warrant the current volume of service and/or number of</w:t>
      </w:r>
      <w:r w:rsidRPr="00AB2ED1">
        <w:rPr>
          <w:rFonts w:ascii="Arial" w:hAnsi="Arial" w:cs="Arial"/>
          <w:spacing w:val="3"/>
        </w:rPr>
        <w:t xml:space="preserve"> </w:t>
      </w:r>
      <w:r w:rsidRPr="00AB2ED1">
        <w:rPr>
          <w:rFonts w:ascii="Arial" w:hAnsi="Arial" w:cs="Arial"/>
        </w:rPr>
        <w:t>providers.</w:t>
      </w:r>
    </w:p>
    <w:p w14:paraId="18B5D2F6" w14:textId="57600811" w:rsidR="0083665A" w:rsidRPr="00AB2ED1" w:rsidRDefault="0083665A" w:rsidP="0083665A">
      <w:pPr>
        <w:pStyle w:val="ListParagraph"/>
        <w:widowControl w:val="0"/>
        <w:numPr>
          <w:ilvl w:val="2"/>
          <w:numId w:val="14"/>
        </w:numPr>
        <w:autoSpaceDE w:val="0"/>
        <w:autoSpaceDN w:val="0"/>
        <w:spacing w:before="1" w:after="0"/>
        <w:ind w:left="1701" w:right="-46" w:hanging="567"/>
        <w:rPr>
          <w:rFonts w:ascii="Arial" w:hAnsi="Arial" w:cs="Arial"/>
        </w:rPr>
      </w:pPr>
      <w:r w:rsidRPr="00AB2ED1">
        <w:rPr>
          <w:rFonts w:ascii="Arial" w:hAnsi="Arial" w:cs="Arial"/>
        </w:rPr>
        <w:t xml:space="preserve">The service model is out-dated </w:t>
      </w:r>
      <w:r w:rsidR="00954CD3" w:rsidRPr="00AB2ED1">
        <w:rPr>
          <w:rFonts w:ascii="Arial" w:hAnsi="Arial" w:cs="Arial"/>
        </w:rPr>
        <w:t>i.e.,</w:t>
      </w:r>
      <w:r w:rsidRPr="00AB2ED1">
        <w:rPr>
          <w:rFonts w:ascii="Arial" w:hAnsi="Arial" w:cs="Arial"/>
        </w:rPr>
        <w:t xml:space="preserve"> the outcomes have not changed but new evidence on the model of delivery has developed which cannot be met via a variation of the existing</w:t>
      </w:r>
      <w:r w:rsidRPr="00AB2ED1">
        <w:rPr>
          <w:rFonts w:ascii="Arial" w:hAnsi="Arial" w:cs="Arial"/>
          <w:spacing w:val="8"/>
        </w:rPr>
        <w:t xml:space="preserve"> </w:t>
      </w:r>
      <w:r w:rsidRPr="00AB2ED1">
        <w:rPr>
          <w:rFonts w:ascii="Arial" w:hAnsi="Arial" w:cs="Arial"/>
        </w:rPr>
        <w:t>contract.</w:t>
      </w:r>
    </w:p>
    <w:p w14:paraId="126AF047" w14:textId="77777777" w:rsidR="0083665A" w:rsidRPr="00AB2ED1" w:rsidRDefault="0083665A" w:rsidP="0083665A">
      <w:pPr>
        <w:pStyle w:val="ListParagraph"/>
        <w:widowControl w:val="0"/>
        <w:numPr>
          <w:ilvl w:val="2"/>
          <w:numId w:val="14"/>
        </w:numPr>
        <w:autoSpaceDE w:val="0"/>
        <w:autoSpaceDN w:val="0"/>
        <w:spacing w:before="1" w:after="0"/>
        <w:ind w:left="1701" w:right="-46" w:hanging="567"/>
        <w:jc w:val="both"/>
        <w:rPr>
          <w:rFonts w:ascii="Arial" w:hAnsi="Arial" w:cs="Arial"/>
        </w:rPr>
      </w:pPr>
      <w:r w:rsidRPr="00AB2ED1">
        <w:rPr>
          <w:rFonts w:ascii="Arial" w:hAnsi="Arial" w:cs="Arial"/>
        </w:rPr>
        <w:t>The service is no longer a clinical priority – reassessment of priorities may mean that investment is required elsewhere and so certain ‘non-essential’ services may be</w:t>
      </w:r>
      <w:r w:rsidRPr="00AB2ED1">
        <w:rPr>
          <w:rFonts w:ascii="Arial" w:hAnsi="Arial" w:cs="Arial"/>
          <w:spacing w:val="-2"/>
        </w:rPr>
        <w:t xml:space="preserve"> </w:t>
      </w:r>
      <w:r w:rsidRPr="00AB2ED1">
        <w:rPr>
          <w:rFonts w:ascii="Arial" w:hAnsi="Arial" w:cs="Arial"/>
        </w:rPr>
        <w:t>decommissioned.</w:t>
      </w:r>
    </w:p>
    <w:p w14:paraId="2B907D28" w14:textId="5F10B3F7" w:rsidR="0083665A" w:rsidRPr="00AB2ED1" w:rsidRDefault="0083665A" w:rsidP="0083665A">
      <w:pPr>
        <w:pStyle w:val="ListParagraph"/>
        <w:widowControl w:val="0"/>
        <w:numPr>
          <w:ilvl w:val="2"/>
          <w:numId w:val="14"/>
        </w:numPr>
        <w:autoSpaceDE w:val="0"/>
        <w:autoSpaceDN w:val="0"/>
        <w:spacing w:before="0" w:after="0"/>
        <w:ind w:left="1701" w:right="-46" w:hanging="567"/>
        <w:rPr>
          <w:rFonts w:ascii="Arial" w:hAnsi="Arial" w:cs="Arial"/>
        </w:rPr>
      </w:pPr>
      <w:r w:rsidRPr="00AB2ED1">
        <w:rPr>
          <w:rFonts w:ascii="Arial" w:hAnsi="Arial" w:cs="Arial"/>
        </w:rPr>
        <w:t xml:space="preserve">A mismatch between need and the current profile of provided services is identified as one of the outcomes of </w:t>
      </w:r>
      <w:r w:rsidR="00954CD3" w:rsidRPr="00AB2ED1">
        <w:rPr>
          <w:rFonts w:ascii="Arial" w:hAnsi="Arial" w:cs="Arial"/>
        </w:rPr>
        <w:t>e.g.,</w:t>
      </w:r>
      <w:r w:rsidRPr="00AB2ED1">
        <w:rPr>
          <w:rFonts w:ascii="Arial" w:hAnsi="Arial" w:cs="Arial"/>
        </w:rPr>
        <w:t xml:space="preserve"> Equality Health Inequalities Impact Assessment, and/or Joint Strategic Needs</w:t>
      </w:r>
      <w:r w:rsidRPr="00AB2ED1">
        <w:rPr>
          <w:rFonts w:ascii="Arial" w:hAnsi="Arial" w:cs="Arial"/>
          <w:spacing w:val="-4"/>
        </w:rPr>
        <w:t xml:space="preserve"> </w:t>
      </w:r>
      <w:r w:rsidRPr="00AB2ED1">
        <w:rPr>
          <w:rFonts w:ascii="Arial" w:hAnsi="Arial" w:cs="Arial"/>
        </w:rPr>
        <w:t>Assessments.</w:t>
      </w:r>
    </w:p>
    <w:p w14:paraId="611E2532" w14:textId="77777777" w:rsidR="0083665A" w:rsidRPr="00AB2ED1" w:rsidRDefault="0083665A" w:rsidP="0083665A">
      <w:pPr>
        <w:pStyle w:val="ListParagraph"/>
        <w:widowControl w:val="0"/>
        <w:numPr>
          <w:ilvl w:val="2"/>
          <w:numId w:val="14"/>
        </w:numPr>
        <w:autoSpaceDE w:val="0"/>
        <w:autoSpaceDN w:val="0"/>
        <w:spacing w:before="1" w:after="0"/>
        <w:ind w:left="1701" w:right="-46" w:hanging="567"/>
        <w:rPr>
          <w:rFonts w:ascii="Arial" w:hAnsi="Arial" w:cs="Arial"/>
        </w:rPr>
      </w:pPr>
      <w:r w:rsidRPr="00AB2ED1">
        <w:rPr>
          <w:rFonts w:ascii="Arial" w:hAnsi="Arial" w:cs="Arial"/>
        </w:rPr>
        <w:t>The provider is not demonstrably delivering on agreed outcomes following mutually agreed remedial</w:t>
      </w:r>
      <w:r w:rsidRPr="00AB2ED1">
        <w:rPr>
          <w:rFonts w:ascii="Arial" w:hAnsi="Arial" w:cs="Arial"/>
          <w:spacing w:val="-5"/>
        </w:rPr>
        <w:t xml:space="preserve"> </w:t>
      </w:r>
      <w:r w:rsidRPr="00AB2ED1">
        <w:rPr>
          <w:rFonts w:ascii="Arial" w:hAnsi="Arial" w:cs="Arial"/>
        </w:rPr>
        <w:t>action.</w:t>
      </w:r>
    </w:p>
    <w:p w14:paraId="5C85DBCF" w14:textId="77777777" w:rsidR="0083665A" w:rsidRPr="00AB2ED1" w:rsidRDefault="0083665A" w:rsidP="0083665A">
      <w:pPr>
        <w:pStyle w:val="ListParagraph"/>
        <w:widowControl w:val="0"/>
        <w:numPr>
          <w:ilvl w:val="2"/>
          <w:numId w:val="14"/>
        </w:numPr>
        <w:autoSpaceDE w:val="0"/>
        <w:autoSpaceDN w:val="0"/>
        <w:spacing w:before="1" w:after="0"/>
        <w:ind w:left="1701" w:right="-46" w:hanging="567"/>
        <w:rPr>
          <w:rFonts w:ascii="Arial" w:hAnsi="Arial" w:cs="Arial"/>
        </w:rPr>
      </w:pPr>
      <w:r w:rsidRPr="00AB2ED1">
        <w:rPr>
          <w:rFonts w:ascii="Arial" w:hAnsi="Arial" w:cs="Arial"/>
        </w:rPr>
        <w:t>As part of a commissioning or market management</w:t>
      </w:r>
      <w:r w:rsidRPr="00AB2ED1">
        <w:rPr>
          <w:rFonts w:ascii="Arial" w:hAnsi="Arial" w:cs="Arial"/>
          <w:spacing w:val="1"/>
        </w:rPr>
        <w:t xml:space="preserve"> </w:t>
      </w:r>
      <w:r w:rsidRPr="00AB2ED1">
        <w:rPr>
          <w:rFonts w:ascii="Arial" w:hAnsi="Arial" w:cs="Arial"/>
        </w:rPr>
        <w:t>strategy.</w:t>
      </w:r>
    </w:p>
    <w:p w14:paraId="164E7C94" w14:textId="77777777" w:rsidR="0083665A" w:rsidRDefault="0083665A" w:rsidP="0083665A">
      <w:pPr>
        <w:pStyle w:val="Style2"/>
      </w:pPr>
      <w:r w:rsidRPr="009B08A3">
        <w:t>The</w:t>
      </w:r>
      <w:r w:rsidRPr="0088282C">
        <w:t xml:space="preserve"> </w:t>
      </w:r>
      <w:r w:rsidRPr="000606D6">
        <w:t>drivers</w:t>
      </w:r>
      <w:r w:rsidRPr="0088282C">
        <w:t xml:space="preserve"> for reactively addressing decommissioning are:</w:t>
      </w:r>
    </w:p>
    <w:p w14:paraId="5C0DEE37" w14:textId="77777777" w:rsidR="0083665A" w:rsidRPr="0088282C" w:rsidRDefault="0083665A" w:rsidP="00223A24">
      <w:pPr>
        <w:pStyle w:val="ListParagraph"/>
        <w:widowControl w:val="0"/>
        <w:numPr>
          <w:ilvl w:val="1"/>
          <w:numId w:val="15"/>
        </w:numPr>
        <w:autoSpaceDE w:val="0"/>
        <w:autoSpaceDN w:val="0"/>
        <w:spacing w:before="1" w:after="0" w:line="293" w:lineRule="exact"/>
        <w:ind w:left="1701" w:right="-46" w:hanging="567"/>
      </w:pPr>
      <w:r w:rsidRPr="0088282C">
        <w:t>Advance mitigation of impact prior to natural expiry of a time-limited contract.</w:t>
      </w:r>
    </w:p>
    <w:p w14:paraId="1D789384" w14:textId="77777777" w:rsidR="0083665A" w:rsidRPr="0088282C" w:rsidRDefault="0083665A" w:rsidP="00223A24">
      <w:pPr>
        <w:pStyle w:val="ListParagraph"/>
        <w:widowControl w:val="0"/>
        <w:numPr>
          <w:ilvl w:val="1"/>
          <w:numId w:val="15"/>
        </w:numPr>
        <w:autoSpaceDE w:val="0"/>
        <w:autoSpaceDN w:val="0"/>
        <w:spacing w:before="1" w:after="0" w:line="293" w:lineRule="exact"/>
        <w:ind w:left="1701" w:right="-46" w:hanging="567"/>
      </w:pPr>
      <w:r w:rsidRPr="0088282C">
        <w:t>Notice of termination of contract from the</w:t>
      </w:r>
      <w:r w:rsidRPr="000606D6">
        <w:t xml:space="preserve"> </w:t>
      </w:r>
      <w:r w:rsidRPr="0088282C">
        <w:t>provider.</w:t>
      </w:r>
    </w:p>
    <w:p w14:paraId="35BFF922" w14:textId="77777777" w:rsidR="0083665A" w:rsidRPr="0088282C" w:rsidRDefault="0083665A" w:rsidP="00223A24">
      <w:pPr>
        <w:pStyle w:val="ListParagraph"/>
        <w:widowControl w:val="0"/>
        <w:numPr>
          <w:ilvl w:val="1"/>
          <w:numId w:val="15"/>
        </w:numPr>
        <w:autoSpaceDE w:val="0"/>
        <w:autoSpaceDN w:val="0"/>
        <w:spacing w:before="1" w:after="0" w:line="293" w:lineRule="exact"/>
        <w:ind w:left="1701" w:right="-46" w:hanging="567"/>
      </w:pPr>
      <w:r w:rsidRPr="0088282C">
        <w:t>Breach of contract served due to irreconcilably poor performance, poor patient experience, governance and/or risks to patient safety.</w:t>
      </w:r>
    </w:p>
    <w:p w14:paraId="20C56073" w14:textId="77777777" w:rsidR="0083665A" w:rsidRDefault="0083665A" w:rsidP="0083665A">
      <w:pPr>
        <w:pStyle w:val="Style2"/>
      </w:pPr>
      <w:r w:rsidRPr="0088282C">
        <w:t>As the net impact of both actions is a cessation of a service, the following principles are universal.</w:t>
      </w:r>
    </w:p>
    <w:p w14:paraId="5E0BFCB0" w14:textId="33899AE1" w:rsidR="00BB2D92" w:rsidRPr="00AB2ED1" w:rsidRDefault="00BB2D92" w:rsidP="00E42ABF">
      <w:pPr>
        <w:pStyle w:val="Heading3"/>
      </w:pPr>
      <w:bookmarkStart w:id="85" w:name="_Toc213919816"/>
      <w:r w:rsidRPr="00AB2ED1">
        <w:t>Decommissioning / Disinvestment Principles</w:t>
      </w:r>
      <w:bookmarkEnd w:id="85"/>
    </w:p>
    <w:p w14:paraId="0CE9CC73" w14:textId="74455181" w:rsidR="00BB2D92" w:rsidRPr="00AB2ED1" w:rsidRDefault="00BB2D92" w:rsidP="00E42ABF">
      <w:pPr>
        <w:pStyle w:val="Style2"/>
      </w:pPr>
      <w:r w:rsidRPr="00AB2ED1">
        <w:t xml:space="preserve">The process </w:t>
      </w:r>
      <w:r w:rsidRPr="00E42ABF">
        <w:t>outlined</w:t>
      </w:r>
      <w:r w:rsidRPr="00AB2ED1">
        <w:t xml:space="preserve"> below is guided by the following principles.</w:t>
      </w:r>
    </w:p>
    <w:p w14:paraId="00550976" w14:textId="348481CD"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Initiation of a decommissioning proposal must be based on tangible evidence</w:t>
      </w:r>
      <w:r w:rsidR="008A7CAE">
        <w:t>.</w:t>
      </w:r>
    </w:p>
    <w:p w14:paraId="59589163" w14:textId="3B5CB1D8" w:rsidR="00BB2D92" w:rsidRPr="00AB2ED1" w:rsidRDefault="00827957" w:rsidP="00223A24">
      <w:pPr>
        <w:pStyle w:val="ListParagraph"/>
        <w:widowControl w:val="0"/>
        <w:numPr>
          <w:ilvl w:val="1"/>
          <w:numId w:val="15"/>
        </w:numPr>
        <w:autoSpaceDE w:val="0"/>
        <w:autoSpaceDN w:val="0"/>
        <w:spacing w:before="1" w:after="0" w:line="293" w:lineRule="exact"/>
        <w:ind w:left="1701" w:right="-46" w:hanging="567"/>
      </w:pPr>
      <w:r>
        <w:t>There will be appropriate engagement or consultation (depending on the decision being made and in accordance with the requirements placed upon an ICB) with</w:t>
      </w:r>
      <w:r w:rsidR="00BB2D92" w:rsidRPr="00AB2ED1">
        <w:t xml:space="preserve"> stakeholders before the decommissioning decision is made.</w:t>
      </w:r>
    </w:p>
    <w:p w14:paraId="35CE7289" w14:textId="0A15B2F4"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 xml:space="preserve">The provider and commissioner obligations in relation to termination and expiry, resulting from decommissioning, is outlined within the </w:t>
      </w:r>
      <w:r w:rsidR="00532A35">
        <w:t xml:space="preserve">NHS Standard </w:t>
      </w:r>
      <w:r w:rsidR="00532A35">
        <w:lastRenderedPageBreak/>
        <w:t xml:space="preserve">Contract or the </w:t>
      </w:r>
      <w:r w:rsidRPr="00AB2ED1">
        <w:t>respective contract.</w:t>
      </w:r>
    </w:p>
    <w:p w14:paraId="4C0CC564" w14:textId="67ABEB8C"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Detailed consideration must be given to the broad-ranging adverse impact of the decommissioning</w:t>
      </w:r>
      <w:r w:rsidRPr="000606D6">
        <w:t xml:space="preserve"> </w:t>
      </w:r>
      <w:r w:rsidRPr="00AB2ED1">
        <w:t>decision.</w:t>
      </w:r>
      <w:r w:rsidR="00347F4B">
        <w:t xml:space="preserve"> These should be documented and assessed within the impact assessment</w:t>
      </w:r>
      <w:r w:rsidR="0015598A">
        <w:t>.</w:t>
      </w:r>
    </w:p>
    <w:p w14:paraId="20FD5C14" w14:textId="6E1F853B"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 xml:space="preserve">The provider must be </w:t>
      </w:r>
      <w:r w:rsidR="00827957">
        <w:t>engag</w:t>
      </w:r>
      <w:r w:rsidR="00827957" w:rsidRPr="00AB2ED1">
        <w:t xml:space="preserve">ed </w:t>
      </w:r>
      <w:r w:rsidRPr="00AB2ED1">
        <w:t xml:space="preserve">as early as possible, and in line with contractual notice periods. </w:t>
      </w:r>
    </w:p>
    <w:p w14:paraId="32C2416F" w14:textId="60B1D6FC"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 xml:space="preserve">Where </w:t>
      </w:r>
      <w:r w:rsidRPr="00AB2ED1">
        <w:t>the</w:t>
      </w:r>
      <w:r w:rsidRPr="000606D6">
        <w:t xml:space="preserve"> </w:t>
      </w:r>
      <w:r w:rsidRPr="00AB2ED1">
        <w:t>service</w:t>
      </w:r>
      <w:r w:rsidRPr="000606D6">
        <w:t xml:space="preserve"> </w:t>
      </w:r>
      <w:r w:rsidRPr="00AB2ED1">
        <w:t>is</w:t>
      </w:r>
      <w:r w:rsidRPr="000606D6">
        <w:t xml:space="preserve"> </w:t>
      </w:r>
      <w:r w:rsidRPr="00AB2ED1">
        <w:t>identified</w:t>
      </w:r>
      <w:r w:rsidRPr="000606D6">
        <w:t xml:space="preserve"> </w:t>
      </w:r>
      <w:r w:rsidRPr="00AB2ED1">
        <w:t>as</w:t>
      </w:r>
      <w:r w:rsidRPr="000606D6">
        <w:t xml:space="preserve"> </w:t>
      </w:r>
      <w:r w:rsidRPr="00AB2ED1">
        <w:t>being</w:t>
      </w:r>
      <w:r w:rsidRPr="000606D6">
        <w:t xml:space="preserve"> </w:t>
      </w:r>
      <w:r w:rsidRPr="00AB2ED1">
        <w:t>a</w:t>
      </w:r>
      <w:r w:rsidRPr="000606D6">
        <w:t xml:space="preserve"> requirement </w:t>
      </w:r>
      <w:r w:rsidRPr="00AB2ED1">
        <w:t>/</w:t>
      </w:r>
      <w:r w:rsidRPr="000606D6">
        <w:t xml:space="preserve"> priority </w:t>
      </w:r>
      <w:r w:rsidR="0015598A">
        <w:t>service</w:t>
      </w:r>
      <w:r w:rsidRPr="00AB2ED1">
        <w:t xml:space="preserve">, alternative provision must be available or commissioned before </w:t>
      </w:r>
      <w:r w:rsidRPr="000606D6">
        <w:t xml:space="preserve">decommissioning </w:t>
      </w:r>
      <w:r w:rsidRPr="00AB2ED1">
        <w:t>is</w:t>
      </w:r>
      <w:r w:rsidRPr="000606D6">
        <w:t xml:space="preserve"> </w:t>
      </w:r>
      <w:r w:rsidRPr="00AB2ED1">
        <w:t>enacted</w:t>
      </w:r>
      <w:r w:rsidR="00B41B4E">
        <w:t xml:space="preserve"> or service terminates</w:t>
      </w:r>
      <w:r w:rsidRPr="00AB2ED1">
        <w:t>.</w:t>
      </w:r>
    </w:p>
    <w:p w14:paraId="615514D1" w14:textId="7302A579"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Once decommissioning is a</w:t>
      </w:r>
      <w:r w:rsidR="00B41B4E">
        <w:t xml:space="preserve">pproved </w:t>
      </w:r>
      <w:r w:rsidRPr="00AB2ED1">
        <w:t>and/or is inevitable, and where adverse impact is anticipated a detailed implementation plan is required which clearly shows the actions and accountabilities including those to mitigate adverse</w:t>
      </w:r>
      <w:r w:rsidRPr="000606D6">
        <w:t xml:space="preserve"> </w:t>
      </w:r>
      <w:r w:rsidRPr="00AB2ED1">
        <w:t>impact.</w:t>
      </w:r>
    </w:p>
    <w:p w14:paraId="180C796F" w14:textId="77777777" w:rsidR="00BB2D92" w:rsidRPr="00AB2ED1" w:rsidRDefault="00BB2D92" w:rsidP="00223A24">
      <w:pPr>
        <w:pStyle w:val="ListParagraph"/>
        <w:widowControl w:val="0"/>
        <w:numPr>
          <w:ilvl w:val="1"/>
          <w:numId w:val="15"/>
        </w:numPr>
        <w:autoSpaceDE w:val="0"/>
        <w:autoSpaceDN w:val="0"/>
        <w:spacing w:before="1" w:after="0" w:line="293" w:lineRule="exact"/>
        <w:ind w:left="1701" w:right="-46" w:hanging="567"/>
      </w:pPr>
      <w:r w:rsidRPr="00AB2ED1">
        <w:t>A smooth transition between outgoing and replacement provider (where relevant) is in the best interests of patients. Contractual terms are available to ensure exit arrangements and succession plans (where relevant) are conducted appropriately.</w:t>
      </w:r>
    </w:p>
    <w:p w14:paraId="0EC69C8D" w14:textId="77777777" w:rsidR="00AB56DA" w:rsidRPr="00BB2D92" w:rsidRDefault="00AB56DA" w:rsidP="00AB56DA">
      <w:pPr>
        <w:pStyle w:val="Heading3"/>
      </w:pPr>
      <w:bookmarkStart w:id="86" w:name="_Toc213919817"/>
      <w:r w:rsidRPr="00BB2D92">
        <w:t xml:space="preserve">Criteria for </w:t>
      </w:r>
      <w:r>
        <w:t>dis</w:t>
      </w:r>
      <w:r w:rsidRPr="00BB2D92">
        <w:t>investment / decommissioning</w:t>
      </w:r>
      <w:bookmarkEnd w:id="86"/>
    </w:p>
    <w:p w14:paraId="74708F4E" w14:textId="77777777" w:rsidR="00AB56DA" w:rsidRPr="0088282C" w:rsidRDefault="00AB56DA" w:rsidP="00AB56DA">
      <w:pPr>
        <w:pStyle w:val="Style2"/>
      </w:pPr>
      <w:r w:rsidRPr="0088282C">
        <w:t>The following points will be considered when making the decision to disinvest a service.</w:t>
      </w:r>
    </w:p>
    <w:p w14:paraId="1D36AB7C" w14:textId="77777777" w:rsidR="00AB56DA" w:rsidRPr="000606D6" w:rsidRDefault="00AB56DA" w:rsidP="00223A24">
      <w:pPr>
        <w:pStyle w:val="ListParagraph"/>
        <w:widowControl w:val="0"/>
        <w:numPr>
          <w:ilvl w:val="1"/>
          <w:numId w:val="15"/>
        </w:numPr>
        <w:autoSpaceDE w:val="0"/>
        <w:autoSpaceDN w:val="0"/>
        <w:spacing w:before="1" w:after="0" w:line="293" w:lineRule="exact"/>
        <w:ind w:left="1701" w:right="-46" w:hanging="567"/>
      </w:pPr>
      <w:r w:rsidRPr="0088282C">
        <w:t xml:space="preserve">The patient experience and health </w:t>
      </w:r>
      <w:r w:rsidRPr="000606D6">
        <w:t>need</w:t>
      </w:r>
      <w:r w:rsidRPr="0088282C">
        <w:t xml:space="preserve"> must be paramount and gaps in service provision minimised once the service</w:t>
      </w:r>
      <w:r w:rsidRPr="000606D6">
        <w:t xml:space="preserve"> </w:t>
      </w:r>
      <w:r w:rsidRPr="0088282C">
        <w:t>ceases.</w:t>
      </w:r>
    </w:p>
    <w:p w14:paraId="555D692C" w14:textId="45C6F9B2" w:rsidR="00AB56DA" w:rsidRPr="000606D6" w:rsidRDefault="00AB56DA" w:rsidP="00223A24">
      <w:pPr>
        <w:pStyle w:val="ListParagraph"/>
        <w:widowControl w:val="0"/>
        <w:numPr>
          <w:ilvl w:val="1"/>
          <w:numId w:val="15"/>
        </w:numPr>
        <w:autoSpaceDE w:val="0"/>
        <w:autoSpaceDN w:val="0"/>
        <w:spacing w:before="1" w:after="0" w:line="293" w:lineRule="exact"/>
        <w:ind w:left="1701" w:right="-46" w:hanging="567"/>
      </w:pPr>
      <w:r w:rsidRPr="0088282C">
        <w:t xml:space="preserve">The potential destabilising effect on other organisations e.g. </w:t>
      </w:r>
      <w:r w:rsidR="00B77D3C" w:rsidRPr="0088282C">
        <w:t>third sector</w:t>
      </w:r>
      <w:r w:rsidRPr="0088282C">
        <w:t>.</w:t>
      </w:r>
    </w:p>
    <w:p w14:paraId="7B988E81" w14:textId="77777777" w:rsidR="00AB56DA" w:rsidRPr="000606D6" w:rsidRDefault="00AB56DA" w:rsidP="00223A24">
      <w:pPr>
        <w:pStyle w:val="ListParagraph"/>
        <w:widowControl w:val="0"/>
        <w:numPr>
          <w:ilvl w:val="1"/>
          <w:numId w:val="15"/>
        </w:numPr>
        <w:autoSpaceDE w:val="0"/>
        <w:autoSpaceDN w:val="0"/>
        <w:spacing w:before="1" w:after="0" w:line="293" w:lineRule="exact"/>
        <w:ind w:left="1701" w:right="-46" w:hanging="567"/>
      </w:pPr>
      <w:r w:rsidRPr="00AB2ED1">
        <w:t>Equity of service provision across MSE ICS.</w:t>
      </w:r>
    </w:p>
    <w:p w14:paraId="0A488149" w14:textId="346F5FF3" w:rsidR="00B06B72" w:rsidRPr="00BB2D92" w:rsidRDefault="00583B94" w:rsidP="00E42ABF">
      <w:pPr>
        <w:pStyle w:val="Heading3"/>
      </w:pPr>
      <w:bookmarkStart w:id="87" w:name="_Toc213919818"/>
      <w:r>
        <w:t>The</w:t>
      </w:r>
      <w:r w:rsidR="00B06B72" w:rsidRPr="00BB2D92">
        <w:t xml:space="preserve"> </w:t>
      </w:r>
      <w:r w:rsidR="00DE437C">
        <w:t xml:space="preserve">Decommissioning or Disinvestment </w:t>
      </w:r>
      <w:r w:rsidR="00B06B72" w:rsidRPr="00BB2D92">
        <w:t>process</w:t>
      </w:r>
      <w:bookmarkEnd w:id="87"/>
    </w:p>
    <w:p w14:paraId="7EE43B3B" w14:textId="5415F08A" w:rsidR="00BB2D92" w:rsidRPr="00A8174F" w:rsidRDefault="00BB2D92" w:rsidP="00E42ABF">
      <w:pPr>
        <w:pStyle w:val="Style2"/>
      </w:pPr>
      <w:r w:rsidRPr="0088282C">
        <w:t xml:space="preserve">This decommissioning process will be followed unless an event as specified under the terms and conditions of the specific contract requires immediate termination. The decommissioning / disinvestment process is documented in </w:t>
      </w:r>
      <w:r w:rsidRPr="00D76542">
        <w:rPr>
          <w:b/>
          <w:bCs/>
        </w:rPr>
        <w:t xml:space="preserve">Appendix </w:t>
      </w:r>
      <w:r w:rsidR="008A456C">
        <w:rPr>
          <w:b/>
          <w:bCs/>
        </w:rPr>
        <w:t>C</w:t>
      </w:r>
      <w:r w:rsidRPr="00D76542">
        <w:rPr>
          <w:b/>
          <w:bCs/>
        </w:rPr>
        <w:t>.</w:t>
      </w:r>
    </w:p>
    <w:p w14:paraId="52134198" w14:textId="0188915E" w:rsidR="00A8174F" w:rsidRPr="00A8174F" w:rsidRDefault="0009780C" w:rsidP="00E42ABF">
      <w:pPr>
        <w:pStyle w:val="Style2"/>
      </w:pPr>
      <w:r>
        <w:rPr>
          <w:u w:val="single"/>
        </w:rPr>
        <w:t>Commissioning (</w:t>
      </w:r>
      <w:r w:rsidR="00A8174F" w:rsidRPr="00BE4FDC">
        <w:rPr>
          <w:u w:val="single"/>
        </w:rPr>
        <w:t>Service Restriction</w:t>
      </w:r>
      <w:r>
        <w:rPr>
          <w:u w:val="single"/>
        </w:rPr>
        <w:t>)</w:t>
      </w:r>
      <w:r w:rsidR="00E509CA">
        <w:rPr>
          <w:u w:val="single"/>
        </w:rPr>
        <w:t xml:space="preserve"> </w:t>
      </w:r>
      <w:r w:rsidR="00A8174F" w:rsidRPr="00BE4FDC">
        <w:rPr>
          <w:u w:val="single"/>
        </w:rPr>
        <w:t>Policy:</w:t>
      </w:r>
      <w:r w:rsidR="00A8174F" w:rsidRPr="00A8174F">
        <w:t xml:space="preserve"> For </w:t>
      </w:r>
      <w:r w:rsidR="00861C79" w:rsidRPr="00A8174F">
        <w:t>several</w:t>
      </w:r>
      <w:r w:rsidR="00A8174F" w:rsidRPr="00A8174F">
        <w:t xml:space="preserve"> commissioned procedures M</w:t>
      </w:r>
      <w:r w:rsidR="00A8174F">
        <w:t>SE ICB</w:t>
      </w:r>
      <w:r w:rsidR="00A8174F" w:rsidRPr="00A8174F">
        <w:t xml:space="preserve"> operate a Prior Approvals Scheme setting out criteria for access, based on evidence of effectiveness or relative priority for funding. Those related to procedures are included within </w:t>
      </w:r>
      <w:r w:rsidR="00A66D2D">
        <w:t xml:space="preserve">the </w:t>
      </w:r>
      <w:r w:rsidR="00AA3012">
        <w:t>Commissioning (</w:t>
      </w:r>
      <w:r w:rsidR="00A66D2D">
        <w:t>Service Restriction</w:t>
      </w:r>
      <w:r w:rsidR="00AA3012">
        <w:t>)</w:t>
      </w:r>
      <w:r w:rsidR="00A66D2D">
        <w:t xml:space="preserve"> Policy</w:t>
      </w:r>
      <w:r w:rsidR="00A8174F" w:rsidRPr="00A8174F">
        <w:t>; those relating to prescribing can be found on the commissioner Medicines Optimisation website. Providers must not assume that because a procedure</w:t>
      </w:r>
      <w:r w:rsidR="00A66D2D">
        <w:t xml:space="preserve"> </w:t>
      </w:r>
      <w:r w:rsidR="00A8174F" w:rsidRPr="00A8174F">
        <w:t>is not included in this document or listed on the Medicines Optimisations website that by default it will be funded</w:t>
      </w:r>
      <w:r w:rsidR="00A66D2D">
        <w:t xml:space="preserve">.  The latest version of the MSE ICB Service Restriction Policy can be accessed at: </w:t>
      </w:r>
      <w:hyperlink r:id="rId29" w:history="1">
        <w:r w:rsidR="00A66D2D" w:rsidRPr="007D6D10">
          <w:rPr>
            <w:rStyle w:val="Hyperlink"/>
          </w:rPr>
          <w:t>1.-JC-FP001-Mid-South-Essex-SRP-v1.3-Updated-March-2023.docx (live.com)</w:t>
        </w:r>
      </w:hyperlink>
    </w:p>
    <w:p w14:paraId="5CC06AC5" w14:textId="44E577C8" w:rsidR="00A66D2D" w:rsidRPr="00A66D2D" w:rsidRDefault="00A66D2D" w:rsidP="00E42ABF">
      <w:pPr>
        <w:pStyle w:val="Style2"/>
      </w:pPr>
      <w:r w:rsidRPr="00BE4FDC">
        <w:rPr>
          <w:u w:val="single"/>
        </w:rPr>
        <w:t xml:space="preserve">Individual Funding Request </w:t>
      </w:r>
      <w:r w:rsidR="003D4FE7">
        <w:rPr>
          <w:u w:val="single"/>
        </w:rPr>
        <w:t xml:space="preserve">(IFR) </w:t>
      </w:r>
      <w:r w:rsidRPr="00BE4FDC">
        <w:rPr>
          <w:u w:val="single"/>
        </w:rPr>
        <w:t>Policy:</w:t>
      </w:r>
      <w:r>
        <w:t xml:space="preserve"> </w:t>
      </w:r>
      <w:r w:rsidRPr="00A66D2D">
        <w:t xml:space="preserve">ICBs are required to have a process for considering funding for individuals who seek NHS commissioned services outside established commissioning policies. There are, in general two types of </w:t>
      </w:r>
      <w:r w:rsidRPr="00A66D2D">
        <w:lastRenderedPageBreak/>
        <w:t>requests (Category 1 and 2) that come before an Individual Funding Request (IFR) Panel, namely:</w:t>
      </w:r>
    </w:p>
    <w:p w14:paraId="5CCCE454" w14:textId="77777777" w:rsidR="00A66D2D" w:rsidRPr="00A66D2D" w:rsidRDefault="00A66D2D" w:rsidP="000606D6">
      <w:pPr>
        <w:pStyle w:val="Style2"/>
        <w:numPr>
          <w:ilvl w:val="0"/>
          <w:numId w:val="0"/>
        </w:numPr>
        <w:ind w:left="1134"/>
      </w:pPr>
      <w:r w:rsidRPr="00A66D2D">
        <w:rPr>
          <w:b/>
          <w:bCs/>
        </w:rPr>
        <w:t>Category 1 –</w:t>
      </w:r>
      <w:r w:rsidRPr="00A66D2D">
        <w:t> Requests for funding treatments for medical conditions where the ICB has no established commissioning policy (commonly called IFR requests), and</w:t>
      </w:r>
    </w:p>
    <w:p w14:paraId="3B603F69" w14:textId="091C6471" w:rsidR="00A66D2D" w:rsidRPr="00A66D2D" w:rsidRDefault="00A66D2D" w:rsidP="000606D6">
      <w:pPr>
        <w:pStyle w:val="Style2"/>
        <w:numPr>
          <w:ilvl w:val="0"/>
          <w:numId w:val="0"/>
        </w:numPr>
        <w:ind w:left="1134"/>
      </w:pPr>
      <w:r w:rsidRPr="00A66D2D">
        <w:rPr>
          <w:b/>
          <w:bCs/>
        </w:rPr>
        <w:t>Category 2 – </w:t>
      </w:r>
      <w:r w:rsidRPr="00A66D2D">
        <w:t>Requests for funding treatments for medical conditions where the ICB does have an established commissioning policy for that condition but where the requested individual treatment is not in the ICB policy or does not meet the criteria set out in the policy.</w:t>
      </w:r>
      <w:r>
        <w:t xml:space="preserve">  The MSE ICB Individual Funding Request Policy can be accessed at: </w:t>
      </w:r>
      <w:hyperlink r:id="rId30" w:history="1">
        <w:r w:rsidRPr="007D6D10">
          <w:rPr>
            <w:rStyle w:val="Hyperlink"/>
          </w:rPr>
          <w:t>Individual Funding Request Policy - Mid and South Essex Integrated Care System (ics.nhs.uk)</w:t>
        </w:r>
      </w:hyperlink>
    </w:p>
    <w:p w14:paraId="578B9845" w14:textId="5CC940A5" w:rsidR="00BB2D92" w:rsidRPr="0088282C" w:rsidRDefault="00BB2D92" w:rsidP="001E38EE">
      <w:pPr>
        <w:pStyle w:val="Style2"/>
      </w:pPr>
      <w:r w:rsidRPr="0088282C">
        <w:t>The decommissioning process may, on occasion, be triggered by a contract review. These reviews are carried out with a frequency according to the perceived risks of the particular contract, and as set out in the contract. In some cases, decommissioning will be triggered by a significant event, such as a Serious Incident or a ‘Never Event’, failure to provide adequate assurance around policy and procedure documentation and compliance, failure to meet quality requirements within the contract or a failure to sign a contract variation for a change in</w:t>
      </w:r>
      <w:r w:rsidRPr="0088282C">
        <w:rPr>
          <w:spacing w:val="5"/>
        </w:rPr>
        <w:t xml:space="preserve"> </w:t>
      </w:r>
      <w:r w:rsidRPr="0088282C">
        <w:t xml:space="preserve">service. </w:t>
      </w:r>
    </w:p>
    <w:p w14:paraId="17747F1F" w14:textId="76866FC2" w:rsidR="00BB2D92" w:rsidRPr="0088282C" w:rsidRDefault="00BB2D92" w:rsidP="001E38EE">
      <w:pPr>
        <w:pStyle w:val="Style2"/>
      </w:pPr>
      <w:r w:rsidRPr="0088282C">
        <w:t>A review will be carried out by a multidisciplinary group constituted by the ICB for this purpose.</w:t>
      </w:r>
    </w:p>
    <w:p w14:paraId="307EB64F" w14:textId="6F2F7127" w:rsidR="00BB2D92" w:rsidRPr="0088282C" w:rsidRDefault="00BB2D92" w:rsidP="001E38EE">
      <w:pPr>
        <w:pStyle w:val="Style2"/>
      </w:pPr>
      <w:r w:rsidRPr="0088282C">
        <w:t xml:space="preserve">Using the proforma in </w:t>
      </w:r>
      <w:r w:rsidRPr="00B92B63">
        <w:rPr>
          <w:b/>
          <w:bCs/>
        </w:rPr>
        <w:t>Appendix D</w:t>
      </w:r>
      <w:r w:rsidRPr="0088282C">
        <w:t xml:space="preserve">, a decision will be reached by the team as to whether </w:t>
      </w:r>
      <w:r w:rsidRPr="001E38EE">
        <w:t>to</w:t>
      </w:r>
      <w:r w:rsidRPr="0088282C">
        <w:t xml:space="preserve"> </w:t>
      </w:r>
      <w:r w:rsidR="00EF6832" w:rsidRPr="0088282C">
        <w:t>decommission</w:t>
      </w:r>
      <w:r w:rsidR="00EF6832">
        <w:t xml:space="preserve"> or</w:t>
      </w:r>
      <w:r w:rsidR="00884FE5">
        <w:t xml:space="preserve"> </w:t>
      </w:r>
      <w:r w:rsidR="00EF6832">
        <w:t>procure this service from an alternative provider</w:t>
      </w:r>
      <w:r w:rsidRPr="0088282C">
        <w:t>. Evidence required at this stage to support the decision must be robust and provided as part of the proforma to enable the decision to be ratified and to provide detailed information for</w:t>
      </w:r>
      <w:r w:rsidRPr="0088282C">
        <w:rPr>
          <w:spacing w:val="6"/>
        </w:rPr>
        <w:t xml:space="preserve"> </w:t>
      </w:r>
      <w:r w:rsidRPr="0088282C">
        <w:t>the appeals stage. Should the decision be not to decommission, then corrective action to resolve the issue must be taken.</w:t>
      </w:r>
    </w:p>
    <w:p w14:paraId="4E426F67" w14:textId="2BBDDF05" w:rsidR="00BB2D92" w:rsidRPr="001E38EE" w:rsidRDefault="00BB2D92" w:rsidP="001E38EE">
      <w:pPr>
        <w:pStyle w:val="Style2"/>
        <w:rPr>
          <w:bCs/>
        </w:rPr>
      </w:pPr>
      <w:r w:rsidRPr="0088282C">
        <w:t>In all cases the identified Operational Lead will complete an Equality Health Inequalities Impact assessment</w:t>
      </w:r>
      <w:r w:rsidR="001977FD">
        <w:t xml:space="preserve"> (see associated policy)</w:t>
      </w:r>
      <w:r w:rsidRPr="0088282C">
        <w:t xml:space="preserve">. This is to be supported by the prioritisation of resources framework attached at </w:t>
      </w:r>
      <w:r w:rsidRPr="0088282C">
        <w:rPr>
          <w:b/>
        </w:rPr>
        <w:t>Appendix</w:t>
      </w:r>
      <w:r w:rsidRPr="0088282C">
        <w:rPr>
          <w:b/>
          <w:spacing w:val="-3"/>
        </w:rPr>
        <w:t xml:space="preserve"> </w:t>
      </w:r>
      <w:r w:rsidR="00B92B63">
        <w:rPr>
          <w:b/>
        </w:rPr>
        <w:t>F</w:t>
      </w:r>
      <w:r w:rsidRPr="0088282C">
        <w:rPr>
          <w:b/>
        </w:rPr>
        <w:t>.</w:t>
      </w:r>
    </w:p>
    <w:p w14:paraId="65B89C54" w14:textId="3D62C356" w:rsidR="00BB2D92" w:rsidRPr="0088282C" w:rsidRDefault="00BB2D92" w:rsidP="001E38EE">
      <w:pPr>
        <w:pStyle w:val="Style2"/>
      </w:pPr>
      <w:r w:rsidRPr="0088282C">
        <w:t xml:space="preserve">The </w:t>
      </w:r>
      <w:r w:rsidRPr="001E38EE">
        <w:t>identified</w:t>
      </w:r>
      <w:r w:rsidRPr="0088282C">
        <w:t xml:space="preserve"> Operational Lead is required to ensure that appropriate </w:t>
      </w:r>
      <w:r w:rsidR="00827957">
        <w:t xml:space="preserve">engagement or </w:t>
      </w:r>
      <w:r w:rsidRPr="0088282C">
        <w:t xml:space="preserve">consultation </w:t>
      </w:r>
      <w:r w:rsidR="00827957">
        <w:t xml:space="preserve">(as required) </w:t>
      </w:r>
      <w:r w:rsidRPr="0088282C">
        <w:t>has taken place with all relevant</w:t>
      </w:r>
      <w:r w:rsidRPr="0088282C">
        <w:rPr>
          <w:spacing w:val="20"/>
        </w:rPr>
        <w:t xml:space="preserve"> </w:t>
      </w:r>
      <w:r w:rsidRPr="0088282C">
        <w:t>stakeholders.</w:t>
      </w:r>
    </w:p>
    <w:p w14:paraId="76524184" w14:textId="5C638C7F" w:rsidR="00BB2D92" w:rsidRPr="0088282C" w:rsidRDefault="00BB2D92" w:rsidP="001E38EE">
      <w:pPr>
        <w:pStyle w:val="Style2"/>
      </w:pPr>
      <w:r w:rsidRPr="0088282C">
        <w:t xml:space="preserve">Stakeholders will include respective Health and Wellbeing Boards </w:t>
      </w:r>
      <w:r w:rsidR="00BE3ACC">
        <w:t xml:space="preserve">or successor bodies </w:t>
      </w:r>
      <w:r w:rsidRPr="0088282C">
        <w:t>where relevant.</w:t>
      </w:r>
    </w:p>
    <w:p w14:paraId="4CA86096" w14:textId="11E9EE20" w:rsidR="00BB2D92" w:rsidRPr="0088282C" w:rsidRDefault="00BB2D92" w:rsidP="001E38EE">
      <w:pPr>
        <w:pStyle w:val="Style2"/>
      </w:pPr>
      <w:r w:rsidRPr="0088282C">
        <w:t xml:space="preserve">Should the decision be to decommission, then the decision must be reviewed by the relevant ICB Committee’s to gain </w:t>
      </w:r>
      <w:r w:rsidR="00025482">
        <w:t xml:space="preserve">approval </w:t>
      </w:r>
      <w:r w:rsidRPr="0088282C">
        <w:t xml:space="preserve">for the decision. If the </w:t>
      </w:r>
      <w:r w:rsidRPr="001E38EE">
        <w:t>decision</w:t>
      </w:r>
      <w:r w:rsidRPr="0088282C">
        <w:t xml:space="preserve"> is regarding a service which affects more than one organisation, then approval for decommissioning must be gained from</w:t>
      </w:r>
      <w:r w:rsidRPr="0088282C">
        <w:rPr>
          <w:spacing w:val="5"/>
        </w:rPr>
        <w:t xml:space="preserve"> </w:t>
      </w:r>
      <w:r w:rsidRPr="0088282C">
        <w:t>all</w:t>
      </w:r>
      <w:r w:rsidR="00025482">
        <w:t xml:space="preserve"> parties</w:t>
      </w:r>
      <w:r w:rsidRPr="0088282C">
        <w:t>.</w:t>
      </w:r>
    </w:p>
    <w:p w14:paraId="7564D7B5" w14:textId="2E5D802C" w:rsidR="00BB2D92" w:rsidRPr="0088282C" w:rsidRDefault="00BB2D92" w:rsidP="001E38EE">
      <w:pPr>
        <w:pStyle w:val="Style2"/>
      </w:pPr>
      <w:r w:rsidRPr="0088282C">
        <w:t>Following approval, the decision will be communicated to the</w:t>
      </w:r>
      <w:r w:rsidR="00025482">
        <w:t xml:space="preserve"> provider and notice issued and any other</w:t>
      </w:r>
      <w:r w:rsidRPr="0088282C">
        <w:t xml:space="preserve"> identified stakeholders.</w:t>
      </w:r>
    </w:p>
    <w:p w14:paraId="5BDA8B54" w14:textId="2ABE74AF" w:rsidR="00D76542" w:rsidRDefault="000449BB" w:rsidP="001E38EE">
      <w:pPr>
        <w:pStyle w:val="Style2"/>
      </w:pPr>
      <w:r>
        <w:lastRenderedPageBreak/>
        <w:t xml:space="preserve">The provider and stakeholders will have ten </w:t>
      </w:r>
      <w:r w:rsidR="008E35CE">
        <w:t xml:space="preserve">working </w:t>
      </w:r>
      <w:r w:rsidR="00BB2D92" w:rsidRPr="0088282C">
        <w:t xml:space="preserve">days </w:t>
      </w:r>
      <w:r>
        <w:t>following the</w:t>
      </w:r>
      <w:r w:rsidR="00BB2D92" w:rsidRPr="0088282C">
        <w:t xml:space="preserve"> communication and</w:t>
      </w:r>
      <w:r>
        <w:t xml:space="preserve"> service of notice, to allow any</w:t>
      </w:r>
      <w:r w:rsidR="00BB2D92" w:rsidRPr="0088282C">
        <w:t xml:space="preserve"> queries from </w:t>
      </w:r>
      <w:r w:rsidR="008E35CE">
        <w:t xml:space="preserve">the provider or </w:t>
      </w:r>
      <w:r w:rsidR="00BB2D92" w:rsidRPr="0088282C">
        <w:t>stakeholders to be dealt with before</w:t>
      </w:r>
      <w:r>
        <w:t xml:space="preserve"> the notice is deemed to be accepted</w:t>
      </w:r>
      <w:r w:rsidR="00BB2D92" w:rsidRPr="0088282C">
        <w:t>. The responsibility for serving notice on the provider is with the contract manager or as otherwise determined by the Chief Executive</w:t>
      </w:r>
      <w:r w:rsidR="0067159A">
        <w:t xml:space="preserve"> Officer</w:t>
      </w:r>
      <w:r w:rsidR="00BB2D92" w:rsidRPr="0088282C">
        <w:t>.</w:t>
      </w:r>
    </w:p>
    <w:p w14:paraId="37A6CC6D" w14:textId="7D0965BA" w:rsidR="00BB2D92" w:rsidRPr="001E38EE" w:rsidRDefault="00BB2D92" w:rsidP="001E38EE">
      <w:pPr>
        <w:pStyle w:val="Style2"/>
      </w:pPr>
      <w:r w:rsidRPr="0088282C">
        <w:t>Formal public consultation in line with Health Overview and Scrutiny Committee guidelines must take place where the decommissioning of the service or contract results in a material change to the delivery of a service (except when the service is recommissioned), or where the service will not be recommissioned.</w:t>
      </w:r>
    </w:p>
    <w:p w14:paraId="14FD4093" w14:textId="3AD1789E" w:rsidR="00BB2D92" w:rsidRPr="0088282C" w:rsidRDefault="00BB2D92" w:rsidP="001E38EE">
      <w:pPr>
        <w:pStyle w:val="Style2"/>
      </w:pPr>
      <w:r w:rsidRPr="001E38EE">
        <w:t>Following</w:t>
      </w:r>
      <w:r w:rsidRPr="0088282C">
        <w:t xml:space="preserve"> notification of decision to decommission the Commissioner and Provider (and if appropriate any successor provider) will jointly agree an Exit Plan/Succession Plan, as required under the contract for services, outlining actions required by both parties for smooth service cessation. Where a clinical service, the plan will cover a minimum</w:t>
      </w:r>
      <w:r w:rsidR="00A912FA">
        <w:t>:</w:t>
      </w:r>
    </w:p>
    <w:p w14:paraId="52A30C1C"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Referrals, and patient transfer or discharge</w:t>
      </w:r>
    </w:p>
    <w:p w14:paraId="54147DAA"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Patient continuity of care</w:t>
      </w:r>
    </w:p>
    <w:p w14:paraId="3125C763"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Patient records</w:t>
      </w:r>
    </w:p>
    <w:p w14:paraId="115EF8A2"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Staff</w:t>
      </w:r>
    </w:p>
    <w:p w14:paraId="03752643"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Estate</w:t>
      </w:r>
    </w:p>
    <w:p w14:paraId="40498FC9" w14:textId="3E38070F"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 xml:space="preserve">Equipment (also need to consider in relation to </w:t>
      </w:r>
      <w:r w:rsidR="00A912FA" w:rsidRPr="000606D6">
        <w:t>non-clinical</w:t>
      </w:r>
      <w:r w:rsidRPr="000606D6">
        <w:t xml:space="preserve"> services)</w:t>
      </w:r>
    </w:p>
    <w:p w14:paraId="611DFBBE"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Stock (where funded by the ICB)</w:t>
      </w:r>
    </w:p>
    <w:p w14:paraId="3CCEE84C" w14:textId="139221AA" w:rsidR="00BB2D92" w:rsidRDefault="00BB2D92" w:rsidP="005C4EDB">
      <w:pPr>
        <w:pStyle w:val="Style2"/>
      </w:pPr>
      <w:r w:rsidRPr="0088282C">
        <w:t xml:space="preserve">The ICB lead will ensure mechanisms are in place where, in conjunction with the provider, </w:t>
      </w:r>
      <w:r w:rsidRPr="001E38EE">
        <w:t>execution</w:t>
      </w:r>
      <w:r w:rsidRPr="0088282C">
        <w:t xml:space="preserve"> of the Exit Plan/Succession Plan is actively managed.</w:t>
      </w:r>
    </w:p>
    <w:p w14:paraId="15D1DC2C" w14:textId="77777777" w:rsidR="00BB2D92" w:rsidRPr="0088282C" w:rsidRDefault="00BB2D92" w:rsidP="001E38EE">
      <w:pPr>
        <w:pStyle w:val="Heading3"/>
      </w:pPr>
      <w:bookmarkStart w:id="88" w:name="_Toc213919819"/>
      <w:r w:rsidRPr="0088282C">
        <w:t>Appeals Process</w:t>
      </w:r>
      <w:bookmarkEnd w:id="88"/>
    </w:p>
    <w:p w14:paraId="0520C846" w14:textId="072A9136" w:rsidR="00BB2D92" w:rsidRPr="001E38EE" w:rsidRDefault="00BB2D92" w:rsidP="001E38EE">
      <w:pPr>
        <w:pStyle w:val="Style2"/>
        <w:rPr>
          <w:rFonts w:ascii="Arial" w:hAnsi="Arial" w:cs="Arial"/>
          <w:color w:val="auto"/>
          <w:shd w:val="clear" w:color="auto" w:fill="FFFFFF"/>
        </w:rPr>
      </w:pPr>
      <w:r w:rsidRPr="0088282C">
        <w:t xml:space="preserve">An appeal against a decommissioning decision will be accepted from the provider if the appeal is received within 10 </w:t>
      </w:r>
      <w:r w:rsidR="003A0CB1">
        <w:t>working</w:t>
      </w:r>
      <w:r w:rsidR="003A0CB1" w:rsidRPr="0088282C">
        <w:t xml:space="preserve"> </w:t>
      </w:r>
      <w:r w:rsidRPr="0088282C">
        <w:t>days of the notice given</w:t>
      </w:r>
      <w:r w:rsidR="008E35CE">
        <w:t>. Appeals should be</w:t>
      </w:r>
      <w:r w:rsidRPr="0088282C">
        <w:t xml:space="preserve"> submitted to the following </w:t>
      </w:r>
      <w:r w:rsidR="00BE3ACC">
        <w:t>e</w:t>
      </w:r>
      <w:r w:rsidRPr="0088282C">
        <w:t xml:space="preserve">mail: </w:t>
      </w:r>
      <w:hyperlink r:id="rId31" w:history="1">
        <w:r w:rsidRPr="0088282C">
          <w:rPr>
            <w:rStyle w:val="Hyperlink"/>
            <w:rFonts w:ascii="Arial" w:hAnsi="Arial" w:cs="Arial"/>
            <w:color w:val="auto"/>
            <w:u w:val="none"/>
            <w:shd w:val="clear" w:color="auto" w:fill="FFFFFF"/>
          </w:rPr>
          <w:t>mseicb.enquiries@nhs.net</w:t>
        </w:r>
      </w:hyperlink>
      <w:r w:rsidRPr="0088282C">
        <w:rPr>
          <w:rStyle w:val="Hyperlink"/>
          <w:rFonts w:ascii="Arial" w:hAnsi="Arial" w:cs="Arial"/>
          <w:color w:val="auto"/>
          <w:u w:val="none"/>
          <w:shd w:val="clear" w:color="auto" w:fill="FFFFFF"/>
        </w:rPr>
        <w:t>.</w:t>
      </w:r>
    </w:p>
    <w:p w14:paraId="56072F1E" w14:textId="67B00372" w:rsidR="00BB2D92" w:rsidRPr="001E38EE" w:rsidRDefault="00BB2D92" w:rsidP="001E38EE">
      <w:pPr>
        <w:pStyle w:val="Style2"/>
      </w:pPr>
      <w:r w:rsidRPr="0088282C">
        <w:t xml:space="preserve">The appeal will be </w:t>
      </w:r>
      <w:r w:rsidR="00BE3ACC">
        <w:t xml:space="preserve">considered </w:t>
      </w:r>
      <w:r w:rsidRPr="0088282C">
        <w:t xml:space="preserve">by the ICB within </w:t>
      </w:r>
      <w:r w:rsidR="00BE3ACC">
        <w:t>twenty working days of the appeal.  I</w:t>
      </w:r>
      <w:r w:rsidR="00BE3ACC" w:rsidRPr="00BE3ACC">
        <w:t xml:space="preserve">f for any reason the ICB will be unable to </w:t>
      </w:r>
      <w:proofErr w:type="gramStart"/>
      <w:r w:rsidR="00BE3ACC" w:rsidRPr="00BE3ACC">
        <w:t>make a decision</w:t>
      </w:r>
      <w:proofErr w:type="gramEnd"/>
      <w:r w:rsidR="00BE3ACC" w:rsidRPr="00BE3ACC">
        <w:t xml:space="preserve"> within this time period, </w:t>
      </w:r>
      <w:r w:rsidR="00BE3ACC">
        <w:t>the ICB</w:t>
      </w:r>
      <w:r w:rsidR="00BE3ACC" w:rsidRPr="00BE3ACC">
        <w:t xml:space="preserve"> will notify the provider and provide a clear indication of expected timeframe for response.</w:t>
      </w:r>
      <w:r w:rsidR="00BE3ACC" w:rsidRPr="0088282C" w:rsidDel="00BE3ACC">
        <w:t xml:space="preserve"> </w:t>
      </w:r>
    </w:p>
    <w:p w14:paraId="36206AB1" w14:textId="1F742ADD" w:rsidR="00364759" w:rsidRDefault="00BE3ACC" w:rsidP="001E38EE">
      <w:pPr>
        <w:pStyle w:val="Style2"/>
      </w:pPr>
      <w:r>
        <w:t xml:space="preserve">The provider should outline within their appeal how </w:t>
      </w:r>
      <w:r w:rsidR="00E74EEC">
        <w:t xml:space="preserve">they consider </w:t>
      </w:r>
      <w:r>
        <w:t xml:space="preserve">the ICB has not followed the process in this policy.  An appeal by the provider is limited to the ICB process not the decision to decommission. </w:t>
      </w:r>
    </w:p>
    <w:p w14:paraId="6D9AE64E" w14:textId="4C95283B" w:rsidR="00BB2D92" w:rsidRDefault="007470DF" w:rsidP="001E38EE">
      <w:pPr>
        <w:pStyle w:val="Style2"/>
      </w:pPr>
      <w:r>
        <w:t xml:space="preserve">If an appeal is </w:t>
      </w:r>
      <w:proofErr w:type="gramStart"/>
      <w:r>
        <w:t>received</w:t>
      </w:r>
      <w:proofErr w:type="gramEnd"/>
      <w:r>
        <w:t xml:space="preserve"> then t</w:t>
      </w:r>
      <w:r w:rsidR="00364759">
        <w:t xml:space="preserve">he ICB </w:t>
      </w:r>
      <w:r>
        <w:t>l</w:t>
      </w:r>
      <w:r w:rsidR="00364759">
        <w:t xml:space="preserve">ead for the service/decommissioning </w:t>
      </w:r>
      <w:r w:rsidR="00B921F4">
        <w:t xml:space="preserve">will then </w:t>
      </w:r>
      <w:r w:rsidR="00364759">
        <w:t xml:space="preserve">present a case to the </w:t>
      </w:r>
      <w:r>
        <w:t>Provider Selection Regime (PSR) Review Group (members are independent of the decision making process to decommission)</w:t>
      </w:r>
      <w:r w:rsidR="00913C65">
        <w:t xml:space="preserve"> </w:t>
      </w:r>
      <w:r w:rsidR="009960FB">
        <w:t xml:space="preserve">which </w:t>
      </w:r>
      <w:r w:rsidR="00BB2D92" w:rsidRPr="0088282C">
        <w:t xml:space="preserve">will include </w:t>
      </w:r>
      <w:r w:rsidR="009960FB">
        <w:t>evidence that the process has been followed</w:t>
      </w:r>
      <w:r w:rsidR="00A74732">
        <w:t xml:space="preserve">. Evidence may include </w:t>
      </w:r>
      <w:r w:rsidR="00BB2D92" w:rsidRPr="0088282C">
        <w:t xml:space="preserve">copies of </w:t>
      </w:r>
      <w:r w:rsidR="00A74732">
        <w:t xml:space="preserve">minutes, </w:t>
      </w:r>
      <w:r w:rsidR="00BB2D92" w:rsidRPr="0088282C">
        <w:t>Contract Review Checklist</w:t>
      </w:r>
      <w:r w:rsidR="00A74732">
        <w:t>,</w:t>
      </w:r>
      <w:r w:rsidR="00BB2D92" w:rsidRPr="0088282C">
        <w:t xml:space="preserve"> evidence supporting th</w:t>
      </w:r>
      <w:r w:rsidR="00A74732">
        <w:t>e decision</w:t>
      </w:r>
      <w:r>
        <w:t xml:space="preserve"> </w:t>
      </w:r>
      <w:r w:rsidR="00BB2D92" w:rsidRPr="0088282C">
        <w:t>and the Impact Assessment</w:t>
      </w:r>
      <w:r>
        <w:t>(</w:t>
      </w:r>
      <w:r w:rsidR="00A74732">
        <w:t>s</w:t>
      </w:r>
      <w:r>
        <w:t>).</w:t>
      </w:r>
    </w:p>
    <w:p w14:paraId="3E1200CF" w14:textId="04D42187" w:rsidR="00FA477F" w:rsidRDefault="00FA477F" w:rsidP="001E38EE">
      <w:pPr>
        <w:pStyle w:val="Style2"/>
      </w:pPr>
      <w:r>
        <w:lastRenderedPageBreak/>
        <w:t xml:space="preserve">Subject to the review from the </w:t>
      </w:r>
      <w:r w:rsidR="007470DF">
        <w:t xml:space="preserve">PSR Review Group </w:t>
      </w:r>
      <w:r>
        <w:t>the outcome should be communicated to the provider within three working days to enable the process/notice period to continue.</w:t>
      </w:r>
    </w:p>
    <w:p w14:paraId="6AAC32CB" w14:textId="51E06375" w:rsidR="007470DF" w:rsidRDefault="007470DF" w:rsidP="007470DF">
      <w:pPr>
        <w:pStyle w:val="Style2"/>
      </w:pPr>
      <w:r>
        <w:t>If the ICB independent panel uphold the provider’s appeal, the termination notice will be considered void and the ICB will retract the notice issued.</w:t>
      </w:r>
    </w:p>
    <w:p w14:paraId="78955BE4" w14:textId="77777777" w:rsidR="007470DF" w:rsidRPr="007470DF" w:rsidRDefault="007470DF" w:rsidP="007470DF">
      <w:pPr>
        <w:pStyle w:val="Style2"/>
      </w:pPr>
      <w:r w:rsidRPr="007470DF">
        <w:t>Where the ICB wishes to reconsider the decision to terminate the service/s, a new application/ business case will be submitted in accordance with the decision-making criteria in this policy. If the outcome of this process is to support a decommissioning decision the ICB will communicate this to providers in accordance with the process in clause 6.20.11 and the terms of the contract</w:t>
      </w:r>
    </w:p>
    <w:p w14:paraId="71145BFF" w14:textId="1C4BB6AC" w:rsidR="00BB2D92" w:rsidRPr="0088282C" w:rsidRDefault="00BB2D92" w:rsidP="001E38EE">
      <w:pPr>
        <w:pStyle w:val="Heading3"/>
      </w:pPr>
      <w:bookmarkStart w:id="89" w:name="_Toc213919820"/>
      <w:r w:rsidRPr="0088282C">
        <w:t>Assessment of Impact</w:t>
      </w:r>
      <w:bookmarkEnd w:id="89"/>
    </w:p>
    <w:p w14:paraId="499A7603" w14:textId="43BD9E94" w:rsidR="00BB2D92" w:rsidRPr="001E38EE" w:rsidRDefault="008710D0" w:rsidP="001E38EE">
      <w:pPr>
        <w:pStyle w:val="Style2"/>
      </w:pPr>
      <w:r w:rsidRPr="0088282C">
        <w:t>If</w:t>
      </w:r>
      <w:r w:rsidR="00BB2D92" w:rsidRPr="0088282C">
        <w:t xml:space="preserve"> a case for change is validated by sufficient supporting evidence, the identified Operational Lead are responsible for carrying out an impact assessment to identify the anticipated or actual impacts of the development intervention on health, social, economic and workforce factors. This impact assessment must be approved by our Quality Lead before decommissioning is undertaken.</w:t>
      </w:r>
    </w:p>
    <w:p w14:paraId="45AE2084" w14:textId="3CDA1BB5" w:rsidR="00BB2D92" w:rsidRPr="0088282C" w:rsidRDefault="00BB2D92" w:rsidP="001E38EE">
      <w:pPr>
        <w:pStyle w:val="Style2"/>
      </w:pPr>
      <w:r w:rsidRPr="0088282C">
        <w:t>The impact assessment must include:</w:t>
      </w:r>
    </w:p>
    <w:p w14:paraId="4422301C"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Health outcomes – the effect on health outcomes will be assessed to identify potential adverse consequences of decommissioning and what might to done to minimise them.</w:t>
      </w:r>
    </w:p>
    <w:p w14:paraId="6E9C78F0" w14:textId="1BCC700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 xml:space="preserve">Health inequality and equitable access implications - we believe that people should have access to health care </w:t>
      </w:r>
      <w:proofErr w:type="gramStart"/>
      <w:r w:rsidRPr="000606D6">
        <w:t>on the basis of</w:t>
      </w:r>
      <w:proofErr w:type="gramEnd"/>
      <w:r w:rsidRPr="000606D6">
        <w:t xml:space="preserve"> need. There may also be times when some categories of care are given priority </w:t>
      </w:r>
      <w:proofErr w:type="gramStart"/>
      <w:r w:rsidRPr="000606D6">
        <w:t>in order to</w:t>
      </w:r>
      <w:proofErr w:type="gramEnd"/>
      <w:r w:rsidRPr="000606D6">
        <w:t xml:space="preserve"> address health inequalities in the community. However, we will not discriminate on grounds of personal characteristics, such as age, gender, sexual orientation, gender identity, race, religion, lifestyle, social position, family or financial status, intelligence, disability, physical or cognitive functioning. However, in some circumstances, these factors may be relevant to the clinical effectiveness of an intervention and the capacity of an individual to benefit from the </w:t>
      </w:r>
      <w:r w:rsidR="00B06816" w:rsidRPr="000606D6">
        <w:t>treatment.</w:t>
      </w:r>
      <w:r w:rsidRPr="000606D6">
        <w:t xml:space="preserve"> </w:t>
      </w:r>
    </w:p>
    <w:p w14:paraId="03D87611" w14:textId="0CF28EF8"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Workforce implications</w:t>
      </w:r>
      <w:r w:rsidR="00B06816">
        <w:t>.</w:t>
      </w:r>
    </w:p>
    <w:p w14:paraId="22362CCA" w14:textId="50636C13"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Market implications</w:t>
      </w:r>
      <w:r w:rsidR="00B06816">
        <w:t>.</w:t>
      </w:r>
    </w:p>
    <w:p w14:paraId="13610738" w14:textId="113606A6" w:rsidR="00BB2D92" w:rsidRPr="000606D6" w:rsidRDefault="00BB2D92" w:rsidP="143584B9">
      <w:pPr>
        <w:pStyle w:val="ListParagraph"/>
        <w:widowControl w:val="0"/>
        <w:autoSpaceDE w:val="0"/>
        <w:autoSpaceDN w:val="0"/>
        <w:spacing w:before="1" w:after="0" w:line="293" w:lineRule="exact"/>
        <w:ind w:left="1701" w:right="-46" w:hanging="567"/>
      </w:pPr>
      <w:r w:rsidRPr="000606D6">
        <w:t>Geographic implications e.g. impact on transport links etc</w:t>
      </w:r>
      <w:r w:rsidR="00B06816">
        <w:t>.</w:t>
      </w:r>
    </w:p>
    <w:p w14:paraId="0C5EADEA" w14:textId="60A9B770"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Value for money</w:t>
      </w:r>
      <w:r w:rsidR="00B06816">
        <w:t>.</w:t>
      </w:r>
    </w:p>
    <w:p w14:paraId="274290D3" w14:textId="69EF392C" w:rsidR="00BB2D92"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Impact on partner organisations</w:t>
      </w:r>
      <w:r w:rsidR="00B06816">
        <w:t>.</w:t>
      </w:r>
    </w:p>
    <w:p w14:paraId="74E3BCC3" w14:textId="36C57011" w:rsidR="00EF096D" w:rsidRPr="000606D6" w:rsidRDefault="00EF096D" w:rsidP="00223A24">
      <w:pPr>
        <w:pStyle w:val="ListParagraph"/>
        <w:widowControl w:val="0"/>
        <w:numPr>
          <w:ilvl w:val="1"/>
          <w:numId w:val="15"/>
        </w:numPr>
        <w:autoSpaceDE w:val="0"/>
        <w:autoSpaceDN w:val="0"/>
        <w:spacing w:before="1" w:after="0" w:line="293" w:lineRule="exact"/>
        <w:ind w:left="1701" w:right="-46" w:hanging="567"/>
      </w:pPr>
      <w:r>
        <w:t>Impact on Primary Care.</w:t>
      </w:r>
    </w:p>
    <w:p w14:paraId="3FBAA593" w14:textId="77777777" w:rsidR="00BB2D92" w:rsidRPr="000606D6" w:rsidRDefault="00BB2D92" w:rsidP="00223A24">
      <w:pPr>
        <w:pStyle w:val="ListParagraph"/>
        <w:widowControl w:val="0"/>
        <w:numPr>
          <w:ilvl w:val="1"/>
          <w:numId w:val="15"/>
        </w:numPr>
        <w:autoSpaceDE w:val="0"/>
        <w:autoSpaceDN w:val="0"/>
        <w:spacing w:before="1" w:after="0" w:line="293" w:lineRule="exact"/>
        <w:ind w:left="1701" w:right="-46" w:hanging="567"/>
      </w:pPr>
      <w:r w:rsidRPr="000606D6">
        <w:t>Environmental sustainability including impact on partners.</w:t>
      </w:r>
    </w:p>
    <w:p w14:paraId="766ED7B5" w14:textId="6C650F8E" w:rsidR="00BB2D92" w:rsidRPr="0088282C" w:rsidRDefault="00BB2D92" w:rsidP="001E38EE">
      <w:pPr>
        <w:pStyle w:val="Style2"/>
      </w:pPr>
      <w:r w:rsidRPr="0088282C">
        <w:t xml:space="preserve">We will also communicate clearly, fully and continuously with ICB stakeholders before, during and following any decision by the ICB to decommission services.  Decisions relating to decommissioning </w:t>
      </w:r>
      <w:r w:rsidR="0074688A">
        <w:t xml:space="preserve">will follow the same </w:t>
      </w:r>
      <w:r w:rsidR="009C61F1">
        <w:t xml:space="preserve">approval routes as set for investment proposals.  </w:t>
      </w:r>
    </w:p>
    <w:p w14:paraId="286597A6" w14:textId="29AC3CC0" w:rsidR="00BB2D92" w:rsidRPr="0088282C" w:rsidRDefault="00BB2D92" w:rsidP="001E38EE">
      <w:pPr>
        <w:pStyle w:val="Heading3"/>
      </w:pPr>
      <w:bookmarkStart w:id="90" w:name="_Toc213919821"/>
      <w:r w:rsidRPr="0088282C">
        <w:t>Decommissioning / Disinvestment Assessment</w:t>
      </w:r>
      <w:bookmarkEnd w:id="90"/>
      <w:r w:rsidRPr="0088282C">
        <w:t xml:space="preserve"> </w:t>
      </w:r>
    </w:p>
    <w:p w14:paraId="5C77857B" w14:textId="4D176EB2" w:rsidR="00BB2D92" w:rsidRPr="001E38EE" w:rsidRDefault="00BB2D92" w:rsidP="001E38EE">
      <w:pPr>
        <w:pStyle w:val="Style2"/>
      </w:pPr>
      <w:r w:rsidRPr="0088282C">
        <w:lastRenderedPageBreak/>
        <w:t xml:space="preserve">The Decommissioning and Disinvestment Assessment document (see </w:t>
      </w:r>
      <w:r w:rsidRPr="0088282C">
        <w:rPr>
          <w:b/>
          <w:bCs/>
        </w:rPr>
        <w:t xml:space="preserve">Appendix </w:t>
      </w:r>
      <w:r w:rsidR="00B92B63">
        <w:rPr>
          <w:b/>
          <w:bCs/>
        </w:rPr>
        <w:t>D</w:t>
      </w:r>
      <w:r w:rsidRPr="0088282C">
        <w:t>), forms part of the auditable document trail for the decommissioning decision which may be legally challenged, therefore it must be completed factually, objectively and diligently. Decommissioning a health service will have both positive and negative impact. It is critical that the adverse impact on patients and on the wider health economy are understood and documented.</w:t>
      </w:r>
    </w:p>
    <w:p w14:paraId="6EA5B974" w14:textId="74985A13" w:rsidR="00F40D75" w:rsidRPr="00F40D75" w:rsidRDefault="00F40D75" w:rsidP="001E38EE">
      <w:pPr>
        <w:pStyle w:val="Heading2"/>
      </w:pPr>
      <w:bookmarkStart w:id="91" w:name="_Toc95149184"/>
      <w:bookmarkStart w:id="92" w:name="_Toc108099467"/>
      <w:bookmarkStart w:id="93" w:name="_Toc213919822"/>
      <w:r w:rsidRPr="007F2E51">
        <w:t>Monitoring</w:t>
      </w:r>
      <w:r w:rsidRPr="00F40D75">
        <w:t xml:space="preserve"> </w:t>
      </w:r>
      <w:r w:rsidRPr="001E38EE">
        <w:t>Compliance</w:t>
      </w:r>
      <w:bookmarkEnd w:id="91"/>
      <w:bookmarkEnd w:id="92"/>
      <w:r w:rsidR="00641033">
        <w:t xml:space="preserve"> (with this policy)</w:t>
      </w:r>
      <w:bookmarkEnd w:id="93"/>
    </w:p>
    <w:p w14:paraId="66C88595" w14:textId="58EAD83A" w:rsidR="00F40D75" w:rsidRPr="001E38EE" w:rsidRDefault="00D53865" w:rsidP="001E38EE">
      <w:pPr>
        <w:pStyle w:val="Style1"/>
      </w:pPr>
      <w:r w:rsidRPr="001E38EE">
        <w:t xml:space="preserve">The </w:t>
      </w:r>
      <w:r w:rsidR="00967EFC">
        <w:t>CPMO</w:t>
      </w:r>
      <w:r w:rsidRPr="001E38EE">
        <w:t xml:space="preserve"> will monitor compliance </w:t>
      </w:r>
      <w:r w:rsidR="00967EFC">
        <w:t>with</w:t>
      </w:r>
      <w:r w:rsidRPr="001E38EE">
        <w:t xml:space="preserve"> this </w:t>
      </w:r>
      <w:r w:rsidR="00E42BA2" w:rsidRPr="001E38EE">
        <w:t>policy and procedure</w:t>
      </w:r>
      <w:r w:rsidRPr="001E38EE">
        <w:t xml:space="preserve">, ensuring that no service is </w:t>
      </w:r>
      <w:r w:rsidR="00D648C0">
        <w:t xml:space="preserve">commissioned / </w:t>
      </w:r>
      <w:r w:rsidRPr="001E38EE">
        <w:t xml:space="preserve">decommissioned without adherence to this. </w:t>
      </w:r>
    </w:p>
    <w:p w14:paraId="35B99B71" w14:textId="1E8234B3" w:rsidR="00F40D75" w:rsidRPr="00033906" w:rsidRDefault="00BB2087" w:rsidP="001E38EE">
      <w:pPr>
        <w:pStyle w:val="Style1"/>
      </w:pPr>
      <w:r>
        <w:t xml:space="preserve">The Quality and Finance and </w:t>
      </w:r>
      <w:r w:rsidR="00CE2741">
        <w:t>Performance</w:t>
      </w:r>
      <w:r w:rsidR="00CE2741" w:rsidRPr="00BB2087">
        <w:t xml:space="preserve"> </w:t>
      </w:r>
      <w:r w:rsidR="00F40D75" w:rsidRPr="00BB2087">
        <w:t xml:space="preserve">Committees </w:t>
      </w:r>
      <w:r>
        <w:t xml:space="preserve">are </w:t>
      </w:r>
      <w:r w:rsidR="00F40D75" w:rsidRPr="00BB2087">
        <w:t>responsible for monitoring compliance.</w:t>
      </w:r>
    </w:p>
    <w:p w14:paraId="2C8D10A0" w14:textId="3AA78DC6" w:rsidR="00F40D75" w:rsidRPr="00F40D75" w:rsidRDefault="00F40D75" w:rsidP="001E38EE">
      <w:pPr>
        <w:pStyle w:val="Heading2"/>
      </w:pPr>
      <w:bookmarkStart w:id="94" w:name="_Toc95149185"/>
      <w:bookmarkStart w:id="95" w:name="_Toc108099468"/>
      <w:bookmarkStart w:id="96" w:name="_Toc213919823"/>
      <w:r w:rsidRPr="007F2E51">
        <w:t>Staff</w:t>
      </w:r>
      <w:r w:rsidRPr="00F40D75">
        <w:t xml:space="preserve"> </w:t>
      </w:r>
      <w:r w:rsidRPr="001E38EE">
        <w:t>Training</w:t>
      </w:r>
      <w:bookmarkEnd w:id="94"/>
      <w:bookmarkEnd w:id="95"/>
      <w:bookmarkEnd w:id="96"/>
    </w:p>
    <w:p w14:paraId="3AC3840C" w14:textId="263029E3" w:rsidR="00F40D75" w:rsidRPr="001E38EE" w:rsidRDefault="009550AD" w:rsidP="001E38EE">
      <w:pPr>
        <w:pStyle w:val="Style1"/>
      </w:pPr>
      <w:r w:rsidRPr="001E38EE">
        <w:t xml:space="preserve">Training will be provided to all staff involved in making </w:t>
      </w:r>
      <w:r w:rsidR="00D648C0">
        <w:t xml:space="preserve">investment / </w:t>
      </w:r>
      <w:r w:rsidRPr="001E38EE">
        <w:t xml:space="preserve">decommissioning </w:t>
      </w:r>
      <w:r w:rsidR="00762388" w:rsidRPr="001E38EE">
        <w:t xml:space="preserve">/ disinvestment </w:t>
      </w:r>
      <w:r w:rsidRPr="001E38EE">
        <w:t xml:space="preserve">decisions, through </w:t>
      </w:r>
      <w:r w:rsidR="007D0108" w:rsidRPr="001E38EE">
        <w:t xml:space="preserve">the </w:t>
      </w:r>
      <w:r w:rsidR="00D648C0">
        <w:t>CPMO</w:t>
      </w:r>
      <w:r w:rsidRPr="001E38EE">
        <w:t xml:space="preserve">. </w:t>
      </w:r>
    </w:p>
    <w:p w14:paraId="1A598235" w14:textId="460D7F7F" w:rsidR="00762388" w:rsidRPr="001E38EE" w:rsidRDefault="00762388" w:rsidP="001E38EE">
      <w:pPr>
        <w:pStyle w:val="Style1"/>
      </w:pPr>
      <w:r w:rsidRPr="001E38EE">
        <w:t xml:space="preserve">A Prioritisation Handbook has been developed to support staff to implement this </w:t>
      </w:r>
      <w:r w:rsidR="00E42BA2" w:rsidRPr="001E38EE">
        <w:t xml:space="preserve">policy and </w:t>
      </w:r>
      <w:r w:rsidRPr="001E38EE">
        <w:t>procedure.</w:t>
      </w:r>
    </w:p>
    <w:p w14:paraId="79AD837E" w14:textId="037178EB" w:rsidR="00F40D75" w:rsidRPr="00F40D75" w:rsidRDefault="00F40D75" w:rsidP="001E38EE">
      <w:pPr>
        <w:pStyle w:val="Heading2"/>
      </w:pPr>
      <w:bookmarkStart w:id="97" w:name="_Toc95149186"/>
      <w:bookmarkStart w:id="98" w:name="_Toc108099469"/>
      <w:bookmarkStart w:id="99" w:name="_Toc213919824"/>
      <w:r w:rsidRPr="007F2E51">
        <w:t>Arrangements</w:t>
      </w:r>
      <w:r w:rsidRPr="00F40D75">
        <w:t xml:space="preserve"> </w:t>
      </w:r>
      <w:r>
        <w:t>f</w:t>
      </w:r>
      <w:r w:rsidRPr="00F40D75">
        <w:t xml:space="preserve">or </w:t>
      </w:r>
      <w:r w:rsidRPr="001E38EE">
        <w:t>Review</w:t>
      </w:r>
      <w:bookmarkEnd w:id="97"/>
      <w:bookmarkEnd w:id="98"/>
      <w:bookmarkEnd w:id="99"/>
    </w:p>
    <w:p w14:paraId="109A6F63" w14:textId="5FC1144D" w:rsidR="00F40D75" w:rsidRPr="001E38EE" w:rsidRDefault="00F40D75" w:rsidP="001E38EE">
      <w:pPr>
        <w:pStyle w:val="Style1"/>
      </w:pPr>
      <w:r w:rsidRPr="001E38EE">
        <w:t xml:space="preserve">This </w:t>
      </w:r>
      <w:r w:rsidR="00E42BA2" w:rsidRPr="001E38EE">
        <w:t xml:space="preserve">policy and </w:t>
      </w:r>
      <w:r w:rsidRPr="001E38EE">
        <w:t>p</w:t>
      </w:r>
      <w:r w:rsidR="00762388" w:rsidRPr="001E38EE">
        <w:t>rocedure</w:t>
      </w:r>
      <w:r w:rsidRPr="001E38EE">
        <w:t xml:space="preserve"> will be reviewed no less frequently than every two years.  An earlier review will be carried out in the event of any relevant changes in legislation, national or local policy/guidance, organisational change or other circumstances which mean the </w:t>
      </w:r>
      <w:r w:rsidR="00E42BA2" w:rsidRPr="001E38EE">
        <w:t xml:space="preserve">policy and </w:t>
      </w:r>
      <w:r w:rsidR="00762388" w:rsidRPr="001E38EE">
        <w:t>procedure</w:t>
      </w:r>
      <w:r w:rsidRPr="001E38EE">
        <w:t xml:space="preserve"> needs to be reviewed.</w:t>
      </w:r>
    </w:p>
    <w:p w14:paraId="0FAFF120" w14:textId="748FDBAE" w:rsidR="00F40D75" w:rsidRPr="001E38EE" w:rsidRDefault="00F40D75" w:rsidP="001E38EE">
      <w:pPr>
        <w:pStyle w:val="Style1"/>
      </w:pPr>
      <w:r w:rsidRPr="001E38EE">
        <w:t xml:space="preserve">If only minor changes are required, the sponsoring Committee has authority to make these changes without referral to the Integrated Care Board. If more significant or substantial changes are required, the </w:t>
      </w:r>
      <w:r w:rsidR="00E42BA2" w:rsidRPr="001E38EE">
        <w:t xml:space="preserve">policy and </w:t>
      </w:r>
      <w:r w:rsidR="00762388" w:rsidRPr="001E38EE">
        <w:t xml:space="preserve">procedure </w:t>
      </w:r>
      <w:r w:rsidRPr="001E38EE">
        <w:t>will need to be ratified by the relevant committee before final approval by the Integrated Care Board.</w:t>
      </w:r>
    </w:p>
    <w:p w14:paraId="6BC20907" w14:textId="7C225470" w:rsidR="00F40D75" w:rsidRPr="00F40D75" w:rsidRDefault="00F40D75" w:rsidP="001E38EE">
      <w:pPr>
        <w:pStyle w:val="Heading2"/>
      </w:pPr>
      <w:bookmarkStart w:id="100" w:name="_Toc95149187"/>
      <w:bookmarkStart w:id="101" w:name="_Toc108099470"/>
      <w:bookmarkStart w:id="102" w:name="_Toc213919825"/>
      <w:r w:rsidRPr="00F40D75">
        <w:t xml:space="preserve">Associated </w:t>
      </w:r>
      <w:r w:rsidRPr="001E38EE">
        <w:t>Policies</w:t>
      </w:r>
      <w:r w:rsidRPr="00F40D75">
        <w:t xml:space="preserve">, Guidance </w:t>
      </w:r>
      <w:r>
        <w:t>a</w:t>
      </w:r>
      <w:r w:rsidRPr="00F40D75">
        <w:t>nd Documents</w:t>
      </w:r>
      <w:bookmarkEnd w:id="100"/>
      <w:bookmarkEnd w:id="101"/>
      <w:bookmarkEnd w:id="102"/>
    </w:p>
    <w:p w14:paraId="0DE1386C" w14:textId="1CE6B68E" w:rsidR="00F40D75" w:rsidRPr="00F40D75" w:rsidRDefault="00762388" w:rsidP="001E38EE">
      <w:pPr>
        <w:pStyle w:val="Style1"/>
        <w:numPr>
          <w:ilvl w:val="0"/>
          <w:numId w:val="12"/>
        </w:numPr>
      </w:pPr>
      <w:r>
        <w:t>ICB Prioritisation Handbook.</w:t>
      </w:r>
    </w:p>
    <w:p w14:paraId="143E49D9" w14:textId="08CDB096" w:rsidR="00F40D75" w:rsidRPr="00F40D75" w:rsidRDefault="00F40D75" w:rsidP="00412911">
      <w:pPr>
        <w:widowControl w:val="0"/>
        <w:spacing w:before="100" w:beforeAutospacing="1" w:after="100" w:afterAutospacing="1"/>
        <w:ind w:left="1559" w:right="-46" w:hanging="425"/>
        <w:outlineLvl w:val="3"/>
        <w:rPr>
          <w:rFonts w:asciiTheme="majorHAnsi" w:eastAsiaTheme="majorEastAsia" w:hAnsiTheme="majorHAnsi" w:cstheme="majorBidi"/>
          <w:b/>
          <w:iCs/>
        </w:rPr>
      </w:pPr>
      <w:r w:rsidRPr="00F40D75">
        <w:rPr>
          <w:rFonts w:asciiTheme="majorHAnsi" w:eastAsiaTheme="majorEastAsia" w:hAnsiTheme="majorHAnsi" w:cstheme="majorBidi"/>
          <w:b/>
          <w:iCs/>
        </w:rPr>
        <w:t xml:space="preserve">Associated </w:t>
      </w:r>
      <w:hyperlink r:id="rId32" w:anchor="230d3b8e" w:history="1">
        <w:r w:rsidRPr="006E1839">
          <w:rPr>
            <w:rStyle w:val="Hyperlink"/>
            <w:rFonts w:asciiTheme="majorHAnsi" w:eastAsiaTheme="majorEastAsia" w:hAnsiTheme="majorHAnsi" w:cstheme="majorBidi"/>
            <w:b/>
            <w:iCs/>
          </w:rPr>
          <w:t>Policies</w:t>
        </w:r>
      </w:hyperlink>
    </w:p>
    <w:p w14:paraId="14E57EF1" w14:textId="77777777" w:rsidR="00412911" w:rsidRDefault="00511BB5" w:rsidP="00412911">
      <w:pPr>
        <w:pStyle w:val="Style1"/>
        <w:numPr>
          <w:ilvl w:val="0"/>
          <w:numId w:val="12"/>
        </w:numPr>
      </w:pPr>
      <w:r w:rsidRPr="00511BB5">
        <w:t xml:space="preserve">Individual Funding </w:t>
      </w:r>
      <w:r w:rsidR="0008628D" w:rsidRPr="00511BB5">
        <w:t>R</w:t>
      </w:r>
      <w:r w:rsidR="0008628D">
        <w:t>equest</w:t>
      </w:r>
      <w:r w:rsidR="0008628D" w:rsidRPr="00511BB5">
        <w:t xml:space="preserve"> </w:t>
      </w:r>
      <w:r w:rsidRPr="00511BB5">
        <w:t>Policy</w:t>
      </w:r>
    </w:p>
    <w:p w14:paraId="60233466" w14:textId="2E2534A6" w:rsidR="00412911" w:rsidRPr="00726125" w:rsidRDefault="4A2EA0DA" w:rsidP="00726125">
      <w:pPr>
        <w:pStyle w:val="Style1"/>
        <w:numPr>
          <w:ilvl w:val="0"/>
          <w:numId w:val="12"/>
        </w:numPr>
      </w:pPr>
      <w:r>
        <w:t>Commissioning</w:t>
      </w:r>
      <w:r w:rsidR="00A906DC">
        <w:t xml:space="preserve"> (</w:t>
      </w:r>
      <w:r w:rsidR="00CB79FC">
        <w:t>Service Restriction</w:t>
      </w:r>
      <w:r w:rsidR="00A906DC">
        <w:t>)</w:t>
      </w:r>
      <w:r w:rsidR="00CB79FC">
        <w:t xml:space="preserve"> Policy</w:t>
      </w:r>
    </w:p>
    <w:p w14:paraId="0B6291B1" w14:textId="2EC4FA00" w:rsidR="00F40D75" w:rsidRPr="00F40D75" w:rsidRDefault="00F40D75" w:rsidP="001E38EE">
      <w:pPr>
        <w:pStyle w:val="Heading2"/>
      </w:pPr>
      <w:bookmarkStart w:id="103" w:name="_Toc95149188"/>
      <w:bookmarkStart w:id="104" w:name="_Toc108099471"/>
      <w:bookmarkStart w:id="105" w:name="_Toc213919826"/>
      <w:r w:rsidRPr="001E38EE">
        <w:lastRenderedPageBreak/>
        <w:t>References</w:t>
      </w:r>
      <w:bookmarkEnd w:id="103"/>
      <w:bookmarkEnd w:id="104"/>
      <w:bookmarkEnd w:id="105"/>
    </w:p>
    <w:p w14:paraId="11C3BEFB" w14:textId="68514188" w:rsidR="00800E4D" w:rsidRPr="00412911" w:rsidRDefault="00800E4D" w:rsidP="00412911">
      <w:pPr>
        <w:pStyle w:val="Style1"/>
        <w:numPr>
          <w:ilvl w:val="0"/>
          <w:numId w:val="12"/>
        </w:numPr>
      </w:pPr>
      <w:r w:rsidRPr="00412911">
        <w:t xml:space="preserve">Castle Point and Rochford CCG Decommissioning and Disinvestment </w:t>
      </w:r>
      <w:r w:rsidR="00E42BA2" w:rsidRPr="00412911">
        <w:t>Policy</w:t>
      </w:r>
      <w:r w:rsidRPr="00412911">
        <w:t xml:space="preserve">. </w:t>
      </w:r>
    </w:p>
    <w:p w14:paraId="5F7BDA1D" w14:textId="18A1C9B4" w:rsidR="00F40D75" w:rsidRPr="00412911" w:rsidRDefault="00D92609" w:rsidP="00412911">
      <w:pPr>
        <w:pStyle w:val="Style1"/>
        <w:numPr>
          <w:ilvl w:val="0"/>
          <w:numId w:val="12"/>
        </w:numPr>
      </w:pPr>
      <w:proofErr w:type="gramStart"/>
      <w:r w:rsidRPr="00412911">
        <w:t>North East</w:t>
      </w:r>
      <w:proofErr w:type="gramEnd"/>
      <w:r w:rsidRPr="00412911">
        <w:t xml:space="preserve"> Essex CCG Prioritisation Framework.</w:t>
      </w:r>
    </w:p>
    <w:p w14:paraId="2D6B67D3" w14:textId="25731B8D" w:rsidR="00F40D75" w:rsidRPr="00F40D75" w:rsidRDefault="00D92609" w:rsidP="001E38EE">
      <w:pPr>
        <w:pStyle w:val="Heading2"/>
      </w:pPr>
      <w:bookmarkStart w:id="106" w:name="_Toc95149189"/>
      <w:bookmarkStart w:id="107" w:name="_Toc108099472"/>
      <w:bookmarkStart w:id="108" w:name="_Toc213919827"/>
      <w:r w:rsidRPr="001E38EE">
        <w:t>Equality</w:t>
      </w:r>
      <w:r>
        <w:t xml:space="preserve"> and Health Inequalities</w:t>
      </w:r>
      <w:r w:rsidR="00F40D75" w:rsidRPr="00F40D75">
        <w:t xml:space="preserve"> Impact Assessment</w:t>
      </w:r>
      <w:bookmarkEnd w:id="106"/>
      <w:bookmarkEnd w:id="107"/>
      <w:bookmarkEnd w:id="108"/>
    </w:p>
    <w:p w14:paraId="0C7AC29A" w14:textId="7027DB7E" w:rsidR="00F40D75" w:rsidRPr="00F40D75" w:rsidRDefault="00D92609" w:rsidP="00412911">
      <w:pPr>
        <w:pStyle w:val="Style1"/>
      </w:pPr>
      <w:r>
        <w:t>The</w:t>
      </w:r>
      <w:r w:rsidR="00F40D75" w:rsidRPr="00F40D75">
        <w:t xml:space="preserve"> E</w:t>
      </w:r>
      <w:r>
        <w:t>HI</w:t>
      </w:r>
      <w:r w:rsidR="00F40D75" w:rsidRPr="00F40D75">
        <w:t xml:space="preserve">IA has identified no </w:t>
      </w:r>
      <w:r w:rsidR="00F40D75" w:rsidRPr="00412911">
        <w:t>equality</w:t>
      </w:r>
      <w:r w:rsidR="00F40D75" w:rsidRPr="00F40D75">
        <w:t xml:space="preserve"> issues with this </w:t>
      </w:r>
      <w:r w:rsidR="00E42BA2">
        <w:t>policy</w:t>
      </w:r>
      <w:r>
        <w:t>.</w:t>
      </w:r>
    </w:p>
    <w:p w14:paraId="0A0A8467" w14:textId="5A239A6E" w:rsidR="00487C77" w:rsidRDefault="00487C77" w:rsidP="001E38EE">
      <w:pPr>
        <w:pStyle w:val="Heading2"/>
        <w:rPr>
          <w:rFonts w:eastAsiaTheme="majorEastAsia"/>
        </w:rPr>
      </w:pPr>
      <w:bookmarkStart w:id="109" w:name="_Toc95149190"/>
      <w:bookmarkStart w:id="110" w:name="_Toc213919828"/>
      <w:r w:rsidRPr="001E38EE">
        <w:rPr>
          <w:rFonts w:eastAsiaTheme="majorEastAsia"/>
        </w:rPr>
        <w:t>Appendices</w:t>
      </w:r>
      <w:bookmarkEnd w:id="110"/>
    </w:p>
    <w:p w14:paraId="2ECD28C3" w14:textId="77777777" w:rsidR="007960C5" w:rsidRDefault="007960C5">
      <w:pPr>
        <w:spacing w:before="0" w:after="0"/>
        <w:ind w:left="0"/>
        <w:rPr>
          <w:rFonts w:ascii="Arial" w:eastAsiaTheme="majorEastAsia" w:hAnsi="Arial" w:cs="Times New Roman"/>
          <w:b/>
          <w:color w:val="005EB8"/>
          <w:sz w:val="32"/>
          <w:szCs w:val="26"/>
        </w:rPr>
      </w:pPr>
      <w:r>
        <w:rPr>
          <w:rFonts w:eastAsiaTheme="majorEastAsia"/>
        </w:rPr>
        <w:br w:type="page"/>
      </w:r>
    </w:p>
    <w:p w14:paraId="574A940C" w14:textId="484233E1" w:rsidR="00F40D75" w:rsidRDefault="00F40D75" w:rsidP="007F2E51">
      <w:pPr>
        <w:pStyle w:val="Heading2"/>
        <w:numPr>
          <w:ilvl w:val="0"/>
          <w:numId w:val="0"/>
        </w:numPr>
        <w:rPr>
          <w:rFonts w:eastAsiaTheme="majorEastAsia"/>
        </w:rPr>
      </w:pPr>
      <w:bookmarkStart w:id="111" w:name="_Toc213919829"/>
      <w:r w:rsidRPr="00F40D75">
        <w:rPr>
          <w:rFonts w:eastAsiaTheme="majorEastAsia"/>
        </w:rPr>
        <w:lastRenderedPageBreak/>
        <w:t>Appendix A - Equality Impact Assessment</w:t>
      </w:r>
      <w:bookmarkEnd w:id="109"/>
      <w:r w:rsidR="005D13DC">
        <w:rPr>
          <w:rFonts w:eastAsiaTheme="majorEastAsia"/>
        </w:rPr>
        <w:t xml:space="preserve"> (E</w:t>
      </w:r>
      <w:r w:rsidR="00D92609">
        <w:rPr>
          <w:rFonts w:eastAsiaTheme="majorEastAsia"/>
        </w:rPr>
        <w:t>I</w:t>
      </w:r>
      <w:r w:rsidR="005D13DC">
        <w:rPr>
          <w:rFonts w:eastAsiaTheme="majorEastAsia"/>
        </w:rPr>
        <w:t>A)</w:t>
      </w:r>
      <w:bookmarkEnd w:id="1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3974"/>
      </w:tblGrid>
      <w:tr w:rsidR="00C858DD" w:rsidRPr="0039715A" w14:paraId="7A3D0816" w14:textId="77777777">
        <w:trPr>
          <w:trHeight w:val="602"/>
        </w:trPr>
        <w:tc>
          <w:tcPr>
            <w:tcW w:w="2966" w:type="pct"/>
          </w:tcPr>
          <w:p w14:paraId="749CB665" w14:textId="365F27F3" w:rsidR="00C858DD" w:rsidRDefault="00C858DD">
            <w:pPr>
              <w:spacing w:before="0" w:after="0"/>
              <w:ind w:left="0"/>
              <w:rPr>
                <w:rFonts w:ascii="Arial" w:eastAsia="Times New Roman" w:hAnsi="Arial" w:cs="Arial"/>
                <w:color w:val="auto"/>
              </w:rPr>
            </w:pPr>
            <w:r w:rsidRPr="0039715A">
              <w:rPr>
                <w:rFonts w:ascii="Arial" w:eastAsia="Times New Roman" w:hAnsi="Arial" w:cs="Arial"/>
                <w:b/>
                <w:bCs/>
                <w:color w:val="auto"/>
              </w:rPr>
              <w:t>Name of policy</w:t>
            </w:r>
            <w:r>
              <w:rPr>
                <w:rFonts w:ascii="Arial" w:eastAsia="Times New Roman" w:hAnsi="Arial" w:cs="Arial"/>
                <w:b/>
                <w:bCs/>
                <w:color w:val="auto"/>
              </w:rPr>
              <w:t xml:space="preserve"> and version </w:t>
            </w:r>
            <w:proofErr w:type="gramStart"/>
            <w:r>
              <w:rPr>
                <w:rFonts w:ascii="Arial" w:eastAsia="Times New Roman" w:hAnsi="Arial" w:cs="Arial"/>
                <w:b/>
                <w:bCs/>
                <w:color w:val="auto"/>
              </w:rPr>
              <w:t xml:space="preserve">number </w:t>
            </w:r>
            <w:r w:rsidRPr="0039715A">
              <w:rPr>
                <w:rFonts w:ascii="Arial" w:eastAsia="Times New Roman" w:hAnsi="Arial" w:cs="Arial"/>
                <w:b/>
                <w:bCs/>
                <w:color w:val="auto"/>
              </w:rPr>
              <w:t>:</w:t>
            </w:r>
            <w:proofErr w:type="gramEnd"/>
            <w:r w:rsidRPr="0039715A">
              <w:rPr>
                <w:rFonts w:ascii="Arial" w:eastAsia="Times New Roman" w:hAnsi="Arial" w:cs="Arial"/>
                <w:b/>
                <w:bCs/>
                <w:color w:val="auto"/>
              </w:rPr>
              <w:t xml:space="preserve"> </w:t>
            </w:r>
            <w:r w:rsidR="001C5284">
              <w:rPr>
                <w:rFonts w:ascii="Arial" w:eastAsia="Times New Roman" w:hAnsi="Arial" w:cs="Arial"/>
                <w:color w:val="auto"/>
              </w:rPr>
              <w:t>Decision Making Policy and Procedure</w:t>
            </w:r>
          </w:p>
          <w:p w14:paraId="3B0E45EA" w14:textId="5AE75CC2" w:rsidR="00C858DD" w:rsidRPr="0039715A" w:rsidRDefault="00C858DD">
            <w:pPr>
              <w:spacing w:before="0" w:after="0"/>
              <w:ind w:left="0"/>
              <w:rPr>
                <w:rFonts w:ascii="Arial" w:eastAsia="Times New Roman" w:hAnsi="Arial" w:cs="Arial"/>
                <w:bCs/>
                <w:color w:val="auto"/>
              </w:rPr>
            </w:pPr>
            <w:r w:rsidRPr="007A29A5">
              <w:rPr>
                <w:rFonts w:ascii="Arial" w:eastAsia="Times New Roman" w:hAnsi="Arial" w:cs="Arial"/>
                <w:b/>
                <w:bCs/>
                <w:color w:val="auto"/>
              </w:rPr>
              <w:t>Version:</w:t>
            </w:r>
            <w:r>
              <w:rPr>
                <w:rFonts w:ascii="Arial" w:eastAsia="Times New Roman" w:hAnsi="Arial" w:cs="Arial"/>
                <w:color w:val="auto"/>
              </w:rPr>
              <w:t xml:space="preserve"> </w:t>
            </w:r>
            <w:r w:rsidR="000326ED">
              <w:rPr>
                <w:rFonts w:ascii="Arial" w:eastAsia="Times New Roman" w:hAnsi="Arial" w:cs="Arial"/>
                <w:color w:val="auto"/>
              </w:rPr>
              <w:t>2</w:t>
            </w:r>
            <w:r>
              <w:rPr>
                <w:rFonts w:ascii="Arial" w:eastAsia="Times New Roman" w:hAnsi="Arial" w:cs="Arial"/>
                <w:color w:val="auto"/>
              </w:rPr>
              <w:t>.</w:t>
            </w:r>
            <w:r w:rsidR="00F370DB">
              <w:rPr>
                <w:rFonts w:ascii="Arial" w:eastAsia="Times New Roman" w:hAnsi="Arial" w:cs="Arial"/>
                <w:color w:val="auto"/>
              </w:rPr>
              <w:t>1</w:t>
            </w:r>
          </w:p>
        </w:tc>
        <w:tc>
          <w:tcPr>
            <w:tcW w:w="2034" w:type="pct"/>
          </w:tcPr>
          <w:p w14:paraId="2D9CFA5A" w14:textId="49579770" w:rsidR="00C858DD" w:rsidRPr="0039715A" w:rsidRDefault="00C858DD">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w:t>
            </w:r>
            <w:r>
              <w:rPr>
                <w:rFonts w:ascii="Arial" w:eastAsia="Times New Roman" w:hAnsi="Arial" w:cs="Arial"/>
                <w:bCs/>
                <w:color w:val="auto"/>
              </w:rPr>
              <w:t xml:space="preserve"> </w:t>
            </w:r>
            <w:r w:rsidR="003E048E">
              <w:rPr>
                <w:rFonts w:ascii="Arial" w:eastAsia="Times New Roman" w:hAnsi="Arial" w:cs="Arial"/>
                <w:bCs/>
                <w:color w:val="auto"/>
              </w:rPr>
              <w:t>Finance and Commercial / Corporate Services</w:t>
            </w:r>
            <w:r>
              <w:rPr>
                <w:rFonts w:ascii="Arial" w:eastAsia="Times New Roman" w:hAnsi="Arial" w:cs="Arial"/>
                <w:bCs/>
                <w:color w:val="auto"/>
              </w:rPr>
              <w:t xml:space="preserve"> </w:t>
            </w:r>
          </w:p>
        </w:tc>
      </w:tr>
      <w:tr w:rsidR="00C858DD" w:rsidRPr="0039715A" w14:paraId="56323D8D" w14:textId="77777777">
        <w:tc>
          <w:tcPr>
            <w:tcW w:w="2966" w:type="pct"/>
          </w:tcPr>
          <w:p w14:paraId="126C3971" w14:textId="77777777" w:rsidR="00C858DD" w:rsidRPr="0039715A" w:rsidRDefault="00C858DD">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p>
          <w:p w14:paraId="5CE46ADB" w14:textId="5BA9B7C2" w:rsidR="00C858DD" w:rsidRPr="0039715A" w:rsidRDefault="00DC58D8">
            <w:pPr>
              <w:spacing w:before="0" w:after="0"/>
              <w:ind w:left="0"/>
              <w:rPr>
                <w:rFonts w:ascii="Arial" w:eastAsia="Times New Roman" w:hAnsi="Arial" w:cs="Arial"/>
                <w:bCs/>
                <w:color w:val="auto"/>
              </w:rPr>
            </w:pPr>
            <w:r>
              <w:rPr>
                <w:rFonts w:ascii="Arial" w:eastAsia="Times New Roman" w:hAnsi="Arial" w:cs="Arial"/>
                <w:bCs/>
                <w:color w:val="auto"/>
              </w:rPr>
              <w:t xml:space="preserve">Nicola Adams, </w:t>
            </w:r>
            <w:r w:rsidR="00F370DB">
              <w:rPr>
                <w:rFonts w:ascii="Arial" w:eastAsia="Times New Roman" w:hAnsi="Arial" w:cs="Arial"/>
                <w:bCs/>
                <w:color w:val="auto"/>
              </w:rPr>
              <w:t>Associate</w:t>
            </w:r>
            <w:r>
              <w:rPr>
                <w:rFonts w:ascii="Arial" w:eastAsia="Times New Roman" w:hAnsi="Arial" w:cs="Arial"/>
                <w:bCs/>
                <w:color w:val="auto"/>
              </w:rPr>
              <w:t xml:space="preserve"> Director of </w:t>
            </w:r>
            <w:r w:rsidR="00F370DB">
              <w:rPr>
                <w:rFonts w:ascii="Arial" w:eastAsia="Times New Roman" w:hAnsi="Arial" w:cs="Arial"/>
                <w:bCs/>
                <w:color w:val="auto"/>
              </w:rPr>
              <w:t>Corporate Services</w:t>
            </w:r>
          </w:p>
        </w:tc>
        <w:tc>
          <w:tcPr>
            <w:tcW w:w="2034" w:type="pct"/>
          </w:tcPr>
          <w:p w14:paraId="41E44659" w14:textId="4072B66B" w:rsidR="00C858DD" w:rsidRPr="0039715A" w:rsidRDefault="00C858DD">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3E048E">
              <w:rPr>
                <w:rFonts w:ascii="Arial" w:eastAsia="Times New Roman" w:hAnsi="Arial" w:cs="Arial"/>
                <w:bCs/>
                <w:color w:val="auto"/>
              </w:rPr>
              <w:t>27/10/25</w:t>
            </w:r>
          </w:p>
          <w:p w14:paraId="6D6BA8A9" w14:textId="77777777" w:rsidR="00C858DD" w:rsidRPr="0039715A" w:rsidRDefault="00C858DD">
            <w:pPr>
              <w:spacing w:before="0" w:after="0"/>
              <w:ind w:left="0"/>
              <w:rPr>
                <w:rFonts w:ascii="Arial" w:eastAsia="Times New Roman" w:hAnsi="Arial" w:cs="Arial"/>
                <w:bCs/>
                <w:color w:val="auto"/>
              </w:rPr>
            </w:pPr>
          </w:p>
        </w:tc>
      </w:tr>
    </w:tbl>
    <w:p w14:paraId="60702243" w14:textId="77777777" w:rsidR="00C858DD" w:rsidRPr="0039715A" w:rsidRDefault="00C858DD" w:rsidP="00C858DD">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C858DD" w:rsidRPr="0039715A" w14:paraId="39D6C010" w14:textId="77777777">
        <w:tc>
          <w:tcPr>
            <w:tcW w:w="5000" w:type="pct"/>
            <w:vAlign w:val="center"/>
          </w:tcPr>
          <w:p w14:paraId="48DF4E97" w14:textId="77777777" w:rsidR="00C858DD" w:rsidRPr="0039715A" w:rsidRDefault="00C858DD">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C858DD" w:rsidRPr="0039715A" w14:paraId="654FFEE7" w14:textId="77777777">
        <w:tc>
          <w:tcPr>
            <w:tcW w:w="5000" w:type="pct"/>
          </w:tcPr>
          <w:p w14:paraId="7E92EB0B" w14:textId="77777777" w:rsidR="00C858DD" w:rsidRPr="0039715A" w:rsidRDefault="00C858DD">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C858DD" w:rsidRPr="0039715A" w14:paraId="267469F9" w14:textId="77777777">
        <w:trPr>
          <w:trHeight w:val="857"/>
        </w:trPr>
        <w:tc>
          <w:tcPr>
            <w:tcW w:w="5000" w:type="pct"/>
          </w:tcPr>
          <w:p w14:paraId="48F2D223" w14:textId="054CF722" w:rsidR="00C858DD" w:rsidRPr="00A537AE" w:rsidRDefault="00C858DD">
            <w:pPr>
              <w:autoSpaceDE w:val="0"/>
              <w:autoSpaceDN w:val="0"/>
              <w:adjustRightInd w:val="0"/>
              <w:spacing w:before="0" w:after="0"/>
              <w:ind w:left="0"/>
              <w:rPr>
                <w:rFonts w:ascii="Arial" w:eastAsia="Times New Roman" w:hAnsi="Arial" w:cs="Arial"/>
                <w:color w:val="000000"/>
              </w:rPr>
            </w:pPr>
            <w:r>
              <w:rPr>
                <w:rFonts w:ascii="Arial" w:eastAsia="Times New Roman" w:hAnsi="Arial" w:cs="Arial"/>
                <w:color w:val="000000"/>
              </w:rPr>
              <w:t xml:space="preserve">The </w:t>
            </w:r>
            <w:r w:rsidR="00270B75">
              <w:rPr>
                <w:rFonts w:ascii="Arial" w:eastAsia="Times New Roman" w:hAnsi="Arial" w:cs="Arial"/>
                <w:color w:val="000000"/>
              </w:rPr>
              <w:t>Policy will guide staff on the correct process to be followed for decision making in terms of investment, disinvestment and decommissioning.</w:t>
            </w:r>
            <w:r>
              <w:rPr>
                <w:rFonts w:ascii="Arial" w:eastAsia="Times New Roman" w:hAnsi="Arial" w:cs="Arial"/>
                <w:color w:val="000000"/>
              </w:rPr>
              <w:t xml:space="preserve">  </w:t>
            </w:r>
          </w:p>
        </w:tc>
      </w:tr>
      <w:tr w:rsidR="00C858DD" w:rsidRPr="0039715A" w14:paraId="6725B78A" w14:textId="77777777">
        <w:tc>
          <w:tcPr>
            <w:tcW w:w="5000" w:type="pct"/>
            <w:vAlign w:val="center"/>
          </w:tcPr>
          <w:p w14:paraId="5B124674" w14:textId="77777777" w:rsidR="00C858DD" w:rsidRPr="0039715A" w:rsidRDefault="00C858DD">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C858DD" w:rsidRPr="0039715A" w14:paraId="51F33028" w14:textId="77777777">
        <w:tc>
          <w:tcPr>
            <w:tcW w:w="5000" w:type="pct"/>
          </w:tcPr>
          <w:p w14:paraId="2CFF1C73" w14:textId="77777777" w:rsidR="00C858DD" w:rsidRPr="0039715A" w:rsidRDefault="00C858DD">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C858DD" w:rsidRPr="0039715A" w14:paraId="72105767" w14:textId="77777777">
        <w:trPr>
          <w:trHeight w:val="778"/>
        </w:trPr>
        <w:tc>
          <w:tcPr>
            <w:tcW w:w="5000" w:type="pct"/>
          </w:tcPr>
          <w:p w14:paraId="798B5A33" w14:textId="470365F2" w:rsidR="00C858DD" w:rsidRPr="00A537AE" w:rsidRDefault="00D6340B">
            <w:pPr>
              <w:spacing w:before="0" w:after="0"/>
              <w:ind w:left="0"/>
              <w:rPr>
                <w:rFonts w:ascii="Arial" w:eastAsia="Times New Roman" w:hAnsi="Arial" w:cs="Arial"/>
                <w:bCs/>
                <w:color w:val="auto"/>
              </w:rPr>
            </w:pPr>
            <w:r>
              <w:rPr>
                <w:rFonts w:ascii="Arial" w:eastAsia="Times New Roman" w:hAnsi="Arial" w:cs="Arial"/>
                <w:bCs/>
                <w:color w:val="auto"/>
              </w:rPr>
              <w:t>The policy relates to all decision making</w:t>
            </w:r>
            <w:r w:rsidR="0094522E">
              <w:rPr>
                <w:rFonts w:ascii="Arial" w:eastAsia="Times New Roman" w:hAnsi="Arial" w:cs="Arial"/>
                <w:bCs/>
                <w:color w:val="auto"/>
              </w:rPr>
              <w:t xml:space="preserve"> and is not associated with any protected groups.</w:t>
            </w:r>
            <w:r w:rsidR="00C858DD" w:rsidRPr="00A537AE">
              <w:rPr>
                <w:rFonts w:ascii="Arial" w:eastAsia="Times New Roman" w:hAnsi="Arial" w:cs="Arial"/>
                <w:bCs/>
                <w:color w:val="auto"/>
              </w:rPr>
              <w:t xml:space="preserve">    </w:t>
            </w:r>
          </w:p>
        </w:tc>
      </w:tr>
      <w:tr w:rsidR="00C858DD" w:rsidRPr="0039715A" w14:paraId="31AF6DCA" w14:textId="77777777">
        <w:tc>
          <w:tcPr>
            <w:tcW w:w="5000" w:type="pct"/>
          </w:tcPr>
          <w:p w14:paraId="77F5F470" w14:textId="77777777" w:rsidR="00C858DD" w:rsidRPr="0039715A" w:rsidRDefault="00C858DD">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C858DD" w:rsidRPr="0039715A" w14:paraId="39613673" w14:textId="77777777">
        <w:trPr>
          <w:trHeight w:val="634"/>
        </w:trPr>
        <w:tc>
          <w:tcPr>
            <w:tcW w:w="5000" w:type="pct"/>
          </w:tcPr>
          <w:p w14:paraId="3213B706" w14:textId="22331B22" w:rsidR="00C858DD" w:rsidRPr="0039715A" w:rsidRDefault="00C858DD">
            <w:pPr>
              <w:spacing w:before="0" w:after="0"/>
              <w:ind w:left="0"/>
              <w:rPr>
                <w:rFonts w:ascii="Arial" w:eastAsia="Times New Roman" w:hAnsi="Arial" w:cs="Arial"/>
                <w:color w:val="auto"/>
              </w:rPr>
            </w:pPr>
            <w:r w:rsidRPr="00A537AE">
              <w:rPr>
                <w:rFonts w:ascii="Arial" w:eastAsia="Times New Roman" w:hAnsi="Arial" w:cs="Arial"/>
                <w:color w:val="auto"/>
              </w:rPr>
              <w:t xml:space="preserve">The policy has been shared with </w:t>
            </w:r>
            <w:r w:rsidR="0094522E">
              <w:rPr>
                <w:rFonts w:ascii="Arial" w:eastAsia="Times New Roman" w:hAnsi="Arial" w:cs="Arial"/>
                <w:color w:val="auto"/>
              </w:rPr>
              <w:t xml:space="preserve">the Corporate Team, Executive </w:t>
            </w:r>
            <w:r w:rsidR="00DA4DD2">
              <w:rPr>
                <w:rFonts w:ascii="Arial" w:eastAsia="Times New Roman" w:hAnsi="Arial" w:cs="Arial"/>
                <w:color w:val="auto"/>
              </w:rPr>
              <w:t>Committee</w:t>
            </w:r>
            <w:r w:rsidR="001A49DA">
              <w:rPr>
                <w:rFonts w:ascii="Arial" w:eastAsia="Times New Roman" w:hAnsi="Arial" w:cs="Arial"/>
                <w:color w:val="auto"/>
              </w:rPr>
              <w:t>, Public Health and other relevant ICB staff.</w:t>
            </w:r>
            <w:r>
              <w:rPr>
                <w:rFonts w:ascii="Arial" w:eastAsia="Times New Roman" w:hAnsi="Arial" w:cs="Arial"/>
                <w:color w:val="auto"/>
              </w:rPr>
              <w:t xml:space="preserve"> </w:t>
            </w:r>
          </w:p>
        </w:tc>
      </w:tr>
    </w:tbl>
    <w:p w14:paraId="6172A860" w14:textId="77777777" w:rsidR="00C858DD" w:rsidRPr="0039715A" w:rsidRDefault="00C858DD" w:rsidP="00C858DD">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06B25979" w14:textId="77777777" w:rsidR="00C858DD" w:rsidRPr="0039715A" w:rsidRDefault="00C858DD" w:rsidP="00C858DD">
      <w:pPr>
        <w:spacing w:before="0" w:after="24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031F2E55" w14:textId="77777777" w:rsidR="00C858DD" w:rsidRPr="0039715A" w:rsidRDefault="00C858DD" w:rsidP="00C858DD">
      <w:pPr>
        <w:spacing w:before="0" w:after="24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5E412F45" w14:textId="77777777" w:rsidR="00C858DD" w:rsidRPr="0039715A" w:rsidRDefault="00C858DD" w:rsidP="00223A24">
      <w:pPr>
        <w:numPr>
          <w:ilvl w:val="0"/>
          <w:numId w:val="3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05BF5359" w14:textId="77777777" w:rsidR="00C858DD" w:rsidRPr="0039715A" w:rsidRDefault="00C858DD" w:rsidP="00223A24">
      <w:pPr>
        <w:numPr>
          <w:ilvl w:val="0"/>
          <w:numId w:val="3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17ED2951" w14:textId="77777777" w:rsidR="00C858DD" w:rsidRPr="0039715A" w:rsidRDefault="00C858DD" w:rsidP="00223A24">
      <w:pPr>
        <w:numPr>
          <w:ilvl w:val="0"/>
          <w:numId w:val="3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proofErr w:type="gramStart"/>
      <w:r w:rsidRPr="0039715A">
        <w:rPr>
          <w:rFonts w:ascii="Arial" w:eastAsia="Times New Roman" w:hAnsi="Arial" w:cs="Arial"/>
          <w:b/>
          <w:bCs/>
          <w:i/>
          <w:color w:val="auto"/>
        </w:rPr>
        <w:t xml:space="preserve">outcome </w:t>
      </w:r>
      <w:r w:rsidRPr="0039715A">
        <w:rPr>
          <w:rFonts w:ascii="Arial" w:eastAsia="Times New Roman" w:hAnsi="Arial" w:cs="Arial"/>
          <w:bCs/>
          <w:i/>
          <w:color w:val="auto"/>
        </w:rPr>
        <w:t xml:space="preserve"> –</w:t>
      </w:r>
      <w:proofErr w:type="gramEnd"/>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534B935" w14:textId="77777777" w:rsidR="003B4BD3" w:rsidRDefault="003B4BD3" w:rsidP="00C858DD">
      <w:pPr>
        <w:ind w:left="0"/>
      </w:pPr>
    </w:p>
    <w:p w14:paraId="6D2ADC5B" w14:textId="77777777" w:rsidR="003B4BD3" w:rsidRDefault="003B4BD3" w:rsidP="00C858DD">
      <w:pPr>
        <w:ind w:left="0"/>
      </w:pPr>
    </w:p>
    <w:p w14:paraId="5E660A33" w14:textId="77777777" w:rsidR="003B4BD3" w:rsidRDefault="003B4BD3" w:rsidP="00C858DD">
      <w:pPr>
        <w:ind w:left="0"/>
      </w:pPr>
    </w:p>
    <w:p w14:paraId="65335E5E" w14:textId="77777777" w:rsidR="003B4BD3" w:rsidRDefault="003B4BD3" w:rsidP="00C858DD">
      <w:pPr>
        <w:ind w:left="0"/>
      </w:pPr>
    </w:p>
    <w:p w14:paraId="035057B9" w14:textId="77777777" w:rsidR="003B4BD3" w:rsidRDefault="003B4BD3" w:rsidP="00C858DD">
      <w:pPr>
        <w:ind w:left="0"/>
      </w:pPr>
    </w:p>
    <w:p w14:paraId="6A1B4F5A" w14:textId="77777777" w:rsidR="003B4BD3" w:rsidRDefault="003B4BD3" w:rsidP="00C858DD">
      <w:pPr>
        <w:ind w:left="0"/>
      </w:pPr>
    </w:p>
    <w:p w14:paraId="0056D3CF" w14:textId="6EB9D488" w:rsidR="00C858DD" w:rsidRPr="0039715A" w:rsidRDefault="00C858DD" w:rsidP="00C858DD">
      <w:pPr>
        <w:ind w:left="0"/>
      </w:pPr>
      <w:r w:rsidRPr="0039715A">
        <w:lastRenderedPageBreak/>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1337"/>
        <w:gridCol w:w="1337"/>
        <w:gridCol w:w="1337"/>
        <w:gridCol w:w="3560"/>
      </w:tblGrid>
      <w:tr w:rsidR="00C858DD" w:rsidRPr="0039715A" w14:paraId="2B783BC7" w14:textId="77777777" w:rsidTr="00182DAB">
        <w:trPr>
          <w:cantSplit/>
          <w:trHeight w:val="621"/>
          <w:tblHeader/>
        </w:trPr>
        <w:tc>
          <w:tcPr>
            <w:tcW w:w="1125"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E085556"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40BE935E"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A285E2E"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9B1ED2B"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9E45806"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3811AA02"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8B3E1AD"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47E5603F" w14:textId="77777777" w:rsidR="00C858DD" w:rsidRPr="0039715A" w:rsidRDefault="00C858DD">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5AA25C8" w14:textId="77777777" w:rsidR="00C858DD" w:rsidRPr="0039715A" w:rsidRDefault="00C858DD">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C858DD" w:rsidRPr="0039715A" w14:paraId="610A7FD0" w14:textId="77777777" w:rsidTr="00182DAB">
        <w:trPr>
          <w:trHeight w:val="379"/>
        </w:trPr>
        <w:tc>
          <w:tcPr>
            <w:tcW w:w="1125" w:type="pct"/>
            <w:tcBorders>
              <w:top w:val="single" w:sz="4" w:space="0" w:color="auto"/>
              <w:left w:val="single" w:sz="4" w:space="0" w:color="auto"/>
              <w:bottom w:val="single" w:sz="4" w:space="0" w:color="auto"/>
              <w:right w:val="single" w:sz="4" w:space="0" w:color="auto"/>
            </w:tcBorders>
            <w:vAlign w:val="center"/>
          </w:tcPr>
          <w:p w14:paraId="3E9A1E21" w14:textId="77777777" w:rsidR="00C858DD" w:rsidRPr="0039715A" w:rsidRDefault="00C858DD">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3982B3DA" w14:textId="33C90B6C" w:rsidR="00C858DD" w:rsidRPr="0039715A" w:rsidRDefault="00C858DD">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63A8032" w14:textId="77777777" w:rsidR="00C858DD" w:rsidRPr="0039715A" w:rsidRDefault="00C858DD">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D54DB5F" w14:textId="42C7FBEF" w:rsidR="00C858DD" w:rsidRPr="0039715A" w:rsidRDefault="006250B7">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B70CA37" w14:textId="2BF1E387" w:rsidR="00C858DD" w:rsidRPr="0039715A" w:rsidRDefault="00FA2A27">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The policy</w:t>
            </w:r>
            <w:r w:rsidR="00CA0F92">
              <w:rPr>
                <w:rFonts w:ascii="Arial" w:eastAsia="Times New Roman" w:hAnsi="Arial" w:cs="Arial"/>
                <w:color w:val="auto"/>
                <w:sz w:val="22"/>
                <w:szCs w:val="22"/>
              </w:rPr>
              <w:t xml:space="preserve"> sets out a consistent </w:t>
            </w:r>
            <w:proofErr w:type="gramStart"/>
            <w:r w:rsidR="00CA0F92">
              <w:rPr>
                <w:rFonts w:ascii="Arial" w:eastAsia="Times New Roman" w:hAnsi="Arial" w:cs="Arial"/>
                <w:color w:val="auto"/>
                <w:sz w:val="22"/>
                <w:szCs w:val="22"/>
              </w:rPr>
              <w:t>decision making</w:t>
            </w:r>
            <w:proofErr w:type="gramEnd"/>
            <w:r w:rsidR="00CA0F92">
              <w:rPr>
                <w:rFonts w:ascii="Arial" w:eastAsia="Times New Roman" w:hAnsi="Arial" w:cs="Arial"/>
                <w:color w:val="auto"/>
                <w:sz w:val="22"/>
                <w:szCs w:val="22"/>
              </w:rPr>
              <w:t xml:space="preserve"> process that will be applied consistently</w:t>
            </w:r>
            <w:r w:rsidR="00182DAB">
              <w:rPr>
                <w:rFonts w:ascii="Arial" w:eastAsia="Times New Roman" w:hAnsi="Arial" w:cs="Arial"/>
                <w:color w:val="auto"/>
                <w:sz w:val="22"/>
                <w:szCs w:val="22"/>
              </w:rPr>
              <w:t>.</w:t>
            </w:r>
          </w:p>
        </w:tc>
      </w:tr>
      <w:tr w:rsidR="00182DAB" w:rsidRPr="0039715A" w14:paraId="13A3523F" w14:textId="77777777" w:rsidTr="00182DAB">
        <w:trPr>
          <w:trHeight w:val="964"/>
        </w:trPr>
        <w:tc>
          <w:tcPr>
            <w:tcW w:w="1125" w:type="pct"/>
            <w:tcBorders>
              <w:top w:val="single" w:sz="4" w:space="0" w:color="auto"/>
              <w:left w:val="single" w:sz="4" w:space="0" w:color="auto"/>
              <w:bottom w:val="single" w:sz="4" w:space="0" w:color="auto"/>
              <w:right w:val="single" w:sz="4" w:space="0" w:color="auto"/>
            </w:tcBorders>
            <w:vAlign w:val="center"/>
          </w:tcPr>
          <w:p w14:paraId="6AD634B0"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36B033E2"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20C326F7" w14:textId="5A2AF379"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9BA9E9B"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638817" w14:textId="5E34D0B4"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0687D80"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1907EA0D" w14:textId="77777777" w:rsidTr="00182DAB">
        <w:trPr>
          <w:trHeight w:val="379"/>
        </w:trPr>
        <w:tc>
          <w:tcPr>
            <w:tcW w:w="1125" w:type="pct"/>
            <w:tcBorders>
              <w:top w:val="single" w:sz="4" w:space="0" w:color="auto"/>
              <w:left w:val="single" w:sz="4" w:space="0" w:color="auto"/>
              <w:bottom w:val="single" w:sz="4" w:space="0" w:color="auto"/>
              <w:right w:val="single" w:sz="4" w:space="0" w:color="auto"/>
            </w:tcBorders>
            <w:vAlign w:val="center"/>
          </w:tcPr>
          <w:p w14:paraId="7B96FDF2"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6A991C8E" w14:textId="3CCB4964"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9664E"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B067556" w14:textId="2B376A46"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31D02428"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277E08BD" w14:textId="77777777" w:rsidTr="00182DAB">
        <w:trPr>
          <w:trHeight w:val="284"/>
        </w:trPr>
        <w:tc>
          <w:tcPr>
            <w:tcW w:w="1125" w:type="pct"/>
            <w:tcBorders>
              <w:top w:val="single" w:sz="4" w:space="0" w:color="auto"/>
              <w:left w:val="single" w:sz="4" w:space="0" w:color="auto"/>
              <w:bottom w:val="single" w:sz="4" w:space="0" w:color="auto"/>
              <w:right w:val="single" w:sz="4" w:space="0" w:color="auto"/>
            </w:tcBorders>
            <w:vAlign w:val="center"/>
          </w:tcPr>
          <w:p w14:paraId="5FAAAE31"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31E973DB" w14:textId="5DCB5DDD"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40E5B2B"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5CC6CD2" w14:textId="07F4D3F4"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5E7772DA"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7B8940C4" w14:textId="77777777" w:rsidTr="00182DAB">
        <w:trPr>
          <w:trHeight w:val="666"/>
        </w:trPr>
        <w:tc>
          <w:tcPr>
            <w:tcW w:w="1125" w:type="pct"/>
            <w:tcBorders>
              <w:top w:val="single" w:sz="4" w:space="0" w:color="auto"/>
              <w:left w:val="single" w:sz="4" w:space="0" w:color="auto"/>
              <w:bottom w:val="single" w:sz="4" w:space="0" w:color="auto"/>
              <w:right w:val="single" w:sz="4" w:space="0" w:color="auto"/>
            </w:tcBorders>
            <w:vAlign w:val="center"/>
          </w:tcPr>
          <w:p w14:paraId="2921F196"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163DC071"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5A0C6453" w14:textId="5DDCCDA3"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871A39D"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A9E813F" w14:textId="5673E6EB"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DD1251B"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487ABFF7" w14:textId="77777777" w:rsidTr="00182DAB">
        <w:trPr>
          <w:trHeight w:val="964"/>
        </w:trPr>
        <w:tc>
          <w:tcPr>
            <w:tcW w:w="1125" w:type="pct"/>
            <w:tcBorders>
              <w:top w:val="single" w:sz="4" w:space="0" w:color="auto"/>
              <w:left w:val="single" w:sz="4" w:space="0" w:color="auto"/>
              <w:bottom w:val="single" w:sz="4" w:space="0" w:color="auto"/>
              <w:right w:val="single" w:sz="4" w:space="0" w:color="auto"/>
            </w:tcBorders>
            <w:vAlign w:val="center"/>
          </w:tcPr>
          <w:p w14:paraId="5B8695BD"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552B5B49" w14:textId="7AC9C4B2"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B59E15F"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2280242" w14:textId="376EB6D0"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3EB647D"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61EE3A63" w14:textId="77777777" w:rsidTr="00182DAB">
        <w:trPr>
          <w:trHeight w:val="597"/>
        </w:trPr>
        <w:tc>
          <w:tcPr>
            <w:tcW w:w="1125" w:type="pct"/>
            <w:tcBorders>
              <w:top w:val="single" w:sz="4" w:space="0" w:color="auto"/>
              <w:left w:val="single" w:sz="4" w:space="0" w:color="auto"/>
              <w:bottom w:val="single" w:sz="4" w:space="0" w:color="auto"/>
              <w:right w:val="single" w:sz="4" w:space="0" w:color="auto"/>
            </w:tcBorders>
            <w:vAlign w:val="center"/>
          </w:tcPr>
          <w:p w14:paraId="2823352F"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69BC065E" w14:textId="7F03E52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D4D2A20"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455EFA2" w14:textId="2D68238E"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FD6E3CF"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244A963B" w14:textId="77777777" w:rsidTr="00182DAB">
        <w:trPr>
          <w:trHeight w:val="964"/>
        </w:trPr>
        <w:tc>
          <w:tcPr>
            <w:tcW w:w="1125" w:type="pct"/>
            <w:tcBorders>
              <w:top w:val="single" w:sz="4" w:space="0" w:color="auto"/>
              <w:left w:val="single" w:sz="4" w:space="0" w:color="auto"/>
              <w:bottom w:val="single" w:sz="4" w:space="0" w:color="auto"/>
              <w:right w:val="single" w:sz="4" w:space="0" w:color="auto"/>
            </w:tcBorders>
            <w:vAlign w:val="center"/>
          </w:tcPr>
          <w:p w14:paraId="0B42DF08"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1F72DB13" w14:textId="537AFDE8"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44B1EFA"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0F023B4" w14:textId="0F28B7D6"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379683C9"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r w:rsidR="00182DAB" w:rsidRPr="0039715A" w14:paraId="372DA1EF" w14:textId="77777777" w:rsidTr="00182DAB">
        <w:trPr>
          <w:trHeight w:val="649"/>
        </w:trPr>
        <w:tc>
          <w:tcPr>
            <w:tcW w:w="1125" w:type="pct"/>
            <w:tcBorders>
              <w:top w:val="single" w:sz="4" w:space="0" w:color="auto"/>
              <w:left w:val="single" w:sz="4" w:space="0" w:color="auto"/>
              <w:bottom w:val="single" w:sz="4" w:space="0" w:color="000000"/>
              <w:right w:val="single" w:sz="4" w:space="0" w:color="auto"/>
            </w:tcBorders>
            <w:vAlign w:val="center"/>
          </w:tcPr>
          <w:p w14:paraId="5C721199" w14:textId="77777777" w:rsidR="00182DAB" w:rsidRPr="0039715A" w:rsidRDefault="00182DAB" w:rsidP="00182DAB">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proofErr w:type="gramStart"/>
            <w:r w:rsidRPr="0039715A">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1F1A1551" w14:textId="306B871F"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46B08C22" w14:textId="77777777" w:rsidR="00182DAB" w:rsidRPr="0039715A" w:rsidRDefault="00182DAB" w:rsidP="00182DAB">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7DFCC7AB" w14:textId="28213787" w:rsidR="00182DAB" w:rsidRPr="0039715A" w:rsidRDefault="00182DAB" w:rsidP="00182DAB">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vAlign w:val="center"/>
          </w:tcPr>
          <w:p w14:paraId="6584EAB9" w14:textId="77777777" w:rsidR="00182DAB" w:rsidRPr="0039715A" w:rsidRDefault="00182DAB" w:rsidP="00182DAB">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As above</w:t>
            </w:r>
          </w:p>
        </w:tc>
      </w:tr>
    </w:tbl>
    <w:p w14:paraId="6CAA28C9" w14:textId="77777777" w:rsidR="00C858DD" w:rsidRPr="0039715A" w:rsidRDefault="00C858DD" w:rsidP="00C858DD">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C858DD" w:rsidRPr="0039715A" w14:paraId="26AC67CA" w14:textId="77777777">
        <w:trPr>
          <w:trHeight w:val="269"/>
        </w:trPr>
        <w:tc>
          <w:tcPr>
            <w:tcW w:w="5000" w:type="pct"/>
            <w:tcBorders>
              <w:top w:val="single" w:sz="4" w:space="0" w:color="auto"/>
              <w:left w:val="single" w:sz="4" w:space="0" w:color="auto"/>
              <w:right w:val="single" w:sz="4" w:space="0" w:color="auto"/>
            </w:tcBorders>
          </w:tcPr>
          <w:p w14:paraId="56EB947D" w14:textId="77777777" w:rsidR="00C858DD" w:rsidRPr="0039715A" w:rsidRDefault="00C858DD">
            <w:pPr>
              <w:spacing w:before="0" w:after="0"/>
              <w:ind w:left="0"/>
              <w:rPr>
                <w:rFonts w:asciiTheme="majorHAnsi" w:eastAsia="Times New Roman" w:hAnsiTheme="majorHAnsi" w:cstheme="majorBidi"/>
                <w:b/>
                <w:bCs/>
              </w:rPr>
            </w:pPr>
            <w:r w:rsidRPr="0039715A">
              <w:rPr>
                <w:b/>
                <w:bCs/>
              </w:rPr>
              <w:t>MONITORING OUTCOMES</w:t>
            </w:r>
          </w:p>
        </w:tc>
      </w:tr>
      <w:tr w:rsidR="00C858DD" w:rsidRPr="0039715A" w14:paraId="59271EE9" w14:textId="77777777">
        <w:trPr>
          <w:trHeight w:val="416"/>
        </w:trPr>
        <w:tc>
          <w:tcPr>
            <w:tcW w:w="5000" w:type="pct"/>
            <w:tcBorders>
              <w:top w:val="single" w:sz="4" w:space="0" w:color="auto"/>
              <w:left w:val="single" w:sz="4" w:space="0" w:color="auto"/>
              <w:right w:val="single" w:sz="4" w:space="0" w:color="auto"/>
            </w:tcBorders>
          </w:tcPr>
          <w:p w14:paraId="3F1664D5" w14:textId="77777777" w:rsidR="00C858DD" w:rsidRPr="0039715A" w:rsidRDefault="00C858DD">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C858DD" w:rsidRPr="0039715A" w14:paraId="58D52188" w14:textId="77777777">
        <w:trPr>
          <w:trHeight w:val="416"/>
        </w:trPr>
        <w:tc>
          <w:tcPr>
            <w:tcW w:w="5000" w:type="pct"/>
            <w:tcBorders>
              <w:top w:val="single" w:sz="4" w:space="0" w:color="auto"/>
              <w:left w:val="single" w:sz="4" w:space="0" w:color="auto"/>
              <w:right w:val="single" w:sz="4" w:space="0" w:color="auto"/>
            </w:tcBorders>
          </w:tcPr>
          <w:p w14:paraId="4CD9C130" w14:textId="77777777" w:rsidR="00C858DD" w:rsidRPr="0039715A" w:rsidRDefault="00C858DD">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C858DD" w:rsidRPr="0039715A" w14:paraId="1F255D76" w14:textId="77777777">
        <w:trPr>
          <w:trHeight w:val="794"/>
        </w:trPr>
        <w:tc>
          <w:tcPr>
            <w:tcW w:w="5000" w:type="pct"/>
            <w:tcBorders>
              <w:top w:val="single" w:sz="4" w:space="0" w:color="auto"/>
              <w:left w:val="single" w:sz="4" w:space="0" w:color="auto"/>
              <w:right w:val="single" w:sz="4" w:space="0" w:color="auto"/>
            </w:tcBorders>
          </w:tcPr>
          <w:p w14:paraId="0374491C" w14:textId="065E4D84" w:rsidR="00C858DD" w:rsidRPr="0039715A" w:rsidRDefault="00182DAB">
            <w:pPr>
              <w:spacing w:before="0" w:after="0"/>
              <w:ind w:left="0"/>
              <w:rPr>
                <w:rFonts w:ascii="Arial" w:eastAsia="Times New Roman" w:hAnsi="Arial" w:cs="Arial"/>
                <w:bCs/>
                <w:color w:val="auto"/>
              </w:rPr>
            </w:pPr>
            <w:r>
              <w:rPr>
                <w:rFonts w:ascii="Arial" w:eastAsia="Times New Roman" w:hAnsi="Arial" w:cs="Arial"/>
                <w:bCs/>
                <w:color w:val="auto"/>
              </w:rPr>
              <w:t>The policy requires impact assessments to be carried out on all decision making</w:t>
            </w:r>
            <w:r w:rsidR="00BC457D">
              <w:rPr>
                <w:rFonts w:ascii="Arial" w:eastAsia="Times New Roman" w:hAnsi="Arial" w:cs="Arial"/>
                <w:bCs/>
                <w:color w:val="auto"/>
              </w:rPr>
              <w:t>, which will be monitored by sponsoring/authorising committees.</w:t>
            </w:r>
            <w:r w:rsidR="00C858DD">
              <w:rPr>
                <w:rFonts w:ascii="Arial" w:eastAsia="Times New Roman" w:hAnsi="Arial" w:cs="Arial"/>
                <w:bCs/>
                <w:color w:val="auto"/>
              </w:rPr>
              <w:t xml:space="preserve">   </w:t>
            </w:r>
          </w:p>
        </w:tc>
      </w:tr>
    </w:tbl>
    <w:p w14:paraId="777F4ABC" w14:textId="77777777" w:rsidR="00C858DD" w:rsidRPr="0039715A" w:rsidRDefault="00C858DD" w:rsidP="00C858DD">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0"/>
      </w:tblGrid>
      <w:tr w:rsidR="00C858DD" w:rsidRPr="0039715A" w14:paraId="1794DD3C" w14:textId="77777777">
        <w:tc>
          <w:tcPr>
            <w:tcW w:w="5000" w:type="pct"/>
            <w:tcBorders>
              <w:left w:val="single" w:sz="4" w:space="0" w:color="auto"/>
              <w:right w:val="single" w:sz="4" w:space="0" w:color="auto"/>
            </w:tcBorders>
          </w:tcPr>
          <w:p w14:paraId="69630A73" w14:textId="77777777" w:rsidR="00C858DD" w:rsidRPr="0039715A" w:rsidRDefault="00C858DD">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C858DD" w:rsidRPr="0039715A" w14:paraId="781E030A" w14:textId="77777777">
        <w:tc>
          <w:tcPr>
            <w:tcW w:w="5000" w:type="pct"/>
            <w:tcBorders>
              <w:left w:val="single" w:sz="4" w:space="0" w:color="auto"/>
              <w:right w:val="single" w:sz="4" w:space="0" w:color="auto"/>
            </w:tcBorders>
          </w:tcPr>
          <w:p w14:paraId="44F7F926" w14:textId="77777777" w:rsidR="00C858DD" w:rsidRPr="0039715A" w:rsidRDefault="00C858DD">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C858DD" w:rsidRPr="0039715A" w14:paraId="48C51C13" w14:textId="77777777">
        <w:trPr>
          <w:trHeight w:val="687"/>
        </w:trPr>
        <w:tc>
          <w:tcPr>
            <w:tcW w:w="5000" w:type="pct"/>
            <w:tcBorders>
              <w:left w:val="single" w:sz="4" w:space="0" w:color="auto"/>
              <w:right w:val="single" w:sz="4" w:space="0" w:color="auto"/>
            </w:tcBorders>
          </w:tcPr>
          <w:p w14:paraId="3267877A" w14:textId="77777777" w:rsidR="00C858DD" w:rsidRPr="0039715A" w:rsidRDefault="00C858DD">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C858DD" w:rsidRPr="0039715A" w14:paraId="52DCF7FE" w14:textId="77777777">
        <w:tc>
          <w:tcPr>
            <w:tcW w:w="5000" w:type="pct"/>
            <w:tcBorders>
              <w:left w:val="single" w:sz="4" w:space="0" w:color="auto"/>
              <w:right w:val="single" w:sz="4" w:space="0" w:color="auto"/>
            </w:tcBorders>
          </w:tcPr>
          <w:p w14:paraId="4CD2ED0D" w14:textId="77777777" w:rsidR="00C858DD" w:rsidRPr="0039715A" w:rsidRDefault="00C858DD">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C858DD" w:rsidRPr="0039715A" w14:paraId="08D9DC0B" w14:textId="77777777">
        <w:trPr>
          <w:trHeight w:val="275"/>
        </w:trPr>
        <w:tc>
          <w:tcPr>
            <w:tcW w:w="5000" w:type="pct"/>
            <w:tcBorders>
              <w:left w:val="single" w:sz="4" w:space="0" w:color="auto"/>
              <w:right w:val="single" w:sz="4" w:space="0" w:color="auto"/>
            </w:tcBorders>
          </w:tcPr>
          <w:p w14:paraId="0222B72D" w14:textId="77777777" w:rsidR="00C858DD" w:rsidRPr="0039715A" w:rsidRDefault="00C858DD">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tbl>
    <w:p w14:paraId="06BA4134" w14:textId="56E94EF3" w:rsidR="00AB2ED1" w:rsidRDefault="00AB2ED1" w:rsidP="00351059">
      <w:pPr>
        <w:keepNext/>
        <w:keepLines/>
        <w:spacing w:before="500" w:after="240"/>
        <w:ind w:left="0" w:right="-46"/>
        <w:outlineLvl w:val="1"/>
        <w:rPr>
          <w:rFonts w:asciiTheme="majorHAnsi" w:eastAsiaTheme="majorEastAsia" w:hAnsiTheme="majorHAnsi" w:cstheme="majorBidi"/>
          <w:bCs/>
          <w:color w:val="auto"/>
        </w:rPr>
        <w:sectPr w:rsidR="00AB2ED1" w:rsidSect="00A92E83">
          <w:headerReference w:type="default" r:id="rId33"/>
          <w:pgSz w:w="11906" w:h="16838"/>
          <w:pgMar w:top="993" w:right="1133" w:bottom="1797" w:left="993" w:header="993" w:footer="709" w:gutter="0"/>
          <w:cols w:space="708"/>
          <w:docGrid w:linePitch="360"/>
        </w:sectPr>
      </w:pPr>
    </w:p>
    <w:p w14:paraId="3BE2240D" w14:textId="0AE9AC93" w:rsidR="00AB2ED1" w:rsidRDefault="00F40D75" w:rsidP="001E38EE">
      <w:pPr>
        <w:pStyle w:val="Heading2"/>
        <w:numPr>
          <w:ilvl w:val="0"/>
          <w:numId w:val="0"/>
        </w:numPr>
        <w:ind w:left="1134" w:hanging="1134"/>
        <w:rPr>
          <w:rFonts w:eastAsiaTheme="majorEastAsia"/>
        </w:rPr>
      </w:pPr>
      <w:bookmarkStart w:id="112" w:name="_Toc95149191"/>
      <w:bookmarkStart w:id="113" w:name="_Toc213919830"/>
      <w:r w:rsidRPr="00F40D75">
        <w:rPr>
          <w:rFonts w:eastAsiaTheme="majorEastAsia"/>
        </w:rPr>
        <w:lastRenderedPageBreak/>
        <w:t xml:space="preserve">Appendix B </w:t>
      </w:r>
      <w:r w:rsidR="00AB2ED1">
        <w:rPr>
          <w:rFonts w:eastAsiaTheme="majorEastAsia"/>
        </w:rPr>
        <w:t>– Decision Making Flowchart</w:t>
      </w:r>
      <w:r w:rsidR="00BE4FDC">
        <w:rPr>
          <w:rFonts w:eastAsiaTheme="majorEastAsia"/>
        </w:rPr>
        <w:t>s</w:t>
      </w:r>
      <w:bookmarkEnd w:id="113"/>
      <w:r w:rsidR="00AB2ED1">
        <w:rPr>
          <w:rFonts w:eastAsiaTheme="majorEastAsia"/>
        </w:rPr>
        <w:t xml:space="preserve"> </w:t>
      </w:r>
    </w:p>
    <w:p w14:paraId="579072A0" w14:textId="41C97616" w:rsidR="00AB2ED1" w:rsidRDefault="00625237">
      <w:pPr>
        <w:spacing w:before="0" w:after="0"/>
        <w:ind w:left="0"/>
        <w:rPr>
          <w:rFonts w:eastAsiaTheme="majorEastAsia"/>
        </w:rPr>
      </w:pPr>
      <w:r w:rsidRPr="00625237">
        <w:rPr>
          <w:rFonts w:eastAsiaTheme="majorEastAsia"/>
          <w:noProof/>
        </w:rPr>
        <w:drawing>
          <wp:inline distT="0" distB="0" distL="0" distR="0" wp14:anchorId="1F956C00" wp14:editId="057AB51F">
            <wp:extent cx="8277225" cy="5411648"/>
            <wp:effectExtent l="0" t="0" r="0" b="0"/>
            <wp:docPr id="623180199" name="Picture 1" descr="Flow chart detailing the planning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80199" name="Picture 1" descr="Flow chart detailing the planning stag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1861" cy="5414679"/>
                    </a:xfrm>
                    <a:prstGeom prst="rect">
                      <a:avLst/>
                    </a:prstGeom>
                    <a:noFill/>
                    <a:ln>
                      <a:noFill/>
                    </a:ln>
                  </pic:spPr>
                </pic:pic>
              </a:graphicData>
            </a:graphic>
          </wp:inline>
        </w:drawing>
      </w:r>
    </w:p>
    <w:p w14:paraId="61927A7A" w14:textId="25E99E0B" w:rsidR="00693FB8" w:rsidRDefault="000F3DC8">
      <w:pPr>
        <w:spacing w:before="0" w:after="0"/>
        <w:ind w:left="0"/>
        <w:rPr>
          <w:rFonts w:ascii="Arial" w:eastAsiaTheme="majorEastAsia" w:hAnsi="Arial" w:cs="Times New Roman"/>
          <w:b/>
          <w:color w:val="005EB8"/>
          <w:sz w:val="32"/>
          <w:szCs w:val="26"/>
        </w:rPr>
      </w:pPr>
      <w:r w:rsidRPr="000F3DC8">
        <w:rPr>
          <w:rFonts w:ascii="Arial" w:eastAsiaTheme="majorEastAsia" w:hAnsi="Arial" w:cs="Times New Roman"/>
          <w:b/>
          <w:noProof/>
          <w:color w:val="005EB8"/>
          <w:sz w:val="32"/>
          <w:szCs w:val="26"/>
        </w:rPr>
        <w:lastRenderedPageBreak/>
        <w:drawing>
          <wp:inline distT="0" distB="0" distL="0" distR="0" wp14:anchorId="72DBA226" wp14:editId="0EBB05E1">
            <wp:extent cx="8479125" cy="5943600"/>
            <wp:effectExtent l="0" t="0" r="0" b="0"/>
            <wp:docPr id="1757433525" name="Picture 2" descr="Flowchart detailing the steps to take in the development of a business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33525" name="Picture 2" descr="Flowchart detailing the steps to take in the development of a business ca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83561" cy="5946710"/>
                    </a:xfrm>
                    <a:prstGeom prst="rect">
                      <a:avLst/>
                    </a:prstGeom>
                    <a:noFill/>
                    <a:ln>
                      <a:noFill/>
                    </a:ln>
                  </pic:spPr>
                </pic:pic>
              </a:graphicData>
            </a:graphic>
          </wp:inline>
        </w:drawing>
      </w:r>
    </w:p>
    <w:p w14:paraId="7CC7E6DB" w14:textId="528F0C78" w:rsidR="00693FB8" w:rsidRDefault="00204209">
      <w:pPr>
        <w:spacing w:before="0" w:after="0"/>
        <w:ind w:left="0"/>
        <w:rPr>
          <w:rFonts w:ascii="Arial" w:eastAsiaTheme="majorEastAsia" w:hAnsi="Arial" w:cs="Times New Roman"/>
          <w:b/>
          <w:color w:val="005EB8"/>
          <w:sz w:val="32"/>
          <w:szCs w:val="26"/>
        </w:rPr>
      </w:pPr>
      <w:r w:rsidRPr="00204209">
        <w:rPr>
          <w:rFonts w:ascii="Arial" w:eastAsiaTheme="majorEastAsia" w:hAnsi="Arial" w:cs="Times New Roman"/>
          <w:b/>
          <w:noProof/>
          <w:color w:val="005EB8"/>
          <w:sz w:val="32"/>
          <w:szCs w:val="26"/>
        </w:rPr>
        <w:lastRenderedPageBreak/>
        <w:drawing>
          <wp:inline distT="0" distB="0" distL="0" distR="0" wp14:anchorId="1A9DD08A" wp14:editId="27AD4F11">
            <wp:extent cx="8581824" cy="5886450"/>
            <wp:effectExtent l="0" t="0" r="0" b="0"/>
            <wp:docPr id="598691687" name="Picture 3" descr="Flowchart detailing the steps to take a the ICB formal approval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91687" name="Picture 3" descr="Flowchart detailing the steps to take a the ICB formal approval st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86225" cy="5889469"/>
                    </a:xfrm>
                    <a:prstGeom prst="rect">
                      <a:avLst/>
                    </a:prstGeom>
                    <a:noFill/>
                    <a:ln>
                      <a:noFill/>
                    </a:ln>
                  </pic:spPr>
                </pic:pic>
              </a:graphicData>
            </a:graphic>
          </wp:inline>
        </w:drawing>
      </w:r>
    </w:p>
    <w:p w14:paraId="1F483972" w14:textId="4D630606" w:rsidR="00F65F85" w:rsidRPr="00F65F85" w:rsidRDefault="00F65F85" w:rsidP="00F65F85">
      <w:pPr>
        <w:pStyle w:val="Heading2"/>
        <w:numPr>
          <w:ilvl w:val="0"/>
          <w:numId w:val="0"/>
        </w:numPr>
        <w:ind w:left="1134" w:hanging="1134"/>
        <w:rPr>
          <w:rFonts w:eastAsiaTheme="majorEastAsia"/>
        </w:rPr>
      </w:pPr>
      <w:bookmarkStart w:id="114" w:name="_Toc213919831"/>
      <w:r w:rsidRPr="001E38EE">
        <w:rPr>
          <w:rFonts w:eastAsiaTheme="majorEastAsia"/>
        </w:rPr>
        <w:lastRenderedPageBreak/>
        <w:t>Appendix</w:t>
      </w:r>
      <w:r>
        <w:rPr>
          <w:rFonts w:eastAsiaTheme="majorEastAsia"/>
        </w:rPr>
        <w:t xml:space="preserve"> C </w:t>
      </w:r>
      <w:r w:rsidRPr="00F40D75">
        <w:rPr>
          <w:rFonts w:eastAsiaTheme="majorEastAsia"/>
        </w:rPr>
        <w:t xml:space="preserve">– </w:t>
      </w:r>
      <w:r>
        <w:rPr>
          <w:rFonts w:eastAsiaTheme="majorEastAsia"/>
        </w:rPr>
        <w:t>Decommissioning Process Flow Chart</w:t>
      </w:r>
      <w:bookmarkEnd w:id="114"/>
    </w:p>
    <w:p w14:paraId="75D9EAEC" w14:textId="71DB920C" w:rsidR="00F65F85" w:rsidRDefault="00F65F85">
      <w:pPr>
        <w:spacing w:before="0" w:after="0"/>
        <w:ind w:left="0"/>
        <w:rPr>
          <w:rFonts w:ascii="Arial" w:eastAsiaTheme="majorEastAsia" w:hAnsi="Arial" w:cs="Times New Roman"/>
          <w:b/>
          <w:color w:val="005EB8"/>
          <w:sz w:val="32"/>
          <w:szCs w:val="26"/>
        </w:rPr>
        <w:sectPr w:rsidR="00F65F85" w:rsidSect="00AB2ED1">
          <w:headerReference w:type="default" r:id="rId34"/>
          <w:footerReference w:type="default" r:id="rId35"/>
          <w:pgSz w:w="16838" w:h="11906" w:orient="landscape"/>
          <w:pgMar w:top="993" w:right="1560" w:bottom="1133" w:left="1797" w:header="993" w:footer="709" w:gutter="0"/>
          <w:cols w:space="708"/>
          <w:docGrid w:linePitch="360"/>
        </w:sectPr>
      </w:pPr>
      <w:r w:rsidRPr="00F65F85">
        <w:rPr>
          <w:rFonts w:ascii="Arial" w:eastAsiaTheme="majorEastAsia" w:hAnsi="Arial" w:cs="Times New Roman"/>
          <w:b/>
          <w:noProof/>
          <w:color w:val="005EB8"/>
          <w:sz w:val="32"/>
          <w:szCs w:val="26"/>
        </w:rPr>
        <w:drawing>
          <wp:inline distT="0" distB="0" distL="0" distR="0" wp14:anchorId="6B0A9463" wp14:editId="07C10345">
            <wp:extent cx="8448675" cy="5512309"/>
            <wp:effectExtent l="0" t="0" r="0" b="0"/>
            <wp:docPr id="2062304814" name="Picture 4" descr="Flowchart detailing the governance of commissioning / service restriction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04814" name="Picture 4" descr="Flowchart detailing the governance of commissioning / service restriction decis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62497" cy="5521327"/>
                    </a:xfrm>
                    <a:prstGeom prst="rect">
                      <a:avLst/>
                    </a:prstGeom>
                    <a:noFill/>
                    <a:ln>
                      <a:noFill/>
                    </a:ln>
                  </pic:spPr>
                </pic:pic>
              </a:graphicData>
            </a:graphic>
          </wp:inline>
        </w:drawing>
      </w:r>
    </w:p>
    <w:p w14:paraId="3341C265" w14:textId="45CDB40A" w:rsidR="00CB79FC" w:rsidRPr="0088282C" w:rsidRDefault="00CB79FC" w:rsidP="001E38EE">
      <w:pPr>
        <w:pStyle w:val="Heading2"/>
        <w:numPr>
          <w:ilvl w:val="0"/>
          <w:numId w:val="0"/>
        </w:numPr>
        <w:ind w:left="1134" w:hanging="1134"/>
        <w:rPr>
          <w:rFonts w:eastAsiaTheme="majorEastAsia"/>
        </w:rPr>
      </w:pPr>
      <w:bookmarkStart w:id="115" w:name="_Toc213919832"/>
      <w:bookmarkEnd w:id="112"/>
      <w:r w:rsidRPr="0088282C">
        <w:rPr>
          <w:rFonts w:eastAsiaTheme="majorEastAsia"/>
        </w:rPr>
        <w:lastRenderedPageBreak/>
        <w:t xml:space="preserve">Appendix </w:t>
      </w:r>
      <w:r w:rsidR="00AB2ED1">
        <w:rPr>
          <w:rFonts w:eastAsiaTheme="majorEastAsia"/>
        </w:rPr>
        <w:t>D</w:t>
      </w:r>
      <w:r w:rsidRPr="0088282C">
        <w:rPr>
          <w:rFonts w:eastAsiaTheme="majorEastAsia"/>
        </w:rPr>
        <w:t xml:space="preserve"> – Decommissioning / Disinvestment Assessment</w:t>
      </w:r>
      <w:bookmarkEnd w:id="115"/>
      <w:r w:rsidRPr="0088282C">
        <w:rPr>
          <w:rFonts w:eastAsiaTheme="majorEastAsia"/>
        </w:rPr>
        <w:t xml:space="preserve"> </w:t>
      </w:r>
    </w:p>
    <w:tbl>
      <w:tblPr>
        <w:tblStyle w:val="TableGrid2"/>
        <w:tblW w:w="0" w:type="auto"/>
        <w:tblLook w:val="04A0" w:firstRow="1" w:lastRow="0" w:firstColumn="1" w:lastColumn="0" w:noHBand="0" w:noVBand="1"/>
      </w:tblPr>
      <w:tblGrid>
        <w:gridCol w:w="3005"/>
        <w:gridCol w:w="3005"/>
        <w:gridCol w:w="3006"/>
      </w:tblGrid>
      <w:tr w:rsidR="00F9072D" w:rsidRPr="00F9072D" w14:paraId="4BEF9F93" w14:textId="77777777">
        <w:trPr>
          <w:tblHeader/>
        </w:trPr>
        <w:tc>
          <w:tcPr>
            <w:tcW w:w="3005" w:type="dxa"/>
            <w:tcMar>
              <w:top w:w="108" w:type="dxa"/>
              <w:bottom w:w="108" w:type="dxa"/>
            </w:tcMar>
          </w:tcPr>
          <w:p w14:paraId="47A4D260"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Service Considered for Decommissioning:</w:t>
            </w:r>
          </w:p>
        </w:tc>
        <w:tc>
          <w:tcPr>
            <w:tcW w:w="3005" w:type="dxa"/>
            <w:tcMar>
              <w:top w:w="108" w:type="dxa"/>
              <w:bottom w:w="108" w:type="dxa"/>
            </w:tcMar>
          </w:tcPr>
          <w:p w14:paraId="19278C30"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Annual Contract Value:</w:t>
            </w:r>
          </w:p>
        </w:tc>
        <w:tc>
          <w:tcPr>
            <w:tcW w:w="3006" w:type="dxa"/>
            <w:tcMar>
              <w:top w:w="108" w:type="dxa"/>
              <w:bottom w:w="108" w:type="dxa"/>
            </w:tcMar>
          </w:tcPr>
          <w:p w14:paraId="1D39C2B7"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Approx. number of Patients Impacted:</w:t>
            </w:r>
          </w:p>
        </w:tc>
      </w:tr>
      <w:tr w:rsidR="00F9072D" w:rsidRPr="00F9072D" w14:paraId="2821AB65" w14:textId="77777777">
        <w:tc>
          <w:tcPr>
            <w:tcW w:w="3005" w:type="dxa"/>
            <w:tcMar>
              <w:top w:w="108" w:type="dxa"/>
              <w:bottom w:w="108" w:type="dxa"/>
            </w:tcMar>
          </w:tcPr>
          <w:p w14:paraId="42C9B3FA" w14:textId="77777777" w:rsidR="00F9072D" w:rsidRPr="00F9072D" w:rsidRDefault="00F9072D" w:rsidP="00F9072D">
            <w:pPr>
              <w:spacing w:before="0" w:after="0"/>
              <w:ind w:left="0"/>
              <w:rPr>
                <w:rFonts w:ascii="Arial" w:eastAsia="Calibri" w:hAnsi="Arial" w:cs="Arial"/>
                <w:color w:val="auto"/>
                <w:sz w:val="20"/>
              </w:rPr>
            </w:pPr>
          </w:p>
        </w:tc>
        <w:tc>
          <w:tcPr>
            <w:tcW w:w="3005" w:type="dxa"/>
            <w:tcMar>
              <w:top w:w="108" w:type="dxa"/>
              <w:bottom w:w="108" w:type="dxa"/>
            </w:tcMar>
          </w:tcPr>
          <w:p w14:paraId="4F0A5509" w14:textId="77777777" w:rsidR="00F9072D" w:rsidRPr="00F9072D" w:rsidRDefault="00F9072D" w:rsidP="00F9072D">
            <w:pPr>
              <w:spacing w:before="0" w:after="0"/>
              <w:ind w:left="0"/>
              <w:rPr>
                <w:rFonts w:ascii="Arial" w:eastAsia="Calibri" w:hAnsi="Arial" w:cs="Arial"/>
                <w:color w:val="auto"/>
                <w:sz w:val="20"/>
              </w:rPr>
            </w:pPr>
          </w:p>
        </w:tc>
        <w:tc>
          <w:tcPr>
            <w:tcW w:w="3006" w:type="dxa"/>
            <w:tcMar>
              <w:top w:w="108" w:type="dxa"/>
              <w:bottom w:w="108" w:type="dxa"/>
            </w:tcMar>
          </w:tcPr>
          <w:p w14:paraId="5A6D2497" w14:textId="77777777" w:rsidR="00F9072D" w:rsidRPr="00F9072D" w:rsidRDefault="00F9072D" w:rsidP="00F9072D">
            <w:pPr>
              <w:spacing w:before="0" w:after="0"/>
              <w:ind w:left="0"/>
              <w:rPr>
                <w:rFonts w:ascii="Arial" w:eastAsia="Calibri" w:hAnsi="Arial" w:cs="Arial"/>
                <w:color w:val="auto"/>
                <w:sz w:val="20"/>
              </w:rPr>
            </w:pPr>
          </w:p>
        </w:tc>
      </w:tr>
    </w:tbl>
    <w:p w14:paraId="2EB902CE" w14:textId="77777777" w:rsidR="00F9072D" w:rsidRPr="00F9072D" w:rsidRDefault="00F9072D" w:rsidP="00F9072D">
      <w:pPr>
        <w:spacing w:before="240" w:after="160" w:line="259" w:lineRule="auto"/>
        <w:ind w:left="0"/>
        <w:rPr>
          <w:rFonts w:ascii="Arial" w:eastAsia="Calibri" w:hAnsi="Arial" w:cs="Arial"/>
          <w:i/>
          <w:iCs/>
          <w:color w:val="auto"/>
          <w:sz w:val="20"/>
          <w:szCs w:val="22"/>
        </w:rPr>
      </w:pPr>
      <w:r w:rsidRPr="00F9072D">
        <w:rPr>
          <w:rFonts w:ascii="Arial" w:eastAsia="Calibri" w:hAnsi="Arial" w:cs="Arial"/>
          <w:i/>
          <w:iCs/>
          <w:color w:val="auto"/>
          <w:sz w:val="20"/>
          <w:szCs w:val="22"/>
        </w:rPr>
        <w:t>This document forms part of the auditable document trail for the decommissioning decision which may be legally challenged, therefore it must be completed factually, objectively and diligently.  Decommissioning a health service will have both positive and negative impact.  It is critical that the adverse impact on patients and on the wider health economy are understood and documented.</w:t>
      </w:r>
    </w:p>
    <w:tbl>
      <w:tblPr>
        <w:tblStyle w:val="TableGrid2"/>
        <w:tblW w:w="0" w:type="auto"/>
        <w:tblLook w:val="04A0" w:firstRow="1" w:lastRow="0" w:firstColumn="1" w:lastColumn="0" w:noHBand="0" w:noVBand="1"/>
      </w:tblPr>
      <w:tblGrid>
        <w:gridCol w:w="9016"/>
      </w:tblGrid>
      <w:tr w:rsidR="00F9072D" w:rsidRPr="00F9072D" w14:paraId="3A3212BD" w14:textId="77777777">
        <w:trPr>
          <w:tblHeader/>
        </w:trPr>
        <w:tc>
          <w:tcPr>
            <w:tcW w:w="9016" w:type="dxa"/>
            <w:tcMar>
              <w:top w:w="108" w:type="dxa"/>
              <w:bottom w:w="108" w:type="dxa"/>
            </w:tcMar>
          </w:tcPr>
          <w:p w14:paraId="0AAD6CC2"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Background – Information on Service:</w:t>
            </w:r>
          </w:p>
        </w:tc>
      </w:tr>
      <w:tr w:rsidR="00F9072D" w:rsidRPr="00F9072D" w14:paraId="2931E0F6" w14:textId="77777777">
        <w:tc>
          <w:tcPr>
            <w:tcW w:w="9016" w:type="dxa"/>
            <w:tcMar>
              <w:top w:w="108" w:type="dxa"/>
              <w:bottom w:w="108" w:type="dxa"/>
            </w:tcMar>
          </w:tcPr>
          <w:p w14:paraId="2E05A258"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Brief notes e.g. what it is, what it does, who provides etc.</w:t>
            </w:r>
          </w:p>
        </w:tc>
      </w:tr>
    </w:tbl>
    <w:p w14:paraId="799012C8"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18697F04" w14:textId="77777777">
        <w:trPr>
          <w:tblHeader/>
        </w:trPr>
        <w:tc>
          <w:tcPr>
            <w:tcW w:w="9016" w:type="dxa"/>
            <w:tcMar>
              <w:top w:w="108" w:type="dxa"/>
              <w:bottom w:w="108" w:type="dxa"/>
            </w:tcMar>
          </w:tcPr>
          <w:p w14:paraId="272D858F"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 xml:space="preserve">Background – Procedure context and/or </w:t>
            </w:r>
            <w:proofErr w:type="gramStart"/>
            <w:r w:rsidRPr="00F9072D">
              <w:rPr>
                <w:rFonts w:ascii="Arial" w:eastAsia="Calibri" w:hAnsi="Arial" w:cs="Arial"/>
                <w:b/>
                <w:bCs/>
                <w:color w:val="auto"/>
                <w:sz w:val="20"/>
              </w:rPr>
              <w:t>principle</w:t>
            </w:r>
            <w:proofErr w:type="gramEnd"/>
            <w:r w:rsidRPr="00F9072D">
              <w:rPr>
                <w:rFonts w:ascii="Arial" w:eastAsia="Calibri" w:hAnsi="Arial" w:cs="Arial"/>
                <w:b/>
                <w:bCs/>
                <w:color w:val="auto"/>
                <w:sz w:val="20"/>
              </w:rPr>
              <w:t xml:space="preserve"> driver for Decommissioning:</w:t>
            </w:r>
          </w:p>
        </w:tc>
      </w:tr>
      <w:tr w:rsidR="00F9072D" w:rsidRPr="00F9072D" w14:paraId="38A25B17" w14:textId="77777777">
        <w:tc>
          <w:tcPr>
            <w:tcW w:w="9016" w:type="dxa"/>
            <w:tcMar>
              <w:top w:w="108" w:type="dxa"/>
              <w:bottom w:w="108" w:type="dxa"/>
            </w:tcMar>
          </w:tcPr>
          <w:p w14:paraId="223A7B8B" w14:textId="77777777" w:rsidR="00F9072D" w:rsidRPr="00F9072D" w:rsidRDefault="00F9072D" w:rsidP="00F9072D">
            <w:pPr>
              <w:spacing w:before="2" w:after="0"/>
              <w:ind w:left="0" w:right="663"/>
              <w:rPr>
                <w:rFonts w:ascii="Arial" w:eastAsia="Calibri" w:hAnsi="Arial" w:cs="Arial"/>
                <w:i/>
                <w:iCs/>
                <w:color w:val="auto"/>
                <w:sz w:val="16"/>
                <w:szCs w:val="18"/>
              </w:rPr>
            </w:pPr>
            <w:r w:rsidRPr="00F9072D">
              <w:rPr>
                <w:rFonts w:ascii="Arial" w:eastAsia="Calibri" w:hAnsi="Arial" w:cs="Arial"/>
                <w:i/>
                <w:iCs/>
                <w:color w:val="auto"/>
                <w:sz w:val="16"/>
                <w:szCs w:val="18"/>
              </w:rPr>
              <w:t xml:space="preserve">DH requires that, if a variation to contract cannot be made, then terminate to enable required intervention. Otherwise, </w:t>
            </w:r>
            <w:proofErr w:type="gramStart"/>
            <w:r w:rsidRPr="00F9072D">
              <w:rPr>
                <w:rFonts w:ascii="Arial" w:eastAsia="Calibri" w:hAnsi="Arial" w:cs="Arial"/>
                <w:i/>
                <w:iCs/>
                <w:color w:val="auto"/>
                <w:sz w:val="16"/>
                <w:szCs w:val="18"/>
              </w:rPr>
              <w:t>principle</w:t>
            </w:r>
            <w:proofErr w:type="gramEnd"/>
            <w:r w:rsidRPr="00F9072D">
              <w:rPr>
                <w:rFonts w:ascii="Arial" w:eastAsia="Calibri" w:hAnsi="Arial" w:cs="Arial"/>
                <w:i/>
                <w:iCs/>
                <w:color w:val="auto"/>
                <w:sz w:val="16"/>
                <w:szCs w:val="18"/>
              </w:rPr>
              <w:t xml:space="preserve"> driver for considering decommissioning (proactive, reactive, safety, VFM, etc.).</w:t>
            </w:r>
          </w:p>
        </w:tc>
      </w:tr>
    </w:tbl>
    <w:p w14:paraId="478D41CB"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Borders>
          <w:top w:val="single" w:sz="24" w:space="0" w:color="auto"/>
        </w:tblBorders>
        <w:tblLook w:val="04A0" w:firstRow="1" w:lastRow="0" w:firstColumn="1" w:lastColumn="0" w:noHBand="0" w:noVBand="1"/>
      </w:tblPr>
      <w:tblGrid>
        <w:gridCol w:w="9016"/>
      </w:tblGrid>
      <w:tr w:rsidR="00F9072D" w:rsidRPr="00F9072D" w14:paraId="5D34D832" w14:textId="77777777">
        <w:trPr>
          <w:tblHeader/>
        </w:trPr>
        <w:tc>
          <w:tcPr>
            <w:tcW w:w="9016" w:type="dxa"/>
            <w:tcMar>
              <w:top w:w="108" w:type="dxa"/>
              <w:bottom w:w="108" w:type="dxa"/>
            </w:tcMar>
          </w:tcPr>
          <w:p w14:paraId="1121EAAE"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the Patient:</w:t>
            </w:r>
          </w:p>
        </w:tc>
      </w:tr>
      <w:tr w:rsidR="00F9072D" w:rsidRPr="00F9072D" w14:paraId="52AFAE6E" w14:textId="77777777">
        <w:tc>
          <w:tcPr>
            <w:tcW w:w="9016" w:type="dxa"/>
            <w:tcMar>
              <w:top w:w="108" w:type="dxa"/>
              <w:bottom w:w="108" w:type="dxa"/>
            </w:tcMar>
          </w:tcPr>
          <w:p w14:paraId="4F56DED7"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Continuity of on-going care for those within service, pathway of care, access, distance travelled, is there another provider representing reasonable choice.</w:t>
            </w:r>
          </w:p>
        </w:tc>
      </w:tr>
    </w:tbl>
    <w:p w14:paraId="38C38103"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0CEB1994" w14:textId="77777777">
        <w:trPr>
          <w:tblHeader/>
        </w:trPr>
        <w:tc>
          <w:tcPr>
            <w:tcW w:w="9016" w:type="dxa"/>
            <w:tcMar>
              <w:top w:w="108" w:type="dxa"/>
              <w:bottom w:w="108" w:type="dxa"/>
            </w:tcMar>
          </w:tcPr>
          <w:p w14:paraId="3F391BC5"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Positive Impact (Benefit) of Decommissioning:</w:t>
            </w:r>
          </w:p>
        </w:tc>
      </w:tr>
      <w:tr w:rsidR="00F9072D" w:rsidRPr="00F9072D" w14:paraId="02DFC6EE" w14:textId="77777777">
        <w:tc>
          <w:tcPr>
            <w:tcW w:w="9016" w:type="dxa"/>
            <w:tcMar>
              <w:top w:w="108" w:type="dxa"/>
              <w:bottom w:w="108" w:type="dxa"/>
            </w:tcMar>
          </w:tcPr>
          <w:p w14:paraId="32410168"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The prime benefit from Decommissioning e.g. improved safety; simplified pathway; better value for money; better outcomes; market improvement; opportunity for reinvestment.</w:t>
            </w:r>
          </w:p>
        </w:tc>
      </w:tr>
    </w:tbl>
    <w:p w14:paraId="5DDF4B43"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5CCDBA4C" w14:textId="77777777">
        <w:trPr>
          <w:tblHeader/>
        </w:trPr>
        <w:tc>
          <w:tcPr>
            <w:tcW w:w="9016" w:type="dxa"/>
            <w:tcMar>
              <w:top w:w="108" w:type="dxa"/>
              <w:bottom w:w="108" w:type="dxa"/>
            </w:tcMar>
          </w:tcPr>
          <w:p w14:paraId="5A572906"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ICB including Finance:</w:t>
            </w:r>
          </w:p>
        </w:tc>
      </w:tr>
      <w:tr w:rsidR="00F9072D" w:rsidRPr="00F9072D" w14:paraId="13F847C0" w14:textId="77777777">
        <w:tc>
          <w:tcPr>
            <w:tcW w:w="9016" w:type="dxa"/>
            <w:tcMar>
              <w:top w:w="108" w:type="dxa"/>
              <w:bottom w:w="108" w:type="dxa"/>
            </w:tcMar>
          </w:tcPr>
          <w:p w14:paraId="5B70DDC2"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Non-recurrent impact / one off decommissioning costs contractually borne by commissioner e.g. TUPE.  Non-recurrent impact of replacement service overlapping with decommissioned service.  Recurrent gross cost (cost of this service). Recurrent net cost (cost of this service less cost of any replacement or movement in demand).  Transactional costs of decommissioning. Likelihood of public outcry at loss or perceived loss. Impact on ICB’s reputation.</w:t>
            </w:r>
          </w:p>
        </w:tc>
      </w:tr>
    </w:tbl>
    <w:p w14:paraId="36E55649"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0CC5A011" w14:textId="77777777">
        <w:trPr>
          <w:tblHeader/>
        </w:trPr>
        <w:tc>
          <w:tcPr>
            <w:tcW w:w="9016" w:type="dxa"/>
            <w:tcMar>
              <w:top w:w="108" w:type="dxa"/>
              <w:bottom w:w="108" w:type="dxa"/>
            </w:tcMar>
          </w:tcPr>
          <w:p w14:paraId="172BF794"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Provider:</w:t>
            </w:r>
          </w:p>
        </w:tc>
      </w:tr>
      <w:tr w:rsidR="00F9072D" w:rsidRPr="00F9072D" w14:paraId="019F17FB" w14:textId="77777777">
        <w:tc>
          <w:tcPr>
            <w:tcW w:w="9016" w:type="dxa"/>
            <w:tcMar>
              <w:top w:w="108" w:type="dxa"/>
              <w:bottom w:w="108" w:type="dxa"/>
            </w:tcMar>
          </w:tcPr>
          <w:p w14:paraId="149A619A"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Does the loss of this service/contract element compromise the provider’s economic or physical ability to deliver other services? Fixed cost.</w:t>
            </w:r>
          </w:p>
        </w:tc>
      </w:tr>
    </w:tbl>
    <w:p w14:paraId="4F67B327"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2B8E8219" w14:textId="77777777">
        <w:trPr>
          <w:tblHeader/>
        </w:trPr>
        <w:tc>
          <w:tcPr>
            <w:tcW w:w="9016" w:type="dxa"/>
            <w:tcMar>
              <w:top w:w="108" w:type="dxa"/>
              <w:bottom w:w="108" w:type="dxa"/>
            </w:tcMar>
          </w:tcPr>
          <w:p w14:paraId="5850B722"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Health Market Economy:</w:t>
            </w:r>
          </w:p>
        </w:tc>
      </w:tr>
      <w:tr w:rsidR="00F9072D" w:rsidRPr="00F9072D" w14:paraId="4A91DCD7" w14:textId="77777777">
        <w:tc>
          <w:tcPr>
            <w:tcW w:w="9016" w:type="dxa"/>
            <w:tcMar>
              <w:top w:w="108" w:type="dxa"/>
              <w:bottom w:w="108" w:type="dxa"/>
            </w:tcMar>
          </w:tcPr>
          <w:p w14:paraId="1521BE65"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Overall supply/demand balance, on upstream and downstream elements of care pathway, knock on to other providers, gap in provision, market diversity, loss of clinical skill, training opportunities etc.</w:t>
            </w:r>
          </w:p>
        </w:tc>
      </w:tr>
    </w:tbl>
    <w:p w14:paraId="58D20E21"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5827F244" w14:textId="77777777">
        <w:trPr>
          <w:tblHeader/>
        </w:trPr>
        <w:tc>
          <w:tcPr>
            <w:tcW w:w="9016" w:type="dxa"/>
            <w:tcMar>
              <w:top w:w="108" w:type="dxa"/>
              <w:bottom w:w="108" w:type="dxa"/>
            </w:tcMar>
          </w:tcPr>
          <w:p w14:paraId="0D74E2A8"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lastRenderedPageBreak/>
              <w:t>Adverse Impact on Performance:</w:t>
            </w:r>
          </w:p>
        </w:tc>
      </w:tr>
      <w:tr w:rsidR="00F9072D" w:rsidRPr="00F9072D" w14:paraId="1FE6B6F9" w14:textId="77777777">
        <w:tc>
          <w:tcPr>
            <w:tcW w:w="9016" w:type="dxa"/>
            <w:tcMar>
              <w:top w:w="108" w:type="dxa"/>
              <w:bottom w:w="108" w:type="dxa"/>
            </w:tcMar>
          </w:tcPr>
          <w:p w14:paraId="0F85ED21"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Does the cessation of service adversely impact any vital sign commitment e.g. cancer access, health inequalities, 18 weeks, access etc. (full list available on request)</w:t>
            </w:r>
          </w:p>
        </w:tc>
      </w:tr>
    </w:tbl>
    <w:p w14:paraId="710639D5"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00C197BA" w14:textId="77777777">
        <w:trPr>
          <w:tblHeader/>
        </w:trPr>
        <w:tc>
          <w:tcPr>
            <w:tcW w:w="9016" w:type="dxa"/>
            <w:tcMar>
              <w:top w:w="108" w:type="dxa"/>
              <w:bottom w:w="108" w:type="dxa"/>
            </w:tcMar>
          </w:tcPr>
          <w:p w14:paraId="16E5963E"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 xml:space="preserve">Adverse Impact on Equality </w:t>
            </w:r>
            <w:r w:rsidRPr="00F9072D">
              <w:rPr>
                <w:rFonts w:ascii="Arial" w:eastAsia="Calibri" w:hAnsi="Arial" w:cs="Arial"/>
                <w:b/>
                <w:bCs/>
                <w:i/>
                <w:iCs/>
                <w:color w:val="auto"/>
                <w:sz w:val="20"/>
              </w:rPr>
              <w:t>(Please complete the ICB Equality Impact Assessment proforma prior to completing this section).</w:t>
            </w:r>
          </w:p>
        </w:tc>
      </w:tr>
      <w:tr w:rsidR="00F9072D" w:rsidRPr="00F9072D" w14:paraId="2C0FF46C" w14:textId="77777777">
        <w:tc>
          <w:tcPr>
            <w:tcW w:w="9016" w:type="dxa"/>
            <w:tcMar>
              <w:top w:w="108" w:type="dxa"/>
              <w:bottom w:w="108" w:type="dxa"/>
            </w:tcMar>
          </w:tcPr>
          <w:p w14:paraId="1DE66DD3"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 xml:space="preserve">[Equality Act 2010] Does cessation of service represent unequal treatment or discrimination or inequality of access </w:t>
            </w:r>
            <w:proofErr w:type="gramStart"/>
            <w:r w:rsidRPr="00F9072D">
              <w:rPr>
                <w:rFonts w:ascii="Arial" w:eastAsia="Calibri" w:hAnsi="Arial" w:cs="Arial"/>
                <w:i/>
                <w:iCs/>
                <w:color w:val="auto"/>
                <w:sz w:val="16"/>
                <w:szCs w:val="18"/>
              </w:rPr>
              <w:t>on the basis of</w:t>
            </w:r>
            <w:proofErr w:type="gramEnd"/>
            <w:r w:rsidRPr="00F9072D">
              <w:rPr>
                <w:rFonts w:ascii="Arial" w:eastAsia="Calibri" w:hAnsi="Arial" w:cs="Arial"/>
                <w:i/>
                <w:iCs/>
                <w:color w:val="auto"/>
                <w:sz w:val="16"/>
                <w:szCs w:val="18"/>
              </w:rPr>
              <w:t xml:space="preserve"> any of the nine protected characteristics. </w:t>
            </w:r>
          </w:p>
        </w:tc>
      </w:tr>
    </w:tbl>
    <w:p w14:paraId="7B209E1F"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3290F2B8" w14:textId="77777777">
        <w:trPr>
          <w:tblHeader/>
        </w:trPr>
        <w:tc>
          <w:tcPr>
            <w:tcW w:w="9016" w:type="dxa"/>
            <w:tcMar>
              <w:top w:w="108" w:type="dxa"/>
              <w:bottom w:w="108" w:type="dxa"/>
            </w:tcMar>
          </w:tcPr>
          <w:p w14:paraId="2D5F0D60"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Quality:</w:t>
            </w:r>
          </w:p>
        </w:tc>
      </w:tr>
      <w:tr w:rsidR="00F9072D" w:rsidRPr="00F9072D" w14:paraId="3A9608EE" w14:textId="77777777">
        <w:tc>
          <w:tcPr>
            <w:tcW w:w="9016" w:type="dxa"/>
            <w:tcMar>
              <w:top w:w="108" w:type="dxa"/>
              <w:bottom w:w="108" w:type="dxa"/>
            </w:tcMar>
          </w:tcPr>
          <w:p w14:paraId="7DBC4452"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Does cessation of service impact on quality of services / patient care.</w:t>
            </w:r>
          </w:p>
        </w:tc>
      </w:tr>
    </w:tbl>
    <w:p w14:paraId="28E17824"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39AFC90E" w14:textId="77777777">
        <w:trPr>
          <w:tblHeader/>
        </w:trPr>
        <w:tc>
          <w:tcPr>
            <w:tcW w:w="9016" w:type="dxa"/>
            <w:tcMar>
              <w:top w:w="108" w:type="dxa"/>
              <w:bottom w:w="108" w:type="dxa"/>
            </w:tcMar>
          </w:tcPr>
          <w:p w14:paraId="6CCAC335"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Adverse Impact on Rurality:</w:t>
            </w:r>
          </w:p>
        </w:tc>
      </w:tr>
      <w:tr w:rsidR="00F9072D" w:rsidRPr="00F9072D" w14:paraId="325880BC" w14:textId="77777777">
        <w:tc>
          <w:tcPr>
            <w:tcW w:w="9016" w:type="dxa"/>
            <w:tcMar>
              <w:top w:w="108" w:type="dxa"/>
              <w:bottom w:w="108" w:type="dxa"/>
            </w:tcMar>
          </w:tcPr>
          <w:p w14:paraId="27C10138"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Does cessation of service represent unequal treatment or a barrier to access to service users in a rural location – if yes, how will this be mitigated.</w:t>
            </w:r>
          </w:p>
        </w:tc>
      </w:tr>
    </w:tbl>
    <w:p w14:paraId="084F7967"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Look w:val="04A0" w:firstRow="1" w:lastRow="0" w:firstColumn="1" w:lastColumn="0" w:noHBand="0" w:noVBand="1"/>
      </w:tblPr>
      <w:tblGrid>
        <w:gridCol w:w="9016"/>
      </w:tblGrid>
      <w:tr w:rsidR="00F9072D" w:rsidRPr="00F9072D" w14:paraId="1AA763F2" w14:textId="77777777">
        <w:trPr>
          <w:tblHeader/>
        </w:trPr>
        <w:tc>
          <w:tcPr>
            <w:tcW w:w="9016" w:type="dxa"/>
            <w:tcMar>
              <w:top w:w="108" w:type="dxa"/>
              <w:bottom w:w="108" w:type="dxa"/>
            </w:tcMar>
          </w:tcPr>
          <w:p w14:paraId="6BF1145F"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Health Overview &amp; Scrutiny Committee / Consultation:</w:t>
            </w:r>
          </w:p>
        </w:tc>
      </w:tr>
      <w:tr w:rsidR="00F9072D" w:rsidRPr="00F9072D" w14:paraId="1F4CC16A" w14:textId="77777777">
        <w:tc>
          <w:tcPr>
            <w:tcW w:w="9016" w:type="dxa"/>
            <w:tcMar>
              <w:top w:w="108" w:type="dxa"/>
              <w:bottom w:w="108" w:type="dxa"/>
            </w:tcMar>
          </w:tcPr>
          <w:p w14:paraId="22B1EFE4"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Does the recommendation(s) below and the materiality of the change indicate that HOSC will have an interest/what consultation is particularly recommended/has taken place.</w:t>
            </w:r>
          </w:p>
        </w:tc>
      </w:tr>
    </w:tbl>
    <w:p w14:paraId="5EA4D333" w14:textId="77777777" w:rsidR="00F9072D" w:rsidRPr="00F9072D" w:rsidRDefault="00F9072D" w:rsidP="00F9072D">
      <w:pPr>
        <w:spacing w:before="0" w:after="0"/>
        <w:ind w:left="0"/>
        <w:rPr>
          <w:rFonts w:ascii="Arial" w:eastAsia="Calibri" w:hAnsi="Arial" w:cs="Arial"/>
          <w:color w:val="auto"/>
          <w:sz w:val="20"/>
          <w:szCs w:val="22"/>
        </w:rPr>
      </w:pPr>
    </w:p>
    <w:tbl>
      <w:tblPr>
        <w:tblStyle w:val="TableGrid2"/>
        <w:tblW w:w="0" w:type="auto"/>
        <w:tblBorders>
          <w:top w:val="single" w:sz="24" w:space="0" w:color="auto"/>
        </w:tblBorders>
        <w:tblLook w:val="04A0" w:firstRow="1" w:lastRow="0" w:firstColumn="1" w:lastColumn="0" w:noHBand="0" w:noVBand="1"/>
      </w:tblPr>
      <w:tblGrid>
        <w:gridCol w:w="9016"/>
      </w:tblGrid>
      <w:tr w:rsidR="00F9072D" w:rsidRPr="00F9072D" w14:paraId="6D92FDB7" w14:textId="77777777">
        <w:trPr>
          <w:tblHeader/>
        </w:trPr>
        <w:tc>
          <w:tcPr>
            <w:tcW w:w="9016" w:type="dxa"/>
            <w:tcMar>
              <w:top w:w="108" w:type="dxa"/>
              <w:bottom w:w="108" w:type="dxa"/>
            </w:tcMar>
          </w:tcPr>
          <w:p w14:paraId="7447479B" w14:textId="77777777" w:rsidR="00F9072D" w:rsidRPr="00F9072D" w:rsidRDefault="00F9072D" w:rsidP="00F9072D">
            <w:pPr>
              <w:spacing w:before="0" w:after="0"/>
              <w:ind w:left="0"/>
              <w:rPr>
                <w:rFonts w:ascii="Arial" w:eastAsia="Calibri" w:hAnsi="Arial" w:cs="Arial"/>
                <w:b/>
                <w:bCs/>
                <w:color w:val="auto"/>
                <w:sz w:val="20"/>
              </w:rPr>
            </w:pPr>
            <w:r w:rsidRPr="00F9072D">
              <w:rPr>
                <w:rFonts w:ascii="Arial" w:eastAsia="Calibri" w:hAnsi="Arial" w:cs="Arial"/>
                <w:b/>
                <w:bCs/>
                <w:color w:val="auto"/>
                <w:sz w:val="20"/>
              </w:rPr>
              <w:t>Recommendations:</w:t>
            </w:r>
          </w:p>
        </w:tc>
      </w:tr>
      <w:tr w:rsidR="00F9072D" w:rsidRPr="00F9072D" w14:paraId="487A730C" w14:textId="77777777">
        <w:tc>
          <w:tcPr>
            <w:tcW w:w="9016" w:type="dxa"/>
            <w:tcMar>
              <w:top w:w="108" w:type="dxa"/>
              <w:bottom w:w="108" w:type="dxa"/>
            </w:tcMar>
          </w:tcPr>
          <w:p w14:paraId="3B1C51CA" w14:textId="77777777" w:rsidR="00F9072D" w:rsidRPr="00F9072D" w:rsidRDefault="00F9072D" w:rsidP="00F9072D">
            <w:pPr>
              <w:spacing w:before="0" w:after="0"/>
              <w:ind w:left="0"/>
              <w:rPr>
                <w:rFonts w:ascii="Arial" w:eastAsia="Calibri" w:hAnsi="Arial" w:cs="Arial"/>
                <w:i/>
                <w:iCs/>
                <w:color w:val="auto"/>
                <w:sz w:val="20"/>
              </w:rPr>
            </w:pPr>
            <w:r w:rsidRPr="00F9072D">
              <w:rPr>
                <w:rFonts w:ascii="Arial" w:eastAsia="Calibri" w:hAnsi="Arial" w:cs="Arial"/>
                <w:i/>
                <w:iCs/>
                <w:color w:val="auto"/>
                <w:sz w:val="16"/>
                <w:szCs w:val="18"/>
              </w:rPr>
              <w:t>Recommendation to decision making authority e.g. not to be decommissioned, decommission, decommission with stipulated conditions (state them).</w:t>
            </w:r>
          </w:p>
        </w:tc>
      </w:tr>
    </w:tbl>
    <w:p w14:paraId="1C9C63D6" w14:textId="77777777" w:rsidR="00F9072D" w:rsidRPr="00F9072D" w:rsidRDefault="00F9072D" w:rsidP="00F9072D">
      <w:pPr>
        <w:spacing w:before="0" w:after="160" w:line="259" w:lineRule="auto"/>
        <w:ind w:left="0"/>
        <w:rPr>
          <w:rFonts w:ascii="Arial" w:eastAsia="Calibri" w:hAnsi="Arial" w:cs="Arial"/>
          <w:color w:val="auto"/>
          <w:sz w:val="22"/>
          <w:szCs w:val="22"/>
        </w:rPr>
      </w:pPr>
    </w:p>
    <w:tbl>
      <w:tblPr>
        <w:tblStyle w:val="TableGrid2"/>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1134"/>
        <w:gridCol w:w="2254"/>
      </w:tblGrid>
      <w:tr w:rsidR="00F9072D" w:rsidRPr="00F9072D" w14:paraId="0C19D5EB" w14:textId="77777777" w:rsidTr="00F9072D">
        <w:tc>
          <w:tcPr>
            <w:tcW w:w="3114" w:type="dxa"/>
            <w:tcMar>
              <w:top w:w="108" w:type="dxa"/>
              <w:bottom w:w="108" w:type="dxa"/>
            </w:tcMar>
          </w:tcPr>
          <w:p w14:paraId="36AEBF5E" w14:textId="77777777" w:rsidR="00F9072D" w:rsidRPr="00F9072D" w:rsidRDefault="00F9072D" w:rsidP="00F9072D">
            <w:pPr>
              <w:spacing w:before="0" w:after="0"/>
              <w:ind w:left="0"/>
              <w:rPr>
                <w:rFonts w:ascii="Arial" w:eastAsia="Calibri" w:hAnsi="Arial" w:cs="Arial"/>
                <w:color w:val="auto"/>
              </w:rPr>
            </w:pPr>
            <w:r w:rsidRPr="00F9072D">
              <w:rPr>
                <w:rFonts w:ascii="Arial" w:eastAsia="Calibri" w:hAnsi="Arial" w:cs="Arial"/>
                <w:color w:val="auto"/>
              </w:rPr>
              <w:t>Completed By:</w:t>
            </w:r>
          </w:p>
        </w:tc>
        <w:tc>
          <w:tcPr>
            <w:tcW w:w="2551" w:type="dxa"/>
            <w:tcMar>
              <w:top w:w="108" w:type="dxa"/>
              <w:bottom w:w="108" w:type="dxa"/>
            </w:tcMar>
          </w:tcPr>
          <w:p w14:paraId="68F03C95" w14:textId="77777777" w:rsidR="00F9072D" w:rsidRPr="00F9072D" w:rsidRDefault="00F9072D" w:rsidP="00F9072D">
            <w:pPr>
              <w:spacing w:before="0" w:after="0"/>
              <w:ind w:left="0"/>
              <w:rPr>
                <w:rFonts w:ascii="Arial" w:eastAsia="Calibri" w:hAnsi="Arial" w:cs="Arial"/>
                <w:color w:val="auto"/>
              </w:rPr>
            </w:pPr>
          </w:p>
        </w:tc>
        <w:tc>
          <w:tcPr>
            <w:tcW w:w="1134" w:type="dxa"/>
            <w:tcMar>
              <w:top w:w="108" w:type="dxa"/>
              <w:bottom w:w="108" w:type="dxa"/>
            </w:tcMar>
          </w:tcPr>
          <w:p w14:paraId="63510C40" w14:textId="77777777" w:rsidR="00F9072D" w:rsidRPr="00F9072D" w:rsidRDefault="00F9072D" w:rsidP="00F9072D">
            <w:pPr>
              <w:spacing w:before="0" w:after="0"/>
              <w:ind w:left="0"/>
              <w:rPr>
                <w:rFonts w:ascii="Arial" w:eastAsia="Calibri" w:hAnsi="Arial" w:cs="Arial"/>
                <w:color w:val="auto"/>
              </w:rPr>
            </w:pPr>
            <w:r w:rsidRPr="00F9072D">
              <w:rPr>
                <w:rFonts w:ascii="Arial" w:eastAsia="Calibri" w:hAnsi="Arial" w:cs="Arial"/>
                <w:color w:val="auto"/>
              </w:rPr>
              <w:t>Date:</w:t>
            </w:r>
          </w:p>
        </w:tc>
        <w:tc>
          <w:tcPr>
            <w:tcW w:w="2254" w:type="dxa"/>
            <w:tcMar>
              <w:top w:w="108" w:type="dxa"/>
              <w:bottom w:w="108" w:type="dxa"/>
            </w:tcMar>
          </w:tcPr>
          <w:p w14:paraId="374FD136" w14:textId="77777777" w:rsidR="00F9072D" w:rsidRPr="00F9072D" w:rsidRDefault="00F9072D" w:rsidP="00F9072D">
            <w:pPr>
              <w:spacing w:before="0" w:after="0"/>
              <w:ind w:left="0"/>
              <w:rPr>
                <w:rFonts w:ascii="Arial" w:eastAsia="Calibri" w:hAnsi="Arial" w:cs="Arial"/>
                <w:color w:val="auto"/>
              </w:rPr>
            </w:pPr>
          </w:p>
        </w:tc>
      </w:tr>
      <w:tr w:rsidR="00F9072D" w:rsidRPr="00F9072D" w14:paraId="3BA907FD" w14:textId="77777777" w:rsidTr="00F9072D">
        <w:tc>
          <w:tcPr>
            <w:tcW w:w="3114" w:type="dxa"/>
            <w:tcMar>
              <w:top w:w="108" w:type="dxa"/>
              <w:bottom w:w="108" w:type="dxa"/>
            </w:tcMar>
          </w:tcPr>
          <w:p w14:paraId="56304EEB" w14:textId="0E0DDD78" w:rsidR="00F9072D" w:rsidRPr="00F9072D" w:rsidRDefault="00F9072D" w:rsidP="00F9072D">
            <w:pPr>
              <w:spacing w:before="0" w:after="0"/>
              <w:ind w:left="0"/>
              <w:rPr>
                <w:rFonts w:ascii="Arial" w:eastAsia="Calibri" w:hAnsi="Arial" w:cs="Arial"/>
                <w:color w:val="auto"/>
              </w:rPr>
            </w:pPr>
            <w:r w:rsidRPr="00F9072D">
              <w:rPr>
                <w:rFonts w:ascii="Arial" w:eastAsia="Calibri" w:hAnsi="Arial" w:cs="Arial"/>
                <w:color w:val="auto"/>
              </w:rPr>
              <w:t xml:space="preserve">Signed off by </w:t>
            </w:r>
            <w:r w:rsidR="00F370DB">
              <w:rPr>
                <w:rFonts w:ascii="Arial" w:eastAsia="Calibri" w:hAnsi="Arial" w:cs="Arial"/>
                <w:color w:val="auto"/>
              </w:rPr>
              <w:t>IOG</w:t>
            </w:r>
            <w:r w:rsidRPr="00F9072D">
              <w:rPr>
                <w:rFonts w:ascii="Arial" w:eastAsia="Calibri" w:hAnsi="Arial" w:cs="Arial"/>
                <w:color w:val="auto"/>
              </w:rPr>
              <w:t>:</w:t>
            </w:r>
          </w:p>
        </w:tc>
        <w:tc>
          <w:tcPr>
            <w:tcW w:w="2551" w:type="dxa"/>
            <w:tcMar>
              <w:top w:w="108" w:type="dxa"/>
              <w:bottom w:w="108" w:type="dxa"/>
            </w:tcMar>
          </w:tcPr>
          <w:p w14:paraId="16507034" w14:textId="77777777" w:rsidR="00F9072D" w:rsidRPr="00F9072D" w:rsidRDefault="00F9072D" w:rsidP="00F9072D">
            <w:pPr>
              <w:spacing w:before="0" w:after="0"/>
              <w:ind w:left="0"/>
              <w:rPr>
                <w:rFonts w:ascii="Arial" w:eastAsia="Calibri" w:hAnsi="Arial" w:cs="Arial"/>
                <w:color w:val="auto"/>
              </w:rPr>
            </w:pPr>
          </w:p>
        </w:tc>
        <w:tc>
          <w:tcPr>
            <w:tcW w:w="1134" w:type="dxa"/>
            <w:tcMar>
              <w:top w:w="108" w:type="dxa"/>
              <w:bottom w:w="108" w:type="dxa"/>
            </w:tcMar>
          </w:tcPr>
          <w:p w14:paraId="26ED44C6" w14:textId="77777777" w:rsidR="00F9072D" w:rsidRPr="00F9072D" w:rsidRDefault="00F9072D" w:rsidP="00F9072D">
            <w:pPr>
              <w:spacing w:before="0" w:after="0"/>
              <w:ind w:left="0"/>
              <w:rPr>
                <w:rFonts w:ascii="Arial" w:eastAsia="Calibri" w:hAnsi="Arial" w:cs="Arial"/>
                <w:color w:val="auto"/>
              </w:rPr>
            </w:pPr>
            <w:r w:rsidRPr="00F9072D">
              <w:rPr>
                <w:rFonts w:ascii="Arial" w:eastAsia="Calibri" w:hAnsi="Arial" w:cs="Arial"/>
                <w:color w:val="auto"/>
              </w:rPr>
              <w:t>Date:</w:t>
            </w:r>
          </w:p>
        </w:tc>
        <w:tc>
          <w:tcPr>
            <w:tcW w:w="2254" w:type="dxa"/>
            <w:tcMar>
              <w:top w:w="108" w:type="dxa"/>
              <w:bottom w:w="108" w:type="dxa"/>
            </w:tcMar>
          </w:tcPr>
          <w:p w14:paraId="77741726" w14:textId="77777777" w:rsidR="00F9072D" w:rsidRPr="00F9072D" w:rsidRDefault="00F9072D" w:rsidP="00F9072D">
            <w:pPr>
              <w:spacing w:before="0" w:after="0"/>
              <w:ind w:left="0"/>
              <w:rPr>
                <w:rFonts w:ascii="Arial" w:eastAsia="Calibri" w:hAnsi="Arial" w:cs="Arial"/>
                <w:color w:val="auto"/>
              </w:rPr>
            </w:pPr>
          </w:p>
        </w:tc>
      </w:tr>
    </w:tbl>
    <w:p w14:paraId="1C8A309B" w14:textId="3CC6582E" w:rsidR="00CB79FC" w:rsidRPr="0088282C" w:rsidRDefault="00CB79FC" w:rsidP="00CB79FC">
      <w:pPr>
        <w:pStyle w:val="BodyText"/>
        <w:spacing w:before="5"/>
        <w:ind w:left="0"/>
        <w:jc w:val="both"/>
        <w:rPr>
          <w:rFonts w:ascii="Arial" w:eastAsiaTheme="majorEastAsia" w:hAnsi="Arial" w:cs="Arial"/>
          <w:b/>
          <w:color w:val="005EB8" w:themeColor="accent2"/>
          <w:sz w:val="32"/>
          <w:szCs w:val="26"/>
        </w:rPr>
      </w:pPr>
      <w:r w:rsidRPr="0088282C">
        <w:rPr>
          <w:rFonts w:ascii="Arial" w:eastAsiaTheme="majorEastAsia" w:hAnsi="Arial" w:cs="Arial"/>
          <w:b/>
          <w:color w:val="005EB8" w:themeColor="accent2"/>
          <w:sz w:val="32"/>
          <w:szCs w:val="26"/>
        </w:rPr>
        <w:br w:type="page"/>
      </w:r>
    </w:p>
    <w:p w14:paraId="7C77771C" w14:textId="1A9C2754" w:rsidR="00CB79FC" w:rsidRPr="0088282C" w:rsidRDefault="00CB79FC" w:rsidP="001E38EE">
      <w:pPr>
        <w:pStyle w:val="Heading2"/>
        <w:numPr>
          <w:ilvl w:val="0"/>
          <w:numId w:val="0"/>
        </w:numPr>
        <w:ind w:left="1134" w:hanging="1134"/>
        <w:rPr>
          <w:rFonts w:eastAsiaTheme="majorEastAsia"/>
        </w:rPr>
      </w:pPr>
      <w:bookmarkStart w:id="116" w:name="_Toc213919833"/>
      <w:r w:rsidRPr="0088282C">
        <w:rPr>
          <w:rFonts w:eastAsiaTheme="majorEastAsia"/>
        </w:rPr>
        <w:lastRenderedPageBreak/>
        <w:t xml:space="preserve">Appendix </w:t>
      </w:r>
      <w:r w:rsidR="00AB2ED1">
        <w:rPr>
          <w:rFonts w:eastAsiaTheme="majorEastAsia"/>
        </w:rPr>
        <w:t>E</w:t>
      </w:r>
      <w:r w:rsidRPr="0088282C">
        <w:rPr>
          <w:rFonts w:eastAsiaTheme="majorEastAsia"/>
        </w:rPr>
        <w:t xml:space="preserve"> - Contract Review Checklist</w:t>
      </w:r>
      <w:bookmarkEnd w:id="116"/>
    </w:p>
    <w:p w14:paraId="0E21597C" w14:textId="47F7A9D6" w:rsidR="00CB79FC" w:rsidRPr="0088282C" w:rsidRDefault="00CB79FC" w:rsidP="00CB79FC">
      <w:pPr>
        <w:spacing w:before="0" w:after="0"/>
        <w:ind w:left="0"/>
        <w:rPr>
          <w:rFonts w:ascii="Arial" w:eastAsiaTheme="majorEastAsia" w:hAnsi="Arial" w:cs="Arial"/>
          <w:b/>
          <w:color w:val="005EB8" w:themeColor="accent2"/>
          <w:sz w:val="32"/>
          <w:szCs w:val="26"/>
        </w:rPr>
      </w:pPr>
    </w:p>
    <w:tbl>
      <w:tblPr>
        <w:tblStyle w:val="TableGrid3"/>
        <w:tblW w:w="9194" w:type="dxa"/>
        <w:tblLayout w:type="fixed"/>
        <w:tblLook w:val="04A0" w:firstRow="1" w:lastRow="0" w:firstColumn="1" w:lastColumn="0" w:noHBand="0" w:noVBand="1"/>
      </w:tblPr>
      <w:tblGrid>
        <w:gridCol w:w="4390"/>
        <w:gridCol w:w="947"/>
        <w:gridCol w:w="1179"/>
        <w:gridCol w:w="1390"/>
        <w:gridCol w:w="1288"/>
      </w:tblGrid>
      <w:tr w:rsidR="002E441A" w:rsidRPr="002E441A" w14:paraId="584DBBF8" w14:textId="77777777">
        <w:tc>
          <w:tcPr>
            <w:tcW w:w="4390" w:type="dxa"/>
            <w:tcBorders>
              <w:top w:val="single" w:sz="4" w:space="0" w:color="auto"/>
              <w:bottom w:val="nil"/>
            </w:tcBorders>
            <w:tcMar>
              <w:top w:w="108" w:type="dxa"/>
              <w:bottom w:w="0" w:type="dxa"/>
            </w:tcMar>
          </w:tcPr>
          <w:p w14:paraId="294F0EB1"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 xml:space="preserve">Evidence (to provide </w:t>
            </w:r>
          </w:p>
        </w:tc>
        <w:tc>
          <w:tcPr>
            <w:tcW w:w="947" w:type="dxa"/>
            <w:tcBorders>
              <w:top w:val="single" w:sz="4" w:space="0" w:color="auto"/>
              <w:right w:val="nil"/>
            </w:tcBorders>
            <w:tcMar>
              <w:top w:w="108" w:type="dxa"/>
              <w:bottom w:w="0" w:type="dxa"/>
            </w:tcMar>
          </w:tcPr>
          <w:p w14:paraId="58F3747D" w14:textId="77777777" w:rsidR="002E441A" w:rsidRPr="002E441A" w:rsidRDefault="002E441A" w:rsidP="002E441A">
            <w:pPr>
              <w:spacing w:before="0" w:after="0"/>
              <w:ind w:left="0"/>
              <w:jc w:val="right"/>
              <w:rPr>
                <w:rFonts w:ascii="Arial" w:eastAsia="Calibri" w:hAnsi="Arial" w:cs="Arial"/>
                <w:b/>
                <w:bCs/>
                <w:color w:val="auto"/>
                <w:sz w:val="18"/>
              </w:rPr>
            </w:pPr>
            <w:r w:rsidRPr="002E441A">
              <w:rPr>
                <w:rFonts w:ascii="Arial" w:eastAsia="Calibri" w:hAnsi="Arial" w:cs="Arial"/>
                <w:b/>
                <w:bCs/>
                <w:color w:val="auto"/>
                <w:sz w:val="18"/>
              </w:rPr>
              <w:t>Provider</w:t>
            </w:r>
          </w:p>
        </w:tc>
        <w:tc>
          <w:tcPr>
            <w:tcW w:w="1179" w:type="dxa"/>
            <w:tcBorders>
              <w:top w:val="single" w:sz="4" w:space="0" w:color="auto"/>
              <w:left w:val="nil"/>
            </w:tcBorders>
            <w:tcMar>
              <w:top w:w="108" w:type="dxa"/>
              <w:bottom w:w="0" w:type="dxa"/>
            </w:tcMar>
          </w:tcPr>
          <w:p w14:paraId="0EC8D799" w14:textId="77777777" w:rsidR="002E441A" w:rsidRPr="002E441A" w:rsidRDefault="002E441A" w:rsidP="002E441A">
            <w:pPr>
              <w:spacing w:before="0" w:after="0"/>
              <w:ind w:left="0"/>
              <w:jc w:val="both"/>
              <w:rPr>
                <w:rFonts w:ascii="Arial" w:eastAsia="Calibri" w:hAnsi="Arial" w:cs="Arial"/>
                <w:b/>
                <w:bCs/>
                <w:color w:val="auto"/>
                <w:sz w:val="18"/>
              </w:rPr>
            </w:pPr>
            <w:r w:rsidRPr="002E441A">
              <w:rPr>
                <w:rFonts w:ascii="Arial" w:eastAsia="Calibri" w:hAnsi="Arial" w:cs="Arial"/>
                <w:b/>
                <w:bCs/>
                <w:color w:val="auto"/>
                <w:sz w:val="18"/>
              </w:rPr>
              <w:t>Conforms?</w:t>
            </w:r>
          </w:p>
        </w:tc>
        <w:tc>
          <w:tcPr>
            <w:tcW w:w="1390" w:type="dxa"/>
            <w:tcBorders>
              <w:top w:val="single" w:sz="4" w:space="0" w:color="auto"/>
              <w:bottom w:val="nil"/>
            </w:tcBorders>
            <w:tcMar>
              <w:top w:w="108" w:type="dxa"/>
              <w:bottom w:w="0" w:type="dxa"/>
            </w:tcMar>
          </w:tcPr>
          <w:p w14:paraId="4A03C98B"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 xml:space="preserve">Data not </w:t>
            </w:r>
          </w:p>
        </w:tc>
        <w:tc>
          <w:tcPr>
            <w:tcW w:w="1288" w:type="dxa"/>
            <w:tcBorders>
              <w:top w:val="single" w:sz="4" w:space="0" w:color="auto"/>
              <w:bottom w:val="nil"/>
            </w:tcBorders>
            <w:tcMar>
              <w:top w:w="108" w:type="dxa"/>
              <w:bottom w:w="0" w:type="dxa"/>
            </w:tcMar>
          </w:tcPr>
          <w:p w14:paraId="0E57C5D9"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 xml:space="preserve">Data not </w:t>
            </w:r>
          </w:p>
        </w:tc>
      </w:tr>
      <w:tr w:rsidR="002E441A" w:rsidRPr="002E441A" w14:paraId="74994577" w14:textId="77777777">
        <w:tc>
          <w:tcPr>
            <w:tcW w:w="4390" w:type="dxa"/>
            <w:tcBorders>
              <w:top w:val="nil"/>
            </w:tcBorders>
            <w:tcMar>
              <w:top w:w="0" w:type="dxa"/>
              <w:bottom w:w="108" w:type="dxa"/>
            </w:tcMar>
          </w:tcPr>
          <w:p w14:paraId="39310464"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documentary evidence for questions below)</w:t>
            </w:r>
          </w:p>
        </w:tc>
        <w:tc>
          <w:tcPr>
            <w:tcW w:w="947" w:type="dxa"/>
            <w:tcMar>
              <w:top w:w="0" w:type="dxa"/>
              <w:bottom w:w="108" w:type="dxa"/>
            </w:tcMar>
          </w:tcPr>
          <w:p w14:paraId="28824E5D" w14:textId="77777777" w:rsidR="002E441A" w:rsidRPr="002E441A" w:rsidRDefault="002E441A" w:rsidP="002E441A">
            <w:pPr>
              <w:spacing w:before="0" w:after="0"/>
              <w:ind w:left="0"/>
              <w:jc w:val="center"/>
              <w:rPr>
                <w:rFonts w:ascii="Arial" w:eastAsia="Calibri" w:hAnsi="Arial" w:cs="Arial"/>
                <w:b/>
                <w:bCs/>
                <w:color w:val="auto"/>
                <w:sz w:val="18"/>
              </w:rPr>
            </w:pPr>
            <w:r w:rsidRPr="002E441A">
              <w:rPr>
                <w:rFonts w:ascii="Arial" w:eastAsia="Calibri" w:hAnsi="Arial" w:cs="Arial"/>
                <w:b/>
                <w:bCs/>
                <w:color w:val="auto"/>
                <w:sz w:val="18"/>
              </w:rPr>
              <w:t>Yes</w:t>
            </w:r>
          </w:p>
        </w:tc>
        <w:tc>
          <w:tcPr>
            <w:tcW w:w="1179" w:type="dxa"/>
            <w:tcMar>
              <w:top w:w="0" w:type="dxa"/>
              <w:bottom w:w="108" w:type="dxa"/>
            </w:tcMar>
          </w:tcPr>
          <w:p w14:paraId="2A051E0D" w14:textId="77777777" w:rsidR="002E441A" w:rsidRPr="002E441A" w:rsidRDefault="002E441A" w:rsidP="002E441A">
            <w:pPr>
              <w:spacing w:before="0" w:after="0"/>
              <w:ind w:left="0"/>
              <w:jc w:val="center"/>
              <w:rPr>
                <w:rFonts w:ascii="Arial" w:eastAsia="Calibri" w:hAnsi="Arial" w:cs="Arial"/>
                <w:b/>
                <w:bCs/>
                <w:color w:val="auto"/>
                <w:sz w:val="18"/>
              </w:rPr>
            </w:pPr>
            <w:r w:rsidRPr="002E441A">
              <w:rPr>
                <w:rFonts w:ascii="Arial" w:eastAsia="Calibri" w:hAnsi="Arial" w:cs="Arial"/>
                <w:b/>
                <w:bCs/>
                <w:color w:val="auto"/>
                <w:sz w:val="18"/>
              </w:rPr>
              <w:t>No</w:t>
            </w:r>
          </w:p>
        </w:tc>
        <w:tc>
          <w:tcPr>
            <w:tcW w:w="1390" w:type="dxa"/>
            <w:tcBorders>
              <w:top w:val="nil"/>
            </w:tcBorders>
            <w:tcMar>
              <w:top w:w="0" w:type="dxa"/>
              <w:bottom w:w="108" w:type="dxa"/>
            </w:tcMar>
          </w:tcPr>
          <w:p w14:paraId="215EB184"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Applicable</w:t>
            </w:r>
          </w:p>
        </w:tc>
        <w:tc>
          <w:tcPr>
            <w:tcW w:w="1288" w:type="dxa"/>
            <w:tcBorders>
              <w:top w:val="nil"/>
            </w:tcBorders>
            <w:tcMar>
              <w:top w:w="0" w:type="dxa"/>
              <w:bottom w:w="108" w:type="dxa"/>
            </w:tcMar>
          </w:tcPr>
          <w:p w14:paraId="48CCD1CB" w14:textId="77777777" w:rsidR="002E441A" w:rsidRPr="002E441A" w:rsidRDefault="002E441A" w:rsidP="002E441A">
            <w:pPr>
              <w:spacing w:before="0" w:after="0"/>
              <w:ind w:left="0"/>
              <w:rPr>
                <w:rFonts w:ascii="Arial" w:eastAsia="Calibri" w:hAnsi="Arial" w:cs="Arial"/>
                <w:b/>
                <w:bCs/>
                <w:color w:val="auto"/>
                <w:sz w:val="18"/>
              </w:rPr>
            </w:pPr>
            <w:r w:rsidRPr="002E441A">
              <w:rPr>
                <w:rFonts w:ascii="Arial" w:eastAsia="Calibri" w:hAnsi="Arial" w:cs="Arial"/>
                <w:b/>
                <w:bCs/>
                <w:color w:val="auto"/>
                <w:sz w:val="18"/>
              </w:rPr>
              <w:t>Available</w:t>
            </w:r>
          </w:p>
        </w:tc>
      </w:tr>
      <w:tr w:rsidR="002E441A" w:rsidRPr="002E441A" w14:paraId="0D7FAE8F" w14:textId="77777777">
        <w:tc>
          <w:tcPr>
            <w:tcW w:w="4390" w:type="dxa"/>
            <w:tcMar>
              <w:top w:w="108" w:type="dxa"/>
              <w:bottom w:w="108" w:type="dxa"/>
            </w:tcMar>
          </w:tcPr>
          <w:p w14:paraId="370AD593"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provider meet the service specification and specified quality requirements?</w:t>
            </w:r>
          </w:p>
        </w:tc>
        <w:tc>
          <w:tcPr>
            <w:tcW w:w="947" w:type="dxa"/>
            <w:tcMar>
              <w:top w:w="108" w:type="dxa"/>
              <w:bottom w:w="108" w:type="dxa"/>
            </w:tcMar>
          </w:tcPr>
          <w:p w14:paraId="35B03F3F"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45771B5E"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0561C9EE"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138C6EB4"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3AE5B839" w14:textId="77777777">
        <w:tc>
          <w:tcPr>
            <w:tcW w:w="4390" w:type="dxa"/>
            <w:tcMar>
              <w:top w:w="108" w:type="dxa"/>
              <w:bottom w:w="108" w:type="dxa"/>
            </w:tcMar>
          </w:tcPr>
          <w:p w14:paraId="76585C24"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Actual activity v. contracted activity is significantly more or less (-/+5%)</w:t>
            </w:r>
          </w:p>
        </w:tc>
        <w:tc>
          <w:tcPr>
            <w:tcW w:w="947" w:type="dxa"/>
            <w:tcMar>
              <w:top w:w="108" w:type="dxa"/>
              <w:bottom w:w="108" w:type="dxa"/>
            </w:tcMar>
          </w:tcPr>
          <w:p w14:paraId="36D3DA1F"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7863B9A4"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24D5B560"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359BF3D3"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59780C4F" w14:textId="77777777">
        <w:tc>
          <w:tcPr>
            <w:tcW w:w="4390" w:type="dxa"/>
            <w:tcMar>
              <w:top w:w="108" w:type="dxa"/>
              <w:bottom w:w="108" w:type="dxa"/>
            </w:tcMar>
          </w:tcPr>
          <w:p w14:paraId="19D942FE"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Activity cost v. contracted cost is significantly more or less (-/+5%)</w:t>
            </w:r>
          </w:p>
        </w:tc>
        <w:tc>
          <w:tcPr>
            <w:tcW w:w="947" w:type="dxa"/>
            <w:tcMar>
              <w:top w:w="108" w:type="dxa"/>
              <w:bottom w:w="108" w:type="dxa"/>
            </w:tcMar>
          </w:tcPr>
          <w:p w14:paraId="3EEBCD69"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77340564"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21BFBBC6"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53936AE1"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5FC2CC9B" w14:textId="77777777">
        <w:tc>
          <w:tcPr>
            <w:tcW w:w="4390" w:type="dxa"/>
            <w:tcMar>
              <w:top w:w="108" w:type="dxa"/>
              <w:bottom w:w="108" w:type="dxa"/>
            </w:tcMar>
          </w:tcPr>
          <w:p w14:paraId="6D7D12FB"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Are specified waiting times consistently maintained for more than 6 months.</w:t>
            </w:r>
          </w:p>
        </w:tc>
        <w:tc>
          <w:tcPr>
            <w:tcW w:w="947" w:type="dxa"/>
            <w:tcMar>
              <w:top w:w="108" w:type="dxa"/>
              <w:bottom w:w="108" w:type="dxa"/>
            </w:tcMar>
          </w:tcPr>
          <w:p w14:paraId="724E10AE"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37E2D9D3"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14CB3BD0"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53C24AF7"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4872F861" w14:textId="77777777">
        <w:tc>
          <w:tcPr>
            <w:tcW w:w="4390" w:type="dxa"/>
            <w:tcMar>
              <w:top w:w="108" w:type="dxa"/>
              <w:bottom w:w="108" w:type="dxa"/>
            </w:tcMar>
          </w:tcPr>
          <w:p w14:paraId="4F303F35"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service cost provide value for money? (if on local tariff, is it within reasonable limits, if block, is the reference cost within regional average? If QOF, within reasonable limits of regional average?)</w:t>
            </w:r>
          </w:p>
        </w:tc>
        <w:tc>
          <w:tcPr>
            <w:tcW w:w="947" w:type="dxa"/>
            <w:tcMar>
              <w:top w:w="108" w:type="dxa"/>
              <w:bottom w:w="108" w:type="dxa"/>
            </w:tcMar>
          </w:tcPr>
          <w:p w14:paraId="08F5B97C"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55D98CBB"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15F8D51A"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061400E5"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0DB1A3D2" w14:textId="77777777">
        <w:tc>
          <w:tcPr>
            <w:tcW w:w="4390" w:type="dxa"/>
            <w:tcMar>
              <w:top w:w="108" w:type="dxa"/>
              <w:bottom w:w="108" w:type="dxa"/>
            </w:tcMar>
          </w:tcPr>
          <w:p w14:paraId="7DAF7B00"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Have there been any significant patient safety/clinical governance issues? (such as SIs, CRB issues, breaches of policies?)</w:t>
            </w:r>
          </w:p>
        </w:tc>
        <w:tc>
          <w:tcPr>
            <w:tcW w:w="947" w:type="dxa"/>
            <w:tcMar>
              <w:top w:w="108" w:type="dxa"/>
              <w:bottom w:w="108" w:type="dxa"/>
            </w:tcMar>
          </w:tcPr>
          <w:p w14:paraId="500EA011"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5C1F89C3"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40F4D2A9"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0B42688D"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0B2F147A" w14:textId="77777777">
        <w:tc>
          <w:tcPr>
            <w:tcW w:w="4390" w:type="dxa"/>
            <w:tcMar>
              <w:top w:w="108" w:type="dxa"/>
              <w:bottom w:w="108" w:type="dxa"/>
            </w:tcMar>
          </w:tcPr>
          <w:p w14:paraId="72E66469"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service meet current national strategy in terms of outcomes and expectations?</w:t>
            </w:r>
          </w:p>
        </w:tc>
        <w:tc>
          <w:tcPr>
            <w:tcW w:w="947" w:type="dxa"/>
            <w:tcMar>
              <w:top w:w="108" w:type="dxa"/>
              <w:bottom w:w="108" w:type="dxa"/>
            </w:tcMar>
          </w:tcPr>
          <w:p w14:paraId="0BA70809"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21EBE65C"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71F12DE3"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4C7A4ED5"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0856A2D1" w14:textId="77777777">
        <w:tc>
          <w:tcPr>
            <w:tcW w:w="4390" w:type="dxa"/>
            <w:tcMar>
              <w:top w:w="108" w:type="dxa"/>
              <w:bottom w:w="108" w:type="dxa"/>
            </w:tcMar>
          </w:tcPr>
          <w:p w14:paraId="283150A8"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service conform with existing patient pathways? (i.e. part of a referral pathway to other services?)</w:t>
            </w:r>
          </w:p>
        </w:tc>
        <w:tc>
          <w:tcPr>
            <w:tcW w:w="947" w:type="dxa"/>
            <w:tcMar>
              <w:top w:w="108" w:type="dxa"/>
              <w:bottom w:w="108" w:type="dxa"/>
            </w:tcMar>
          </w:tcPr>
          <w:p w14:paraId="06F009B0"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41B05172"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24315835"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1411C246"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2839786D" w14:textId="77777777">
        <w:tc>
          <w:tcPr>
            <w:tcW w:w="4390" w:type="dxa"/>
            <w:tcMar>
              <w:top w:w="108" w:type="dxa"/>
              <w:bottom w:w="108" w:type="dxa"/>
            </w:tcMar>
          </w:tcPr>
          <w:p w14:paraId="7EB0E5EB"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evidence base e.g. NICE etc. identify that the service is clinically effective? (parliamentary enquiries could provide evidence?)</w:t>
            </w:r>
          </w:p>
        </w:tc>
        <w:tc>
          <w:tcPr>
            <w:tcW w:w="947" w:type="dxa"/>
            <w:tcMar>
              <w:top w:w="108" w:type="dxa"/>
              <w:bottom w:w="108" w:type="dxa"/>
            </w:tcMar>
          </w:tcPr>
          <w:p w14:paraId="637158D6"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0E69FC50"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13013220"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2FECBDC8"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746F8150" w14:textId="77777777">
        <w:tc>
          <w:tcPr>
            <w:tcW w:w="4390" w:type="dxa"/>
            <w:tcMar>
              <w:top w:w="108" w:type="dxa"/>
              <w:bottom w:w="108" w:type="dxa"/>
            </w:tcMar>
          </w:tcPr>
          <w:p w14:paraId="3FCDAE1C"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 xml:space="preserve">If the service is provided by a single practitioner, has this impacted on service delivery during the </w:t>
            </w:r>
            <w:proofErr w:type="gramStart"/>
            <w:r w:rsidRPr="002E441A">
              <w:rPr>
                <w:rFonts w:ascii="Arial" w:eastAsia="Calibri" w:hAnsi="Arial" w:cs="Arial"/>
                <w:color w:val="auto"/>
                <w:sz w:val="18"/>
              </w:rPr>
              <w:t>practitioners</w:t>
            </w:r>
            <w:proofErr w:type="gramEnd"/>
            <w:r w:rsidRPr="002E441A">
              <w:rPr>
                <w:rFonts w:ascii="Arial" w:eastAsia="Calibri" w:hAnsi="Arial" w:cs="Arial"/>
                <w:color w:val="auto"/>
                <w:sz w:val="18"/>
              </w:rPr>
              <w:t xml:space="preserve"> absence?</w:t>
            </w:r>
          </w:p>
        </w:tc>
        <w:tc>
          <w:tcPr>
            <w:tcW w:w="947" w:type="dxa"/>
            <w:tcMar>
              <w:top w:w="108" w:type="dxa"/>
              <w:bottom w:w="108" w:type="dxa"/>
            </w:tcMar>
          </w:tcPr>
          <w:p w14:paraId="509D5112"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3E3C04C5"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1F8FBC41"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6835D66A"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5AD240DF" w14:textId="77777777">
        <w:tc>
          <w:tcPr>
            <w:tcW w:w="4390" w:type="dxa"/>
            <w:tcMar>
              <w:top w:w="108" w:type="dxa"/>
              <w:bottom w:w="108" w:type="dxa"/>
            </w:tcMar>
          </w:tcPr>
          <w:p w14:paraId="74C0CDF9"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Does the service reduce activity and costs elsewhere in the pathway?</w:t>
            </w:r>
          </w:p>
        </w:tc>
        <w:tc>
          <w:tcPr>
            <w:tcW w:w="947" w:type="dxa"/>
            <w:tcMar>
              <w:top w:w="108" w:type="dxa"/>
              <w:bottom w:w="108" w:type="dxa"/>
            </w:tcMar>
          </w:tcPr>
          <w:p w14:paraId="23AAC9A9"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6A072A24"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2FE88770"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06A09DCC"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4A4F38A1" w14:textId="77777777">
        <w:tc>
          <w:tcPr>
            <w:tcW w:w="4390" w:type="dxa"/>
            <w:tcMar>
              <w:top w:w="108" w:type="dxa"/>
              <w:bottom w:w="108" w:type="dxa"/>
            </w:tcMar>
          </w:tcPr>
          <w:p w14:paraId="4F0F99D4"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Was the outcome of the service evaluation positive?</w:t>
            </w:r>
          </w:p>
        </w:tc>
        <w:tc>
          <w:tcPr>
            <w:tcW w:w="947" w:type="dxa"/>
            <w:tcMar>
              <w:top w:w="108" w:type="dxa"/>
              <w:bottom w:w="108" w:type="dxa"/>
            </w:tcMar>
          </w:tcPr>
          <w:p w14:paraId="248D4CA8"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5BC29F6C"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546ADCA2"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229F09FF"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6938456F" w14:textId="77777777">
        <w:tc>
          <w:tcPr>
            <w:tcW w:w="4390" w:type="dxa"/>
            <w:tcMar>
              <w:top w:w="108" w:type="dxa"/>
              <w:bottom w:w="108" w:type="dxa"/>
            </w:tcMar>
          </w:tcPr>
          <w:p w14:paraId="5C3C4CC8"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 xml:space="preserve">Is there evidence of contractual breach, noting light tough approach in place since COVID, </w:t>
            </w:r>
            <w:proofErr w:type="gramStart"/>
            <w:r w:rsidRPr="002E441A">
              <w:rPr>
                <w:rFonts w:ascii="Arial" w:eastAsia="Calibri" w:hAnsi="Arial" w:cs="Arial"/>
                <w:color w:val="auto"/>
                <w:sz w:val="18"/>
              </w:rPr>
              <w:t>in particular with</w:t>
            </w:r>
            <w:proofErr w:type="gramEnd"/>
            <w:r w:rsidRPr="002E441A">
              <w:rPr>
                <w:rFonts w:ascii="Arial" w:eastAsia="Calibri" w:hAnsi="Arial" w:cs="Arial"/>
                <w:color w:val="auto"/>
                <w:sz w:val="18"/>
              </w:rPr>
              <w:t xml:space="preserve"> System Partners</w:t>
            </w:r>
          </w:p>
        </w:tc>
        <w:tc>
          <w:tcPr>
            <w:tcW w:w="947" w:type="dxa"/>
            <w:tcMar>
              <w:top w:w="108" w:type="dxa"/>
              <w:bottom w:w="108" w:type="dxa"/>
            </w:tcMar>
          </w:tcPr>
          <w:p w14:paraId="105A7BC3"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7A4A98EA"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1AD9483D"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1CB5101F"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6BEB77BF" w14:textId="77777777">
        <w:tc>
          <w:tcPr>
            <w:tcW w:w="4390" w:type="dxa"/>
            <w:tcMar>
              <w:top w:w="108" w:type="dxa"/>
              <w:bottom w:w="108" w:type="dxa"/>
            </w:tcMar>
          </w:tcPr>
          <w:p w14:paraId="2ECC9ACD"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Has the Provider been issued with a performance notice within the current financial year?</w:t>
            </w:r>
          </w:p>
        </w:tc>
        <w:tc>
          <w:tcPr>
            <w:tcW w:w="947" w:type="dxa"/>
            <w:tcMar>
              <w:top w:w="108" w:type="dxa"/>
              <w:bottom w:w="108" w:type="dxa"/>
            </w:tcMar>
          </w:tcPr>
          <w:p w14:paraId="7A5B7E64"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230CACF4"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3853D266"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02BB7105"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26BE83FC" w14:textId="77777777">
        <w:tc>
          <w:tcPr>
            <w:tcW w:w="4390" w:type="dxa"/>
            <w:tcMar>
              <w:top w:w="108" w:type="dxa"/>
              <w:bottom w:w="108" w:type="dxa"/>
            </w:tcMar>
          </w:tcPr>
          <w:p w14:paraId="435DDDAA"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Is a Remedial Action Plan currently in place?</w:t>
            </w:r>
          </w:p>
        </w:tc>
        <w:tc>
          <w:tcPr>
            <w:tcW w:w="947" w:type="dxa"/>
            <w:tcMar>
              <w:top w:w="108" w:type="dxa"/>
              <w:bottom w:w="108" w:type="dxa"/>
            </w:tcMar>
          </w:tcPr>
          <w:p w14:paraId="030D964F"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3B4BF61E"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6C2DB730"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30D9988F"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0809FBD4" w14:textId="77777777">
        <w:tc>
          <w:tcPr>
            <w:tcW w:w="4390" w:type="dxa"/>
            <w:tcMar>
              <w:top w:w="108" w:type="dxa"/>
              <w:bottom w:w="108" w:type="dxa"/>
            </w:tcMar>
          </w:tcPr>
          <w:p w14:paraId="75DA32CF"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Has the service Provider had patient concerns/complaints raised against them?</w:t>
            </w:r>
          </w:p>
        </w:tc>
        <w:tc>
          <w:tcPr>
            <w:tcW w:w="947" w:type="dxa"/>
            <w:tcMar>
              <w:top w:w="108" w:type="dxa"/>
              <w:bottom w:w="108" w:type="dxa"/>
            </w:tcMar>
          </w:tcPr>
          <w:p w14:paraId="4EDC2E5A"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6FEB15F9"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28B6E526"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0B81A7AB"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2BCD8AB8" w14:textId="77777777">
        <w:tc>
          <w:tcPr>
            <w:tcW w:w="4390" w:type="dxa"/>
            <w:tcMar>
              <w:top w:w="108" w:type="dxa"/>
              <w:bottom w:w="108" w:type="dxa"/>
            </w:tcMar>
          </w:tcPr>
          <w:p w14:paraId="020EAA0B"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t>If yes, have these concerns/ complaints been upheld by internal or external governance processes?</w:t>
            </w:r>
          </w:p>
        </w:tc>
        <w:tc>
          <w:tcPr>
            <w:tcW w:w="947" w:type="dxa"/>
            <w:tcMar>
              <w:top w:w="108" w:type="dxa"/>
              <w:bottom w:w="108" w:type="dxa"/>
            </w:tcMar>
          </w:tcPr>
          <w:p w14:paraId="079E1A0D"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575A2516"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384DAEF3"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173D7566" w14:textId="77777777" w:rsidR="002E441A" w:rsidRPr="002E441A" w:rsidRDefault="002E441A" w:rsidP="002E441A">
            <w:pPr>
              <w:spacing w:before="0" w:after="0"/>
              <w:ind w:left="0"/>
              <w:rPr>
                <w:rFonts w:ascii="Arial" w:eastAsia="Calibri" w:hAnsi="Arial" w:cs="Arial"/>
                <w:color w:val="auto"/>
                <w:sz w:val="18"/>
              </w:rPr>
            </w:pPr>
          </w:p>
        </w:tc>
      </w:tr>
      <w:tr w:rsidR="002E441A" w:rsidRPr="002E441A" w14:paraId="1ECEE5B7" w14:textId="77777777">
        <w:tc>
          <w:tcPr>
            <w:tcW w:w="4390" w:type="dxa"/>
            <w:tcMar>
              <w:top w:w="108" w:type="dxa"/>
              <w:bottom w:w="108" w:type="dxa"/>
            </w:tcMar>
          </w:tcPr>
          <w:p w14:paraId="074F8552" w14:textId="77777777" w:rsidR="002E441A" w:rsidRPr="002E441A" w:rsidRDefault="002E441A" w:rsidP="002E441A">
            <w:pPr>
              <w:spacing w:before="0" w:after="0"/>
              <w:ind w:left="0"/>
              <w:rPr>
                <w:rFonts w:ascii="Arial" w:eastAsia="Calibri" w:hAnsi="Arial" w:cs="Arial"/>
                <w:color w:val="auto"/>
                <w:sz w:val="18"/>
              </w:rPr>
            </w:pPr>
            <w:r w:rsidRPr="002E441A">
              <w:rPr>
                <w:rFonts w:ascii="Arial" w:eastAsia="Calibri" w:hAnsi="Arial" w:cs="Arial"/>
                <w:color w:val="auto"/>
                <w:sz w:val="18"/>
              </w:rPr>
              <w:lastRenderedPageBreak/>
              <w:t>Are there any other data from the review to consider? (please attach with indication below of conclusion following review of this data)</w:t>
            </w:r>
          </w:p>
        </w:tc>
        <w:tc>
          <w:tcPr>
            <w:tcW w:w="947" w:type="dxa"/>
            <w:tcMar>
              <w:top w:w="108" w:type="dxa"/>
              <w:bottom w:w="108" w:type="dxa"/>
            </w:tcMar>
          </w:tcPr>
          <w:p w14:paraId="10BA516A" w14:textId="77777777" w:rsidR="002E441A" w:rsidRPr="002E441A" w:rsidRDefault="002E441A" w:rsidP="002E441A">
            <w:pPr>
              <w:spacing w:before="0" w:after="0"/>
              <w:ind w:left="0"/>
              <w:rPr>
                <w:rFonts w:ascii="Arial" w:eastAsia="Calibri" w:hAnsi="Arial" w:cs="Arial"/>
                <w:color w:val="auto"/>
                <w:sz w:val="18"/>
              </w:rPr>
            </w:pPr>
          </w:p>
        </w:tc>
        <w:tc>
          <w:tcPr>
            <w:tcW w:w="1179" w:type="dxa"/>
            <w:tcMar>
              <w:top w:w="108" w:type="dxa"/>
              <w:bottom w:w="108" w:type="dxa"/>
            </w:tcMar>
          </w:tcPr>
          <w:p w14:paraId="56D212F1" w14:textId="77777777" w:rsidR="002E441A" w:rsidRPr="002E441A" w:rsidRDefault="002E441A" w:rsidP="002E441A">
            <w:pPr>
              <w:spacing w:before="0" w:after="0"/>
              <w:ind w:left="0"/>
              <w:rPr>
                <w:rFonts w:ascii="Arial" w:eastAsia="Calibri" w:hAnsi="Arial" w:cs="Arial"/>
                <w:color w:val="auto"/>
                <w:sz w:val="18"/>
              </w:rPr>
            </w:pPr>
          </w:p>
        </w:tc>
        <w:tc>
          <w:tcPr>
            <w:tcW w:w="1390" w:type="dxa"/>
            <w:tcMar>
              <w:top w:w="108" w:type="dxa"/>
              <w:bottom w:w="108" w:type="dxa"/>
            </w:tcMar>
          </w:tcPr>
          <w:p w14:paraId="542D93AC" w14:textId="77777777" w:rsidR="002E441A" w:rsidRPr="002E441A" w:rsidRDefault="002E441A" w:rsidP="002E441A">
            <w:pPr>
              <w:spacing w:before="0" w:after="0"/>
              <w:ind w:left="0"/>
              <w:rPr>
                <w:rFonts w:ascii="Arial" w:eastAsia="Calibri" w:hAnsi="Arial" w:cs="Arial"/>
                <w:color w:val="auto"/>
                <w:sz w:val="18"/>
              </w:rPr>
            </w:pPr>
          </w:p>
        </w:tc>
        <w:tc>
          <w:tcPr>
            <w:tcW w:w="1288" w:type="dxa"/>
            <w:tcMar>
              <w:top w:w="108" w:type="dxa"/>
              <w:bottom w:w="108" w:type="dxa"/>
            </w:tcMar>
          </w:tcPr>
          <w:p w14:paraId="73870B71" w14:textId="77777777" w:rsidR="002E441A" w:rsidRPr="002E441A" w:rsidRDefault="002E441A" w:rsidP="002E441A">
            <w:pPr>
              <w:spacing w:before="0" w:after="0"/>
              <w:ind w:left="0"/>
              <w:rPr>
                <w:rFonts w:ascii="Arial" w:eastAsia="Calibri" w:hAnsi="Arial" w:cs="Arial"/>
                <w:color w:val="auto"/>
                <w:sz w:val="18"/>
              </w:rPr>
            </w:pPr>
          </w:p>
        </w:tc>
      </w:tr>
    </w:tbl>
    <w:p w14:paraId="024F541B" w14:textId="77777777" w:rsidR="002E441A" w:rsidRPr="002E441A" w:rsidRDefault="002E441A" w:rsidP="002E441A">
      <w:pPr>
        <w:spacing w:before="0" w:after="160" w:line="259" w:lineRule="auto"/>
        <w:ind w:left="0"/>
        <w:rPr>
          <w:rFonts w:ascii="Arial" w:eastAsia="Calibri" w:hAnsi="Arial" w:cs="Arial"/>
          <w:color w:val="auto"/>
          <w:sz w:val="22"/>
          <w:szCs w:val="22"/>
        </w:rPr>
      </w:pPr>
    </w:p>
    <w:tbl>
      <w:tblPr>
        <w:tblStyle w:val="TableGrid3"/>
        <w:tblW w:w="0" w:type="auto"/>
        <w:tblLook w:val="04A0" w:firstRow="1" w:lastRow="0" w:firstColumn="1" w:lastColumn="0" w:noHBand="0" w:noVBand="1"/>
      </w:tblPr>
      <w:tblGrid>
        <w:gridCol w:w="1720"/>
        <w:gridCol w:w="2254"/>
        <w:gridCol w:w="2830"/>
        <w:gridCol w:w="2254"/>
      </w:tblGrid>
      <w:tr w:rsidR="002E441A" w:rsidRPr="002E441A" w14:paraId="1AFEAA33" w14:textId="77777777" w:rsidTr="00B65CA8">
        <w:tc>
          <w:tcPr>
            <w:tcW w:w="1720" w:type="dxa"/>
            <w:tcBorders>
              <w:top w:val="nil"/>
              <w:left w:val="nil"/>
              <w:bottom w:val="nil"/>
              <w:right w:val="nil"/>
            </w:tcBorders>
            <w:tcMar>
              <w:top w:w="108" w:type="dxa"/>
              <w:bottom w:w="108" w:type="dxa"/>
            </w:tcMar>
          </w:tcPr>
          <w:p w14:paraId="385A533F" w14:textId="77777777" w:rsidR="002E441A" w:rsidRPr="002E441A" w:rsidRDefault="002E441A" w:rsidP="002E441A">
            <w:pPr>
              <w:spacing w:before="0" w:after="0"/>
              <w:ind w:left="0"/>
              <w:rPr>
                <w:rFonts w:ascii="Arial" w:eastAsia="Calibri" w:hAnsi="Arial" w:cs="Arial"/>
                <w:b/>
                <w:bCs/>
                <w:color w:val="auto"/>
              </w:rPr>
            </w:pPr>
            <w:r w:rsidRPr="002E441A">
              <w:rPr>
                <w:rFonts w:ascii="Arial" w:eastAsia="Calibri" w:hAnsi="Arial" w:cs="Arial"/>
                <w:b/>
                <w:bCs/>
                <w:color w:val="auto"/>
              </w:rPr>
              <w:t>Decision:</w:t>
            </w:r>
          </w:p>
        </w:tc>
        <w:tc>
          <w:tcPr>
            <w:tcW w:w="2254" w:type="dxa"/>
            <w:tcBorders>
              <w:top w:val="nil"/>
              <w:left w:val="nil"/>
              <w:bottom w:val="single" w:sz="4" w:space="0" w:color="auto"/>
              <w:right w:val="nil"/>
            </w:tcBorders>
            <w:tcMar>
              <w:top w:w="108" w:type="dxa"/>
              <w:bottom w:w="108" w:type="dxa"/>
            </w:tcMar>
          </w:tcPr>
          <w:p w14:paraId="7C385DA5"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nil"/>
              <w:bottom w:val="nil"/>
              <w:right w:val="nil"/>
            </w:tcBorders>
            <w:tcMar>
              <w:top w:w="108" w:type="dxa"/>
              <w:bottom w:w="108" w:type="dxa"/>
            </w:tcMar>
          </w:tcPr>
          <w:p w14:paraId="196D77E8" w14:textId="77777777" w:rsidR="002E441A" w:rsidRPr="002E441A" w:rsidRDefault="002E441A" w:rsidP="002E441A">
            <w:pPr>
              <w:spacing w:before="0" w:after="0"/>
              <w:ind w:left="0"/>
              <w:rPr>
                <w:rFonts w:ascii="Arial" w:eastAsia="Calibri" w:hAnsi="Arial" w:cs="Arial"/>
                <w:color w:val="auto"/>
              </w:rPr>
            </w:pPr>
          </w:p>
        </w:tc>
        <w:tc>
          <w:tcPr>
            <w:tcW w:w="2254" w:type="dxa"/>
            <w:tcBorders>
              <w:top w:val="nil"/>
              <w:left w:val="nil"/>
              <w:bottom w:val="single" w:sz="4" w:space="0" w:color="auto"/>
              <w:right w:val="nil"/>
            </w:tcBorders>
            <w:tcMar>
              <w:top w:w="108" w:type="dxa"/>
              <w:bottom w:w="108" w:type="dxa"/>
            </w:tcMar>
          </w:tcPr>
          <w:p w14:paraId="179DC797" w14:textId="77777777" w:rsidR="002E441A" w:rsidRPr="002E441A" w:rsidRDefault="002E441A" w:rsidP="002E441A">
            <w:pPr>
              <w:spacing w:before="0" w:after="0"/>
              <w:ind w:left="0"/>
              <w:rPr>
                <w:rFonts w:ascii="Arial" w:eastAsia="Calibri" w:hAnsi="Arial" w:cs="Arial"/>
                <w:color w:val="auto"/>
              </w:rPr>
            </w:pPr>
          </w:p>
        </w:tc>
      </w:tr>
      <w:tr w:rsidR="002E441A" w:rsidRPr="002E441A" w14:paraId="3AC9DF35" w14:textId="77777777" w:rsidTr="00B65CA8">
        <w:tc>
          <w:tcPr>
            <w:tcW w:w="1720" w:type="dxa"/>
            <w:tcBorders>
              <w:top w:val="nil"/>
              <w:left w:val="nil"/>
              <w:bottom w:val="nil"/>
            </w:tcBorders>
            <w:tcMar>
              <w:top w:w="108" w:type="dxa"/>
              <w:bottom w:w="108" w:type="dxa"/>
            </w:tcMar>
          </w:tcPr>
          <w:p w14:paraId="36D41ECD"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Recommission:</w:t>
            </w:r>
          </w:p>
        </w:tc>
        <w:tc>
          <w:tcPr>
            <w:tcW w:w="2254" w:type="dxa"/>
            <w:tcBorders>
              <w:right w:val="single" w:sz="4" w:space="0" w:color="auto"/>
            </w:tcBorders>
            <w:tcMar>
              <w:top w:w="108" w:type="dxa"/>
              <w:bottom w:w="108" w:type="dxa"/>
            </w:tcMar>
          </w:tcPr>
          <w:p w14:paraId="02AE61C3"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single" w:sz="4" w:space="0" w:color="auto"/>
              <w:bottom w:val="nil"/>
              <w:right w:val="single" w:sz="4" w:space="0" w:color="auto"/>
            </w:tcBorders>
            <w:tcMar>
              <w:top w:w="108" w:type="dxa"/>
              <w:bottom w:w="108" w:type="dxa"/>
            </w:tcMar>
          </w:tcPr>
          <w:p w14:paraId="76E92DA9"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Decommission:</w:t>
            </w:r>
          </w:p>
        </w:tc>
        <w:tc>
          <w:tcPr>
            <w:tcW w:w="2254" w:type="dxa"/>
            <w:tcBorders>
              <w:left w:val="single" w:sz="4" w:space="0" w:color="auto"/>
            </w:tcBorders>
            <w:tcMar>
              <w:top w:w="108" w:type="dxa"/>
              <w:bottom w:w="108" w:type="dxa"/>
            </w:tcMar>
          </w:tcPr>
          <w:p w14:paraId="6A899299" w14:textId="77777777" w:rsidR="002E441A" w:rsidRPr="002E441A" w:rsidRDefault="002E441A" w:rsidP="002E441A">
            <w:pPr>
              <w:spacing w:before="0" w:after="0"/>
              <w:ind w:left="0"/>
              <w:rPr>
                <w:rFonts w:ascii="Arial" w:eastAsia="Calibri" w:hAnsi="Arial" w:cs="Arial"/>
                <w:color w:val="auto"/>
              </w:rPr>
            </w:pPr>
          </w:p>
        </w:tc>
      </w:tr>
      <w:tr w:rsidR="002E441A" w:rsidRPr="002E441A" w14:paraId="3B2CA6AA" w14:textId="77777777" w:rsidTr="00B65CA8">
        <w:tc>
          <w:tcPr>
            <w:tcW w:w="1720" w:type="dxa"/>
            <w:tcBorders>
              <w:top w:val="nil"/>
              <w:left w:val="nil"/>
              <w:bottom w:val="nil"/>
              <w:right w:val="nil"/>
            </w:tcBorders>
            <w:tcMar>
              <w:top w:w="108" w:type="dxa"/>
              <w:bottom w:w="108" w:type="dxa"/>
            </w:tcMar>
          </w:tcPr>
          <w:p w14:paraId="6D84D61C" w14:textId="77777777" w:rsidR="002E441A" w:rsidRPr="002E441A" w:rsidRDefault="002E441A" w:rsidP="002E441A">
            <w:pPr>
              <w:spacing w:before="0" w:after="0"/>
              <w:ind w:left="0"/>
              <w:jc w:val="right"/>
              <w:rPr>
                <w:rFonts w:ascii="Arial" w:eastAsia="Calibri" w:hAnsi="Arial" w:cs="Arial"/>
                <w:color w:val="auto"/>
              </w:rPr>
            </w:pPr>
          </w:p>
        </w:tc>
        <w:tc>
          <w:tcPr>
            <w:tcW w:w="2254" w:type="dxa"/>
            <w:tcBorders>
              <w:left w:val="nil"/>
              <w:right w:val="nil"/>
            </w:tcBorders>
            <w:tcMar>
              <w:top w:w="108" w:type="dxa"/>
              <w:bottom w:w="108" w:type="dxa"/>
            </w:tcMar>
          </w:tcPr>
          <w:p w14:paraId="1C16D28E"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nil"/>
              <w:bottom w:val="nil"/>
              <w:right w:val="nil"/>
            </w:tcBorders>
            <w:tcMar>
              <w:top w:w="108" w:type="dxa"/>
              <w:bottom w:w="108" w:type="dxa"/>
            </w:tcMar>
          </w:tcPr>
          <w:p w14:paraId="32985818" w14:textId="77777777" w:rsidR="002E441A" w:rsidRPr="002E441A" w:rsidRDefault="002E441A" w:rsidP="002E441A">
            <w:pPr>
              <w:spacing w:before="0" w:after="0"/>
              <w:ind w:left="0"/>
              <w:jc w:val="right"/>
              <w:rPr>
                <w:rFonts w:ascii="Arial" w:eastAsia="Calibri" w:hAnsi="Arial" w:cs="Arial"/>
                <w:color w:val="auto"/>
              </w:rPr>
            </w:pPr>
          </w:p>
        </w:tc>
        <w:tc>
          <w:tcPr>
            <w:tcW w:w="2254" w:type="dxa"/>
            <w:tcBorders>
              <w:left w:val="nil"/>
              <w:right w:val="nil"/>
            </w:tcBorders>
            <w:tcMar>
              <w:top w:w="108" w:type="dxa"/>
              <w:bottom w:w="108" w:type="dxa"/>
            </w:tcMar>
          </w:tcPr>
          <w:p w14:paraId="197867A3" w14:textId="77777777" w:rsidR="002E441A" w:rsidRPr="002E441A" w:rsidRDefault="002E441A" w:rsidP="002E441A">
            <w:pPr>
              <w:spacing w:before="0" w:after="0"/>
              <w:ind w:left="0"/>
              <w:rPr>
                <w:rFonts w:ascii="Arial" w:eastAsia="Calibri" w:hAnsi="Arial" w:cs="Arial"/>
                <w:color w:val="auto"/>
              </w:rPr>
            </w:pPr>
          </w:p>
        </w:tc>
      </w:tr>
      <w:tr w:rsidR="002E441A" w:rsidRPr="002E441A" w14:paraId="0F4B5A31" w14:textId="77777777" w:rsidTr="00B65CA8">
        <w:tc>
          <w:tcPr>
            <w:tcW w:w="1720" w:type="dxa"/>
            <w:tcBorders>
              <w:top w:val="nil"/>
              <w:left w:val="nil"/>
              <w:bottom w:val="nil"/>
            </w:tcBorders>
            <w:tcMar>
              <w:top w:w="108" w:type="dxa"/>
              <w:bottom w:w="108" w:type="dxa"/>
            </w:tcMar>
          </w:tcPr>
          <w:p w14:paraId="3B02A86A"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Signed by ICB Quality Lead:</w:t>
            </w:r>
          </w:p>
        </w:tc>
        <w:tc>
          <w:tcPr>
            <w:tcW w:w="2254" w:type="dxa"/>
            <w:tcBorders>
              <w:right w:val="single" w:sz="4" w:space="0" w:color="auto"/>
            </w:tcBorders>
            <w:tcMar>
              <w:top w:w="108" w:type="dxa"/>
              <w:bottom w:w="108" w:type="dxa"/>
            </w:tcMar>
          </w:tcPr>
          <w:p w14:paraId="7003D07C"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single" w:sz="4" w:space="0" w:color="auto"/>
              <w:bottom w:val="nil"/>
              <w:right w:val="single" w:sz="4" w:space="0" w:color="auto"/>
            </w:tcBorders>
            <w:tcMar>
              <w:top w:w="108" w:type="dxa"/>
              <w:bottom w:w="108" w:type="dxa"/>
            </w:tcMar>
          </w:tcPr>
          <w:p w14:paraId="5D62070D"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Date:</w:t>
            </w:r>
          </w:p>
        </w:tc>
        <w:tc>
          <w:tcPr>
            <w:tcW w:w="2254" w:type="dxa"/>
            <w:tcBorders>
              <w:left w:val="single" w:sz="4" w:space="0" w:color="auto"/>
            </w:tcBorders>
            <w:tcMar>
              <w:top w:w="108" w:type="dxa"/>
              <w:bottom w:w="108" w:type="dxa"/>
            </w:tcMar>
          </w:tcPr>
          <w:p w14:paraId="14B56E0B" w14:textId="77777777" w:rsidR="002E441A" w:rsidRPr="002E441A" w:rsidRDefault="002E441A" w:rsidP="002E441A">
            <w:pPr>
              <w:spacing w:before="0" w:after="0"/>
              <w:ind w:left="0"/>
              <w:rPr>
                <w:rFonts w:ascii="Arial" w:eastAsia="Calibri" w:hAnsi="Arial" w:cs="Arial"/>
                <w:color w:val="auto"/>
              </w:rPr>
            </w:pPr>
          </w:p>
        </w:tc>
      </w:tr>
      <w:tr w:rsidR="002E441A" w:rsidRPr="002E441A" w14:paraId="02CEC3CD" w14:textId="77777777" w:rsidTr="00B65CA8">
        <w:tc>
          <w:tcPr>
            <w:tcW w:w="1720" w:type="dxa"/>
            <w:tcBorders>
              <w:top w:val="nil"/>
              <w:left w:val="nil"/>
              <w:bottom w:val="nil"/>
            </w:tcBorders>
            <w:tcMar>
              <w:top w:w="108" w:type="dxa"/>
              <w:bottom w:w="108" w:type="dxa"/>
            </w:tcMar>
          </w:tcPr>
          <w:p w14:paraId="58CFB422"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Signed by Chief Finance Officer:</w:t>
            </w:r>
          </w:p>
        </w:tc>
        <w:tc>
          <w:tcPr>
            <w:tcW w:w="2254" w:type="dxa"/>
            <w:tcBorders>
              <w:right w:val="single" w:sz="4" w:space="0" w:color="auto"/>
            </w:tcBorders>
            <w:tcMar>
              <w:top w:w="108" w:type="dxa"/>
              <w:bottom w:w="108" w:type="dxa"/>
            </w:tcMar>
          </w:tcPr>
          <w:p w14:paraId="333E6E3E"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single" w:sz="4" w:space="0" w:color="auto"/>
              <w:bottom w:val="nil"/>
              <w:right w:val="single" w:sz="4" w:space="0" w:color="auto"/>
            </w:tcBorders>
            <w:tcMar>
              <w:top w:w="108" w:type="dxa"/>
              <w:bottom w:w="108" w:type="dxa"/>
            </w:tcMar>
          </w:tcPr>
          <w:p w14:paraId="7D181DF5"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Date:</w:t>
            </w:r>
          </w:p>
        </w:tc>
        <w:tc>
          <w:tcPr>
            <w:tcW w:w="2254" w:type="dxa"/>
            <w:tcBorders>
              <w:left w:val="single" w:sz="4" w:space="0" w:color="auto"/>
            </w:tcBorders>
            <w:tcMar>
              <w:top w:w="108" w:type="dxa"/>
              <w:bottom w:w="108" w:type="dxa"/>
            </w:tcMar>
          </w:tcPr>
          <w:p w14:paraId="21422D40" w14:textId="77777777" w:rsidR="002E441A" w:rsidRPr="002E441A" w:rsidRDefault="002E441A" w:rsidP="002E441A">
            <w:pPr>
              <w:spacing w:before="0" w:after="0"/>
              <w:ind w:left="0"/>
              <w:rPr>
                <w:rFonts w:ascii="Arial" w:eastAsia="Calibri" w:hAnsi="Arial" w:cs="Arial"/>
                <w:color w:val="auto"/>
              </w:rPr>
            </w:pPr>
          </w:p>
        </w:tc>
      </w:tr>
      <w:tr w:rsidR="002E441A" w:rsidRPr="002E441A" w14:paraId="02BAF899" w14:textId="77777777" w:rsidTr="00B65CA8">
        <w:tc>
          <w:tcPr>
            <w:tcW w:w="1720" w:type="dxa"/>
            <w:tcBorders>
              <w:top w:val="nil"/>
              <w:left w:val="nil"/>
              <w:bottom w:val="nil"/>
              <w:right w:val="nil"/>
            </w:tcBorders>
            <w:tcMar>
              <w:top w:w="108" w:type="dxa"/>
              <w:bottom w:w="108" w:type="dxa"/>
            </w:tcMar>
          </w:tcPr>
          <w:p w14:paraId="513A30E4" w14:textId="77777777" w:rsidR="002E441A" w:rsidRPr="002E441A" w:rsidRDefault="002E441A" w:rsidP="002E441A">
            <w:pPr>
              <w:spacing w:before="0" w:after="0"/>
              <w:ind w:left="0"/>
              <w:jc w:val="right"/>
              <w:rPr>
                <w:rFonts w:ascii="Arial" w:eastAsia="Calibri" w:hAnsi="Arial" w:cs="Arial"/>
                <w:color w:val="auto"/>
              </w:rPr>
            </w:pPr>
          </w:p>
        </w:tc>
        <w:tc>
          <w:tcPr>
            <w:tcW w:w="2254" w:type="dxa"/>
            <w:tcBorders>
              <w:left w:val="nil"/>
              <w:right w:val="nil"/>
            </w:tcBorders>
            <w:tcMar>
              <w:top w:w="108" w:type="dxa"/>
              <w:bottom w:w="108" w:type="dxa"/>
            </w:tcMar>
          </w:tcPr>
          <w:p w14:paraId="4072751F"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nil"/>
              <w:bottom w:val="nil"/>
              <w:right w:val="nil"/>
            </w:tcBorders>
            <w:tcMar>
              <w:top w:w="108" w:type="dxa"/>
              <w:bottom w:w="108" w:type="dxa"/>
            </w:tcMar>
          </w:tcPr>
          <w:p w14:paraId="0203EC06" w14:textId="77777777" w:rsidR="002E441A" w:rsidRPr="002E441A" w:rsidRDefault="002E441A" w:rsidP="002E441A">
            <w:pPr>
              <w:spacing w:before="0" w:after="0"/>
              <w:ind w:left="0"/>
              <w:jc w:val="right"/>
              <w:rPr>
                <w:rFonts w:ascii="Arial" w:eastAsia="Calibri" w:hAnsi="Arial" w:cs="Arial"/>
                <w:color w:val="auto"/>
              </w:rPr>
            </w:pPr>
          </w:p>
        </w:tc>
        <w:tc>
          <w:tcPr>
            <w:tcW w:w="2254" w:type="dxa"/>
            <w:tcBorders>
              <w:left w:val="nil"/>
              <w:right w:val="nil"/>
            </w:tcBorders>
            <w:tcMar>
              <w:top w:w="108" w:type="dxa"/>
              <w:bottom w:w="108" w:type="dxa"/>
            </w:tcMar>
          </w:tcPr>
          <w:p w14:paraId="6B8259C6" w14:textId="77777777" w:rsidR="002E441A" w:rsidRPr="002E441A" w:rsidRDefault="002E441A" w:rsidP="002E441A">
            <w:pPr>
              <w:spacing w:before="0" w:after="0"/>
              <w:ind w:left="0"/>
              <w:rPr>
                <w:rFonts w:ascii="Arial" w:eastAsia="Calibri" w:hAnsi="Arial" w:cs="Arial"/>
                <w:color w:val="auto"/>
              </w:rPr>
            </w:pPr>
          </w:p>
        </w:tc>
      </w:tr>
      <w:tr w:rsidR="002E441A" w:rsidRPr="002E441A" w14:paraId="143670DD" w14:textId="77777777" w:rsidTr="00B65CA8">
        <w:tc>
          <w:tcPr>
            <w:tcW w:w="1720" w:type="dxa"/>
            <w:tcBorders>
              <w:top w:val="nil"/>
              <w:left w:val="nil"/>
              <w:bottom w:val="nil"/>
            </w:tcBorders>
            <w:tcMar>
              <w:top w:w="108" w:type="dxa"/>
              <w:bottom w:w="108" w:type="dxa"/>
            </w:tcMar>
          </w:tcPr>
          <w:p w14:paraId="59DFACC5"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Approving Committee:</w:t>
            </w:r>
          </w:p>
        </w:tc>
        <w:tc>
          <w:tcPr>
            <w:tcW w:w="2254" w:type="dxa"/>
            <w:tcBorders>
              <w:right w:val="single" w:sz="4" w:space="0" w:color="auto"/>
            </w:tcBorders>
            <w:tcMar>
              <w:top w:w="108" w:type="dxa"/>
              <w:bottom w:w="108" w:type="dxa"/>
            </w:tcMar>
          </w:tcPr>
          <w:p w14:paraId="74F3DB54" w14:textId="77777777" w:rsidR="002E441A" w:rsidRPr="002E441A" w:rsidRDefault="002E441A" w:rsidP="002E441A">
            <w:pPr>
              <w:spacing w:before="0" w:after="0"/>
              <w:ind w:left="0"/>
              <w:rPr>
                <w:rFonts w:ascii="Arial" w:eastAsia="Calibri" w:hAnsi="Arial" w:cs="Arial"/>
                <w:color w:val="auto"/>
              </w:rPr>
            </w:pPr>
          </w:p>
        </w:tc>
        <w:tc>
          <w:tcPr>
            <w:tcW w:w="2830" w:type="dxa"/>
            <w:tcBorders>
              <w:top w:val="nil"/>
              <w:left w:val="single" w:sz="4" w:space="0" w:color="auto"/>
              <w:bottom w:val="nil"/>
              <w:right w:val="single" w:sz="4" w:space="0" w:color="auto"/>
            </w:tcBorders>
            <w:tcMar>
              <w:top w:w="108" w:type="dxa"/>
              <w:bottom w:w="108" w:type="dxa"/>
            </w:tcMar>
          </w:tcPr>
          <w:p w14:paraId="4A322D96" w14:textId="77777777" w:rsidR="002E441A" w:rsidRPr="002E441A" w:rsidRDefault="002E441A" w:rsidP="002E441A">
            <w:pPr>
              <w:spacing w:before="0" w:after="0"/>
              <w:ind w:left="0"/>
              <w:jc w:val="right"/>
              <w:rPr>
                <w:rFonts w:ascii="Arial" w:eastAsia="Calibri" w:hAnsi="Arial" w:cs="Arial"/>
                <w:color w:val="auto"/>
              </w:rPr>
            </w:pPr>
            <w:r w:rsidRPr="002E441A">
              <w:rPr>
                <w:rFonts w:ascii="Arial" w:eastAsia="Calibri" w:hAnsi="Arial" w:cs="Arial"/>
                <w:color w:val="auto"/>
              </w:rPr>
              <w:t>Date Approved:</w:t>
            </w:r>
          </w:p>
        </w:tc>
        <w:tc>
          <w:tcPr>
            <w:tcW w:w="2254" w:type="dxa"/>
            <w:tcBorders>
              <w:left w:val="single" w:sz="4" w:space="0" w:color="auto"/>
            </w:tcBorders>
            <w:tcMar>
              <w:top w:w="108" w:type="dxa"/>
              <w:bottom w:w="108" w:type="dxa"/>
            </w:tcMar>
          </w:tcPr>
          <w:p w14:paraId="020BA7F1" w14:textId="77777777" w:rsidR="002E441A" w:rsidRPr="002E441A" w:rsidRDefault="002E441A" w:rsidP="002E441A">
            <w:pPr>
              <w:spacing w:before="0" w:after="0"/>
              <w:ind w:left="0"/>
              <w:rPr>
                <w:rFonts w:ascii="Arial" w:eastAsia="Calibri" w:hAnsi="Arial" w:cs="Arial"/>
                <w:color w:val="auto"/>
              </w:rPr>
            </w:pPr>
          </w:p>
        </w:tc>
      </w:tr>
    </w:tbl>
    <w:p w14:paraId="07949D7E" w14:textId="77777777" w:rsidR="002E441A" w:rsidRPr="002E441A" w:rsidRDefault="002E441A" w:rsidP="002E441A">
      <w:pPr>
        <w:spacing w:before="0" w:after="160" w:line="259" w:lineRule="auto"/>
        <w:ind w:left="0"/>
        <w:rPr>
          <w:rFonts w:ascii="Arial" w:eastAsia="Calibri" w:hAnsi="Arial" w:cs="Arial"/>
          <w:color w:val="auto"/>
          <w:sz w:val="22"/>
          <w:szCs w:val="22"/>
        </w:rPr>
      </w:pPr>
    </w:p>
    <w:tbl>
      <w:tblPr>
        <w:tblStyle w:val="TableGrid3"/>
        <w:tblW w:w="0" w:type="auto"/>
        <w:tblLook w:val="04A0" w:firstRow="1" w:lastRow="0" w:firstColumn="1" w:lastColumn="0" w:noHBand="0" w:noVBand="1"/>
      </w:tblPr>
      <w:tblGrid>
        <w:gridCol w:w="9016"/>
      </w:tblGrid>
      <w:tr w:rsidR="002E441A" w:rsidRPr="002E441A" w14:paraId="71EFE9D2" w14:textId="77777777">
        <w:tc>
          <w:tcPr>
            <w:tcW w:w="9016" w:type="dxa"/>
            <w:tcMar>
              <w:top w:w="108" w:type="dxa"/>
              <w:bottom w:w="108" w:type="dxa"/>
            </w:tcMar>
          </w:tcPr>
          <w:p w14:paraId="6B6A8EA9" w14:textId="77777777" w:rsidR="002E441A" w:rsidRPr="002E441A" w:rsidRDefault="002E441A" w:rsidP="002E441A">
            <w:pPr>
              <w:spacing w:before="0" w:after="0"/>
              <w:ind w:left="0"/>
              <w:rPr>
                <w:rFonts w:ascii="Arial" w:eastAsia="Calibri" w:hAnsi="Arial" w:cs="Arial"/>
                <w:color w:val="auto"/>
              </w:rPr>
            </w:pPr>
            <w:r w:rsidRPr="002E441A">
              <w:rPr>
                <w:rFonts w:ascii="Arial" w:eastAsia="Calibri" w:hAnsi="Arial" w:cs="Arial"/>
                <w:color w:val="auto"/>
              </w:rPr>
              <w:t>Please list names of attendees ratifying this decision:</w:t>
            </w:r>
          </w:p>
        </w:tc>
      </w:tr>
      <w:tr w:rsidR="002E441A" w:rsidRPr="002E441A" w14:paraId="7BA8E87D" w14:textId="77777777">
        <w:tc>
          <w:tcPr>
            <w:tcW w:w="9016" w:type="dxa"/>
            <w:tcMar>
              <w:top w:w="108" w:type="dxa"/>
              <w:bottom w:w="108" w:type="dxa"/>
            </w:tcMar>
          </w:tcPr>
          <w:p w14:paraId="1BEA0405" w14:textId="77777777" w:rsidR="002E441A" w:rsidRPr="002E441A" w:rsidRDefault="002E441A" w:rsidP="002E441A">
            <w:pPr>
              <w:spacing w:before="0" w:after="0"/>
              <w:ind w:left="0"/>
              <w:rPr>
                <w:rFonts w:ascii="Arial" w:eastAsia="Calibri" w:hAnsi="Arial" w:cs="Arial"/>
                <w:color w:val="auto"/>
              </w:rPr>
            </w:pPr>
          </w:p>
        </w:tc>
      </w:tr>
    </w:tbl>
    <w:p w14:paraId="19EBF7DA" w14:textId="77777777" w:rsidR="002E441A" w:rsidRPr="002E441A" w:rsidRDefault="002E441A" w:rsidP="002E441A">
      <w:pPr>
        <w:spacing w:before="0" w:after="160" w:line="259" w:lineRule="auto"/>
        <w:ind w:left="0"/>
        <w:rPr>
          <w:rFonts w:ascii="Calibri" w:eastAsia="Calibri" w:hAnsi="Calibri" w:cs="Times New Roman"/>
          <w:color w:val="auto"/>
          <w:sz w:val="22"/>
          <w:szCs w:val="22"/>
        </w:rPr>
      </w:pPr>
    </w:p>
    <w:p w14:paraId="00DD2E8E" w14:textId="1D210D29" w:rsidR="00CB79FC" w:rsidRDefault="00CB79FC" w:rsidP="00DF1054">
      <w:pPr>
        <w:spacing w:before="0" w:after="0"/>
        <w:ind w:left="0"/>
        <w:rPr>
          <w:rFonts w:ascii="Arial" w:eastAsiaTheme="majorEastAsia" w:hAnsi="Arial" w:cs="Arial"/>
          <w:b/>
          <w:color w:val="005EB8" w:themeColor="accent2"/>
          <w:sz w:val="32"/>
          <w:szCs w:val="26"/>
        </w:rPr>
        <w:sectPr w:rsidR="00CB79FC" w:rsidSect="00782A73">
          <w:headerReference w:type="default" r:id="rId36"/>
          <w:footerReference w:type="default" r:id="rId37"/>
          <w:pgSz w:w="11906" w:h="16838"/>
          <w:pgMar w:top="993" w:right="1133" w:bottom="1797" w:left="993" w:header="993" w:footer="709" w:gutter="0"/>
          <w:cols w:space="708"/>
          <w:docGrid w:linePitch="360"/>
        </w:sectPr>
      </w:pPr>
      <w:r w:rsidRPr="0088282C">
        <w:rPr>
          <w:rFonts w:ascii="Arial" w:eastAsiaTheme="majorEastAsia" w:hAnsi="Arial" w:cs="Arial"/>
          <w:b/>
          <w:color w:val="005EB8" w:themeColor="accent2"/>
          <w:sz w:val="32"/>
          <w:szCs w:val="26"/>
        </w:rPr>
        <w:br w:type="page"/>
      </w:r>
    </w:p>
    <w:p w14:paraId="0D1BD833" w14:textId="68202F0B" w:rsidR="00CB79FC" w:rsidRPr="0088282C" w:rsidRDefault="00CB79FC" w:rsidP="00780912">
      <w:pPr>
        <w:pStyle w:val="Heading2"/>
        <w:numPr>
          <w:ilvl w:val="0"/>
          <w:numId w:val="0"/>
        </w:numPr>
        <w:spacing w:before="0"/>
        <w:ind w:left="1134" w:hanging="1134"/>
        <w:rPr>
          <w:rFonts w:eastAsiaTheme="majorEastAsia"/>
        </w:rPr>
      </w:pPr>
      <w:bookmarkStart w:id="117" w:name="_Toc213919834"/>
      <w:r w:rsidRPr="0088282C">
        <w:rPr>
          <w:rFonts w:eastAsiaTheme="majorEastAsia"/>
        </w:rPr>
        <w:lastRenderedPageBreak/>
        <w:t xml:space="preserve">Appendix </w:t>
      </w:r>
      <w:r w:rsidR="00AB2ED1">
        <w:rPr>
          <w:rFonts w:eastAsiaTheme="majorEastAsia"/>
        </w:rPr>
        <w:t>F</w:t>
      </w:r>
      <w:r w:rsidRPr="0088282C">
        <w:rPr>
          <w:rFonts w:eastAsiaTheme="majorEastAsia"/>
        </w:rPr>
        <w:t xml:space="preserve"> – </w:t>
      </w:r>
      <w:r w:rsidR="00AE7A6A">
        <w:rPr>
          <w:rFonts w:eastAsiaTheme="majorEastAsia"/>
        </w:rPr>
        <w:t xml:space="preserve">Decision-Making </w:t>
      </w:r>
      <w:r w:rsidRPr="0088282C">
        <w:rPr>
          <w:rFonts w:eastAsiaTheme="majorEastAsia"/>
        </w:rPr>
        <w:t>Prioritisation Framework</w:t>
      </w:r>
      <w:bookmarkEnd w:id="117"/>
    </w:p>
    <w:p w14:paraId="0DDB9415" w14:textId="77777777" w:rsidR="005135CB" w:rsidRPr="001E6B77" w:rsidRDefault="005135CB" w:rsidP="005135CB">
      <w:pPr>
        <w:ind w:left="0"/>
        <w:rPr>
          <w:sz w:val="22"/>
          <w:szCs w:val="22"/>
        </w:rPr>
      </w:pPr>
      <w:r w:rsidRPr="001E6B77">
        <w:rPr>
          <w:sz w:val="22"/>
          <w:szCs w:val="22"/>
        </w:rPr>
        <w:t>The following criteria must be met for all decisions:</w:t>
      </w:r>
    </w:p>
    <w:tbl>
      <w:tblPr>
        <w:tblStyle w:val="TableGrid"/>
        <w:tblW w:w="0" w:type="auto"/>
        <w:jc w:val="center"/>
        <w:tblLayout w:type="fixed"/>
        <w:tblLook w:val="04A0" w:firstRow="1" w:lastRow="0" w:firstColumn="1" w:lastColumn="0" w:noHBand="0" w:noVBand="1"/>
      </w:tblPr>
      <w:tblGrid>
        <w:gridCol w:w="4248"/>
        <w:gridCol w:w="567"/>
        <w:gridCol w:w="4253"/>
        <w:gridCol w:w="567"/>
        <w:gridCol w:w="4253"/>
        <w:gridCol w:w="567"/>
      </w:tblGrid>
      <w:tr w:rsidR="005135CB" w:rsidRPr="001E6B77" w14:paraId="4C389B9B" w14:textId="77777777" w:rsidTr="00BF7CC1">
        <w:trPr>
          <w:jc w:val="center"/>
        </w:trPr>
        <w:tc>
          <w:tcPr>
            <w:tcW w:w="4248" w:type="dxa"/>
            <w:shd w:val="clear" w:color="auto" w:fill="005EB8"/>
            <w:tcMar>
              <w:top w:w="108" w:type="dxa"/>
              <w:bottom w:w="108" w:type="dxa"/>
            </w:tcMar>
          </w:tcPr>
          <w:p w14:paraId="3BCCA49A" w14:textId="77777777" w:rsidR="005135CB" w:rsidRPr="001E6B77" w:rsidRDefault="005135CB" w:rsidP="000A538D">
            <w:pPr>
              <w:spacing w:before="0" w:after="0"/>
              <w:ind w:left="0"/>
              <w:rPr>
                <w:sz w:val="22"/>
                <w:szCs w:val="22"/>
              </w:rPr>
            </w:pPr>
            <w:r w:rsidRPr="001E6B77">
              <w:rPr>
                <w:color w:val="FFFFFF" w:themeColor="background1"/>
                <w:sz w:val="22"/>
                <w:szCs w:val="22"/>
              </w:rPr>
              <w:t>ICB Mandated to commission the service</w:t>
            </w:r>
          </w:p>
        </w:tc>
        <w:tc>
          <w:tcPr>
            <w:tcW w:w="567" w:type="dxa"/>
            <w:tcMar>
              <w:top w:w="108" w:type="dxa"/>
              <w:bottom w:w="108" w:type="dxa"/>
            </w:tcMar>
          </w:tcPr>
          <w:p w14:paraId="34D3708D" w14:textId="77777777" w:rsidR="005135CB" w:rsidRPr="001E6B77" w:rsidRDefault="005135CB" w:rsidP="000A538D">
            <w:pPr>
              <w:spacing w:before="0" w:after="0"/>
              <w:ind w:left="0"/>
              <w:rPr>
                <w:sz w:val="22"/>
                <w:szCs w:val="22"/>
              </w:rPr>
            </w:pPr>
          </w:p>
        </w:tc>
        <w:tc>
          <w:tcPr>
            <w:tcW w:w="4253" w:type="dxa"/>
            <w:shd w:val="clear" w:color="auto" w:fill="005EB8"/>
            <w:tcMar>
              <w:top w:w="108" w:type="dxa"/>
              <w:bottom w:w="108" w:type="dxa"/>
            </w:tcMar>
          </w:tcPr>
          <w:p w14:paraId="2E91AB70" w14:textId="77777777" w:rsidR="005135CB" w:rsidRPr="001E6B77" w:rsidRDefault="005135CB" w:rsidP="000A538D">
            <w:pPr>
              <w:spacing w:before="0" w:after="0"/>
              <w:ind w:left="0"/>
              <w:rPr>
                <w:sz w:val="22"/>
                <w:szCs w:val="22"/>
              </w:rPr>
            </w:pPr>
            <w:r w:rsidRPr="001E6B77">
              <w:rPr>
                <w:color w:val="FFFFFF" w:themeColor="background1"/>
                <w:sz w:val="22"/>
                <w:szCs w:val="22"/>
              </w:rPr>
              <w:t>Meets Operational Planning guidance</w:t>
            </w:r>
          </w:p>
        </w:tc>
        <w:tc>
          <w:tcPr>
            <w:tcW w:w="567" w:type="dxa"/>
            <w:tcMar>
              <w:top w:w="108" w:type="dxa"/>
              <w:bottom w:w="108" w:type="dxa"/>
            </w:tcMar>
          </w:tcPr>
          <w:p w14:paraId="256AB5D7" w14:textId="77777777" w:rsidR="005135CB" w:rsidRPr="001E6B77" w:rsidRDefault="005135CB" w:rsidP="000A538D">
            <w:pPr>
              <w:spacing w:before="0" w:after="0"/>
              <w:ind w:left="0"/>
              <w:rPr>
                <w:sz w:val="22"/>
                <w:szCs w:val="22"/>
              </w:rPr>
            </w:pPr>
          </w:p>
        </w:tc>
        <w:tc>
          <w:tcPr>
            <w:tcW w:w="4253" w:type="dxa"/>
            <w:shd w:val="clear" w:color="auto" w:fill="005EB8"/>
            <w:tcMar>
              <w:top w:w="108" w:type="dxa"/>
              <w:bottom w:w="108" w:type="dxa"/>
            </w:tcMar>
          </w:tcPr>
          <w:p w14:paraId="09CEBDE5" w14:textId="77777777" w:rsidR="005135CB" w:rsidRPr="001E6B77" w:rsidRDefault="005135CB" w:rsidP="000A538D">
            <w:pPr>
              <w:spacing w:before="0" w:after="0"/>
              <w:ind w:left="0"/>
              <w:rPr>
                <w:sz w:val="22"/>
                <w:szCs w:val="22"/>
              </w:rPr>
            </w:pPr>
            <w:r w:rsidRPr="001E6B77">
              <w:rPr>
                <w:color w:val="FFFFFF" w:themeColor="background1"/>
                <w:sz w:val="22"/>
                <w:szCs w:val="22"/>
              </w:rPr>
              <w:t>Supports the delivery of the JFP/MTP</w:t>
            </w:r>
          </w:p>
        </w:tc>
        <w:tc>
          <w:tcPr>
            <w:tcW w:w="567" w:type="dxa"/>
            <w:tcMar>
              <w:top w:w="108" w:type="dxa"/>
              <w:bottom w:w="108" w:type="dxa"/>
            </w:tcMar>
          </w:tcPr>
          <w:p w14:paraId="5B57A3ED" w14:textId="77777777" w:rsidR="005135CB" w:rsidRPr="001E6B77" w:rsidRDefault="005135CB" w:rsidP="000A538D">
            <w:pPr>
              <w:spacing w:before="0" w:after="0"/>
              <w:ind w:left="0"/>
              <w:rPr>
                <w:sz w:val="22"/>
                <w:szCs w:val="22"/>
              </w:rPr>
            </w:pPr>
          </w:p>
        </w:tc>
      </w:tr>
    </w:tbl>
    <w:p w14:paraId="32B6615A" w14:textId="77777777" w:rsidR="005135CB" w:rsidRPr="001E6B77" w:rsidRDefault="005135CB" w:rsidP="00780912">
      <w:pPr>
        <w:spacing w:after="0"/>
        <w:ind w:left="0"/>
        <w:rPr>
          <w:sz w:val="22"/>
          <w:szCs w:val="22"/>
        </w:rPr>
      </w:pPr>
      <w:r w:rsidRPr="001E6B77">
        <w:rPr>
          <w:sz w:val="22"/>
          <w:szCs w:val="22"/>
        </w:rPr>
        <w:t>The prioritisation elements align to the four aims of the ICB:</w:t>
      </w:r>
    </w:p>
    <w:p w14:paraId="19C17D95" w14:textId="77777777" w:rsidR="005135CB" w:rsidRPr="001E6B77" w:rsidRDefault="005135CB" w:rsidP="00780912">
      <w:pPr>
        <w:pStyle w:val="ListParagraph"/>
        <w:numPr>
          <w:ilvl w:val="0"/>
          <w:numId w:val="49"/>
        </w:numPr>
        <w:spacing w:before="0"/>
        <w:contextualSpacing/>
        <w:rPr>
          <w:sz w:val="22"/>
          <w:szCs w:val="22"/>
        </w:rPr>
      </w:pPr>
      <w:r w:rsidRPr="001E6B77">
        <w:rPr>
          <w:sz w:val="22"/>
          <w:szCs w:val="22"/>
        </w:rPr>
        <w:t>Improve outcomes in population health and healthcare.</w:t>
      </w:r>
    </w:p>
    <w:p w14:paraId="2EFB8656" w14:textId="77777777" w:rsidR="005135CB" w:rsidRPr="001E6B77" w:rsidRDefault="005135CB" w:rsidP="005135CB">
      <w:pPr>
        <w:pStyle w:val="ListParagraph"/>
        <w:numPr>
          <w:ilvl w:val="0"/>
          <w:numId w:val="49"/>
        </w:numPr>
        <w:contextualSpacing/>
        <w:rPr>
          <w:sz w:val="22"/>
          <w:szCs w:val="22"/>
        </w:rPr>
      </w:pPr>
      <w:r w:rsidRPr="001E6B77">
        <w:rPr>
          <w:sz w:val="22"/>
          <w:szCs w:val="22"/>
        </w:rPr>
        <w:t>Tackle inequalities in outcomes, experience, and access.</w:t>
      </w:r>
    </w:p>
    <w:p w14:paraId="025D567B" w14:textId="77777777" w:rsidR="005135CB" w:rsidRPr="001E6B77" w:rsidRDefault="005135CB" w:rsidP="005135CB">
      <w:pPr>
        <w:pStyle w:val="ListParagraph"/>
        <w:numPr>
          <w:ilvl w:val="0"/>
          <w:numId w:val="49"/>
        </w:numPr>
        <w:contextualSpacing/>
        <w:rPr>
          <w:sz w:val="22"/>
          <w:szCs w:val="22"/>
        </w:rPr>
      </w:pPr>
      <w:r w:rsidRPr="001E6B77">
        <w:rPr>
          <w:sz w:val="22"/>
          <w:szCs w:val="22"/>
        </w:rPr>
        <w:t>Enhance productivity and value for money.</w:t>
      </w:r>
    </w:p>
    <w:p w14:paraId="51CB59DD" w14:textId="77777777" w:rsidR="005135CB" w:rsidRPr="001E6B77" w:rsidRDefault="005135CB" w:rsidP="005135CB">
      <w:pPr>
        <w:pStyle w:val="ListParagraph"/>
        <w:numPr>
          <w:ilvl w:val="0"/>
          <w:numId w:val="49"/>
        </w:numPr>
        <w:contextualSpacing/>
        <w:rPr>
          <w:sz w:val="22"/>
          <w:szCs w:val="22"/>
        </w:rPr>
      </w:pPr>
      <w:r w:rsidRPr="001E6B77">
        <w:rPr>
          <w:sz w:val="22"/>
          <w:szCs w:val="22"/>
        </w:rPr>
        <w:t>Help the NHS support broader social economic development.</w:t>
      </w:r>
    </w:p>
    <w:p w14:paraId="01436170" w14:textId="77777777" w:rsidR="005135CB" w:rsidRPr="001E6B77" w:rsidRDefault="005135CB" w:rsidP="005135CB">
      <w:pPr>
        <w:spacing w:after="0"/>
        <w:ind w:left="0"/>
        <w:rPr>
          <w:b/>
          <w:bCs/>
          <w:sz w:val="22"/>
          <w:szCs w:val="22"/>
          <w:u w:val="single"/>
        </w:rPr>
      </w:pPr>
      <w:r w:rsidRPr="001E6B77">
        <w:rPr>
          <w:sz w:val="22"/>
          <w:szCs w:val="22"/>
        </w:rPr>
        <w:t>Weighting will be determined prior to decision making dependent on current circumstance, which will be agreed by the Executive Committee.</w:t>
      </w:r>
    </w:p>
    <w:tbl>
      <w:tblPr>
        <w:tblStyle w:val="TableGrid"/>
        <w:tblpPr w:leftFromText="180" w:rightFromText="180" w:vertAnchor="text" w:tblpXSpec="center" w:tblpY="222"/>
        <w:tblW w:w="14337" w:type="dxa"/>
        <w:tblLook w:val="04A0" w:firstRow="1" w:lastRow="0" w:firstColumn="1" w:lastColumn="0" w:noHBand="0" w:noVBand="1"/>
      </w:tblPr>
      <w:tblGrid>
        <w:gridCol w:w="672"/>
        <w:gridCol w:w="5560"/>
        <w:gridCol w:w="4536"/>
        <w:gridCol w:w="1094"/>
        <w:gridCol w:w="1218"/>
        <w:gridCol w:w="1257"/>
      </w:tblGrid>
      <w:tr w:rsidR="005135CB" w:rsidRPr="001E6B77" w14:paraId="33D429DA" w14:textId="77777777" w:rsidTr="00BF7CC1">
        <w:tc>
          <w:tcPr>
            <w:tcW w:w="672" w:type="dxa"/>
            <w:shd w:val="clear" w:color="auto" w:fill="005EB8"/>
            <w:tcMar>
              <w:top w:w="57" w:type="dxa"/>
              <w:bottom w:w="57" w:type="dxa"/>
            </w:tcMar>
          </w:tcPr>
          <w:p w14:paraId="10FDAA41"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Ref</w:t>
            </w:r>
          </w:p>
        </w:tc>
        <w:tc>
          <w:tcPr>
            <w:tcW w:w="5560" w:type="dxa"/>
            <w:shd w:val="clear" w:color="auto" w:fill="005EB8"/>
            <w:tcMar>
              <w:top w:w="57" w:type="dxa"/>
              <w:bottom w:w="57" w:type="dxa"/>
            </w:tcMar>
          </w:tcPr>
          <w:p w14:paraId="6E794BAA"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Question</w:t>
            </w:r>
          </w:p>
        </w:tc>
        <w:tc>
          <w:tcPr>
            <w:tcW w:w="4536" w:type="dxa"/>
            <w:shd w:val="clear" w:color="auto" w:fill="005EB8"/>
            <w:tcMar>
              <w:top w:w="57" w:type="dxa"/>
              <w:bottom w:w="57" w:type="dxa"/>
            </w:tcMar>
          </w:tcPr>
          <w:p w14:paraId="3E58AC1C"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Description / Evidence</w:t>
            </w:r>
          </w:p>
        </w:tc>
        <w:tc>
          <w:tcPr>
            <w:tcW w:w="1094" w:type="dxa"/>
            <w:shd w:val="clear" w:color="auto" w:fill="005EB8"/>
            <w:tcMar>
              <w:top w:w="57" w:type="dxa"/>
              <w:bottom w:w="57" w:type="dxa"/>
            </w:tcMar>
          </w:tcPr>
          <w:p w14:paraId="6ACF8D41"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Measure Score</w:t>
            </w:r>
          </w:p>
        </w:tc>
        <w:tc>
          <w:tcPr>
            <w:tcW w:w="1218" w:type="dxa"/>
            <w:shd w:val="clear" w:color="auto" w:fill="005EB8"/>
            <w:tcMar>
              <w:top w:w="57" w:type="dxa"/>
              <w:bottom w:w="57" w:type="dxa"/>
            </w:tcMar>
          </w:tcPr>
          <w:p w14:paraId="376AE3B6"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Weighting</w:t>
            </w:r>
          </w:p>
        </w:tc>
        <w:tc>
          <w:tcPr>
            <w:tcW w:w="1257" w:type="dxa"/>
            <w:shd w:val="clear" w:color="auto" w:fill="005EB8"/>
            <w:tcMar>
              <w:top w:w="57" w:type="dxa"/>
              <w:bottom w:w="57" w:type="dxa"/>
            </w:tcMar>
          </w:tcPr>
          <w:p w14:paraId="1AAE8294" w14:textId="77777777" w:rsidR="005135CB" w:rsidRPr="001E6B77" w:rsidRDefault="005135CB" w:rsidP="000A538D">
            <w:pPr>
              <w:spacing w:before="0" w:after="0"/>
              <w:ind w:left="0"/>
              <w:rPr>
                <w:color w:val="FFFFFF" w:themeColor="background1"/>
                <w:sz w:val="22"/>
                <w:szCs w:val="22"/>
              </w:rPr>
            </w:pPr>
            <w:r w:rsidRPr="001E6B77">
              <w:rPr>
                <w:color w:val="FFFFFF" w:themeColor="background1"/>
                <w:sz w:val="22"/>
                <w:szCs w:val="22"/>
              </w:rPr>
              <w:t>Criterion Score</w:t>
            </w:r>
          </w:p>
        </w:tc>
      </w:tr>
      <w:tr w:rsidR="005135CB" w:rsidRPr="001E6B77" w14:paraId="253C1748" w14:textId="77777777" w:rsidTr="00BF7CC1">
        <w:tc>
          <w:tcPr>
            <w:tcW w:w="672" w:type="dxa"/>
            <w:tcMar>
              <w:top w:w="57" w:type="dxa"/>
              <w:bottom w:w="57" w:type="dxa"/>
            </w:tcMar>
          </w:tcPr>
          <w:p w14:paraId="6D5671F9" w14:textId="77777777" w:rsidR="005135CB" w:rsidRPr="001E6B77" w:rsidRDefault="005135CB" w:rsidP="000A538D">
            <w:pPr>
              <w:spacing w:before="0" w:after="0"/>
              <w:ind w:left="0"/>
              <w:rPr>
                <w:sz w:val="22"/>
                <w:szCs w:val="22"/>
              </w:rPr>
            </w:pPr>
            <w:r w:rsidRPr="001E6B77">
              <w:rPr>
                <w:sz w:val="22"/>
                <w:szCs w:val="22"/>
              </w:rPr>
              <w:t>1.1</w:t>
            </w:r>
          </w:p>
        </w:tc>
        <w:tc>
          <w:tcPr>
            <w:tcW w:w="5560" w:type="dxa"/>
            <w:tcMar>
              <w:top w:w="57" w:type="dxa"/>
              <w:bottom w:w="57" w:type="dxa"/>
            </w:tcMar>
          </w:tcPr>
          <w:p w14:paraId="285F5F3C" w14:textId="77777777" w:rsidR="005135CB" w:rsidRPr="001E6B77" w:rsidRDefault="005135CB" w:rsidP="000A538D">
            <w:pPr>
              <w:spacing w:before="0" w:after="0"/>
              <w:ind w:left="0"/>
              <w:rPr>
                <w:sz w:val="22"/>
                <w:szCs w:val="22"/>
              </w:rPr>
            </w:pPr>
            <w:r w:rsidRPr="001E6B77">
              <w:rPr>
                <w:sz w:val="22"/>
                <w:szCs w:val="22"/>
              </w:rPr>
              <w:t>Addressing a health need identified in the JSNA/HNA</w:t>
            </w:r>
          </w:p>
        </w:tc>
        <w:tc>
          <w:tcPr>
            <w:tcW w:w="4536" w:type="dxa"/>
            <w:tcMar>
              <w:top w:w="57" w:type="dxa"/>
              <w:bottom w:w="57" w:type="dxa"/>
            </w:tcMar>
          </w:tcPr>
          <w:p w14:paraId="6DD54B59"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2AB88B45"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04C3AC50"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61B62F29" w14:textId="77777777" w:rsidR="005135CB" w:rsidRPr="001E6B77" w:rsidRDefault="005135CB" w:rsidP="000A538D">
            <w:pPr>
              <w:spacing w:before="0" w:after="0"/>
              <w:ind w:left="0"/>
              <w:rPr>
                <w:sz w:val="22"/>
                <w:szCs w:val="22"/>
              </w:rPr>
            </w:pPr>
          </w:p>
        </w:tc>
      </w:tr>
      <w:tr w:rsidR="005135CB" w:rsidRPr="001E6B77" w14:paraId="1DDEA224" w14:textId="77777777" w:rsidTr="00BF7CC1">
        <w:tc>
          <w:tcPr>
            <w:tcW w:w="672" w:type="dxa"/>
            <w:tcMar>
              <w:top w:w="57" w:type="dxa"/>
              <w:bottom w:w="57" w:type="dxa"/>
            </w:tcMar>
          </w:tcPr>
          <w:p w14:paraId="0D55E167" w14:textId="77777777" w:rsidR="005135CB" w:rsidRPr="001E6B77" w:rsidRDefault="005135CB" w:rsidP="000A538D">
            <w:pPr>
              <w:spacing w:before="0" w:after="0"/>
              <w:ind w:left="0"/>
              <w:rPr>
                <w:sz w:val="22"/>
                <w:szCs w:val="22"/>
              </w:rPr>
            </w:pPr>
            <w:r w:rsidRPr="001E6B77">
              <w:rPr>
                <w:sz w:val="22"/>
                <w:szCs w:val="22"/>
              </w:rPr>
              <w:t>1.2</w:t>
            </w:r>
          </w:p>
        </w:tc>
        <w:tc>
          <w:tcPr>
            <w:tcW w:w="5560" w:type="dxa"/>
            <w:tcMar>
              <w:top w:w="57" w:type="dxa"/>
              <w:bottom w:w="57" w:type="dxa"/>
            </w:tcMar>
          </w:tcPr>
          <w:p w14:paraId="32B4E165" w14:textId="77777777" w:rsidR="005135CB" w:rsidRPr="001E6B77" w:rsidRDefault="005135CB" w:rsidP="000A538D">
            <w:pPr>
              <w:spacing w:before="0" w:after="0"/>
              <w:ind w:left="0"/>
              <w:rPr>
                <w:sz w:val="22"/>
                <w:szCs w:val="22"/>
              </w:rPr>
            </w:pPr>
            <w:r w:rsidRPr="001E6B77">
              <w:rPr>
                <w:sz w:val="22"/>
                <w:szCs w:val="22"/>
              </w:rPr>
              <w:t>Regulator assessments</w:t>
            </w:r>
          </w:p>
        </w:tc>
        <w:tc>
          <w:tcPr>
            <w:tcW w:w="4536" w:type="dxa"/>
            <w:tcMar>
              <w:top w:w="57" w:type="dxa"/>
              <w:bottom w:w="57" w:type="dxa"/>
            </w:tcMar>
          </w:tcPr>
          <w:p w14:paraId="6037A346"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517FAE7D"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2A55C721"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37C50F09" w14:textId="77777777" w:rsidR="005135CB" w:rsidRPr="001E6B77" w:rsidRDefault="005135CB" w:rsidP="000A538D">
            <w:pPr>
              <w:spacing w:before="0" w:after="0"/>
              <w:ind w:left="0"/>
              <w:rPr>
                <w:sz w:val="22"/>
                <w:szCs w:val="22"/>
              </w:rPr>
            </w:pPr>
          </w:p>
        </w:tc>
      </w:tr>
      <w:tr w:rsidR="005135CB" w:rsidRPr="001E6B77" w14:paraId="7AD393CC" w14:textId="77777777" w:rsidTr="00BF7CC1">
        <w:tc>
          <w:tcPr>
            <w:tcW w:w="672" w:type="dxa"/>
            <w:tcMar>
              <w:top w:w="57" w:type="dxa"/>
              <w:bottom w:w="57" w:type="dxa"/>
            </w:tcMar>
          </w:tcPr>
          <w:p w14:paraId="00FEF8B4" w14:textId="77777777" w:rsidR="005135CB" w:rsidRPr="001E6B77" w:rsidRDefault="005135CB" w:rsidP="000A538D">
            <w:pPr>
              <w:spacing w:before="0" w:after="0"/>
              <w:ind w:left="0"/>
              <w:rPr>
                <w:sz w:val="22"/>
                <w:szCs w:val="22"/>
              </w:rPr>
            </w:pPr>
            <w:r w:rsidRPr="001E6B77">
              <w:rPr>
                <w:sz w:val="22"/>
                <w:szCs w:val="22"/>
              </w:rPr>
              <w:t>1.3</w:t>
            </w:r>
          </w:p>
        </w:tc>
        <w:tc>
          <w:tcPr>
            <w:tcW w:w="5560" w:type="dxa"/>
            <w:tcMar>
              <w:top w:w="57" w:type="dxa"/>
              <w:bottom w:w="57" w:type="dxa"/>
            </w:tcMar>
          </w:tcPr>
          <w:p w14:paraId="5097B8A7" w14:textId="77777777" w:rsidR="005135CB" w:rsidRPr="001E6B77" w:rsidRDefault="005135CB" w:rsidP="000A538D">
            <w:pPr>
              <w:spacing w:before="0" w:after="0"/>
              <w:ind w:left="0"/>
              <w:rPr>
                <w:sz w:val="22"/>
                <w:szCs w:val="22"/>
              </w:rPr>
            </w:pPr>
            <w:r w:rsidRPr="001E6B77">
              <w:rPr>
                <w:sz w:val="22"/>
                <w:szCs w:val="22"/>
              </w:rPr>
              <w:t>Clinical Effectiveness</w:t>
            </w:r>
          </w:p>
        </w:tc>
        <w:tc>
          <w:tcPr>
            <w:tcW w:w="4536" w:type="dxa"/>
            <w:tcMar>
              <w:top w:w="57" w:type="dxa"/>
              <w:bottom w:w="57" w:type="dxa"/>
            </w:tcMar>
          </w:tcPr>
          <w:p w14:paraId="6793BF66"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2A22A477"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0E0C3F1A"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06DD8212" w14:textId="77777777" w:rsidR="005135CB" w:rsidRPr="001E6B77" w:rsidRDefault="005135CB" w:rsidP="000A538D">
            <w:pPr>
              <w:spacing w:before="0" w:after="0"/>
              <w:ind w:left="0"/>
              <w:rPr>
                <w:sz w:val="22"/>
                <w:szCs w:val="22"/>
              </w:rPr>
            </w:pPr>
          </w:p>
        </w:tc>
      </w:tr>
      <w:tr w:rsidR="005135CB" w:rsidRPr="001E6B77" w14:paraId="5F18B22C" w14:textId="77777777" w:rsidTr="00BF7CC1">
        <w:tc>
          <w:tcPr>
            <w:tcW w:w="672" w:type="dxa"/>
            <w:tcMar>
              <w:top w:w="57" w:type="dxa"/>
              <w:bottom w:w="57" w:type="dxa"/>
            </w:tcMar>
          </w:tcPr>
          <w:p w14:paraId="21DA0035" w14:textId="77777777" w:rsidR="005135CB" w:rsidRPr="001E6B77" w:rsidRDefault="005135CB" w:rsidP="000A538D">
            <w:pPr>
              <w:spacing w:before="0" w:after="0"/>
              <w:ind w:left="0"/>
              <w:rPr>
                <w:sz w:val="22"/>
                <w:szCs w:val="22"/>
              </w:rPr>
            </w:pPr>
            <w:r w:rsidRPr="001E6B77">
              <w:rPr>
                <w:sz w:val="22"/>
                <w:szCs w:val="22"/>
              </w:rPr>
              <w:t>1.4</w:t>
            </w:r>
          </w:p>
        </w:tc>
        <w:tc>
          <w:tcPr>
            <w:tcW w:w="5560" w:type="dxa"/>
            <w:tcMar>
              <w:top w:w="57" w:type="dxa"/>
              <w:bottom w:w="57" w:type="dxa"/>
            </w:tcMar>
          </w:tcPr>
          <w:p w14:paraId="4346B7E9" w14:textId="77777777" w:rsidR="005135CB" w:rsidRPr="001E6B77" w:rsidRDefault="005135CB" w:rsidP="000A538D">
            <w:pPr>
              <w:spacing w:before="0" w:after="0"/>
              <w:ind w:left="0"/>
              <w:rPr>
                <w:sz w:val="22"/>
                <w:szCs w:val="22"/>
              </w:rPr>
            </w:pPr>
            <w:r w:rsidRPr="001E6B77">
              <w:rPr>
                <w:sz w:val="22"/>
                <w:szCs w:val="22"/>
              </w:rPr>
              <w:t>Impact on quality</w:t>
            </w:r>
          </w:p>
        </w:tc>
        <w:tc>
          <w:tcPr>
            <w:tcW w:w="4536" w:type="dxa"/>
            <w:tcMar>
              <w:top w:w="57" w:type="dxa"/>
              <w:bottom w:w="57" w:type="dxa"/>
            </w:tcMar>
          </w:tcPr>
          <w:p w14:paraId="0B0A4A80"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24D8D6B6"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2DB1BF2A"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16FF66D5" w14:textId="77777777" w:rsidR="005135CB" w:rsidRPr="001E6B77" w:rsidRDefault="005135CB" w:rsidP="000A538D">
            <w:pPr>
              <w:spacing w:before="0" w:after="0"/>
              <w:ind w:left="0"/>
              <w:rPr>
                <w:sz w:val="22"/>
                <w:szCs w:val="22"/>
              </w:rPr>
            </w:pPr>
          </w:p>
        </w:tc>
      </w:tr>
      <w:tr w:rsidR="005135CB" w:rsidRPr="001E6B77" w14:paraId="1626E5EA" w14:textId="77777777" w:rsidTr="00BF7CC1">
        <w:tc>
          <w:tcPr>
            <w:tcW w:w="672" w:type="dxa"/>
            <w:tcMar>
              <w:top w:w="57" w:type="dxa"/>
              <w:bottom w:w="57" w:type="dxa"/>
            </w:tcMar>
          </w:tcPr>
          <w:p w14:paraId="5178360C" w14:textId="77777777" w:rsidR="005135CB" w:rsidRPr="001E6B77" w:rsidRDefault="005135CB" w:rsidP="000A538D">
            <w:pPr>
              <w:spacing w:before="0" w:after="0"/>
              <w:ind w:left="0"/>
              <w:rPr>
                <w:sz w:val="22"/>
                <w:szCs w:val="22"/>
              </w:rPr>
            </w:pPr>
            <w:r w:rsidRPr="001E6B77">
              <w:rPr>
                <w:sz w:val="22"/>
                <w:szCs w:val="22"/>
              </w:rPr>
              <w:t>2.1</w:t>
            </w:r>
          </w:p>
        </w:tc>
        <w:tc>
          <w:tcPr>
            <w:tcW w:w="5560" w:type="dxa"/>
            <w:tcMar>
              <w:top w:w="57" w:type="dxa"/>
              <w:bottom w:w="57" w:type="dxa"/>
            </w:tcMar>
          </w:tcPr>
          <w:p w14:paraId="0BBE5210" w14:textId="77777777" w:rsidR="005135CB" w:rsidRPr="001E6B77" w:rsidRDefault="005135CB" w:rsidP="000A538D">
            <w:pPr>
              <w:spacing w:before="0" w:after="0"/>
              <w:ind w:left="0"/>
              <w:rPr>
                <w:sz w:val="22"/>
                <w:szCs w:val="22"/>
              </w:rPr>
            </w:pPr>
            <w:r w:rsidRPr="001E6B77">
              <w:rPr>
                <w:sz w:val="22"/>
                <w:szCs w:val="22"/>
              </w:rPr>
              <w:t>Impact on health inequalities</w:t>
            </w:r>
          </w:p>
        </w:tc>
        <w:tc>
          <w:tcPr>
            <w:tcW w:w="4536" w:type="dxa"/>
            <w:tcMar>
              <w:top w:w="57" w:type="dxa"/>
              <w:bottom w:w="57" w:type="dxa"/>
            </w:tcMar>
          </w:tcPr>
          <w:p w14:paraId="1F5EF247"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188145B1"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325B5E1C"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76362499" w14:textId="77777777" w:rsidR="005135CB" w:rsidRPr="001E6B77" w:rsidRDefault="005135CB" w:rsidP="000A538D">
            <w:pPr>
              <w:spacing w:before="0" w:after="0"/>
              <w:ind w:left="0"/>
              <w:rPr>
                <w:sz w:val="22"/>
                <w:szCs w:val="22"/>
              </w:rPr>
            </w:pPr>
          </w:p>
        </w:tc>
      </w:tr>
      <w:tr w:rsidR="005135CB" w:rsidRPr="001E6B77" w14:paraId="3FBF8164" w14:textId="77777777" w:rsidTr="00BF7CC1">
        <w:tc>
          <w:tcPr>
            <w:tcW w:w="672" w:type="dxa"/>
            <w:tcMar>
              <w:top w:w="57" w:type="dxa"/>
              <w:bottom w:w="57" w:type="dxa"/>
            </w:tcMar>
          </w:tcPr>
          <w:p w14:paraId="6D4EFDE0" w14:textId="77777777" w:rsidR="005135CB" w:rsidRPr="001E6B77" w:rsidRDefault="005135CB" w:rsidP="000A538D">
            <w:pPr>
              <w:spacing w:before="0" w:after="0"/>
              <w:ind w:left="0"/>
              <w:rPr>
                <w:sz w:val="22"/>
                <w:szCs w:val="22"/>
              </w:rPr>
            </w:pPr>
            <w:r w:rsidRPr="001E6B77">
              <w:rPr>
                <w:sz w:val="22"/>
                <w:szCs w:val="22"/>
              </w:rPr>
              <w:t>2.2</w:t>
            </w:r>
          </w:p>
        </w:tc>
        <w:tc>
          <w:tcPr>
            <w:tcW w:w="5560" w:type="dxa"/>
            <w:tcMar>
              <w:top w:w="57" w:type="dxa"/>
              <w:bottom w:w="57" w:type="dxa"/>
            </w:tcMar>
          </w:tcPr>
          <w:p w14:paraId="0A6E593D" w14:textId="77777777" w:rsidR="005135CB" w:rsidRPr="001E6B77" w:rsidRDefault="005135CB" w:rsidP="000A538D">
            <w:pPr>
              <w:spacing w:before="0" w:after="0"/>
              <w:ind w:left="0"/>
              <w:rPr>
                <w:sz w:val="22"/>
                <w:szCs w:val="22"/>
              </w:rPr>
            </w:pPr>
            <w:r w:rsidRPr="001E6B77">
              <w:rPr>
                <w:sz w:val="22"/>
                <w:szCs w:val="22"/>
              </w:rPr>
              <w:t>Access to services</w:t>
            </w:r>
          </w:p>
        </w:tc>
        <w:tc>
          <w:tcPr>
            <w:tcW w:w="4536" w:type="dxa"/>
            <w:tcMar>
              <w:top w:w="57" w:type="dxa"/>
              <w:bottom w:w="57" w:type="dxa"/>
            </w:tcMar>
          </w:tcPr>
          <w:p w14:paraId="46622B23"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3F1DBD79"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72FAAA0A"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155A2EBB" w14:textId="77777777" w:rsidR="005135CB" w:rsidRPr="001E6B77" w:rsidRDefault="005135CB" w:rsidP="000A538D">
            <w:pPr>
              <w:spacing w:before="0" w:after="0"/>
              <w:ind w:left="0"/>
              <w:rPr>
                <w:sz w:val="22"/>
                <w:szCs w:val="22"/>
              </w:rPr>
            </w:pPr>
          </w:p>
        </w:tc>
      </w:tr>
      <w:tr w:rsidR="005135CB" w:rsidRPr="001E6B77" w14:paraId="7A7E3F74" w14:textId="77777777" w:rsidTr="00BF7CC1">
        <w:tc>
          <w:tcPr>
            <w:tcW w:w="672" w:type="dxa"/>
            <w:tcMar>
              <w:top w:w="57" w:type="dxa"/>
              <w:bottom w:w="57" w:type="dxa"/>
            </w:tcMar>
          </w:tcPr>
          <w:p w14:paraId="30D3C1C8" w14:textId="77777777" w:rsidR="005135CB" w:rsidRPr="001E6B77" w:rsidRDefault="005135CB" w:rsidP="000A538D">
            <w:pPr>
              <w:spacing w:before="0" w:after="0"/>
              <w:ind w:left="0"/>
              <w:rPr>
                <w:sz w:val="22"/>
                <w:szCs w:val="22"/>
              </w:rPr>
            </w:pPr>
            <w:r w:rsidRPr="001E6B77">
              <w:rPr>
                <w:sz w:val="22"/>
                <w:szCs w:val="22"/>
              </w:rPr>
              <w:t>3.1</w:t>
            </w:r>
          </w:p>
        </w:tc>
        <w:tc>
          <w:tcPr>
            <w:tcW w:w="5560" w:type="dxa"/>
            <w:tcMar>
              <w:top w:w="57" w:type="dxa"/>
              <w:bottom w:w="57" w:type="dxa"/>
            </w:tcMar>
          </w:tcPr>
          <w:p w14:paraId="46BDD113" w14:textId="77777777" w:rsidR="005135CB" w:rsidRPr="001E6B77" w:rsidRDefault="005135CB" w:rsidP="000A538D">
            <w:pPr>
              <w:spacing w:before="0" w:after="0"/>
              <w:ind w:left="0"/>
              <w:rPr>
                <w:sz w:val="22"/>
                <w:szCs w:val="22"/>
              </w:rPr>
            </w:pPr>
            <w:r w:rsidRPr="001E6B77">
              <w:rPr>
                <w:sz w:val="22"/>
                <w:szCs w:val="22"/>
              </w:rPr>
              <w:t>Patient choice and supply</w:t>
            </w:r>
          </w:p>
        </w:tc>
        <w:tc>
          <w:tcPr>
            <w:tcW w:w="4536" w:type="dxa"/>
            <w:tcMar>
              <w:top w:w="57" w:type="dxa"/>
              <w:bottom w:w="57" w:type="dxa"/>
            </w:tcMar>
          </w:tcPr>
          <w:p w14:paraId="7B0AA150"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61DB6AFA"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39A3EED5"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610E3E70" w14:textId="77777777" w:rsidR="005135CB" w:rsidRPr="001E6B77" w:rsidRDefault="005135CB" w:rsidP="000A538D">
            <w:pPr>
              <w:spacing w:before="0" w:after="0"/>
              <w:ind w:left="0"/>
              <w:rPr>
                <w:sz w:val="22"/>
                <w:szCs w:val="22"/>
              </w:rPr>
            </w:pPr>
          </w:p>
        </w:tc>
      </w:tr>
      <w:tr w:rsidR="005135CB" w:rsidRPr="001E6B77" w14:paraId="5E4E45D7" w14:textId="77777777" w:rsidTr="00BF7CC1">
        <w:tc>
          <w:tcPr>
            <w:tcW w:w="672" w:type="dxa"/>
            <w:tcMar>
              <w:top w:w="57" w:type="dxa"/>
              <w:bottom w:w="57" w:type="dxa"/>
            </w:tcMar>
          </w:tcPr>
          <w:p w14:paraId="58552D24" w14:textId="77777777" w:rsidR="005135CB" w:rsidRPr="001E6B77" w:rsidRDefault="005135CB" w:rsidP="000A538D">
            <w:pPr>
              <w:spacing w:before="0" w:after="0"/>
              <w:ind w:left="0"/>
              <w:rPr>
                <w:sz w:val="22"/>
                <w:szCs w:val="22"/>
              </w:rPr>
            </w:pPr>
            <w:r w:rsidRPr="001E6B77">
              <w:rPr>
                <w:sz w:val="22"/>
                <w:szCs w:val="22"/>
              </w:rPr>
              <w:t>3.2</w:t>
            </w:r>
          </w:p>
        </w:tc>
        <w:tc>
          <w:tcPr>
            <w:tcW w:w="5560" w:type="dxa"/>
            <w:tcMar>
              <w:top w:w="57" w:type="dxa"/>
              <w:bottom w:w="57" w:type="dxa"/>
            </w:tcMar>
          </w:tcPr>
          <w:p w14:paraId="56B19C69" w14:textId="77777777" w:rsidR="005135CB" w:rsidRPr="001E6B77" w:rsidRDefault="005135CB" w:rsidP="000A538D">
            <w:pPr>
              <w:spacing w:before="0" w:after="0"/>
              <w:ind w:left="0"/>
              <w:rPr>
                <w:sz w:val="22"/>
                <w:szCs w:val="22"/>
              </w:rPr>
            </w:pPr>
            <w:r w:rsidRPr="001E6B77">
              <w:rPr>
                <w:sz w:val="22"/>
                <w:szCs w:val="22"/>
              </w:rPr>
              <w:t>Financial efficiencies / cost</w:t>
            </w:r>
          </w:p>
        </w:tc>
        <w:tc>
          <w:tcPr>
            <w:tcW w:w="4536" w:type="dxa"/>
            <w:tcMar>
              <w:top w:w="57" w:type="dxa"/>
              <w:bottom w:w="57" w:type="dxa"/>
            </w:tcMar>
          </w:tcPr>
          <w:p w14:paraId="76CA5C48"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4C4324D3"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46E8976E"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64063C90" w14:textId="77777777" w:rsidR="005135CB" w:rsidRPr="001E6B77" w:rsidRDefault="005135CB" w:rsidP="000A538D">
            <w:pPr>
              <w:spacing w:before="0" w:after="0"/>
              <w:ind w:left="0"/>
              <w:rPr>
                <w:sz w:val="22"/>
                <w:szCs w:val="22"/>
              </w:rPr>
            </w:pPr>
          </w:p>
        </w:tc>
      </w:tr>
      <w:tr w:rsidR="005135CB" w:rsidRPr="001E6B77" w14:paraId="5447832E" w14:textId="77777777" w:rsidTr="00BF7CC1">
        <w:tc>
          <w:tcPr>
            <w:tcW w:w="672" w:type="dxa"/>
            <w:tcMar>
              <w:top w:w="57" w:type="dxa"/>
              <w:bottom w:w="57" w:type="dxa"/>
            </w:tcMar>
          </w:tcPr>
          <w:p w14:paraId="7BDA27A9" w14:textId="77777777" w:rsidR="005135CB" w:rsidRPr="001E6B77" w:rsidRDefault="005135CB" w:rsidP="000A538D">
            <w:pPr>
              <w:spacing w:before="0" w:after="0"/>
              <w:ind w:left="0"/>
              <w:rPr>
                <w:sz w:val="22"/>
                <w:szCs w:val="22"/>
              </w:rPr>
            </w:pPr>
            <w:r w:rsidRPr="001E6B77">
              <w:rPr>
                <w:sz w:val="22"/>
                <w:szCs w:val="22"/>
              </w:rPr>
              <w:t>3.3</w:t>
            </w:r>
          </w:p>
        </w:tc>
        <w:tc>
          <w:tcPr>
            <w:tcW w:w="5560" w:type="dxa"/>
            <w:tcMar>
              <w:top w:w="57" w:type="dxa"/>
              <w:bottom w:w="57" w:type="dxa"/>
            </w:tcMar>
          </w:tcPr>
          <w:p w14:paraId="7B30876F" w14:textId="77777777" w:rsidR="005135CB" w:rsidRPr="001E6B77" w:rsidRDefault="005135CB" w:rsidP="000A538D">
            <w:pPr>
              <w:spacing w:before="0" w:after="0"/>
              <w:ind w:left="0"/>
              <w:rPr>
                <w:sz w:val="22"/>
                <w:szCs w:val="22"/>
              </w:rPr>
            </w:pPr>
            <w:r w:rsidRPr="001E6B77">
              <w:rPr>
                <w:sz w:val="22"/>
                <w:szCs w:val="22"/>
              </w:rPr>
              <w:t>Delivery of benefits in-year</w:t>
            </w:r>
          </w:p>
        </w:tc>
        <w:tc>
          <w:tcPr>
            <w:tcW w:w="4536" w:type="dxa"/>
            <w:tcMar>
              <w:top w:w="57" w:type="dxa"/>
              <w:bottom w:w="57" w:type="dxa"/>
            </w:tcMar>
          </w:tcPr>
          <w:p w14:paraId="0FC8B612"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21FD970C"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18987E47"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2D31383F" w14:textId="77777777" w:rsidR="005135CB" w:rsidRPr="001E6B77" w:rsidRDefault="005135CB" w:rsidP="000A538D">
            <w:pPr>
              <w:spacing w:before="0" w:after="0"/>
              <w:ind w:left="0"/>
              <w:rPr>
                <w:sz w:val="22"/>
                <w:szCs w:val="22"/>
              </w:rPr>
            </w:pPr>
          </w:p>
        </w:tc>
      </w:tr>
      <w:tr w:rsidR="005135CB" w:rsidRPr="001E6B77" w14:paraId="15436BE9" w14:textId="77777777" w:rsidTr="00BF7CC1">
        <w:tc>
          <w:tcPr>
            <w:tcW w:w="672" w:type="dxa"/>
            <w:tcMar>
              <w:top w:w="57" w:type="dxa"/>
              <w:bottom w:w="57" w:type="dxa"/>
            </w:tcMar>
          </w:tcPr>
          <w:p w14:paraId="568061B0" w14:textId="77777777" w:rsidR="005135CB" w:rsidRPr="001E6B77" w:rsidRDefault="005135CB" w:rsidP="000A538D">
            <w:pPr>
              <w:spacing w:before="0" w:after="0"/>
              <w:ind w:left="0"/>
              <w:rPr>
                <w:sz w:val="22"/>
                <w:szCs w:val="22"/>
              </w:rPr>
            </w:pPr>
            <w:r w:rsidRPr="001E6B77">
              <w:rPr>
                <w:sz w:val="22"/>
                <w:szCs w:val="22"/>
              </w:rPr>
              <w:t>3.4</w:t>
            </w:r>
          </w:p>
        </w:tc>
        <w:tc>
          <w:tcPr>
            <w:tcW w:w="5560" w:type="dxa"/>
            <w:tcMar>
              <w:top w:w="57" w:type="dxa"/>
              <w:bottom w:w="57" w:type="dxa"/>
            </w:tcMar>
          </w:tcPr>
          <w:p w14:paraId="16307EF2" w14:textId="77777777" w:rsidR="005135CB" w:rsidRPr="001E6B77" w:rsidRDefault="005135CB" w:rsidP="000A538D">
            <w:pPr>
              <w:spacing w:before="0" w:after="0"/>
              <w:ind w:left="0"/>
              <w:rPr>
                <w:sz w:val="22"/>
                <w:szCs w:val="22"/>
              </w:rPr>
            </w:pPr>
            <w:r w:rsidRPr="001E6B77">
              <w:rPr>
                <w:sz w:val="22"/>
                <w:szCs w:val="22"/>
              </w:rPr>
              <w:t>Feasibility in terms of capacity</w:t>
            </w:r>
          </w:p>
        </w:tc>
        <w:tc>
          <w:tcPr>
            <w:tcW w:w="4536" w:type="dxa"/>
            <w:tcMar>
              <w:top w:w="57" w:type="dxa"/>
              <w:bottom w:w="57" w:type="dxa"/>
            </w:tcMar>
          </w:tcPr>
          <w:p w14:paraId="5D82D3DE"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7F06D033"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436E2B97"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748B0B75" w14:textId="77777777" w:rsidR="005135CB" w:rsidRPr="001E6B77" w:rsidRDefault="005135CB" w:rsidP="000A538D">
            <w:pPr>
              <w:spacing w:before="0" w:after="0"/>
              <w:ind w:left="0"/>
              <w:rPr>
                <w:sz w:val="22"/>
                <w:szCs w:val="22"/>
              </w:rPr>
            </w:pPr>
          </w:p>
        </w:tc>
      </w:tr>
      <w:tr w:rsidR="005135CB" w:rsidRPr="001E6B77" w14:paraId="7F238FC7" w14:textId="77777777" w:rsidTr="00BF7CC1">
        <w:tc>
          <w:tcPr>
            <w:tcW w:w="672" w:type="dxa"/>
            <w:tcMar>
              <w:top w:w="57" w:type="dxa"/>
              <w:bottom w:w="57" w:type="dxa"/>
            </w:tcMar>
          </w:tcPr>
          <w:p w14:paraId="568F8C68" w14:textId="77777777" w:rsidR="005135CB" w:rsidRPr="001E6B77" w:rsidRDefault="005135CB" w:rsidP="000A538D">
            <w:pPr>
              <w:spacing w:before="0" w:after="0"/>
              <w:ind w:left="0"/>
              <w:rPr>
                <w:sz w:val="22"/>
                <w:szCs w:val="22"/>
              </w:rPr>
            </w:pPr>
            <w:r w:rsidRPr="001E6B77">
              <w:rPr>
                <w:sz w:val="22"/>
                <w:szCs w:val="22"/>
              </w:rPr>
              <w:t>4.1</w:t>
            </w:r>
          </w:p>
        </w:tc>
        <w:tc>
          <w:tcPr>
            <w:tcW w:w="5560" w:type="dxa"/>
            <w:tcMar>
              <w:top w:w="57" w:type="dxa"/>
              <w:bottom w:w="57" w:type="dxa"/>
            </w:tcMar>
          </w:tcPr>
          <w:p w14:paraId="5C0A458D" w14:textId="77777777" w:rsidR="005135CB" w:rsidRPr="001E6B77" w:rsidRDefault="005135CB" w:rsidP="000A538D">
            <w:pPr>
              <w:spacing w:before="0" w:after="0"/>
              <w:ind w:left="0"/>
              <w:rPr>
                <w:sz w:val="22"/>
                <w:szCs w:val="22"/>
              </w:rPr>
            </w:pPr>
            <w:r w:rsidRPr="001E6B77">
              <w:rPr>
                <w:sz w:val="22"/>
                <w:szCs w:val="22"/>
              </w:rPr>
              <w:t>Effect on society</w:t>
            </w:r>
          </w:p>
        </w:tc>
        <w:tc>
          <w:tcPr>
            <w:tcW w:w="4536" w:type="dxa"/>
            <w:tcMar>
              <w:top w:w="57" w:type="dxa"/>
              <w:bottom w:w="57" w:type="dxa"/>
            </w:tcMar>
          </w:tcPr>
          <w:p w14:paraId="111B0EEA" w14:textId="77777777" w:rsidR="005135CB" w:rsidRPr="001E6B77" w:rsidRDefault="005135CB" w:rsidP="000A538D">
            <w:pPr>
              <w:spacing w:before="0" w:after="0"/>
              <w:ind w:left="0"/>
              <w:rPr>
                <w:sz w:val="22"/>
                <w:szCs w:val="22"/>
              </w:rPr>
            </w:pPr>
          </w:p>
        </w:tc>
        <w:tc>
          <w:tcPr>
            <w:tcW w:w="1094" w:type="dxa"/>
            <w:tcMar>
              <w:top w:w="57" w:type="dxa"/>
              <w:bottom w:w="57" w:type="dxa"/>
            </w:tcMar>
          </w:tcPr>
          <w:p w14:paraId="5617CE92" w14:textId="77777777" w:rsidR="005135CB" w:rsidRPr="001E6B77" w:rsidRDefault="005135CB" w:rsidP="000A538D">
            <w:pPr>
              <w:spacing w:before="0" w:after="0"/>
              <w:ind w:left="0"/>
              <w:rPr>
                <w:sz w:val="22"/>
                <w:szCs w:val="22"/>
              </w:rPr>
            </w:pPr>
          </w:p>
        </w:tc>
        <w:tc>
          <w:tcPr>
            <w:tcW w:w="1218" w:type="dxa"/>
            <w:tcMar>
              <w:top w:w="57" w:type="dxa"/>
              <w:bottom w:w="57" w:type="dxa"/>
            </w:tcMar>
          </w:tcPr>
          <w:p w14:paraId="6A5C8D47"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7BA4DF9D" w14:textId="77777777" w:rsidR="005135CB" w:rsidRPr="001E6B77" w:rsidRDefault="005135CB" w:rsidP="000A538D">
            <w:pPr>
              <w:spacing w:before="0" w:after="0"/>
              <w:ind w:left="0"/>
              <w:rPr>
                <w:sz w:val="22"/>
                <w:szCs w:val="22"/>
              </w:rPr>
            </w:pPr>
          </w:p>
        </w:tc>
      </w:tr>
      <w:tr w:rsidR="00BF7CC1" w:rsidRPr="001E6B77" w14:paraId="190656C8" w14:textId="77777777" w:rsidTr="00BF7CC1">
        <w:tc>
          <w:tcPr>
            <w:tcW w:w="672" w:type="dxa"/>
            <w:tcBorders>
              <w:bottom w:val="single" w:sz="4" w:space="0" w:color="auto"/>
            </w:tcBorders>
            <w:tcMar>
              <w:top w:w="57" w:type="dxa"/>
              <w:bottom w:w="57" w:type="dxa"/>
            </w:tcMar>
          </w:tcPr>
          <w:p w14:paraId="124FCE57" w14:textId="77777777" w:rsidR="005135CB" w:rsidRPr="001E6B77" w:rsidRDefault="005135CB" w:rsidP="000A538D">
            <w:pPr>
              <w:spacing w:before="0" w:after="0"/>
              <w:ind w:left="0"/>
              <w:rPr>
                <w:sz w:val="22"/>
                <w:szCs w:val="22"/>
              </w:rPr>
            </w:pPr>
            <w:r w:rsidRPr="001E6B77">
              <w:rPr>
                <w:sz w:val="22"/>
                <w:szCs w:val="22"/>
              </w:rPr>
              <w:t>4.2</w:t>
            </w:r>
          </w:p>
        </w:tc>
        <w:tc>
          <w:tcPr>
            <w:tcW w:w="5560" w:type="dxa"/>
            <w:tcBorders>
              <w:bottom w:val="single" w:sz="4" w:space="0" w:color="auto"/>
            </w:tcBorders>
            <w:tcMar>
              <w:top w:w="57" w:type="dxa"/>
              <w:bottom w:w="57" w:type="dxa"/>
            </w:tcMar>
          </w:tcPr>
          <w:p w14:paraId="1AAB9BA0" w14:textId="77777777" w:rsidR="005135CB" w:rsidRPr="001E6B77" w:rsidRDefault="005135CB" w:rsidP="000A538D">
            <w:pPr>
              <w:spacing w:before="0" w:after="0"/>
              <w:ind w:left="0"/>
              <w:rPr>
                <w:sz w:val="22"/>
                <w:szCs w:val="22"/>
              </w:rPr>
            </w:pPr>
            <w:r w:rsidRPr="001E6B77">
              <w:rPr>
                <w:sz w:val="22"/>
                <w:szCs w:val="22"/>
              </w:rPr>
              <w:t>Impact on the green agenda / sustainability targets.</w:t>
            </w:r>
          </w:p>
        </w:tc>
        <w:tc>
          <w:tcPr>
            <w:tcW w:w="4536" w:type="dxa"/>
            <w:tcBorders>
              <w:bottom w:val="single" w:sz="4" w:space="0" w:color="auto"/>
            </w:tcBorders>
            <w:tcMar>
              <w:top w:w="57" w:type="dxa"/>
              <w:bottom w:w="57" w:type="dxa"/>
            </w:tcMar>
          </w:tcPr>
          <w:p w14:paraId="447E0F8F" w14:textId="77777777" w:rsidR="005135CB" w:rsidRPr="001E6B77" w:rsidRDefault="005135CB" w:rsidP="000A538D">
            <w:pPr>
              <w:spacing w:before="0" w:after="0"/>
              <w:ind w:left="0"/>
              <w:rPr>
                <w:sz w:val="22"/>
                <w:szCs w:val="22"/>
              </w:rPr>
            </w:pPr>
          </w:p>
        </w:tc>
        <w:tc>
          <w:tcPr>
            <w:tcW w:w="1094" w:type="dxa"/>
            <w:tcBorders>
              <w:bottom w:val="single" w:sz="4" w:space="0" w:color="auto"/>
            </w:tcBorders>
            <w:tcMar>
              <w:top w:w="57" w:type="dxa"/>
              <w:bottom w:w="57" w:type="dxa"/>
            </w:tcMar>
          </w:tcPr>
          <w:p w14:paraId="3327B0E6" w14:textId="77777777" w:rsidR="005135CB" w:rsidRPr="001E6B77" w:rsidRDefault="005135CB" w:rsidP="000A538D">
            <w:pPr>
              <w:spacing w:before="0" w:after="0"/>
              <w:ind w:left="0"/>
              <w:rPr>
                <w:sz w:val="22"/>
                <w:szCs w:val="22"/>
              </w:rPr>
            </w:pPr>
          </w:p>
        </w:tc>
        <w:tc>
          <w:tcPr>
            <w:tcW w:w="1218" w:type="dxa"/>
            <w:tcBorders>
              <w:bottom w:val="single" w:sz="4" w:space="0" w:color="auto"/>
            </w:tcBorders>
            <w:tcMar>
              <w:top w:w="57" w:type="dxa"/>
              <w:bottom w:w="57" w:type="dxa"/>
            </w:tcMar>
          </w:tcPr>
          <w:p w14:paraId="14BA3A21" w14:textId="77777777" w:rsidR="005135CB" w:rsidRPr="001E6B77" w:rsidRDefault="005135CB" w:rsidP="000A538D">
            <w:pPr>
              <w:spacing w:before="0" w:after="0"/>
              <w:ind w:left="0"/>
              <w:rPr>
                <w:sz w:val="22"/>
                <w:szCs w:val="22"/>
              </w:rPr>
            </w:pPr>
          </w:p>
        </w:tc>
        <w:tc>
          <w:tcPr>
            <w:tcW w:w="1257" w:type="dxa"/>
            <w:tcMar>
              <w:top w:w="57" w:type="dxa"/>
              <w:bottom w:w="57" w:type="dxa"/>
            </w:tcMar>
          </w:tcPr>
          <w:p w14:paraId="4754BDE8" w14:textId="77777777" w:rsidR="005135CB" w:rsidRPr="001E6B77" w:rsidRDefault="005135CB" w:rsidP="000A538D">
            <w:pPr>
              <w:spacing w:before="0" w:after="0"/>
              <w:ind w:left="0"/>
              <w:rPr>
                <w:sz w:val="22"/>
                <w:szCs w:val="22"/>
              </w:rPr>
            </w:pPr>
          </w:p>
        </w:tc>
      </w:tr>
      <w:tr w:rsidR="001E6B77" w:rsidRPr="001E6B77" w14:paraId="25B2C107" w14:textId="77777777" w:rsidTr="00BF7CC1">
        <w:tc>
          <w:tcPr>
            <w:tcW w:w="672" w:type="dxa"/>
            <w:tcBorders>
              <w:top w:val="single" w:sz="4" w:space="0" w:color="auto"/>
              <w:left w:val="nil"/>
              <w:bottom w:val="nil"/>
              <w:right w:val="nil"/>
            </w:tcBorders>
            <w:tcMar>
              <w:top w:w="57" w:type="dxa"/>
              <w:bottom w:w="57" w:type="dxa"/>
            </w:tcMar>
          </w:tcPr>
          <w:p w14:paraId="233C06E8" w14:textId="77777777" w:rsidR="005135CB" w:rsidRPr="001E6B77" w:rsidRDefault="005135CB" w:rsidP="000A538D">
            <w:pPr>
              <w:spacing w:before="0" w:after="0"/>
              <w:ind w:left="0"/>
              <w:rPr>
                <w:sz w:val="22"/>
                <w:szCs w:val="22"/>
              </w:rPr>
            </w:pPr>
          </w:p>
        </w:tc>
        <w:tc>
          <w:tcPr>
            <w:tcW w:w="5560" w:type="dxa"/>
            <w:tcBorders>
              <w:top w:val="single" w:sz="4" w:space="0" w:color="auto"/>
              <w:left w:val="nil"/>
              <w:bottom w:val="nil"/>
              <w:right w:val="nil"/>
            </w:tcBorders>
            <w:tcMar>
              <w:top w:w="57" w:type="dxa"/>
              <w:bottom w:w="57" w:type="dxa"/>
            </w:tcMar>
          </w:tcPr>
          <w:p w14:paraId="50E1BA5D" w14:textId="77777777" w:rsidR="005135CB" w:rsidRPr="001E6B77" w:rsidRDefault="005135CB" w:rsidP="000A538D">
            <w:pPr>
              <w:spacing w:before="0" w:after="0"/>
              <w:ind w:left="0"/>
              <w:rPr>
                <w:sz w:val="22"/>
                <w:szCs w:val="22"/>
              </w:rPr>
            </w:pPr>
          </w:p>
        </w:tc>
        <w:tc>
          <w:tcPr>
            <w:tcW w:w="4536" w:type="dxa"/>
            <w:tcBorders>
              <w:top w:val="single" w:sz="4" w:space="0" w:color="auto"/>
              <w:left w:val="nil"/>
              <w:bottom w:val="nil"/>
              <w:right w:val="nil"/>
            </w:tcBorders>
            <w:tcMar>
              <w:top w:w="57" w:type="dxa"/>
              <w:bottom w:w="57" w:type="dxa"/>
            </w:tcMar>
          </w:tcPr>
          <w:p w14:paraId="7EB75195" w14:textId="77777777" w:rsidR="005135CB" w:rsidRPr="001E6B77" w:rsidRDefault="005135CB" w:rsidP="000A538D">
            <w:pPr>
              <w:spacing w:before="0" w:after="0"/>
              <w:ind w:left="0"/>
              <w:rPr>
                <w:sz w:val="22"/>
                <w:szCs w:val="22"/>
              </w:rPr>
            </w:pPr>
          </w:p>
        </w:tc>
        <w:tc>
          <w:tcPr>
            <w:tcW w:w="1094" w:type="dxa"/>
            <w:tcBorders>
              <w:top w:val="single" w:sz="4" w:space="0" w:color="auto"/>
              <w:left w:val="nil"/>
              <w:bottom w:val="nil"/>
              <w:right w:val="nil"/>
            </w:tcBorders>
            <w:tcMar>
              <w:top w:w="57" w:type="dxa"/>
              <w:bottom w:w="57" w:type="dxa"/>
            </w:tcMar>
          </w:tcPr>
          <w:p w14:paraId="59C1AC20" w14:textId="77777777" w:rsidR="005135CB" w:rsidRPr="001E6B77" w:rsidRDefault="005135CB" w:rsidP="000A538D">
            <w:pPr>
              <w:spacing w:before="0" w:after="0"/>
              <w:ind w:left="0"/>
              <w:jc w:val="right"/>
              <w:rPr>
                <w:sz w:val="22"/>
                <w:szCs w:val="22"/>
              </w:rPr>
            </w:pPr>
            <w:r w:rsidRPr="001E6B77">
              <w:rPr>
                <w:sz w:val="22"/>
                <w:szCs w:val="22"/>
              </w:rPr>
              <w:t>Total</w:t>
            </w:r>
          </w:p>
        </w:tc>
        <w:tc>
          <w:tcPr>
            <w:tcW w:w="1218" w:type="dxa"/>
            <w:tcBorders>
              <w:top w:val="single" w:sz="4" w:space="0" w:color="auto"/>
              <w:left w:val="nil"/>
              <w:bottom w:val="nil"/>
              <w:right w:val="single" w:sz="4" w:space="0" w:color="auto"/>
            </w:tcBorders>
            <w:tcMar>
              <w:top w:w="57" w:type="dxa"/>
              <w:bottom w:w="57" w:type="dxa"/>
            </w:tcMar>
          </w:tcPr>
          <w:p w14:paraId="75F53026" w14:textId="77777777" w:rsidR="005135CB" w:rsidRPr="001E6B77" w:rsidRDefault="005135CB" w:rsidP="000A538D">
            <w:pPr>
              <w:spacing w:before="0" w:after="0"/>
              <w:ind w:left="0"/>
              <w:rPr>
                <w:sz w:val="22"/>
                <w:szCs w:val="22"/>
              </w:rPr>
            </w:pPr>
            <w:r w:rsidRPr="001E6B77">
              <w:rPr>
                <w:sz w:val="22"/>
                <w:szCs w:val="22"/>
              </w:rPr>
              <w:t>Score</w:t>
            </w:r>
          </w:p>
        </w:tc>
        <w:tc>
          <w:tcPr>
            <w:tcW w:w="1257" w:type="dxa"/>
            <w:tcBorders>
              <w:left w:val="single" w:sz="4" w:space="0" w:color="auto"/>
            </w:tcBorders>
            <w:tcMar>
              <w:top w:w="57" w:type="dxa"/>
              <w:bottom w:w="57" w:type="dxa"/>
            </w:tcMar>
          </w:tcPr>
          <w:p w14:paraId="5A450A8E" w14:textId="77777777" w:rsidR="005135CB" w:rsidRPr="001E6B77" w:rsidRDefault="005135CB" w:rsidP="000A538D">
            <w:pPr>
              <w:spacing w:before="0" w:after="0"/>
              <w:ind w:left="0"/>
              <w:rPr>
                <w:sz w:val="22"/>
                <w:szCs w:val="22"/>
              </w:rPr>
            </w:pPr>
          </w:p>
        </w:tc>
      </w:tr>
    </w:tbl>
    <w:tbl>
      <w:tblPr>
        <w:tblStyle w:val="TableGrid"/>
        <w:tblW w:w="15304" w:type="dxa"/>
        <w:jc w:val="center"/>
        <w:tblLook w:val="04A0" w:firstRow="1" w:lastRow="0" w:firstColumn="1" w:lastColumn="0" w:noHBand="0" w:noVBand="1"/>
      </w:tblPr>
      <w:tblGrid>
        <w:gridCol w:w="1649"/>
        <w:gridCol w:w="677"/>
        <w:gridCol w:w="3198"/>
        <w:gridCol w:w="2991"/>
        <w:gridCol w:w="3396"/>
        <w:gridCol w:w="3393"/>
      </w:tblGrid>
      <w:tr w:rsidR="005135CB" w:rsidRPr="00BE4547" w14:paraId="78BEF374" w14:textId="77777777" w:rsidTr="000A538D">
        <w:trPr>
          <w:jc w:val="center"/>
        </w:trPr>
        <w:tc>
          <w:tcPr>
            <w:tcW w:w="1649" w:type="dxa"/>
            <w:shd w:val="clear" w:color="auto" w:fill="005EB8"/>
            <w:tcMar>
              <w:top w:w="57" w:type="dxa"/>
              <w:bottom w:w="57" w:type="dxa"/>
            </w:tcMar>
          </w:tcPr>
          <w:p w14:paraId="0FFD39F5"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lastRenderedPageBreak/>
              <w:t>Section</w:t>
            </w:r>
          </w:p>
        </w:tc>
        <w:tc>
          <w:tcPr>
            <w:tcW w:w="677" w:type="dxa"/>
            <w:shd w:val="clear" w:color="auto" w:fill="005EB8"/>
            <w:tcMar>
              <w:top w:w="57" w:type="dxa"/>
              <w:bottom w:w="57" w:type="dxa"/>
            </w:tcMar>
          </w:tcPr>
          <w:p w14:paraId="00A52E3F"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t>Ref</w:t>
            </w:r>
          </w:p>
        </w:tc>
        <w:tc>
          <w:tcPr>
            <w:tcW w:w="3198" w:type="dxa"/>
            <w:shd w:val="clear" w:color="auto" w:fill="005EB8"/>
            <w:tcMar>
              <w:top w:w="57" w:type="dxa"/>
              <w:bottom w:w="57" w:type="dxa"/>
            </w:tcMar>
          </w:tcPr>
          <w:p w14:paraId="5BEBC9E0"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t>None (measure = 0)</w:t>
            </w:r>
          </w:p>
        </w:tc>
        <w:tc>
          <w:tcPr>
            <w:tcW w:w="2991" w:type="dxa"/>
            <w:shd w:val="clear" w:color="auto" w:fill="005EB8"/>
            <w:tcMar>
              <w:top w:w="57" w:type="dxa"/>
              <w:bottom w:w="57" w:type="dxa"/>
            </w:tcMar>
          </w:tcPr>
          <w:p w14:paraId="7FAC8FE8"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t>Low (measure = 1)</w:t>
            </w:r>
          </w:p>
        </w:tc>
        <w:tc>
          <w:tcPr>
            <w:tcW w:w="3396" w:type="dxa"/>
            <w:shd w:val="clear" w:color="auto" w:fill="005EB8"/>
            <w:tcMar>
              <w:top w:w="57" w:type="dxa"/>
              <w:bottom w:w="57" w:type="dxa"/>
            </w:tcMar>
          </w:tcPr>
          <w:p w14:paraId="1A19B46A"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t>High (measure =2)</w:t>
            </w:r>
          </w:p>
        </w:tc>
        <w:tc>
          <w:tcPr>
            <w:tcW w:w="3393" w:type="dxa"/>
            <w:shd w:val="clear" w:color="auto" w:fill="005EB8"/>
            <w:tcMar>
              <w:top w:w="57" w:type="dxa"/>
              <w:bottom w:w="57" w:type="dxa"/>
            </w:tcMar>
          </w:tcPr>
          <w:p w14:paraId="672B072B" w14:textId="77777777" w:rsidR="005135CB" w:rsidRPr="00BE4547" w:rsidRDefault="005135CB" w:rsidP="000A538D">
            <w:pPr>
              <w:spacing w:before="0" w:after="0"/>
              <w:ind w:left="0"/>
              <w:rPr>
                <w:rFonts w:cstheme="minorHAnsi"/>
                <w:color w:val="FFFFFF" w:themeColor="background1"/>
                <w:sz w:val="18"/>
                <w:szCs w:val="18"/>
              </w:rPr>
            </w:pPr>
            <w:r w:rsidRPr="00BE4547">
              <w:rPr>
                <w:rFonts w:cstheme="minorHAnsi"/>
                <w:color w:val="FFFFFF" w:themeColor="background1"/>
                <w:sz w:val="18"/>
                <w:szCs w:val="18"/>
              </w:rPr>
              <w:t>Maximum (measure = 3)</w:t>
            </w:r>
          </w:p>
        </w:tc>
      </w:tr>
      <w:tr w:rsidR="005135CB" w:rsidRPr="002260A7" w14:paraId="07DEDB50" w14:textId="77777777" w:rsidTr="000A538D">
        <w:trPr>
          <w:jc w:val="center"/>
        </w:trPr>
        <w:tc>
          <w:tcPr>
            <w:tcW w:w="1649" w:type="dxa"/>
            <w:vMerge w:val="restart"/>
            <w:tcMar>
              <w:top w:w="57" w:type="dxa"/>
              <w:bottom w:w="57" w:type="dxa"/>
            </w:tcMar>
          </w:tcPr>
          <w:p w14:paraId="508EAC7D" w14:textId="77777777" w:rsidR="005135CB" w:rsidRPr="002260A7" w:rsidRDefault="005135CB" w:rsidP="000A538D">
            <w:pPr>
              <w:spacing w:before="0" w:after="0"/>
              <w:ind w:left="0"/>
              <w:rPr>
                <w:rFonts w:cstheme="minorHAnsi"/>
                <w:sz w:val="18"/>
                <w:szCs w:val="18"/>
              </w:rPr>
            </w:pPr>
            <w:r w:rsidRPr="002260A7">
              <w:rPr>
                <w:rFonts w:cstheme="minorHAnsi"/>
                <w:sz w:val="18"/>
                <w:szCs w:val="18"/>
              </w:rPr>
              <w:t>Improve outcomes in population health and healthcare. (clinical effectiveness)</w:t>
            </w:r>
          </w:p>
        </w:tc>
        <w:tc>
          <w:tcPr>
            <w:tcW w:w="677" w:type="dxa"/>
            <w:tcMar>
              <w:top w:w="57" w:type="dxa"/>
              <w:bottom w:w="57" w:type="dxa"/>
            </w:tcMar>
          </w:tcPr>
          <w:p w14:paraId="0C7C214A" w14:textId="77777777" w:rsidR="005135CB" w:rsidRPr="002260A7" w:rsidRDefault="005135CB" w:rsidP="000A538D">
            <w:pPr>
              <w:spacing w:before="0" w:after="0"/>
              <w:ind w:left="0"/>
              <w:rPr>
                <w:rFonts w:cstheme="minorHAnsi"/>
                <w:sz w:val="18"/>
                <w:szCs w:val="18"/>
              </w:rPr>
            </w:pPr>
            <w:r>
              <w:rPr>
                <w:rFonts w:cstheme="minorHAnsi"/>
                <w:sz w:val="18"/>
                <w:szCs w:val="18"/>
              </w:rPr>
              <w:t>1.1</w:t>
            </w:r>
          </w:p>
        </w:tc>
        <w:tc>
          <w:tcPr>
            <w:tcW w:w="3198" w:type="dxa"/>
            <w:tcMar>
              <w:top w:w="57" w:type="dxa"/>
              <w:bottom w:w="57" w:type="dxa"/>
            </w:tcMar>
          </w:tcPr>
          <w:p w14:paraId="1115BA40"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Does not address a health need identified in the JSNA/HNA</w:t>
            </w:r>
          </w:p>
        </w:tc>
        <w:tc>
          <w:tcPr>
            <w:tcW w:w="2991" w:type="dxa"/>
            <w:tcMar>
              <w:top w:w="57" w:type="dxa"/>
              <w:bottom w:w="57" w:type="dxa"/>
            </w:tcMar>
          </w:tcPr>
          <w:p w14:paraId="0996DCBB"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Addresses a health need identified in the JSNA/HNA</w:t>
            </w:r>
          </w:p>
        </w:tc>
        <w:tc>
          <w:tcPr>
            <w:tcW w:w="3396" w:type="dxa"/>
            <w:tcMar>
              <w:top w:w="57" w:type="dxa"/>
              <w:bottom w:w="57" w:type="dxa"/>
            </w:tcMar>
          </w:tcPr>
          <w:p w14:paraId="7B9E9D3D"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Addresses a priority health need identified in the JSNA/HNA</w:t>
            </w:r>
          </w:p>
        </w:tc>
        <w:tc>
          <w:tcPr>
            <w:tcW w:w="3393" w:type="dxa"/>
            <w:tcMar>
              <w:top w:w="57" w:type="dxa"/>
              <w:bottom w:w="57" w:type="dxa"/>
            </w:tcMar>
          </w:tcPr>
          <w:p w14:paraId="0F032CEB"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Addresses a priority health need among &gt;10% ICB residents OR multiple health needs</w:t>
            </w:r>
          </w:p>
        </w:tc>
      </w:tr>
      <w:tr w:rsidR="005135CB" w:rsidRPr="002260A7" w14:paraId="4E880E0C" w14:textId="77777777" w:rsidTr="000A538D">
        <w:trPr>
          <w:jc w:val="center"/>
        </w:trPr>
        <w:tc>
          <w:tcPr>
            <w:tcW w:w="1649" w:type="dxa"/>
            <w:vMerge/>
            <w:tcMar>
              <w:top w:w="57" w:type="dxa"/>
              <w:bottom w:w="57" w:type="dxa"/>
            </w:tcMar>
          </w:tcPr>
          <w:p w14:paraId="0B90386C"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36D14F17" w14:textId="77777777" w:rsidR="005135CB" w:rsidRPr="002260A7" w:rsidRDefault="005135CB" w:rsidP="000A538D">
            <w:pPr>
              <w:spacing w:before="0" w:after="0"/>
              <w:ind w:left="0"/>
              <w:rPr>
                <w:rFonts w:cstheme="minorHAnsi"/>
                <w:sz w:val="18"/>
                <w:szCs w:val="18"/>
              </w:rPr>
            </w:pPr>
            <w:r>
              <w:rPr>
                <w:rFonts w:cstheme="minorHAnsi"/>
                <w:sz w:val="18"/>
                <w:szCs w:val="18"/>
              </w:rPr>
              <w:t>1.2</w:t>
            </w:r>
          </w:p>
        </w:tc>
        <w:tc>
          <w:tcPr>
            <w:tcW w:w="3198" w:type="dxa"/>
            <w:tcMar>
              <w:top w:w="57" w:type="dxa"/>
              <w:bottom w:w="57" w:type="dxa"/>
            </w:tcMar>
          </w:tcPr>
          <w:p w14:paraId="16D4069D"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A regulator has not identified the service requires change – provision is currently rated ‘good’ or ‘outstanding’.</w:t>
            </w:r>
          </w:p>
        </w:tc>
        <w:tc>
          <w:tcPr>
            <w:tcW w:w="2991" w:type="dxa"/>
            <w:tcMar>
              <w:top w:w="57" w:type="dxa"/>
              <w:bottom w:w="57" w:type="dxa"/>
            </w:tcMar>
          </w:tcPr>
          <w:p w14:paraId="5F0E8608"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A regulator has not identified the service requires change, provision is currently rated good, but some areas for improvement identified.</w:t>
            </w:r>
          </w:p>
        </w:tc>
        <w:tc>
          <w:tcPr>
            <w:tcW w:w="3396" w:type="dxa"/>
            <w:tcMar>
              <w:top w:w="57" w:type="dxa"/>
              <w:bottom w:w="57" w:type="dxa"/>
            </w:tcMar>
          </w:tcPr>
          <w:p w14:paraId="4B38C84F"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 xml:space="preserve">A regulator has identified the service requires </w:t>
            </w:r>
            <w:proofErr w:type="gramStart"/>
            <w:r w:rsidRPr="002260A7">
              <w:rPr>
                <w:rFonts w:eastAsia="Times New Roman" w:cstheme="minorHAnsi"/>
                <w:color w:val="auto"/>
                <w:sz w:val="18"/>
                <w:szCs w:val="18"/>
                <w:lang w:eastAsia="en-GB"/>
              </w:rPr>
              <w:t>change,</w:t>
            </w:r>
            <w:proofErr w:type="gramEnd"/>
            <w:r w:rsidRPr="002260A7">
              <w:rPr>
                <w:rFonts w:eastAsia="Times New Roman" w:cstheme="minorHAnsi"/>
                <w:color w:val="auto"/>
                <w:sz w:val="18"/>
                <w:szCs w:val="18"/>
                <w:lang w:eastAsia="en-GB"/>
              </w:rPr>
              <w:t xml:space="preserve"> provision is currently rated ‘requires improvement’.</w:t>
            </w:r>
          </w:p>
        </w:tc>
        <w:tc>
          <w:tcPr>
            <w:tcW w:w="3393" w:type="dxa"/>
            <w:tcMar>
              <w:top w:w="57" w:type="dxa"/>
              <w:bottom w:w="57" w:type="dxa"/>
            </w:tcMar>
          </w:tcPr>
          <w:p w14:paraId="5C694BA6"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 xml:space="preserve">A regulator has identified the service requires </w:t>
            </w:r>
            <w:proofErr w:type="gramStart"/>
            <w:r w:rsidRPr="002260A7">
              <w:rPr>
                <w:rFonts w:eastAsia="Times New Roman" w:cstheme="minorHAnsi"/>
                <w:color w:val="auto"/>
                <w:sz w:val="18"/>
                <w:szCs w:val="18"/>
                <w:lang w:eastAsia="en-GB"/>
              </w:rPr>
              <w:t>change,</w:t>
            </w:r>
            <w:proofErr w:type="gramEnd"/>
            <w:r w:rsidRPr="002260A7">
              <w:rPr>
                <w:rFonts w:eastAsia="Times New Roman" w:cstheme="minorHAnsi"/>
                <w:color w:val="auto"/>
                <w:sz w:val="18"/>
                <w:szCs w:val="18"/>
                <w:lang w:eastAsia="en-GB"/>
              </w:rPr>
              <w:t xml:space="preserve"> provision is currently rated ‘inadequate’.</w:t>
            </w:r>
          </w:p>
        </w:tc>
      </w:tr>
      <w:tr w:rsidR="005135CB" w:rsidRPr="002260A7" w14:paraId="31E11E4A" w14:textId="77777777" w:rsidTr="000A538D">
        <w:trPr>
          <w:jc w:val="center"/>
        </w:trPr>
        <w:tc>
          <w:tcPr>
            <w:tcW w:w="1649" w:type="dxa"/>
            <w:vMerge/>
            <w:tcMar>
              <w:top w:w="57" w:type="dxa"/>
              <w:bottom w:w="57" w:type="dxa"/>
            </w:tcMar>
          </w:tcPr>
          <w:p w14:paraId="548FCE08"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2BDFE36C" w14:textId="77777777" w:rsidR="005135CB" w:rsidRPr="002260A7" w:rsidRDefault="005135CB" w:rsidP="000A538D">
            <w:pPr>
              <w:spacing w:before="0" w:after="0"/>
              <w:ind w:left="0"/>
              <w:rPr>
                <w:rFonts w:cstheme="minorHAnsi"/>
                <w:sz w:val="18"/>
                <w:szCs w:val="18"/>
              </w:rPr>
            </w:pPr>
            <w:r>
              <w:rPr>
                <w:rFonts w:cstheme="minorHAnsi"/>
                <w:sz w:val="18"/>
                <w:szCs w:val="18"/>
              </w:rPr>
              <w:t>1.3</w:t>
            </w:r>
          </w:p>
        </w:tc>
        <w:tc>
          <w:tcPr>
            <w:tcW w:w="3198" w:type="dxa"/>
            <w:tcMar>
              <w:top w:w="57" w:type="dxa"/>
              <w:bottom w:w="57" w:type="dxa"/>
            </w:tcMar>
          </w:tcPr>
          <w:p w14:paraId="472469E5"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No evidence of effectiveness, but no evidence of ineffectiveness</w:t>
            </w:r>
          </w:p>
          <w:p w14:paraId="5AFF50DA" w14:textId="77777777" w:rsidR="005135CB" w:rsidRPr="002260A7" w:rsidRDefault="005135CB" w:rsidP="000A538D">
            <w:pPr>
              <w:spacing w:before="0" w:after="0"/>
              <w:ind w:left="0"/>
              <w:rPr>
                <w:rFonts w:eastAsia="Times New Roman" w:cstheme="minorHAnsi"/>
                <w:color w:val="auto"/>
                <w:sz w:val="18"/>
                <w:szCs w:val="18"/>
                <w:lang w:eastAsia="en-GB"/>
              </w:rPr>
            </w:pPr>
          </w:p>
        </w:tc>
        <w:tc>
          <w:tcPr>
            <w:tcW w:w="2991" w:type="dxa"/>
            <w:tcMar>
              <w:top w:w="57" w:type="dxa"/>
              <w:bottom w:w="57" w:type="dxa"/>
            </w:tcMar>
          </w:tcPr>
          <w:p w14:paraId="0FCDB329" w14:textId="77777777" w:rsidR="005135CB" w:rsidRPr="00BE454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eastAsia="en-GB"/>
              </w:rPr>
              <w:t xml:space="preserve">Some evidence from </w:t>
            </w:r>
            <w:r w:rsidRPr="002260A7">
              <w:rPr>
                <w:rFonts w:eastAsia="Times New Roman" w:cstheme="minorHAnsi"/>
                <w:color w:val="auto"/>
                <w:sz w:val="18"/>
                <w:szCs w:val="18"/>
                <w:lang w:val="en-US" w:eastAsia="en-GB"/>
              </w:rPr>
              <w:t>case series, cohort studies, unpublished data, or expert opinion.</w:t>
            </w:r>
          </w:p>
        </w:tc>
        <w:tc>
          <w:tcPr>
            <w:tcW w:w="3396" w:type="dxa"/>
            <w:tcMar>
              <w:top w:w="57" w:type="dxa"/>
              <w:bottom w:w="57" w:type="dxa"/>
            </w:tcMar>
          </w:tcPr>
          <w:p w14:paraId="615ED7F3"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Some</w:t>
            </w:r>
            <w:r w:rsidRPr="002260A7">
              <w:rPr>
                <w:rFonts w:eastAsia="Times New Roman" w:cstheme="minorHAnsi"/>
                <w:b/>
                <w:color w:val="auto"/>
                <w:sz w:val="18"/>
                <w:szCs w:val="18"/>
                <w:lang w:eastAsia="en-GB"/>
              </w:rPr>
              <w:t xml:space="preserve"> </w:t>
            </w:r>
            <w:r w:rsidRPr="002260A7">
              <w:rPr>
                <w:rFonts w:eastAsia="Times New Roman" w:cstheme="minorHAnsi"/>
                <w:color w:val="auto"/>
                <w:sz w:val="18"/>
                <w:szCs w:val="18"/>
                <w:lang w:eastAsia="en-GB"/>
              </w:rPr>
              <w:t xml:space="preserve">evidence of effectiveness </w:t>
            </w:r>
            <w:r w:rsidRPr="002260A7">
              <w:rPr>
                <w:rFonts w:eastAsia="Times New Roman" w:cstheme="minorHAnsi"/>
                <w:color w:val="auto"/>
                <w:sz w:val="18"/>
                <w:szCs w:val="18"/>
                <w:lang w:val="en-US" w:eastAsia="en-GB"/>
              </w:rPr>
              <w:t>including cohort studies or non-</w:t>
            </w:r>
            <w:r w:rsidRPr="002260A7">
              <w:rPr>
                <w:rFonts w:eastAsia="Times New Roman" w:cstheme="minorHAnsi"/>
                <w:color w:val="auto"/>
                <w:sz w:val="18"/>
                <w:szCs w:val="18"/>
                <w:lang w:eastAsia="en-GB"/>
              </w:rPr>
              <w:t>randomised</w:t>
            </w:r>
            <w:r w:rsidRPr="002260A7">
              <w:rPr>
                <w:rFonts w:eastAsia="Times New Roman" w:cstheme="minorHAnsi"/>
                <w:color w:val="auto"/>
                <w:sz w:val="18"/>
                <w:szCs w:val="18"/>
                <w:lang w:val="en-US" w:eastAsia="en-GB"/>
              </w:rPr>
              <w:t>, non-blinded trials</w:t>
            </w:r>
          </w:p>
        </w:tc>
        <w:tc>
          <w:tcPr>
            <w:tcW w:w="3393" w:type="dxa"/>
            <w:tcMar>
              <w:top w:w="57" w:type="dxa"/>
              <w:bottom w:w="57" w:type="dxa"/>
            </w:tcMar>
          </w:tcPr>
          <w:p w14:paraId="0E8F7DFD"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 xml:space="preserve">Strong evidence of effectiveness e.g. from </w:t>
            </w:r>
            <w:proofErr w:type="gramStart"/>
            <w:r w:rsidRPr="002260A7">
              <w:rPr>
                <w:rFonts w:eastAsia="Times New Roman" w:cstheme="minorHAnsi"/>
                <w:color w:val="auto"/>
                <w:sz w:val="18"/>
                <w:szCs w:val="18"/>
                <w:lang w:val="en-US" w:eastAsia="en-GB"/>
              </w:rPr>
              <w:t>meta analyses</w:t>
            </w:r>
            <w:proofErr w:type="gramEnd"/>
            <w:r w:rsidRPr="002260A7">
              <w:rPr>
                <w:rFonts w:eastAsia="Times New Roman" w:cstheme="minorHAnsi"/>
                <w:color w:val="auto"/>
                <w:sz w:val="18"/>
                <w:szCs w:val="18"/>
                <w:lang w:val="en-US" w:eastAsia="en-GB"/>
              </w:rPr>
              <w:t xml:space="preserve">/ systematic reviews, or </w:t>
            </w:r>
            <w:r w:rsidRPr="002260A7">
              <w:rPr>
                <w:rFonts w:eastAsia="Times New Roman" w:cstheme="minorHAnsi"/>
                <w:color w:val="auto"/>
                <w:sz w:val="18"/>
                <w:szCs w:val="18"/>
                <w:lang w:eastAsia="en-GB"/>
              </w:rPr>
              <w:t>randomised</w:t>
            </w:r>
            <w:r w:rsidRPr="002260A7">
              <w:rPr>
                <w:rFonts w:eastAsia="Times New Roman" w:cstheme="minorHAnsi"/>
                <w:color w:val="auto"/>
                <w:sz w:val="18"/>
                <w:szCs w:val="18"/>
                <w:lang w:val="en-US" w:eastAsia="en-GB"/>
              </w:rPr>
              <w:t>, blinded, controlled trials</w:t>
            </w:r>
          </w:p>
        </w:tc>
      </w:tr>
      <w:tr w:rsidR="005135CB" w:rsidRPr="002260A7" w14:paraId="77699AF0" w14:textId="77777777" w:rsidTr="000A538D">
        <w:trPr>
          <w:jc w:val="center"/>
        </w:trPr>
        <w:tc>
          <w:tcPr>
            <w:tcW w:w="1649" w:type="dxa"/>
            <w:vMerge/>
            <w:tcMar>
              <w:top w:w="57" w:type="dxa"/>
              <w:bottom w:w="57" w:type="dxa"/>
            </w:tcMar>
          </w:tcPr>
          <w:p w14:paraId="2453CC62"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3DD49ABA" w14:textId="77777777" w:rsidR="005135CB" w:rsidRPr="002260A7" w:rsidRDefault="005135CB" w:rsidP="000A538D">
            <w:pPr>
              <w:spacing w:before="0" w:after="0"/>
              <w:ind w:left="0"/>
              <w:rPr>
                <w:rFonts w:cstheme="minorHAnsi"/>
                <w:sz w:val="18"/>
                <w:szCs w:val="18"/>
              </w:rPr>
            </w:pPr>
            <w:r>
              <w:rPr>
                <w:rFonts w:cstheme="minorHAnsi"/>
                <w:sz w:val="18"/>
                <w:szCs w:val="18"/>
              </w:rPr>
              <w:t>1.4</w:t>
            </w:r>
          </w:p>
        </w:tc>
        <w:tc>
          <w:tcPr>
            <w:tcW w:w="3198" w:type="dxa"/>
            <w:tcMar>
              <w:top w:w="57" w:type="dxa"/>
              <w:bottom w:w="57" w:type="dxa"/>
            </w:tcMar>
          </w:tcPr>
          <w:p w14:paraId="2040A438"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Negative or no impact on quality</w:t>
            </w:r>
          </w:p>
        </w:tc>
        <w:tc>
          <w:tcPr>
            <w:tcW w:w="2991" w:type="dxa"/>
            <w:tcMar>
              <w:top w:w="57" w:type="dxa"/>
              <w:bottom w:w="57" w:type="dxa"/>
            </w:tcMar>
          </w:tcPr>
          <w:p w14:paraId="6AE8B93B"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Some positive impact on quality</w:t>
            </w:r>
          </w:p>
        </w:tc>
        <w:tc>
          <w:tcPr>
            <w:tcW w:w="3396" w:type="dxa"/>
            <w:tcMar>
              <w:top w:w="57" w:type="dxa"/>
              <w:bottom w:w="57" w:type="dxa"/>
            </w:tcMar>
          </w:tcPr>
          <w:p w14:paraId="7D16F1CF"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Strong positive impact on one quality dimension</w:t>
            </w:r>
          </w:p>
        </w:tc>
        <w:tc>
          <w:tcPr>
            <w:tcW w:w="3393" w:type="dxa"/>
            <w:tcMar>
              <w:top w:w="57" w:type="dxa"/>
              <w:bottom w:w="57" w:type="dxa"/>
            </w:tcMar>
          </w:tcPr>
          <w:p w14:paraId="74478942"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Strong positive impact on multiple quality dimensions</w:t>
            </w:r>
          </w:p>
        </w:tc>
      </w:tr>
      <w:tr w:rsidR="005135CB" w:rsidRPr="002260A7" w14:paraId="1F494C04" w14:textId="77777777" w:rsidTr="000A538D">
        <w:trPr>
          <w:jc w:val="center"/>
        </w:trPr>
        <w:tc>
          <w:tcPr>
            <w:tcW w:w="1649" w:type="dxa"/>
            <w:vMerge w:val="restart"/>
            <w:tcMar>
              <w:top w:w="57" w:type="dxa"/>
              <w:bottom w:w="57" w:type="dxa"/>
            </w:tcMar>
          </w:tcPr>
          <w:p w14:paraId="2969F408" w14:textId="77777777" w:rsidR="005135CB" w:rsidRPr="002260A7" w:rsidRDefault="005135CB" w:rsidP="000A538D">
            <w:pPr>
              <w:spacing w:before="0" w:after="0"/>
              <w:ind w:left="0"/>
              <w:rPr>
                <w:rFonts w:cstheme="minorHAnsi"/>
                <w:sz w:val="18"/>
                <w:szCs w:val="18"/>
              </w:rPr>
            </w:pPr>
            <w:r w:rsidRPr="002260A7">
              <w:rPr>
                <w:rFonts w:cstheme="minorHAnsi"/>
                <w:sz w:val="18"/>
                <w:szCs w:val="18"/>
              </w:rPr>
              <w:t>Tackle inequalities in outcomes, experience, and access.</w:t>
            </w:r>
          </w:p>
        </w:tc>
        <w:tc>
          <w:tcPr>
            <w:tcW w:w="677" w:type="dxa"/>
            <w:tcMar>
              <w:top w:w="57" w:type="dxa"/>
              <w:bottom w:w="57" w:type="dxa"/>
            </w:tcMar>
          </w:tcPr>
          <w:p w14:paraId="60C3A0B5" w14:textId="77777777" w:rsidR="005135CB" w:rsidRPr="002260A7" w:rsidRDefault="005135CB" w:rsidP="000A538D">
            <w:pPr>
              <w:spacing w:before="0" w:after="0"/>
              <w:ind w:left="0"/>
              <w:rPr>
                <w:rFonts w:cstheme="minorHAnsi"/>
                <w:sz w:val="18"/>
                <w:szCs w:val="18"/>
              </w:rPr>
            </w:pPr>
            <w:r>
              <w:rPr>
                <w:rFonts w:cstheme="minorHAnsi"/>
                <w:sz w:val="18"/>
                <w:szCs w:val="18"/>
              </w:rPr>
              <w:t>2.1</w:t>
            </w:r>
          </w:p>
        </w:tc>
        <w:tc>
          <w:tcPr>
            <w:tcW w:w="3198" w:type="dxa"/>
            <w:tcMar>
              <w:top w:w="57" w:type="dxa"/>
              <w:bottom w:w="57" w:type="dxa"/>
            </w:tcMar>
          </w:tcPr>
          <w:p w14:paraId="4BF93CBC"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Could increase health inequalities</w:t>
            </w:r>
          </w:p>
        </w:tc>
        <w:tc>
          <w:tcPr>
            <w:tcW w:w="2991" w:type="dxa"/>
            <w:tcMar>
              <w:top w:w="57" w:type="dxa"/>
              <w:bottom w:w="57" w:type="dxa"/>
            </w:tcMar>
          </w:tcPr>
          <w:p w14:paraId="339BD13D"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No impact on health inequalities.</w:t>
            </w:r>
          </w:p>
          <w:p w14:paraId="7BB6DBEF" w14:textId="77777777" w:rsidR="005135CB" w:rsidRPr="002260A7" w:rsidRDefault="005135CB" w:rsidP="000A538D">
            <w:pPr>
              <w:spacing w:before="0" w:after="0"/>
              <w:ind w:left="0"/>
              <w:rPr>
                <w:rFonts w:cstheme="minorHAnsi"/>
                <w:sz w:val="18"/>
                <w:szCs w:val="18"/>
              </w:rPr>
            </w:pPr>
            <w:r w:rsidRPr="009B6632">
              <w:rPr>
                <w:rFonts w:cstheme="minorHAnsi"/>
                <w:sz w:val="18"/>
                <w:szCs w:val="18"/>
              </w:rPr>
              <w:t>There is no evidence the opportunity will contribute to the reduction in health inequalities</w:t>
            </w:r>
          </w:p>
        </w:tc>
        <w:tc>
          <w:tcPr>
            <w:tcW w:w="3396" w:type="dxa"/>
            <w:tcMar>
              <w:top w:w="57" w:type="dxa"/>
              <w:bottom w:w="57" w:type="dxa"/>
            </w:tcMar>
          </w:tcPr>
          <w:p w14:paraId="31206AAB"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Slight reduction in health inequalities</w:t>
            </w:r>
          </w:p>
          <w:p w14:paraId="43A8EBED" w14:textId="77777777" w:rsidR="005135CB" w:rsidRPr="002260A7" w:rsidRDefault="005135CB" w:rsidP="000A538D">
            <w:pPr>
              <w:spacing w:before="0" w:after="0"/>
              <w:ind w:left="0"/>
              <w:rPr>
                <w:rFonts w:cstheme="minorHAnsi"/>
                <w:sz w:val="18"/>
                <w:szCs w:val="18"/>
              </w:rPr>
            </w:pPr>
            <w:r w:rsidRPr="009B6632">
              <w:rPr>
                <w:rFonts w:cstheme="minorHAnsi"/>
                <w:sz w:val="18"/>
                <w:szCs w:val="18"/>
              </w:rPr>
              <w:t>There is some evidence the opportunity will contribute to the reduction in health inequalities</w:t>
            </w:r>
          </w:p>
        </w:tc>
        <w:tc>
          <w:tcPr>
            <w:tcW w:w="3393" w:type="dxa"/>
            <w:tcMar>
              <w:top w:w="57" w:type="dxa"/>
              <w:bottom w:w="57" w:type="dxa"/>
            </w:tcMar>
          </w:tcPr>
          <w:p w14:paraId="426FB9B7"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High reduction in health inequalities</w:t>
            </w:r>
          </w:p>
          <w:p w14:paraId="53347A6B" w14:textId="77777777" w:rsidR="005135CB" w:rsidRPr="002260A7" w:rsidRDefault="005135CB" w:rsidP="000A538D">
            <w:pPr>
              <w:spacing w:before="0" w:after="0"/>
              <w:ind w:left="0"/>
              <w:rPr>
                <w:rFonts w:cstheme="minorHAnsi"/>
                <w:sz w:val="18"/>
                <w:szCs w:val="18"/>
              </w:rPr>
            </w:pPr>
            <w:r w:rsidRPr="009B6632">
              <w:rPr>
                <w:rFonts w:cstheme="minorHAnsi"/>
                <w:sz w:val="18"/>
                <w:szCs w:val="18"/>
              </w:rPr>
              <w:t>There is a robust evidence base to show the opportunity will contribute to the reduction in health inequalities</w:t>
            </w:r>
          </w:p>
        </w:tc>
      </w:tr>
      <w:tr w:rsidR="005135CB" w:rsidRPr="002260A7" w14:paraId="3340BD6C" w14:textId="77777777" w:rsidTr="000A538D">
        <w:trPr>
          <w:jc w:val="center"/>
        </w:trPr>
        <w:tc>
          <w:tcPr>
            <w:tcW w:w="1649" w:type="dxa"/>
            <w:vMerge/>
            <w:tcMar>
              <w:top w:w="57" w:type="dxa"/>
              <w:bottom w:w="57" w:type="dxa"/>
            </w:tcMar>
          </w:tcPr>
          <w:p w14:paraId="59F5F391"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4B8DF1C5" w14:textId="77777777" w:rsidR="005135CB" w:rsidRPr="002260A7" w:rsidRDefault="005135CB" w:rsidP="000A538D">
            <w:pPr>
              <w:spacing w:before="0" w:after="0"/>
              <w:ind w:left="0"/>
              <w:rPr>
                <w:rFonts w:cstheme="minorHAnsi"/>
                <w:sz w:val="18"/>
                <w:szCs w:val="18"/>
              </w:rPr>
            </w:pPr>
            <w:r>
              <w:rPr>
                <w:rFonts w:cstheme="minorHAnsi"/>
                <w:sz w:val="18"/>
                <w:szCs w:val="18"/>
              </w:rPr>
              <w:t>2.2</w:t>
            </w:r>
          </w:p>
        </w:tc>
        <w:tc>
          <w:tcPr>
            <w:tcW w:w="3198" w:type="dxa"/>
            <w:tcMar>
              <w:top w:w="57" w:type="dxa"/>
              <w:bottom w:w="57" w:type="dxa"/>
            </w:tcMar>
          </w:tcPr>
          <w:p w14:paraId="1F80E238"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Negative impact on access</w:t>
            </w:r>
          </w:p>
        </w:tc>
        <w:tc>
          <w:tcPr>
            <w:tcW w:w="2991" w:type="dxa"/>
            <w:tcMar>
              <w:top w:w="57" w:type="dxa"/>
              <w:bottom w:w="57" w:type="dxa"/>
            </w:tcMar>
          </w:tcPr>
          <w:p w14:paraId="2E73350B"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No impact on Access</w:t>
            </w:r>
          </w:p>
        </w:tc>
        <w:tc>
          <w:tcPr>
            <w:tcW w:w="3396" w:type="dxa"/>
            <w:tcMar>
              <w:top w:w="57" w:type="dxa"/>
              <w:bottom w:w="57" w:type="dxa"/>
            </w:tcMar>
          </w:tcPr>
          <w:p w14:paraId="14C6B167"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Positive impact on access</w:t>
            </w:r>
          </w:p>
        </w:tc>
        <w:tc>
          <w:tcPr>
            <w:tcW w:w="3393" w:type="dxa"/>
            <w:tcMar>
              <w:top w:w="57" w:type="dxa"/>
              <w:bottom w:w="57" w:type="dxa"/>
            </w:tcMar>
          </w:tcPr>
          <w:p w14:paraId="25907E0F"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Strongly positive impact on access</w:t>
            </w:r>
          </w:p>
        </w:tc>
      </w:tr>
      <w:tr w:rsidR="005135CB" w:rsidRPr="002260A7" w14:paraId="0A7D033D" w14:textId="77777777" w:rsidTr="000A538D">
        <w:trPr>
          <w:jc w:val="center"/>
        </w:trPr>
        <w:tc>
          <w:tcPr>
            <w:tcW w:w="1649" w:type="dxa"/>
            <w:vMerge w:val="restart"/>
            <w:tcMar>
              <w:top w:w="57" w:type="dxa"/>
              <w:bottom w:w="57" w:type="dxa"/>
            </w:tcMar>
          </w:tcPr>
          <w:p w14:paraId="55AFA602" w14:textId="77777777" w:rsidR="005135CB" w:rsidRPr="002260A7" w:rsidRDefault="005135CB" w:rsidP="000A538D">
            <w:pPr>
              <w:spacing w:before="0" w:after="0"/>
              <w:ind w:left="0"/>
              <w:rPr>
                <w:rFonts w:cstheme="minorHAnsi"/>
                <w:sz w:val="18"/>
                <w:szCs w:val="18"/>
              </w:rPr>
            </w:pPr>
            <w:r w:rsidRPr="002260A7">
              <w:rPr>
                <w:rFonts w:cstheme="minorHAnsi"/>
                <w:sz w:val="18"/>
                <w:szCs w:val="18"/>
              </w:rPr>
              <w:t>Enhance productivity and value for money. (and feasibility)</w:t>
            </w:r>
          </w:p>
        </w:tc>
        <w:tc>
          <w:tcPr>
            <w:tcW w:w="677" w:type="dxa"/>
            <w:tcMar>
              <w:top w:w="57" w:type="dxa"/>
              <w:bottom w:w="57" w:type="dxa"/>
            </w:tcMar>
          </w:tcPr>
          <w:p w14:paraId="4E808965" w14:textId="77777777" w:rsidR="005135CB" w:rsidRPr="002260A7" w:rsidRDefault="005135CB" w:rsidP="000A538D">
            <w:pPr>
              <w:spacing w:before="0" w:after="0"/>
              <w:ind w:left="0"/>
              <w:rPr>
                <w:rFonts w:cstheme="minorHAnsi"/>
                <w:sz w:val="18"/>
                <w:szCs w:val="18"/>
              </w:rPr>
            </w:pPr>
            <w:r>
              <w:rPr>
                <w:rFonts w:cstheme="minorHAnsi"/>
                <w:sz w:val="18"/>
                <w:szCs w:val="18"/>
              </w:rPr>
              <w:t>3.1</w:t>
            </w:r>
          </w:p>
        </w:tc>
        <w:tc>
          <w:tcPr>
            <w:tcW w:w="3198" w:type="dxa"/>
            <w:tcMar>
              <w:top w:w="57" w:type="dxa"/>
              <w:bottom w:w="57" w:type="dxa"/>
            </w:tcMar>
          </w:tcPr>
          <w:p w14:paraId="3423CC65"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Negative or no impact on choice AND supply</w:t>
            </w:r>
          </w:p>
        </w:tc>
        <w:tc>
          <w:tcPr>
            <w:tcW w:w="2991" w:type="dxa"/>
            <w:tcMar>
              <w:top w:w="57" w:type="dxa"/>
              <w:bottom w:w="57" w:type="dxa"/>
            </w:tcMar>
          </w:tcPr>
          <w:p w14:paraId="5C651D53"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Positive impact on choice OR supply</w:t>
            </w:r>
          </w:p>
        </w:tc>
        <w:tc>
          <w:tcPr>
            <w:tcW w:w="3396" w:type="dxa"/>
            <w:tcMar>
              <w:top w:w="57" w:type="dxa"/>
              <w:bottom w:w="57" w:type="dxa"/>
            </w:tcMar>
          </w:tcPr>
          <w:p w14:paraId="2E22E2CD"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Positive impact on choice AND supply</w:t>
            </w:r>
          </w:p>
        </w:tc>
        <w:tc>
          <w:tcPr>
            <w:tcW w:w="3393" w:type="dxa"/>
            <w:tcMar>
              <w:top w:w="57" w:type="dxa"/>
              <w:bottom w:w="57" w:type="dxa"/>
            </w:tcMar>
          </w:tcPr>
          <w:p w14:paraId="0B63B0A9"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Strongly positive impact on choice AND supply</w:t>
            </w:r>
          </w:p>
        </w:tc>
      </w:tr>
      <w:tr w:rsidR="005135CB" w:rsidRPr="002260A7" w14:paraId="5E8D71B1" w14:textId="77777777" w:rsidTr="000A538D">
        <w:trPr>
          <w:jc w:val="center"/>
        </w:trPr>
        <w:tc>
          <w:tcPr>
            <w:tcW w:w="1649" w:type="dxa"/>
            <w:vMerge/>
            <w:tcMar>
              <w:top w:w="57" w:type="dxa"/>
              <w:bottom w:w="57" w:type="dxa"/>
            </w:tcMar>
          </w:tcPr>
          <w:p w14:paraId="78F1E557"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72F844EC" w14:textId="77777777" w:rsidR="005135CB" w:rsidRPr="002260A7" w:rsidRDefault="005135CB" w:rsidP="000A538D">
            <w:pPr>
              <w:spacing w:before="0" w:after="0"/>
              <w:ind w:left="0"/>
              <w:rPr>
                <w:rFonts w:cstheme="minorHAnsi"/>
                <w:sz w:val="18"/>
                <w:szCs w:val="18"/>
              </w:rPr>
            </w:pPr>
            <w:r>
              <w:rPr>
                <w:rFonts w:cstheme="minorHAnsi"/>
                <w:sz w:val="18"/>
                <w:szCs w:val="18"/>
              </w:rPr>
              <w:t>3.2</w:t>
            </w:r>
          </w:p>
        </w:tc>
        <w:tc>
          <w:tcPr>
            <w:tcW w:w="3198" w:type="dxa"/>
            <w:tcMar>
              <w:top w:w="57" w:type="dxa"/>
              <w:bottom w:w="57" w:type="dxa"/>
            </w:tcMar>
          </w:tcPr>
          <w:p w14:paraId="3978F790"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 opportunity will not achieve a cost saving</w:t>
            </w:r>
          </w:p>
        </w:tc>
        <w:tc>
          <w:tcPr>
            <w:tcW w:w="2991" w:type="dxa"/>
            <w:tcMar>
              <w:top w:w="57" w:type="dxa"/>
              <w:bottom w:w="57" w:type="dxa"/>
            </w:tcMar>
          </w:tcPr>
          <w:p w14:paraId="70BE2374" w14:textId="77777777" w:rsidR="005135CB" w:rsidRPr="002260A7" w:rsidRDefault="005135CB" w:rsidP="000A538D">
            <w:pPr>
              <w:spacing w:before="0" w:after="0"/>
              <w:ind w:left="0"/>
              <w:rPr>
                <w:rFonts w:eastAsia="Times New Roman" w:cstheme="minorHAnsi"/>
                <w:color w:val="auto"/>
                <w:sz w:val="18"/>
                <w:szCs w:val="18"/>
                <w:lang w:eastAsia="en-GB"/>
              </w:rPr>
            </w:pPr>
            <w:r w:rsidRPr="009B6632">
              <w:rPr>
                <w:rFonts w:eastAsia="Times New Roman" w:cstheme="minorHAnsi"/>
                <w:color w:val="auto"/>
                <w:sz w:val="18"/>
                <w:szCs w:val="18"/>
                <w:lang w:eastAsia="en-GB"/>
              </w:rPr>
              <w:t>The opportunity is somewhat likely expected to reduce overall costs whilst maintaining outcomes</w:t>
            </w:r>
          </w:p>
        </w:tc>
        <w:tc>
          <w:tcPr>
            <w:tcW w:w="3396" w:type="dxa"/>
            <w:tcMar>
              <w:top w:w="57" w:type="dxa"/>
              <w:bottom w:w="57" w:type="dxa"/>
            </w:tcMar>
          </w:tcPr>
          <w:p w14:paraId="496318AB" w14:textId="77777777" w:rsidR="005135CB" w:rsidRPr="002260A7" w:rsidRDefault="005135CB" w:rsidP="000A538D">
            <w:pPr>
              <w:spacing w:before="0" w:after="0"/>
              <w:ind w:left="0"/>
              <w:rPr>
                <w:rFonts w:eastAsia="Times New Roman" w:cstheme="minorHAnsi"/>
                <w:color w:val="auto"/>
                <w:sz w:val="18"/>
                <w:szCs w:val="18"/>
                <w:lang w:eastAsia="en-GB"/>
              </w:rPr>
            </w:pPr>
            <w:r w:rsidRPr="009B6632">
              <w:rPr>
                <w:rFonts w:eastAsia="Times New Roman" w:cstheme="minorHAnsi"/>
                <w:color w:val="auto"/>
                <w:sz w:val="18"/>
                <w:szCs w:val="18"/>
                <w:lang w:eastAsia="en-GB"/>
              </w:rPr>
              <w:t>The opportunity is expected to improve service delivery or find an efficiency which deliver a cost saving</w:t>
            </w:r>
          </w:p>
        </w:tc>
        <w:tc>
          <w:tcPr>
            <w:tcW w:w="3393" w:type="dxa"/>
            <w:tcMar>
              <w:top w:w="57" w:type="dxa"/>
              <w:bottom w:w="57" w:type="dxa"/>
            </w:tcMar>
          </w:tcPr>
          <w:p w14:paraId="79B637F4" w14:textId="77777777" w:rsidR="005135CB" w:rsidRPr="002260A7" w:rsidRDefault="005135CB" w:rsidP="000A538D">
            <w:pPr>
              <w:spacing w:before="0" w:after="0"/>
              <w:ind w:left="0"/>
              <w:rPr>
                <w:rFonts w:eastAsia="Times New Roman" w:cstheme="minorHAnsi"/>
                <w:color w:val="auto"/>
                <w:sz w:val="18"/>
                <w:szCs w:val="18"/>
                <w:lang w:eastAsia="en-GB"/>
              </w:rPr>
            </w:pPr>
            <w:r w:rsidRPr="009B6632">
              <w:rPr>
                <w:rFonts w:eastAsia="Times New Roman" w:cstheme="minorHAnsi"/>
                <w:color w:val="auto"/>
                <w:sz w:val="18"/>
                <w:szCs w:val="18"/>
                <w:lang w:eastAsia="en-GB"/>
              </w:rPr>
              <w:t>The opportunity delivered a service improvement or efficiency that will deliver a cost saving</w:t>
            </w:r>
          </w:p>
        </w:tc>
      </w:tr>
      <w:tr w:rsidR="005135CB" w:rsidRPr="002260A7" w14:paraId="7CC0BF01" w14:textId="77777777" w:rsidTr="000A538D">
        <w:trPr>
          <w:jc w:val="center"/>
        </w:trPr>
        <w:tc>
          <w:tcPr>
            <w:tcW w:w="1649" w:type="dxa"/>
            <w:vMerge/>
            <w:tcMar>
              <w:top w:w="57" w:type="dxa"/>
              <w:bottom w:w="57" w:type="dxa"/>
            </w:tcMar>
          </w:tcPr>
          <w:p w14:paraId="734F7C6C"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4B65355E" w14:textId="77777777" w:rsidR="005135CB" w:rsidRPr="002260A7" w:rsidRDefault="005135CB" w:rsidP="000A538D">
            <w:pPr>
              <w:spacing w:before="0" w:after="0"/>
              <w:ind w:left="0"/>
              <w:rPr>
                <w:rFonts w:cstheme="minorHAnsi"/>
                <w:sz w:val="18"/>
                <w:szCs w:val="18"/>
              </w:rPr>
            </w:pPr>
            <w:r>
              <w:rPr>
                <w:rFonts w:cstheme="minorHAnsi"/>
                <w:sz w:val="18"/>
                <w:szCs w:val="18"/>
              </w:rPr>
              <w:t>3.3</w:t>
            </w:r>
          </w:p>
        </w:tc>
        <w:tc>
          <w:tcPr>
            <w:tcW w:w="3198" w:type="dxa"/>
            <w:tcMar>
              <w:top w:w="57" w:type="dxa"/>
              <w:bottom w:w="57" w:type="dxa"/>
            </w:tcMar>
          </w:tcPr>
          <w:p w14:paraId="04BD33FD"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 opportunity will not deliver quantifiable benefits in the coming year</w:t>
            </w:r>
          </w:p>
        </w:tc>
        <w:tc>
          <w:tcPr>
            <w:tcW w:w="2991" w:type="dxa"/>
            <w:tcMar>
              <w:top w:w="57" w:type="dxa"/>
              <w:bottom w:w="57" w:type="dxa"/>
            </w:tcMar>
          </w:tcPr>
          <w:p w14:paraId="69802668"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 opportunity is likely to deliver quantifiable benefits in the coming year and will contribute to longer-term benefits across the ICB.</w:t>
            </w:r>
          </w:p>
        </w:tc>
        <w:tc>
          <w:tcPr>
            <w:tcW w:w="3396" w:type="dxa"/>
            <w:tcMar>
              <w:top w:w="57" w:type="dxa"/>
              <w:bottom w:w="57" w:type="dxa"/>
            </w:tcMar>
          </w:tcPr>
          <w:p w14:paraId="744E5824"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 xml:space="preserve">The opportunity is expected to deliver quantifiable benefits in the coming year. </w:t>
            </w:r>
          </w:p>
        </w:tc>
        <w:tc>
          <w:tcPr>
            <w:tcW w:w="3393" w:type="dxa"/>
            <w:tcMar>
              <w:top w:w="57" w:type="dxa"/>
              <w:bottom w:w="57" w:type="dxa"/>
            </w:tcMar>
          </w:tcPr>
          <w:p w14:paraId="7C9860A6"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 opportunity will deliver quantifiable benefits in the coming year.</w:t>
            </w:r>
          </w:p>
        </w:tc>
      </w:tr>
      <w:tr w:rsidR="005135CB" w:rsidRPr="002260A7" w14:paraId="0A6996AC" w14:textId="77777777" w:rsidTr="000A538D">
        <w:trPr>
          <w:jc w:val="center"/>
        </w:trPr>
        <w:tc>
          <w:tcPr>
            <w:tcW w:w="1649" w:type="dxa"/>
            <w:vMerge/>
            <w:tcMar>
              <w:top w:w="57" w:type="dxa"/>
              <w:bottom w:w="57" w:type="dxa"/>
            </w:tcMar>
          </w:tcPr>
          <w:p w14:paraId="096C8F90"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24CC4714" w14:textId="77777777" w:rsidR="005135CB" w:rsidRPr="002260A7" w:rsidRDefault="005135CB" w:rsidP="000A538D">
            <w:pPr>
              <w:spacing w:before="0" w:after="0"/>
              <w:ind w:left="0"/>
              <w:rPr>
                <w:rFonts w:cstheme="minorHAnsi"/>
                <w:sz w:val="18"/>
                <w:szCs w:val="18"/>
              </w:rPr>
            </w:pPr>
            <w:r>
              <w:rPr>
                <w:rFonts w:cstheme="minorHAnsi"/>
                <w:sz w:val="18"/>
                <w:szCs w:val="18"/>
              </w:rPr>
              <w:t>3.4</w:t>
            </w:r>
          </w:p>
        </w:tc>
        <w:tc>
          <w:tcPr>
            <w:tcW w:w="3198" w:type="dxa"/>
            <w:tcMar>
              <w:top w:w="57" w:type="dxa"/>
              <w:bottom w:w="57" w:type="dxa"/>
            </w:tcMar>
          </w:tcPr>
          <w:p w14:paraId="4BCF93D8"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There is no capacity (staffing / resources) to deliver the project.</w:t>
            </w:r>
          </w:p>
        </w:tc>
        <w:tc>
          <w:tcPr>
            <w:tcW w:w="2991" w:type="dxa"/>
            <w:tcMar>
              <w:top w:w="57" w:type="dxa"/>
              <w:bottom w:w="57" w:type="dxa"/>
            </w:tcMar>
          </w:tcPr>
          <w:p w14:paraId="7567AD8B"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There is limited capacity (staffing / resources) to deliver the project.</w:t>
            </w:r>
          </w:p>
        </w:tc>
        <w:tc>
          <w:tcPr>
            <w:tcW w:w="3396" w:type="dxa"/>
            <w:tcMar>
              <w:top w:w="57" w:type="dxa"/>
              <w:bottom w:w="57" w:type="dxa"/>
            </w:tcMar>
          </w:tcPr>
          <w:p w14:paraId="257992CD"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There is good availability of staffing / resources to deliver the project.</w:t>
            </w:r>
          </w:p>
        </w:tc>
        <w:tc>
          <w:tcPr>
            <w:tcW w:w="3393" w:type="dxa"/>
            <w:tcMar>
              <w:top w:w="57" w:type="dxa"/>
              <w:bottom w:w="57" w:type="dxa"/>
            </w:tcMar>
          </w:tcPr>
          <w:p w14:paraId="44018C21" w14:textId="77777777" w:rsidR="005135CB" w:rsidRPr="002260A7" w:rsidRDefault="005135CB" w:rsidP="000A538D">
            <w:pPr>
              <w:spacing w:before="0" w:after="0"/>
              <w:ind w:left="0"/>
              <w:rPr>
                <w:rFonts w:eastAsia="Times New Roman" w:cstheme="minorHAnsi"/>
                <w:color w:val="auto"/>
                <w:sz w:val="18"/>
                <w:szCs w:val="18"/>
                <w:lang w:eastAsia="en-GB"/>
              </w:rPr>
            </w:pPr>
            <w:r w:rsidRPr="002260A7">
              <w:rPr>
                <w:rFonts w:eastAsia="Times New Roman" w:cstheme="minorHAnsi"/>
                <w:color w:val="auto"/>
                <w:sz w:val="18"/>
                <w:szCs w:val="18"/>
                <w:lang w:eastAsia="en-GB"/>
              </w:rPr>
              <w:t xml:space="preserve">There </w:t>
            </w:r>
            <w:proofErr w:type="gramStart"/>
            <w:r w:rsidRPr="002260A7">
              <w:rPr>
                <w:rFonts w:eastAsia="Times New Roman" w:cstheme="minorHAnsi"/>
                <w:color w:val="auto"/>
                <w:sz w:val="18"/>
                <w:szCs w:val="18"/>
                <w:lang w:eastAsia="en-GB"/>
              </w:rPr>
              <w:t>is</w:t>
            </w:r>
            <w:proofErr w:type="gramEnd"/>
            <w:r w:rsidRPr="002260A7">
              <w:rPr>
                <w:rFonts w:eastAsia="Times New Roman" w:cstheme="minorHAnsi"/>
                <w:color w:val="auto"/>
                <w:sz w:val="18"/>
                <w:szCs w:val="18"/>
                <w:lang w:eastAsia="en-GB"/>
              </w:rPr>
              <w:t xml:space="preserve"> available staffing / resources to deliver the project.</w:t>
            </w:r>
          </w:p>
        </w:tc>
      </w:tr>
      <w:tr w:rsidR="005135CB" w:rsidRPr="002260A7" w14:paraId="1D52D63F" w14:textId="77777777" w:rsidTr="000A538D">
        <w:trPr>
          <w:jc w:val="center"/>
        </w:trPr>
        <w:tc>
          <w:tcPr>
            <w:tcW w:w="1649" w:type="dxa"/>
            <w:vMerge w:val="restart"/>
            <w:tcMar>
              <w:top w:w="57" w:type="dxa"/>
              <w:bottom w:w="57" w:type="dxa"/>
            </w:tcMar>
          </w:tcPr>
          <w:p w14:paraId="0FC5FF4E" w14:textId="77777777" w:rsidR="005135CB" w:rsidRPr="002260A7" w:rsidRDefault="005135CB" w:rsidP="000A538D">
            <w:pPr>
              <w:spacing w:before="0" w:after="0"/>
              <w:ind w:left="0"/>
              <w:rPr>
                <w:rFonts w:cstheme="minorHAnsi"/>
                <w:sz w:val="18"/>
                <w:szCs w:val="18"/>
              </w:rPr>
            </w:pPr>
            <w:r w:rsidRPr="002260A7">
              <w:rPr>
                <w:rFonts w:cstheme="minorHAnsi"/>
                <w:sz w:val="18"/>
                <w:szCs w:val="18"/>
              </w:rPr>
              <w:t>Help the NHS support broader social economic development</w:t>
            </w:r>
          </w:p>
        </w:tc>
        <w:tc>
          <w:tcPr>
            <w:tcW w:w="677" w:type="dxa"/>
            <w:tcMar>
              <w:top w:w="57" w:type="dxa"/>
              <w:bottom w:w="57" w:type="dxa"/>
            </w:tcMar>
          </w:tcPr>
          <w:p w14:paraId="39E01D5E" w14:textId="77777777" w:rsidR="005135CB" w:rsidRPr="002260A7" w:rsidRDefault="005135CB" w:rsidP="000A538D">
            <w:pPr>
              <w:spacing w:before="0" w:after="0"/>
              <w:ind w:left="0"/>
              <w:rPr>
                <w:rFonts w:cstheme="minorHAnsi"/>
                <w:sz w:val="18"/>
                <w:szCs w:val="18"/>
              </w:rPr>
            </w:pPr>
            <w:r>
              <w:rPr>
                <w:rFonts w:cstheme="minorHAnsi"/>
                <w:sz w:val="18"/>
                <w:szCs w:val="18"/>
              </w:rPr>
              <w:t>4.1</w:t>
            </w:r>
          </w:p>
        </w:tc>
        <w:tc>
          <w:tcPr>
            <w:tcW w:w="3198" w:type="dxa"/>
            <w:tcMar>
              <w:top w:w="57" w:type="dxa"/>
              <w:bottom w:w="57" w:type="dxa"/>
            </w:tcMar>
          </w:tcPr>
          <w:p w14:paraId="65D3644E"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Lower magnitude of effect AND</w:t>
            </w:r>
          </w:p>
          <w:p w14:paraId="79BBF746"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val="en-US" w:eastAsia="en-GB"/>
              </w:rPr>
              <w:t>No wider benefits to society</w:t>
            </w:r>
          </w:p>
        </w:tc>
        <w:tc>
          <w:tcPr>
            <w:tcW w:w="2991" w:type="dxa"/>
            <w:tcMar>
              <w:top w:w="57" w:type="dxa"/>
              <w:bottom w:w="57" w:type="dxa"/>
            </w:tcMar>
          </w:tcPr>
          <w:p w14:paraId="3B0A2AB2"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Lower magnitude of effect OR</w:t>
            </w:r>
          </w:p>
          <w:p w14:paraId="1014C8A8"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val="en-US" w:eastAsia="en-GB"/>
              </w:rPr>
              <w:t>No wider benefits to society</w:t>
            </w:r>
          </w:p>
        </w:tc>
        <w:tc>
          <w:tcPr>
            <w:tcW w:w="3396" w:type="dxa"/>
            <w:tcMar>
              <w:top w:w="57" w:type="dxa"/>
              <w:bottom w:w="57" w:type="dxa"/>
            </w:tcMar>
          </w:tcPr>
          <w:p w14:paraId="08628E48"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Higher magnitude of effect OR</w:t>
            </w:r>
          </w:p>
          <w:p w14:paraId="47F90AF1"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Some wider benefits to society</w:t>
            </w:r>
          </w:p>
        </w:tc>
        <w:tc>
          <w:tcPr>
            <w:tcW w:w="3393" w:type="dxa"/>
            <w:tcMar>
              <w:top w:w="57" w:type="dxa"/>
              <w:bottom w:w="57" w:type="dxa"/>
            </w:tcMar>
          </w:tcPr>
          <w:p w14:paraId="38258E87"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Highest magnitude of effect AND/OR</w:t>
            </w:r>
          </w:p>
          <w:p w14:paraId="13D995C1" w14:textId="77777777" w:rsidR="005135CB" w:rsidRPr="002260A7" w:rsidRDefault="005135CB" w:rsidP="000A538D">
            <w:pPr>
              <w:spacing w:before="0" w:after="0"/>
              <w:ind w:left="0"/>
              <w:rPr>
                <w:rFonts w:cstheme="minorHAnsi"/>
                <w:sz w:val="18"/>
                <w:szCs w:val="18"/>
              </w:rPr>
            </w:pPr>
            <w:r w:rsidRPr="002260A7">
              <w:rPr>
                <w:rFonts w:eastAsia="Times New Roman" w:cstheme="minorHAnsi"/>
                <w:color w:val="auto"/>
                <w:sz w:val="18"/>
                <w:szCs w:val="18"/>
                <w:lang w:eastAsia="en-GB"/>
              </w:rPr>
              <w:t>Some wider benefits to society</w:t>
            </w:r>
          </w:p>
        </w:tc>
      </w:tr>
      <w:tr w:rsidR="005135CB" w:rsidRPr="002260A7" w14:paraId="025AC993" w14:textId="77777777" w:rsidTr="000A538D">
        <w:trPr>
          <w:jc w:val="center"/>
        </w:trPr>
        <w:tc>
          <w:tcPr>
            <w:tcW w:w="1649" w:type="dxa"/>
            <w:vMerge/>
            <w:tcMar>
              <w:top w:w="57" w:type="dxa"/>
              <w:bottom w:w="57" w:type="dxa"/>
            </w:tcMar>
          </w:tcPr>
          <w:p w14:paraId="0DF1ED28" w14:textId="77777777" w:rsidR="005135CB" w:rsidRPr="002260A7" w:rsidRDefault="005135CB" w:rsidP="000A538D">
            <w:pPr>
              <w:spacing w:before="0" w:after="0"/>
              <w:ind w:left="0"/>
              <w:rPr>
                <w:rFonts w:cstheme="minorHAnsi"/>
                <w:sz w:val="18"/>
                <w:szCs w:val="18"/>
              </w:rPr>
            </w:pPr>
          </w:p>
        </w:tc>
        <w:tc>
          <w:tcPr>
            <w:tcW w:w="677" w:type="dxa"/>
            <w:tcMar>
              <w:top w:w="57" w:type="dxa"/>
              <w:bottom w:w="57" w:type="dxa"/>
            </w:tcMar>
          </w:tcPr>
          <w:p w14:paraId="1523C8D6" w14:textId="77777777" w:rsidR="005135CB" w:rsidRPr="002260A7" w:rsidRDefault="005135CB" w:rsidP="000A538D">
            <w:pPr>
              <w:spacing w:before="0" w:after="0"/>
              <w:ind w:left="0"/>
              <w:rPr>
                <w:rFonts w:cstheme="minorHAnsi"/>
                <w:sz w:val="18"/>
                <w:szCs w:val="18"/>
              </w:rPr>
            </w:pPr>
            <w:r>
              <w:rPr>
                <w:rFonts w:cstheme="minorHAnsi"/>
                <w:sz w:val="18"/>
                <w:szCs w:val="18"/>
              </w:rPr>
              <w:t>4.2</w:t>
            </w:r>
          </w:p>
        </w:tc>
        <w:tc>
          <w:tcPr>
            <w:tcW w:w="3198" w:type="dxa"/>
            <w:tcMar>
              <w:top w:w="57" w:type="dxa"/>
              <w:bottom w:w="57" w:type="dxa"/>
            </w:tcMar>
          </w:tcPr>
          <w:p w14:paraId="18DC8127"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There is no impact on delivering sustainability targets</w:t>
            </w:r>
            <w:r>
              <w:rPr>
                <w:rFonts w:eastAsia="Times New Roman" w:cstheme="minorHAnsi"/>
                <w:color w:val="auto"/>
                <w:sz w:val="18"/>
                <w:szCs w:val="18"/>
                <w:lang w:val="en-US" w:eastAsia="en-GB"/>
              </w:rPr>
              <w:t xml:space="preserve"> / carbon footprint targets.</w:t>
            </w:r>
          </w:p>
        </w:tc>
        <w:tc>
          <w:tcPr>
            <w:tcW w:w="2991" w:type="dxa"/>
            <w:tcMar>
              <w:top w:w="57" w:type="dxa"/>
              <w:bottom w:w="57" w:type="dxa"/>
            </w:tcMar>
          </w:tcPr>
          <w:p w14:paraId="5E536C9D"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There is minimal potential impact on sustainability targets</w:t>
            </w:r>
            <w:r>
              <w:rPr>
                <w:rFonts w:eastAsia="Times New Roman" w:cstheme="minorHAnsi"/>
                <w:color w:val="auto"/>
                <w:sz w:val="18"/>
                <w:szCs w:val="18"/>
                <w:lang w:val="en-US" w:eastAsia="en-GB"/>
              </w:rPr>
              <w:t xml:space="preserve"> / carbon footprint</w:t>
            </w:r>
            <w:r w:rsidRPr="002260A7">
              <w:rPr>
                <w:rFonts w:eastAsia="Times New Roman" w:cstheme="minorHAnsi"/>
                <w:color w:val="auto"/>
                <w:sz w:val="18"/>
                <w:szCs w:val="18"/>
                <w:lang w:val="en-US" w:eastAsia="en-GB"/>
              </w:rPr>
              <w:t>.</w:t>
            </w:r>
          </w:p>
        </w:tc>
        <w:tc>
          <w:tcPr>
            <w:tcW w:w="3396" w:type="dxa"/>
            <w:tcMar>
              <w:top w:w="57" w:type="dxa"/>
              <w:bottom w:w="57" w:type="dxa"/>
            </w:tcMar>
          </w:tcPr>
          <w:p w14:paraId="417AACC2"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There is a good potential impact on sustainability targets and reducing carbon footprint.</w:t>
            </w:r>
          </w:p>
        </w:tc>
        <w:tc>
          <w:tcPr>
            <w:tcW w:w="3393" w:type="dxa"/>
            <w:tcMar>
              <w:top w:w="57" w:type="dxa"/>
              <w:bottom w:w="57" w:type="dxa"/>
            </w:tcMar>
          </w:tcPr>
          <w:p w14:paraId="1A4273A2" w14:textId="77777777" w:rsidR="005135CB" w:rsidRPr="002260A7" w:rsidRDefault="005135CB" w:rsidP="000A538D">
            <w:pPr>
              <w:spacing w:before="0" w:after="0"/>
              <w:ind w:left="0"/>
              <w:rPr>
                <w:rFonts w:eastAsia="Times New Roman" w:cstheme="minorHAnsi"/>
                <w:color w:val="auto"/>
                <w:sz w:val="18"/>
                <w:szCs w:val="18"/>
                <w:lang w:val="en-US" w:eastAsia="en-GB"/>
              </w:rPr>
            </w:pPr>
            <w:r w:rsidRPr="002260A7">
              <w:rPr>
                <w:rFonts w:eastAsia="Times New Roman" w:cstheme="minorHAnsi"/>
                <w:color w:val="auto"/>
                <w:sz w:val="18"/>
                <w:szCs w:val="18"/>
                <w:lang w:val="en-US" w:eastAsia="en-GB"/>
              </w:rPr>
              <w:t>This is a significant impact on the delivery of sustainability targets / a noticeable step change in carbon footprint.</w:t>
            </w:r>
          </w:p>
        </w:tc>
      </w:tr>
    </w:tbl>
    <w:p w14:paraId="7C2662F2" w14:textId="77777777" w:rsidR="00DC1DD7" w:rsidRDefault="00DC1DD7">
      <w:pPr>
        <w:spacing w:before="0" w:after="0"/>
        <w:ind w:left="0"/>
        <w:rPr>
          <w:rFonts w:ascii="Arial" w:eastAsiaTheme="majorEastAsia" w:hAnsi="Arial" w:cs="Times New Roman"/>
          <w:b/>
          <w:color w:val="005EB8"/>
          <w:sz w:val="32"/>
          <w:szCs w:val="26"/>
        </w:rPr>
      </w:pPr>
      <w:r>
        <w:rPr>
          <w:rFonts w:eastAsiaTheme="majorEastAsia"/>
        </w:rPr>
        <w:br w:type="page"/>
      </w:r>
    </w:p>
    <w:p w14:paraId="08A4C210" w14:textId="7F22FBE4" w:rsidR="00D477A4" w:rsidRDefault="00502A0B" w:rsidP="00C72E24">
      <w:pPr>
        <w:pStyle w:val="Heading2"/>
        <w:numPr>
          <w:ilvl w:val="0"/>
          <w:numId w:val="0"/>
        </w:numPr>
        <w:ind w:left="1134" w:hanging="1134"/>
        <w:rPr>
          <w:rFonts w:eastAsiaTheme="majorEastAsia"/>
        </w:rPr>
      </w:pPr>
      <w:bookmarkStart w:id="118" w:name="_Toc213919835"/>
      <w:r>
        <w:rPr>
          <w:rFonts w:eastAsiaTheme="majorEastAsia"/>
        </w:rPr>
        <w:lastRenderedPageBreak/>
        <w:t>Appendix G – Role of Committees in Decision Making</w:t>
      </w:r>
      <w:bookmarkEnd w:id="118"/>
    </w:p>
    <w:p w14:paraId="1023B6AF" w14:textId="77777777" w:rsidR="00502A0B" w:rsidRDefault="00502A0B" w:rsidP="00CB79FC">
      <w:pPr>
        <w:spacing w:before="0" w:after="0"/>
        <w:ind w:left="0"/>
        <w:rPr>
          <w:rFonts w:ascii="Arial" w:eastAsiaTheme="majorEastAsia" w:hAnsi="Arial" w:cs="Arial"/>
          <w:b/>
          <w:color w:val="005EB8" w:themeColor="accent2"/>
          <w:sz w:val="32"/>
          <w:szCs w:val="26"/>
        </w:rPr>
      </w:pPr>
    </w:p>
    <w:tbl>
      <w:tblPr>
        <w:tblStyle w:val="TableGrid2"/>
        <w:tblW w:w="0" w:type="auto"/>
        <w:tblLook w:val="0420" w:firstRow="1" w:lastRow="0" w:firstColumn="0" w:lastColumn="0" w:noHBand="0" w:noVBand="1"/>
      </w:tblPr>
      <w:tblGrid>
        <w:gridCol w:w="2592"/>
        <w:gridCol w:w="1525"/>
        <w:gridCol w:w="9354"/>
      </w:tblGrid>
      <w:tr w:rsidR="005A7C2C" w:rsidRPr="008458A7" w14:paraId="2C54D060" w14:textId="77777777" w:rsidTr="0098283B">
        <w:tc>
          <w:tcPr>
            <w:tcW w:w="0" w:type="auto"/>
            <w:hideMark/>
          </w:tcPr>
          <w:p w14:paraId="6DA46479" w14:textId="77777777" w:rsidR="005A7C2C" w:rsidRPr="008458A7" w:rsidRDefault="005A7C2C" w:rsidP="005A7C2C">
            <w:pPr>
              <w:spacing w:before="0" w:after="0" w:line="259" w:lineRule="auto"/>
              <w:ind w:left="0"/>
            </w:pPr>
            <w:r w:rsidRPr="008458A7">
              <w:rPr>
                <w:b/>
                <w:bCs/>
              </w:rPr>
              <w:t>Committee / Group</w:t>
            </w:r>
          </w:p>
        </w:tc>
        <w:tc>
          <w:tcPr>
            <w:tcW w:w="0" w:type="auto"/>
            <w:hideMark/>
          </w:tcPr>
          <w:p w14:paraId="56AF75DC" w14:textId="77777777" w:rsidR="005A7C2C" w:rsidRPr="008458A7" w:rsidRDefault="005A7C2C" w:rsidP="005A7C2C">
            <w:pPr>
              <w:spacing w:before="0" w:after="0" w:line="259" w:lineRule="auto"/>
              <w:ind w:left="0"/>
            </w:pPr>
            <w:r w:rsidRPr="008458A7">
              <w:rPr>
                <w:b/>
                <w:bCs/>
              </w:rPr>
              <w:t>Type</w:t>
            </w:r>
          </w:p>
        </w:tc>
        <w:tc>
          <w:tcPr>
            <w:tcW w:w="0" w:type="auto"/>
            <w:hideMark/>
          </w:tcPr>
          <w:p w14:paraId="24495529" w14:textId="77777777" w:rsidR="005A7C2C" w:rsidRPr="008458A7" w:rsidRDefault="005A7C2C" w:rsidP="005A7C2C">
            <w:pPr>
              <w:spacing w:before="0" w:after="0" w:line="259" w:lineRule="auto"/>
              <w:ind w:left="0"/>
            </w:pPr>
            <w:r w:rsidRPr="008458A7">
              <w:rPr>
                <w:b/>
                <w:bCs/>
              </w:rPr>
              <w:t>Purpose</w:t>
            </w:r>
          </w:p>
        </w:tc>
      </w:tr>
      <w:tr w:rsidR="005A7C2C" w:rsidRPr="008458A7" w14:paraId="1021923C" w14:textId="77777777" w:rsidTr="0098283B">
        <w:tc>
          <w:tcPr>
            <w:tcW w:w="0" w:type="auto"/>
            <w:hideMark/>
          </w:tcPr>
          <w:p w14:paraId="4CCABB7B" w14:textId="77777777" w:rsidR="005A7C2C" w:rsidRPr="008458A7" w:rsidRDefault="005A7C2C" w:rsidP="005A7C2C">
            <w:pPr>
              <w:spacing w:before="0" w:after="0" w:line="259" w:lineRule="auto"/>
              <w:ind w:left="0"/>
            </w:pPr>
            <w:r w:rsidRPr="008458A7">
              <w:t xml:space="preserve">ICB Board </w:t>
            </w:r>
          </w:p>
        </w:tc>
        <w:tc>
          <w:tcPr>
            <w:tcW w:w="0" w:type="auto"/>
            <w:hideMark/>
          </w:tcPr>
          <w:p w14:paraId="188737E6" w14:textId="77777777" w:rsidR="005A7C2C" w:rsidRPr="008458A7" w:rsidRDefault="005A7C2C" w:rsidP="005A7C2C">
            <w:pPr>
              <w:spacing w:before="0" w:after="0" w:line="259" w:lineRule="auto"/>
              <w:ind w:left="0"/>
            </w:pPr>
            <w:r w:rsidRPr="008458A7">
              <w:t>Decision</w:t>
            </w:r>
          </w:p>
          <w:p w14:paraId="167840B5" w14:textId="77777777" w:rsidR="005A7C2C" w:rsidRPr="008458A7" w:rsidRDefault="005A7C2C" w:rsidP="005A7C2C">
            <w:pPr>
              <w:spacing w:before="0" w:after="0" w:line="259" w:lineRule="auto"/>
              <w:ind w:left="0"/>
            </w:pPr>
            <w:r w:rsidRPr="008458A7">
              <w:t>Statutory</w:t>
            </w:r>
          </w:p>
        </w:tc>
        <w:tc>
          <w:tcPr>
            <w:tcW w:w="0" w:type="auto"/>
            <w:hideMark/>
          </w:tcPr>
          <w:p w14:paraId="1E57248A" w14:textId="432DCF37" w:rsidR="005A7C2C" w:rsidRPr="008458A7" w:rsidRDefault="005A7C2C" w:rsidP="005A7C2C">
            <w:pPr>
              <w:spacing w:before="0" w:after="0" w:line="259" w:lineRule="auto"/>
              <w:ind w:left="0"/>
            </w:pPr>
            <w:r w:rsidRPr="008458A7">
              <w:t>Responsible for overall governance of ICB and maintains responsibility for approving business cases/investment decisions &gt;£</w:t>
            </w:r>
            <w:r w:rsidR="0057314F">
              <w:t>10</w:t>
            </w:r>
            <w:r w:rsidRPr="008458A7">
              <w:t>m (within agreed budgets) / &gt;£2.5m (with no budgetary provision).</w:t>
            </w:r>
          </w:p>
        </w:tc>
      </w:tr>
      <w:tr w:rsidR="005A7C2C" w:rsidRPr="008458A7" w14:paraId="477B55E2" w14:textId="77777777" w:rsidTr="0098283B">
        <w:tc>
          <w:tcPr>
            <w:tcW w:w="0" w:type="auto"/>
            <w:hideMark/>
          </w:tcPr>
          <w:p w14:paraId="72F3C1F0" w14:textId="12EDC447" w:rsidR="005A7C2C" w:rsidRPr="008458A7" w:rsidRDefault="005A7C2C" w:rsidP="005A7C2C">
            <w:pPr>
              <w:spacing w:before="0" w:after="0" w:line="259" w:lineRule="auto"/>
              <w:ind w:left="0"/>
            </w:pPr>
            <w:r w:rsidRPr="008458A7">
              <w:t xml:space="preserve">Finance &amp; </w:t>
            </w:r>
            <w:r w:rsidR="00C71729">
              <w:t>Performance</w:t>
            </w:r>
            <w:r w:rsidR="00C71729" w:rsidRPr="008458A7">
              <w:t xml:space="preserve"> </w:t>
            </w:r>
            <w:r w:rsidRPr="008458A7">
              <w:t>Committee (F&amp;</w:t>
            </w:r>
            <w:r w:rsidR="00C71729">
              <w:t>P</w:t>
            </w:r>
            <w:r w:rsidRPr="008458A7">
              <w:t xml:space="preserve">C) </w:t>
            </w:r>
          </w:p>
        </w:tc>
        <w:tc>
          <w:tcPr>
            <w:tcW w:w="0" w:type="auto"/>
            <w:hideMark/>
          </w:tcPr>
          <w:p w14:paraId="0C641298" w14:textId="77777777" w:rsidR="005A7C2C" w:rsidRPr="008458A7" w:rsidRDefault="005A7C2C" w:rsidP="005A7C2C">
            <w:pPr>
              <w:spacing w:before="0" w:after="0" w:line="259" w:lineRule="auto"/>
              <w:ind w:left="0"/>
            </w:pPr>
            <w:r w:rsidRPr="008458A7">
              <w:t>Decision</w:t>
            </w:r>
          </w:p>
        </w:tc>
        <w:tc>
          <w:tcPr>
            <w:tcW w:w="0" w:type="auto"/>
            <w:hideMark/>
          </w:tcPr>
          <w:p w14:paraId="762A152D" w14:textId="75B0B8C5" w:rsidR="005A7C2C" w:rsidRPr="008458A7" w:rsidRDefault="005A7C2C" w:rsidP="005A7C2C">
            <w:pPr>
              <w:spacing w:before="0" w:after="0" w:line="259" w:lineRule="auto"/>
              <w:ind w:left="0"/>
            </w:pPr>
            <w:r w:rsidRPr="008458A7">
              <w:t>Responsible for overseeing financial management/performance and for approving business cases/investment decisions between £</w:t>
            </w:r>
            <w:r w:rsidR="00C71729">
              <w:t>5</w:t>
            </w:r>
            <w:r w:rsidRPr="008458A7">
              <w:t>m-£</w:t>
            </w:r>
            <w:r w:rsidR="00C71729">
              <w:t>10</w:t>
            </w:r>
            <w:r w:rsidRPr="008458A7">
              <w:t>m (within agreed budgets) / £</w:t>
            </w:r>
            <w:r w:rsidR="0057314F">
              <w:t>100</w:t>
            </w:r>
            <w:r w:rsidRPr="008458A7">
              <w:t>0k-£2.5m (with no budgetary provision).</w:t>
            </w:r>
          </w:p>
        </w:tc>
      </w:tr>
      <w:tr w:rsidR="005A7C2C" w:rsidRPr="008458A7" w14:paraId="3F2B259E" w14:textId="77777777" w:rsidTr="0098283B">
        <w:tc>
          <w:tcPr>
            <w:tcW w:w="0" w:type="auto"/>
            <w:hideMark/>
          </w:tcPr>
          <w:p w14:paraId="619AA6BA" w14:textId="77777777" w:rsidR="005A7C2C" w:rsidRPr="008458A7" w:rsidRDefault="005A7C2C" w:rsidP="005A7C2C">
            <w:pPr>
              <w:spacing w:before="0" w:after="0" w:line="259" w:lineRule="auto"/>
              <w:ind w:left="0"/>
            </w:pPr>
            <w:r w:rsidRPr="008458A7">
              <w:t xml:space="preserve">Quality Committee </w:t>
            </w:r>
          </w:p>
        </w:tc>
        <w:tc>
          <w:tcPr>
            <w:tcW w:w="0" w:type="auto"/>
            <w:hideMark/>
          </w:tcPr>
          <w:p w14:paraId="04FB0F6E" w14:textId="77777777" w:rsidR="005A7C2C" w:rsidRPr="008458A7" w:rsidRDefault="005A7C2C" w:rsidP="005A7C2C">
            <w:pPr>
              <w:spacing w:before="0" w:after="0" w:line="259" w:lineRule="auto"/>
              <w:ind w:left="0"/>
            </w:pPr>
            <w:r w:rsidRPr="008458A7">
              <w:t>Assurance</w:t>
            </w:r>
          </w:p>
        </w:tc>
        <w:tc>
          <w:tcPr>
            <w:tcW w:w="0" w:type="auto"/>
            <w:hideMark/>
          </w:tcPr>
          <w:p w14:paraId="2E8BAAFB" w14:textId="77777777" w:rsidR="005A7C2C" w:rsidRPr="008458A7" w:rsidRDefault="005A7C2C" w:rsidP="005A7C2C">
            <w:pPr>
              <w:spacing w:before="0" w:after="0" w:line="259" w:lineRule="auto"/>
              <w:ind w:left="0"/>
            </w:pPr>
            <w:r w:rsidRPr="008458A7">
              <w:t>Responsible for overseeing continued improvement in the quality of services, quality governance and oversight of Equality/Health Inequality Impact Assessments e.g. in support of business cases, ensuring they are adequately governed.</w:t>
            </w:r>
          </w:p>
        </w:tc>
      </w:tr>
      <w:tr w:rsidR="005A7C2C" w:rsidRPr="008458A7" w14:paraId="159B21D8" w14:textId="77777777" w:rsidTr="0098283B">
        <w:tc>
          <w:tcPr>
            <w:tcW w:w="0" w:type="auto"/>
            <w:hideMark/>
          </w:tcPr>
          <w:p w14:paraId="754EEE58" w14:textId="77777777" w:rsidR="005A7C2C" w:rsidRPr="008458A7" w:rsidRDefault="005A7C2C" w:rsidP="005A7C2C">
            <w:pPr>
              <w:spacing w:before="0" w:after="0" w:line="259" w:lineRule="auto"/>
              <w:ind w:left="0"/>
            </w:pPr>
            <w:r w:rsidRPr="008458A7">
              <w:t>Clinical &amp; Multi-Professional Congress (</w:t>
            </w:r>
            <w:proofErr w:type="spellStart"/>
            <w:r w:rsidRPr="008458A7">
              <w:t>CLiMP</w:t>
            </w:r>
            <w:proofErr w:type="spellEnd"/>
            <w:r w:rsidRPr="008458A7">
              <w:t xml:space="preserve">) </w:t>
            </w:r>
          </w:p>
        </w:tc>
        <w:tc>
          <w:tcPr>
            <w:tcW w:w="0" w:type="auto"/>
            <w:hideMark/>
          </w:tcPr>
          <w:p w14:paraId="701A9EE7" w14:textId="77777777" w:rsidR="005A7C2C" w:rsidRPr="008458A7" w:rsidRDefault="005A7C2C" w:rsidP="005A7C2C">
            <w:pPr>
              <w:spacing w:before="0" w:after="0" w:line="259" w:lineRule="auto"/>
              <w:ind w:left="0"/>
            </w:pPr>
            <w:r w:rsidRPr="008458A7">
              <w:t>Advisory</w:t>
            </w:r>
          </w:p>
        </w:tc>
        <w:tc>
          <w:tcPr>
            <w:tcW w:w="0" w:type="auto"/>
            <w:hideMark/>
          </w:tcPr>
          <w:p w14:paraId="484EE45A" w14:textId="77777777" w:rsidR="005A7C2C" w:rsidRPr="008458A7" w:rsidRDefault="005A7C2C" w:rsidP="005A7C2C">
            <w:pPr>
              <w:spacing w:before="0" w:after="0" w:line="259" w:lineRule="auto"/>
              <w:ind w:left="0"/>
            </w:pPr>
            <w:r w:rsidRPr="008458A7">
              <w:t>Advisory committee driving the identification and delivery of transformation programmes across the ICS; providing clinical and professional scrutiny; acting as a sounding Board of multi-professionals across health and care sectors.  Clinical advice to major cases.</w:t>
            </w:r>
          </w:p>
        </w:tc>
      </w:tr>
      <w:tr w:rsidR="005A7C2C" w:rsidRPr="008458A7" w14:paraId="1EE0709D" w14:textId="77777777" w:rsidTr="0098283B">
        <w:tc>
          <w:tcPr>
            <w:tcW w:w="0" w:type="auto"/>
            <w:hideMark/>
          </w:tcPr>
          <w:p w14:paraId="7B6E2A71" w14:textId="77777777" w:rsidR="005A7C2C" w:rsidRPr="008458A7" w:rsidRDefault="005A7C2C" w:rsidP="005A7C2C">
            <w:pPr>
              <w:spacing w:before="0" w:after="0" w:line="259" w:lineRule="auto"/>
              <w:ind w:left="0"/>
            </w:pPr>
            <w:r w:rsidRPr="008458A7">
              <w:t xml:space="preserve">Primary Care Commissioning Committee (PCCC) </w:t>
            </w:r>
          </w:p>
        </w:tc>
        <w:tc>
          <w:tcPr>
            <w:tcW w:w="0" w:type="auto"/>
            <w:hideMark/>
          </w:tcPr>
          <w:p w14:paraId="4C5F1C1F" w14:textId="77777777" w:rsidR="005A7C2C" w:rsidRPr="008458A7" w:rsidRDefault="005A7C2C" w:rsidP="005A7C2C">
            <w:pPr>
              <w:spacing w:before="0" w:after="0" w:line="259" w:lineRule="auto"/>
              <w:ind w:left="0"/>
            </w:pPr>
            <w:r w:rsidRPr="008458A7">
              <w:t>Decision</w:t>
            </w:r>
          </w:p>
        </w:tc>
        <w:tc>
          <w:tcPr>
            <w:tcW w:w="0" w:type="auto"/>
            <w:hideMark/>
          </w:tcPr>
          <w:p w14:paraId="77C6C0D4" w14:textId="58414A79" w:rsidR="005A7C2C" w:rsidRPr="008458A7" w:rsidRDefault="005A7C2C" w:rsidP="005A7C2C">
            <w:pPr>
              <w:spacing w:before="0" w:after="0" w:line="259" w:lineRule="auto"/>
              <w:ind w:left="0"/>
            </w:pPr>
            <w:r w:rsidRPr="008458A7">
              <w:t>Decision making committee in relation to the ICB’s delegated functions for Primary Care.  Approval of core contractual investments (including Primary Care estate)</w:t>
            </w:r>
            <w:r w:rsidR="000B4EB4">
              <w:t xml:space="preserve"> between the value </w:t>
            </w:r>
            <w:proofErr w:type="gramStart"/>
            <w:r w:rsidR="000B4EB4">
              <w:t xml:space="preserve">of </w:t>
            </w:r>
            <w:r w:rsidRPr="008458A7">
              <w:t>.</w:t>
            </w:r>
            <w:proofErr w:type="gramEnd"/>
          </w:p>
        </w:tc>
      </w:tr>
      <w:tr w:rsidR="005A7C2C" w:rsidRPr="008458A7" w14:paraId="53428A94" w14:textId="77777777" w:rsidTr="0098283B">
        <w:tc>
          <w:tcPr>
            <w:tcW w:w="0" w:type="auto"/>
            <w:hideMark/>
          </w:tcPr>
          <w:p w14:paraId="234D0A95" w14:textId="6EBCD9DD" w:rsidR="005A7C2C" w:rsidRPr="008458A7" w:rsidRDefault="00DA4DD2" w:rsidP="005A7C2C">
            <w:pPr>
              <w:spacing w:before="0" w:after="0" w:line="259" w:lineRule="auto"/>
              <w:ind w:left="0"/>
            </w:pPr>
            <w:r>
              <w:t>ICB Operational Group</w:t>
            </w:r>
            <w:r w:rsidR="005A7C2C" w:rsidRPr="008458A7">
              <w:t xml:space="preserve"> (</w:t>
            </w:r>
            <w:r>
              <w:t>IOG</w:t>
            </w:r>
            <w:r w:rsidR="005A7C2C" w:rsidRPr="008458A7">
              <w:t xml:space="preserve">) </w:t>
            </w:r>
          </w:p>
        </w:tc>
        <w:tc>
          <w:tcPr>
            <w:tcW w:w="0" w:type="auto"/>
            <w:hideMark/>
          </w:tcPr>
          <w:p w14:paraId="5D9BBDE9" w14:textId="77777777" w:rsidR="005A7C2C" w:rsidRPr="008458A7" w:rsidRDefault="005A7C2C" w:rsidP="005A7C2C">
            <w:pPr>
              <w:spacing w:before="0" w:after="0" w:line="259" w:lineRule="auto"/>
              <w:ind w:left="0"/>
            </w:pPr>
            <w:r w:rsidRPr="008458A7">
              <w:t>Advisory</w:t>
            </w:r>
          </w:p>
          <w:p w14:paraId="3AD16DEF" w14:textId="77777777" w:rsidR="005A7C2C" w:rsidRPr="008458A7" w:rsidRDefault="005A7C2C" w:rsidP="005A7C2C">
            <w:pPr>
              <w:spacing w:before="0" w:after="0" w:line="259" w:lineRule="auto"/>
              <w:ind w:left="0"/>
            </w:pPr>
            <w:r w:rsidRPr="008458A7">
              <w:t>Endorsement</w:t>
            </w:r>
          </w:p>
        </w:tc>
        <w:tc>
          <w:tcPr>
            <w:tcW w:w="0" w:type="auto"/>
            <w:hideMark/>
          </w:tcPr>
          <w:p w14:paraId="0F733EF2" w14:textId="16041470" w:rsidR="005A7C2C" w:rsidRPr="008458A7" w:rsidRDefault="005A7C2C" w:rsidP="005A7C2C">
            <w:pPr>
              <w:spacing w:before="0" w:after="0" w:line="259" w:lineRule="auto"/>
              <w:ind w:left="0"/>
            </w:pPr>
            <w:r w:rsidRPr="008458A7">
              <w:t xml:space="preserve">Executive Officer direct line reports from Directorates across ICB, providing insight and guidance to development of ICB business and achievement of ICB objectives.  Functions as the operational “engine room” of the ICB.  All expenditure exceeding £50k must be ‘approved in principle’ by the </w:t>
            </w:r>
            <w:r w:rsidR="00DA4DD2">
              <w:t>IOG</w:t>
            </w:r>
            <w:r w:rsidRPr="008458A7">
              <w:t>.</w:t>
            </w:r>
          </w:p>
        </w:tc>
      </w:tr>
      <w:tr w:rsidR="005A7C2C" w:rsidRPr="008458A7" w14:paraId="2F6B06A5" w14:textId="77777777" w:rsidTr="0098283B">
        <w:tc>
          <w:tcPr>
            <w:tcW w:w="0" w:type="auto"/>
            <w:hideMark/>
          </w:tcPr>
          <w:p w14:paraId="2A457A1E" w14:textId="77777777" w:rsidR="005A7C2C" w:rsidRPr="008458A7" w:rsidRDefault="005A7C2C" w:rsidP="005A7C2C">
            <w:pPr>
              <w:spacing w:before="0" w:after="0" w:line="259" w:lineRule="auto"/>
              <w:ind w:left="0"/>
            </w:pPr>
            <w:r w:rsidRPr="008458A7">
              <w:t xml:space="preserve">Stewardship Groups </w:t>
            </w:r>
          </w:p>
        </w:tc>
        <w:tc>
          <w:tcPr>
            <w:tcW w:w="0" w:type="auto"/>
            <w:hideMark/>
          </w:tcPr>
          <w:p w14:paraId="466AA232" w14:textId="77777777" w:rsidR="005A7C2C" w:rsidRPr="008458A7" w:rsidRDefault="005A7C2C" w:rsidP="005A7C2C">
            <w:pPr>
              <w:spacing w:before="0" w:after="0" w:line="259" w:lineRule="auto"/>
              <w:ind w:left="0"/>
            </w:pPr>
            <w:r w:rsidRPr="008458A7">
              <w:t>Advisory</w:t>
            </w:r>
          </w:p>
          <w:p w14:paraId="03DD3514" w14:textId="77777777" w:rsidR="005A7C2C" w:rsidRPr="008458A7" w:rsidRDefault="005A7C2C" w:rsidP="005A7C2C">
            <w:pPr>
              <w:spacing w:before="0" w:after="0" w:line="259" w:lineRule="auto"/>
              <w:ind w:left="0"/>
            </w:pPr>
            <w:r w:rsidRPr="008458A7">
              <w:t>Endorsement</w:t>
            </w:r>
          </w:p>
        </w:tc>
        <w:tc>
          <w:tcPr>
            <w:tcW w:w="0" w:type="auto"/>
            <w:hideMark/>
          </w:tcPr>
          <w:p w14:paraId="5849FCBB" w14:textId="77777777" w:rsidR="005A7C2C" w:rsidRPr="008458A7" w:rsidRDefault="005A7C2C" w:rsidP="005A7C2C">
            <w:pPr>
              <w:spacing w:before="0" w:after="0" w:line="259" w:lineRule="auto"/>
              <w:ind w:left="0"/>
            </w:pPr>
            <w:r w:rsidRPr="008458A7">
              <w:t>Targeted groups overseeing and innovating to ensure the ICB achieves the Triple Aim.</w:t>
            </w:r>
          </w:p>
          <w:p w14:paraId="2971822E" w14:textId="77777777" w:rsidR="005A7C2C" w:rsidRPr="008458A7" w:rsidRDefault="005A7C2C" w:rsidP="005A7C2C">
            <w:pPr>
              <w:spacing w:before="0" w:after="0" w:line="259" w:lineRule="auto"/>
              <w:ind w:left="0"/>
            </w:pPr>
            <w:r w:rsidRPr="008458A7">
              <w:t>Respiratory, Cardiology, Cancer, Stroke, UEC, Ageing Well – currently established</w:t>
            </w:r>
            <w:r>
              <w:t>.</w:t>
            </w:r>
          </w:p>
          <w:p w14:paraId="029BD5F0" w14:textId="77777777" w:rsidR="005A7C2C" w:rsidRPr="008458A7" w:rsidRDefault="005A7C2C" w:rsidP="005A7C2C">
            <w:pPr>
              <w:spacing w:before="0" w:after="0" w:line="259" w:lineRule="auto"/>
              <w:ind w:left="0"/>
            </w:pPr>
            <w:r w:rsidRPr="008458A7">
              <w:t>Diabetes, Dermatology, Ophthalmology, MSK, CYP, Mental Health – being developed.</w:t>
            </w:r>
          </w:p>
        </w:tc>
      </w:tr>
      <w:tr w:rsidR="005A7C2C" w:rsidRPr="008458A7" w14:paraId="2502D933" w14:textId="77777777" w:rsidTr="0098283B">
        <w:tc>
          <w:tcPr>
            <w:tcW w:w="0" w:type="auto"/>
            <w:hideMark/>
          </w:tcPr>
          <w:p w14:paraId="37EAB319" w14:textId="77777777" w:rsidR="005A7C2C" w:rsidRPr="008458A7" w:rsidRDefault="005A7C2C" w:rsidP="005A7C2C">
            <w:pPr>
              <w:spacing w:before="0" w:after="0" w:line="259" w:lineRule="auto"/>
              <w:ind w:left="0"/>
            </w:pPr>
            <w:r w:rsidRPr="008458A7">
              <w:t xml:space="preserve">Health Overview and Scrutiny Committees (HOSC) </w:t>
            </w:r>
          </w:p>
        </w:tc>
        <w:tc>
          <w:tcPr>
            <w:tcW w:w="0" w:type="auto"/>
            <w:hideMark/>
          </w:tcPr>
          <w:p w14:paraId="41E597AE" w14:textId="77777777" w:rsidR="005A7C2C" w:rsidRPr="008458A7" w:rsidRDefault="005A7C2C" w:rsidP="005A7C2C">
            <w:pPr>
              <w:spacing w:before="0" w:after="0" w:line="259" w:lineRule="auto"/>
              <w:ind w:left="0"/>
            </w:pPr>
            <w:r w:rsidRPr="008458A7">
              <w:t>Statutory</w:t>
            </w:r>
          </w:p>
        </w:tc>
        <w:tc>
          <w:tcPr>
            <w:tcW w:w="0" w:type="auto"/>
            <w:hideMark/>
          </w:tcPr>
          <w:p w14:paraId="1FF8C0A2" w14:textId="77777777" w:rsidR="005A7C2C" w:rsidRPr="008458A7" w:rsidRDefault="005A7C2C" w:rsidP="005A7C2C">
            <w:pPr>
              <w:spacing w:before="0" w:after="0" w:line="259" w:lineRule="auto"/>
              <w:ind w:left="0"/>
            </w:pPr>
            <w:r w:rsidRPr="008458A7">
              <w:t>Statutory committee with overview / scrutiny of health decisions.  To be consulted regarding significant change.  Power to refer decisions to the Secretary of State.</w:t>
            </w:r>
          </w:p>
        </w:tc>
      </w:tr>
      <w:tr w:rsidR="005A7C2C" w:rsidRPr="008458A7" w14:paraId="6FE3B52C" w14:textId="77777777" w:rsidTr="0098283B">
        <w:tc>
          <w:tcPr>
            <w:tcW w:w="0" w:type="auto"/>
            <w:hideMark/>
          </w:tcPr>
          <w:p w14:paraId="795344E7" w14:textId="77777777" w:rsidR="005A7C2C" w:rsidRPr="008458A7" w:rsidRDefault="005A7C2C" w:rsidP="005A7C2C">
            <w:pPr>
              <w:spacing w:before="0" w:after="0" w:line="259" w:lineRule="auto"/>
              <w:ind w:left="0"/>
            </w:pPr>
            <w:r w:rsidRPr="008458A7">
              <w:t xml:space="preserve">Health &amp; Wellbeing Boards (HWB) </w:t>
            </w:r>
          </w:p>
        </w:tc>
        <w:tc>
          <w:tcPr>
            <w:tcW w:w="0" w:type="auto"/>
            <w:hideMark/>
          </w:tcPr>
          <w:p w14:paraId="0A8747C9" w14:textId="77777777" w:rsidR="005A7C2C" w:rsidRPr="008458A7" w:rsidRDefault="005A7C2C" w:rsidP="005A7C2C">
            <w:pPr>
              <w:spacing w:before="0" w:after="0" w:line="259" w:lineRule="auto"/>
              <w:ind w:left="0"/>
            </w:pPr>
            <w:r w:rsidRPr="008458A7">
              <w:t>Statutory</w:t>
            </w:r>
          </w:p>
        </w:tc>
        <w:tc>
          <w:tcPr>
            <w:tcW w:w="0" w:type="auto"/>
            <w:hideMark/>
          </w:tcPr>
          <w:p w14:paraId="02D992DC" w14:textId="77777777" w:rsidR="005A7C2C" w:rsidRPr="008458A7" w:rsidRDefault="005A7C2C" w:rsidP="005A7C2C">
            <w:pPr>
              <w:spacing w:before="0" w:after="0" w:line="259" w:lineRule="auto"/>
              <w:ind w:left="0"/>
            </w:pPr>
            <w:r w:rsidRPr="008458A7">
              <w:t>Overseeing the delivery of the Health and Wellbeing Strategy.  To be consulted regarding significant change.</w:t>
            </w:r>
          </w:p>
        </w:tc>
      </w:tr>
      <w:tr w:rsidR="005A7C2C" w:rsidRPr="008458A7" w14:paraId="2414A507" w14:textId="77777777" w:rsidTr="0098283B">
        <w:tc>
          <w:tcPr>
            <w:tcW w:w="0" w:type="auto"/>
            <w:hideMark/>
          </w:tcPr>
          <w:p w14:paraId="0DAA3C1F" w14:textId="77777777" w:rsidR="005A7C2C" w:rsidRPr="008458A7" w:rsidRDefault="005A7C2C" w:rsidP="005A7C2C">
            <w:pPr>
              <w:spacing w:before="0" w:after="0" w:line="259" w:lineRule="auto"/>
              <w:ind w:left="0"/>
            </w:pPr>
            <w:r w:rsidRPr="008458A7">
              <w:t>Audit Committee</w:t>
            </w:r>
          </w:p>
        </w:tc>
        <w:tc>
          <w:tcPr>
            <w:tcW w:w="0" w:type="auto"/>
            <w:hideMark/>
          </w:tcPr>
          <w:p w14:paraId="56D1214A" w14:textId="77777777" w:rsidR="005A7C2C" w:rsidRPr="008458A7" w:rsidRDefault="005A7C2C" w:rsidP="005A7C2C">
            <w:pPr>
              <w:spacing w:before="0" w:after="0" w:line="259" w:lineRule="auto"/>
              <w:ind w:left="0"/>
            </w:pPr>
            <w:r w:rsidRPr="008458A7">
              <w:t>Assurance</w:t>
            </w:r>
          </w:p>
          <w:p w14:paraId="2FF6FE48" w14:textId="77777777" w:rsidR="005A7C2C" w:rsidRPr="008458A7" w:rsidRDefault="005A7C2C" w:rsidP="005A7C2C">
            <w:pPr>
              <w:spacing w:before="0" w:after="0" w:line="259" w:lineRule="auto"/>
              <w:ind w:left="0"/>
            </w:pPr>
            <w:r w:rsidRPr="008458A7">
              <w:t>Statutory</w:t>
            </w:r>
          </w:p>
        </w:tc>
        <w:tc>
          <w:tcPr>
            <w:tcW w:w="0" w:type="auto"/>
            <w:hideMark/>
          </w:tcPr>
          <w:p w14:paraId="3185E74D" w14:textId="77777777" w:rsidR="005A7C2C" w:rsidRPr="008458A7" w:rsidRDefault="005A7C2C" w:rsidP="005A7C2C">
            <w:pPr>
              <w:spacing w:before="0" w:after="0" w:line="259" w:lineRule="auto"/>
              <w:ind w:left="0"/>
            </w:pPr>
            <w:r w:rsidRPr="008458A7">
              <w:t xml:space="preserve">No </w:t>
            </w:r>
            <w:proofErr w:type="gramStart"/>
            <w:r w:rsidRPr="008458A7">
              <w:t>decision making</w:t>
            </w:r>
            <w:proofErr w:type="gramEnd"/>
            <w:r w:rsidRPr="008458A7">
              <w:t xml:space="preserve"> powers, but responsible for overseeing systems of internal control.</w:t>
            </w:r>
          </w:p>
          <w:p w14:paraId="790731F6" w14:textId="77777777" w:rsidR="005A7C2C" w:rsidRPr="008458A7" w:rsidRDefault="005A7C2C" w:rsidP="005A7C2C">
            <w:pPr>
              <w:spacing w:before="0" w:after="0" w:line="259" w:lineRule="auto"/>
              <w:ind w:left="0"/>
            </w:pPr>
            <w:r w:rsidRPr="008458A7">
              <w:t>All approved waivers must be reported to and scrutinised by the audit committee.</w:t>
            </w:r>
          </w:p>
        </w:tc>
      </w:tr>
      <w:tr w:rsidR="005A7C2C" w:rsidRPr="008458A7" w14:paraId="49E25CCA" w14:textId="77777777" w:rsidTr="0098283B">
        <w:tc>
          <w:tcPr>
            <w:tcW w:w="0" w:type="auto"/>
            <w:hideMark/>
          </w:tcPr>
          <w:p w14:paraId="470BBE5B" w14:textId="77777777" w:rsidR="005A7C2C" w:rsidRPr="008458A7" w:rsidRDefault="005A7C2C" w:rsidP="005A7C2C">
            <w:pPr>
              <w:spacing w:before="0" w:after="0" w:line="259" w:lineRule="auto"/>
              <w:ind w:left="0"/>
            </w:pPr>
            <w:r w:rsidRPr="008458A7">
              <w:lastRenderedPageBreak/>
              <w:t xml:space="preserve">System Oversight &amp; Assurance Committee (SOAC) </w:t>
            </w:r>
          </w:p>
        </w:tc>
        <w:tc>
          <w:tcPr>
            <w:tcW w:w="0" w:type="auto"/>
            <w:hideMark/>
          </w:tcPr>
          <w:p w14:paraId="28928778" w14:textId="77777777" w:rsidR="005A7C2C" w:rsidRPr="008458A7" w:rsidRDefault="005A7C2C" w:rsidP="005A7C2C">
            <w:pPr>
              <w:spacing w:before="0" w:after="0" w:line="259" w:lineRule="auto"/>
              <w:ind w:left="0"/>
            </w:pPr>
            <w:r w:rsidRPr="008458A7">
              <w:t>Assurance</w:t>
            </w:r>
          </w:p>
        </w:tc>
        <w:tc>
          <w:tcPr>
            <w:tcW w:w="0" w:type="auto"/>
            <w:hideMark/>
          </w:tcPr>
          <w:p w14:paraId="1863DB57" w14:textId="778947DC" w:rsidR="005A7C2C" w:rsidRPr="008458A7" w:rsidRDefault="00042979" w:rsidP="005A7C2C">
            <w:pPr>
              <w:spacing w:before="0" w:after="0" w:line="259" w:lineRule="auto"/>
              <w:ind w:left="0"/>
            </w:pPr>
            <w:r>
              <w:t>Receiving escalations of poor performance and service delivery issues or risk/issues impacting on the delivery of ICB/System objectives.</w:t>
            </w:r>
          </w:p>
        </w:tc>
      </w:tr>
      <w:tr w:rsidR="005A7C2C" w:rsidRPr="008458A7" w14:paraId="10161896" w14:textId="77777777" w:rsidTr="0098283B">
        <w:tc>
          <w:tcPr>
            <w:tcW w:w="0" w:type="auto"/>
            <w:hideMark/>
          </w:tcPr>
          <w:p w14:paraId="0C0E9677" w14:textId="47194B5B" w:rsidR="005A7C2C" w:rsidRPr="008458A7" w:rsidRDefault="005A7C2C" w:rsidP="005A7C2C">
            <w:pPr>
              <w:spacing w:before="0" w:after="0" w:line="259" w:lineRule="auto"/>
              <w:ind w:left="0"/>
            </w:pPr>
            <w:r w:rsidRPr="008458A7">
              <w:t xml:space="preserve">ICB Executive </w:t>
            </w:r>
            <w:r w:rsidR="00DA4DD2">
              <w:t>Committee</w:t>
            </w:r>
            <w:r w:rsidRPr="008458A7">
              <w:t xml:space="preserve"> </w:t>
            </w:r>
          </w:p>
        </w:tc>
        <w:tc>
          <w:tcPr>
            <w:tcW w:w="0" w:type="auto"/>
            <w:hideMark/>
          </w:tcPr>
          <w:p w14:paraId="26AF07FB" w14:textId="77777777" w:rsidR="005A7C2C" w:rsidRDefault="005A7C2C" w:rsidP="005A7C2C">
            <w:pPr>
              <w:spacing w:before="0" w:after="0"/>
              <w:ind w:left="0"/>
            </w:pPr>
            <w:r w:rsidRPr="008458A7">
              <w:t>Assurance</w:t>
            </w:r>
          </w:p>
          <w:p w14:paraId="23D1FD3B" w14:textId="77777777" w:rsidR="005A7C2C" w:rsidRPr="008458A7" w:rsidRDefault="005A7C2C" w:rsidP="005A7C2C">
            <w:pPr>
              <w:spacing w:before="0" w:after="0" w:line="259" w:lineRule="auto"/>
              <w:ind w:left="0"/>
              <w:rPr>
                <w:color w:val="auto"/>
              </w:rPr>
            </w:pPr>
            <w:r>
              <w:t>Endorsement</w:t>
            </w:r>
          </w:p>
        </w:tc>
        <w:tc>
          <w:tcPr>
            <w:tcW w:w="0" w:type="auto"/>
            <w:hideMark/>
          </w:tcPr>
          <w:p w14:paraId="49EC7A21" w14:textId="4FA25953" w:rsidR="005A7C2C" w:rsidRPr="008458A7" w:rsidRDefault="005A7C2C" w:rsidP="005A7C2C">
            <w:pPr>
              <w:spacing w:before="0" w:after="0" w:line="259" w:lineRule="auto"/>
              <w:ind w:left="0"/>
            </w:pPr>
            <w:r w:rsidRPr="008458A7">
              <w:t xml:space="preserve">Responsible for delivery of ICB objectives, including performance, quality and financial plans.  It will delegate activities, tasks and mitigations of risks to the </w:t>
            </w:r>
            <w:r w:rsidR="00DA4DD2">
              <w:t>IOG</w:t>
            </w:r>
            <w:r w:rsidRPr="008458A7">
              <w:t xml:space="preserve"> and receive escalations and responses from </w:t>
            </w:r>
            <w:r w:rsidR="00DA4DD2">
              <w:t>IOG</w:t>
            </w:r>
            <w:r w:rsidRPr="008458A7">
              <w:t xml:space="preserve"> in respect of business case proposals.</w:t>
            </w:r>
          </w:p>
        </w:tc>
      </w:tr>
      <w:tr w:rsidR="005A7C2C" w:rsidRPr="008458A7" w14:paraId="4DDEF6D2" w14:textId="77777777" w:rsidTr="0098283B">
        <w:tc>
          <w:tcPr>
            <w:tcW w:w="0" w:type="auto"/>
            <w:hideMark/>
          </w:tcPr>
          <w:p w14:paraId="3AB9E8BE" w14:textId="77777777" w:rsidR="005A7C2C" w:rsidRPr="008458A7" w:rsidRDefault="005A7C2C" w:rsidP="005A7C2C">
            <w:pPr>
              <w:spacing w:before="0" w:after="0" w:line="259" w:lineRule="auto"/>
              <w:ind w:left="0"/>
            </w:pPr>
            <w:r w:rsidRPr="008458A7">
              <w:t>Chief Executives Forum</w:t>
            </w:r>
          </w:p>
        </w:tc>
        <w:tc>
          <w:tcPr>
            <w:tcW w:w="0" w:type="auto"/>
            <w:hideMark/>
          </w:tcPr>
          <w:p w14:paraId="092287FC" w14:textId="77777777" w:rsidR="005A7C2C" w:rsidRDefault="005A7C2C" w:rsidP="005A7C2C">
            <w:pPr>
              <w:spacing w:before="0" w:after="0"/>
              <w:ind w:left="0"/>
            </w:pPr>
            <w:r w:rsidRPr="008458A7">
              <w:t>Assurance</w:t>
            </w:r>
          </w:p>
          <w:p w14:paraId="0CC7828D" w14:textId="77777777" w:rsidR="005A7C2C" w:rsidRPr="008458A7" w:rsidRDefault="005A7C2C" w:rsidP="005A7C2C">
            <w:pPr>
              <w:spacing w:before="0" w:after="0" w:line="259" w:lineRule="auto"/>
              <w:ind w:left="0"/>
              <w:rPr>
                <w:color w:val="auto"/>
              </w:rPr>
            </w:pPr>
            <w:r>
              <w:t>Endorsement</w:t>
            </w:r>
          </w:p>
        </w:tc>
        <w:tc>
          <w:tcPr>
            <w:tcW w:w="0" w:type="auto"/>
            <w:hideMark/>
          </w:tcPr>
          <w:p w14:paraId="5CE810F2" w14:textId="77777777" w:rsidR="005A7C2C" w:rsidRPr="008458A7" w:rsidRDefault="005A7C2C" w:rsidP="005A7C2C">
            <w:pPr>
              <w:spacing w:before="0" w:after="0" w:line="259" w:lineRule="auto"/>
              <w:ind w:left="0"/>
            </w:pPr>
            <w:r w:rsidRPr="008458A7">
              <w:t>Group of Health System Chief Executives/Leaders accountable for the achievement of system objectives.  Will determine and agree system responses to operational, financial and performance challenges.</w:t>
            </w:r>
          </w:p>
        </w:tc>
      </w:tr>
    </w:tbl>
    <w:p w14:paraId="12306A40" w14:textId="77777777" w:rsidR="00502A0B" w:rsidRDefault="00502A0B" w:rsidP="00CB79FC">
      <w:pPr>
        <w:spacing w:before="0" w:after="0"/>
        <w:ind w:left="0"/>
        <w:rPr>
          <w:rFonts w:ascii="Arial" w:eastAsiaTheme="majorEastAsia" w:hAnsi="Arial" w:cs="Arial"/>
          <w:b/>
          <w:color w:val="005EB8" w:themeColor="accent2"/>
          <w:sz w:val="32"/>
          <w:szCs w:val="26"/>
        </w:rPr>
      </w:pPr>
    </w:p>
    <w:p w14:paraId="38366164" w14:textId="77777777" w:rsidR="0013559C" w:rsidRDefault="0013559C" w:rsidP="00CB79FC">
      <w:pPr>
        <w:spacing w:before="0" w:after="0"/>
        <w:ind w:left="0"/>
        <w:rPr>
          <w:rFonts w:ascii="Arial" w:eastAsiaTheme="majorEastAsia" w:hAnsi="Arial" w:cs="Arial"/>
          <w:b/>
          <w:color w:val="005EB8" w:themeColor="accent2"/>
          <w:sz w:val="32"/>
          <w:szCs w:val="26"/>
        </w:rPr>
      </w:pPr>
    </w:p>
    <w:p w14:paraId="3BDEBA54" w14:textId="6A9F0E31" w:rsidR="0013559C" w:rsidRDefault="0013559C">
      <w:pPr>
        <w:spacing w:before="0" w:after="0"/>
        <w:ind w:left="0"/>
        <w:rPr>
          <w:rFonts w:ascii="Arial" w:eastAsiaTheme="majorEastAsia" w:hAnsi="Arial" w:cs="Arial"/>
          <w:b/>
          <w:color w:val="005EB8" w:themeColor="accent2"/>
          <w:sz w:val="32"/>
          <w:szCs w:val="26"/>
        </w:rPr>
      </w:pPr>
      <w:r>
        <w:rPr>
          <w:rFonts w:ascii="Arial" w:eastAsiaTheme="majorEastAsia" w:hAnsi="Arial" w:cs="Arial"/>
          <w:b/>
          <w:color w:val="005EB8" w:themeColor="accent2"/>
          <w:sz w:val="32"/>
          <w:szCs w:val="26"/>
        </w:rPr>
        <w:br w:type="page"/>
      </w:r>
    </w:p>
    <w:p w14:paraId="72F05A4B" w14:textId="392B1254" w:rsidR="0013559C" w:rsidRDefault="0013559C" w:rsidP="00C72E24">
      <w:pPr>
        <w:pStyle w:val="Heading2"/>
        <w:numPr>
          <w:ilvl w:val="0"/>
          <w:numId w:val="0"/>
        </w:numPr>
        <w:ind w:left="1134" w:hanging="1134"/>
        <w:rPr>
          <w:rFonts w:eastAsiaTheme="majorEastAsia"/>
        </w:rPr>
      </w:pPr>
      <w:bookmarkStart w:id="119" w:name="_Toc213919836"/>
      <w:r>
        <w:rPr>
          <w:rFonts w:eastAsiaTheme="majorEastAsia"/>
        </w:rPr>
        <w:lastRenderedPageBreak/>
        <w:t>Appendix H – Business Case Checklist</w:t>
      </w:r>
      <w:bookmarkEnd w:id="119"/>
    </w:p>
    <w:tbl>
      <w:tblPr>
        <w:tblW w:w="13882" w:type="dxa"/>
        <w:tblCellMar>
          <w:left w:w="0" w:type="dxa"/>
          <w:right w:w="0" w:type="dxa"/>
        </w:tblCellMar>
        <w:tblLook w:val="0420" w:firstRow="1" w:lastRow="0" w:firstColumn="0" w:lastColumn="0" w:noHBand="0" w:noVBand="1"/>
      </w:tblPr>
      <w:tblGrid>
        <w:gridCol w:w="4169"/>
        <w:gridCol w:w="2624"/>
        <w:gridCol w:w="4957"/>
        <w:gridCol w:w="2132"/>
      </w:tblGrid>
      <w:tr w:rsidR="00C21F81" w:rsidRPr="00C21F81" w14:paraId="1AEA94B6" w14:textId="77777777" w:rsidTr="00C21F81">
        <w:tc>
          <w:tcPr>
            <w:tcW w:w="0" w:type="auto"/>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00BA930"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Co-produced:</w:t>
            </w:r>
          </w:p>
        </w:tc>
        <w:tc>
          <w:tcPr>
            <w:tcW w:w="2624" w:type="dxa"/>
            <w:tcBorders>
              <w:top w:val="single" w:sz="8" w:space="0" w:color="FFFFFF"/>
              <w:left w:val="single" w:sz="8" w:space="0" w:color="FFFFFF"/>
              <w:bottom w:val="single" w:sz="24" w:space="0" w:color="FFFFFF"/>
              <w:right w:val="single" w:sz="8" w:space="0" w:color="FFFFFF"/>
            </w:tcBorders>
            <w:shd w:val="clear" w:color="auto" w:fill="E9EBF5"/>
            <w:tcMar>
              <w:top w:w="72" w:type="dxa"/>
              <w:left w:w="144" w:type="dxa"/>
              <w:bottom w:w="72" w:type="dxa"/>
              <w:right w:w="144" w:type="dxa"/>
            </w:tcMar>
            <w:hideMark/>
          </w:tcPr>
          <w:p w14:paraId="4A665886"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535EEE76"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eastAsiaTheme="minorEastAsia" w:hAnsi="Calibri"/>
                <w:color w:val="FFFFFF" w:themeColor="background1"/>
                <w:kern w:val="24"/>
                <w:sz w:val="22"/>
                <w:szCs w:val="22"/>
                <w:lang w:eastAsia="en-GB"/>
              </w:rPr>
              <w:t>Contributes to Net Zero sustainability requirements:</w:t>
            </w:r>
          </w:p>
        </w:tc>
        <w:tc>
          <w:tcPr>
            <w:tcW w:w="2132" w:type="dxa"/>
            <w:tcBorders>
              <w:top w:val="single" w:sz="8" w:space="0" w:color="FFFFFF"/>
              <w:left w:val="single" w:sz="8" w:space="0" w:color="FFFFFF"/>
              <w:bottom w:val="single" w:sz="24" w:space="0" w:color="FFFFFF"/>
              <w:right w:val="single" w:sz="8" w:space="0" w:color="FFFFFF"/>
            </w:tcBorders>
            <w:shd w:val="clear" w:color="auto" w:fill="CFD5EA"/>
            <w:tcMar>
              <w:top w:w="72" w:type="dxa"/>
              <w:left w:w="144" w:type="dxa"/>
              <w:bottom w:w="72" w:type="dxa"/>
              <w:right w:w="144" w:type="dxa"/>
            </w:tcMar>
            <w:hideMark/>
          </w:tcPr>
          <w:p w14:paraId="7BEF0047"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247A9289" w14:textId="77777777" w:rsidTr="00C21F81">
        <w:tc>
          <w:tcPr>
            <w:tcW w:w="0" w:type="auto"/>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3457D9C4"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Budget available / approved:</w:t>
            </w:r>
          </w:p>
        </w:tc>
        <w:tc>
          <w:tcPr>
            <w:tcW w:w="262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94A1144"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24"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985281C"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Procurement Route approved:</w:t>
            </w:r>
          </w:p>
        </w:tc>
        <w:tc>
          <w:tcPr>
            <w:tcW w:w="213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4607BD0"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2FE47AA6"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D545F8C"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Meets strategic objectives:</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8E24629"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BAA9DF7"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Compliant with procurement policy:</w:t>
            </w: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B7AC500"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3D8269FA"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6B4210A3"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Engagement complete:</w:t>
            </w:r>
          </w:p>
        </w:tc>
        <w:tc>
          <w:tcPr>
            <w:tcW w:w="26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085315A"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0C33883"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Entered on procurement register/</w:t>
            </w:r>
            <w:proofErr w:type="spellStart"/>
            <w:r w:rsidRPr="00C21F81">
              <w:rPr>
                <w:rFonts w:ascii="Calibri" w:eastAsia="Times New Roman" w:hAnsi="Calibri" w:cs="Calibri"/>
                <w:color w:val="FFFFFF" w:themeColor="background1"/>
                <w:kern w:val="24"/>
                <w:sz w:val="22"/>
                <w:szCs w:val="22"/>
                <w:lang w:eastAsia="en-GB"/>
              </w:rPr>
              <w:t>Atamis</w:t>
            </w:r>
            <w:proofErr w:type="spellEnd"/>
            <w:r w:rsidRPr="00C21F81">
              <w:rPr>
                <w:rFonts w:ascii="Calibri" w:eastAsia="Times New Roman" w:hAnsi="Calibri" w:cs="Calibri"/>
                <w:color w:val="FFFFFF" w:themeColor="background1"/>
                <w:kern w:val="24"/>
                <w:sz w:val="22"/>
                <w:szCs w:val="22"/>
                <w:lang w:eastAsia="en-GB"/>
              </w:rPr>
              <w:t>:</w:t>
            </w:r>
          </w:p>
        </w:tc>
        <w:tc>
          <w:tcPr>
            <w:tcW w:w="213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C5BEC3C"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315B06ED"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F286DCB"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Benefits clearly set out (SMART):</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D08D3A5"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36AC450C"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Advice obtained from Finance:</w:t>
            </w: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9E1AA9D"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1398426E"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C258D4A"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Impact assessments complete and approved:</w:t>
            </w:r>
          </w:p>
        </w:tc>
        <w:tc>
          <w:tcPr>
            <w:tcW w:w="26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AA0589"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kern w:val="24"/>
                <w:sz w:val="22"/>
                <w:szCs w:val="22"/>
                <w:lang w:eastAsia="en-GB"/>
              </w:rPr>
              <w:t>[state the assessments and dates completed]</w:t>
            </w: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0A30E57"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Advice obtained from HR:</w:t>
            </w:r>
          </w:p>
        </w:tc>
        <w:tc>
          <w:tcPr>
            <w:tcW w:w="213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A6A1AF0"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651B0F3B"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3393640"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Impact across system assessed and addressed:</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4E3093E"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24E6811E"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Advice obtained from Digital/IT/IG:</w:t>
            </w: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9F41D76"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0143A5AA"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A2442B1"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Meets Regulator requirements:</w:t>
            </w:r>
          </w:p>
        </w:tc>
        <w:tc>
          <w:tcPr>
            <w:tcW w:w="26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C1F6E99"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CE2A572"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Advice obtained from Estates:</w:t>
            </w:r>
          </w:p>
        </w:tc>
        <w:tc>
          <w:tcPr>
            <w:tcW w:w="213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DF1D34A"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7E9E621F"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B370DD4"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Contributes to Social Value:</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A1A31CB"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9F50B6E" w14:textId="77777777" w:rsidR="00C21F81" w:rsidRPr="00C21F81" w:rsidRDefault="00C21F81" w:rsidP="00C21F81">
            <w:pPr>
              <w:spacing w:before="0" w:after="0"/>
              <w:ind w:left="0"/>
              <w:rPr>
                <w:rFonts w:ascii="Times New Roman" w:eastAsia="Times New Roman" w:hAnsi="Times New Roman" w:cs="Times New Roman"/>
                <w:color w:val="auto"/>
                <w:sz w:val="20"/>
                <w:szCs w:val="20"/>
                <w:lang w:eastAsia="en-GB"/>
              </w:rPr>
            </w:pP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8C45283" w14:textId="77777777" w:rsidR="00C21F81" w:rsidRPr="00C21F81" w:rsidRDefault="00C21F81" w:rsidP="00C21F81">
            <w:pPr>
              <w:spacing w:before="0" w:after="0"/>
              <w:ind w:left="0"/>
              <w:rPr>
                <w:rFonts w:ascii="Times New Roman" w:eastAsia="Times New Roman" w:hAnsi="Times New Roman" w:cs="Times New Roman"/>
                <w:color w:val="auto"/>
                <w:sz w:val="20"/>
                <w:szCs w:val="20"/>
                <w:lang w:eastAsia="en-GB"/>
              </w:rPr>
            </w:pPr>
          </w:p>
        </w:tc>
      </w:tr>
      <w:tr w:rsidR="00C21F81" w:rsidRPr="00C21F81" w14:paraId="43ED6D36"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D274D1A"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Meets duty to reduce inequalities:</w:t>
            </w:r>
          </w:p>
        </w:tc>
        <w:tc>
          <w:tcPr>
            <w:tcW w:w="26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C5B272"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65B6447"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IOG Support:</w:t>
            </w:r>
          </w:p>
        </w:tc>
        <w:tc>
          <w:tcPr>
            <w:tcW w:w="213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22DFB8"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20F71E0D"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06838285"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MSE Partners / Stewardship consulted:</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E32C9E1"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7D77CB53"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Executive Committee Approval:</w:t>
            </w: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7C02277"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3F6E97D7"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4348A513"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Service specification included as appendix:</w:t>
            </w:r>
          </w:p>
        </w:tc>
        <w:tc>
          <w:tcPr>
            <w:tcW w:w="262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F1A743"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5AA9B9E"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Committee Approval:</w:t>
            </w:r>
          </w:p>
        </w:tc>
        <w:tc>
          <w:tcPr>
            <w:tcW w:w="2132"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D20D3EB"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r w:rsidR="00C21F81" w:rsidRPr="00C21F81" w14:paraId="24473F6B" w14:textId="77777777" w:rsidTr="00C21F81">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10C3F929"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Exit Arrangements identified:</w:t>
            </w:r>
          </w:p>
        </w:tc>
        <w:tc>
          <w:tcPr>
            <w:tcW w:w="262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3A5C81"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c>
          <w:tcPr>
            <w:tcW w:w="0" w:type="auto"/>
            <w:tcBorders>
              <w:top w:val="single" w:sz="8" w:space="0" w:color="FFFFFF"/>
              <w:left w:val="single" w:sz="8" w:space="0" w:color="FFFFFF"/>
              <w:bottom w:val="single" w:sz="8" w:space="0" w:color="FFFFFF"/>
              <w:right w:val="single" w:sz="8" w:space="0" w:color="FFFFFF"/>
            </w:tcBorders>
            <w:shd w:val="clear" w:color="auto" w:fill="4472C4"/>
            <w:tcMar>
              <w:top w:w="72" w:type="dxa"/>
              <w:left w:w="144" w:type="dxa"/>
              <w:bottom w:w="72" w:type="dxa"/>
              <w:right w:w="144" w:type="dxa"/>
            </w:tcMar>
            <w:hideMark/>
          </w:tcPr>
          <w:p w14:paraId="5EFBAD0F" w14:textId="77777777" w:rsidR="00C21F81" w:rsidRPr="00C21F81" w:rsidRDefault="00C21F81" w:rsidP="00C21F81">
            <w:pPr>
              <w:spacing w:before="0" w:after="0"/>
              <w:ind w:left="0"/>
              <w:rPr>
                <w:rFonts w:ascii="Arial" w:eastAsia="Times New Roman" w:hAnsi="Arial" w:cs="Arial"/>
                <w:color w:val="auto"/>
                <w:sz w:val="36"/>
                <w:szCs w:val="36"/>
                <w:lang w:eastAsia="en-GB"/>
              </w:rPr>
            </w:pPr>
            <w:r w:rsidRPr="00C21F81">
              <w:rPr>
                <w:rFonts w:ascii="Calibri" w:eastAsia="Times New Roman" w:hAnsi="Calibri" w:cs="Calibri"/>
                <w:color w:val="FFFFFF" w:themeColor="background1"/>
                <w:kern w:val="24"/>
                <w:sz w:val="22"/>
                <w:szCs w:val="22"/>
                <w:lang w:eastAsia="en-GB"/>
              </w:rPr>
              <w:t>ICB Board Approval:</w:t>
            </w:r>
          </w:p>
        </w:tc>
        <w:tc>
          <w:tcPr>
            <w:tcW w:w="213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82AFD60" w14:textId="77777777" w:rsidR="00C21F81" w:rsidRPr="00C21F81" w:rsidRDefault="00C21F81" w:rsidP="00C21F81">
            <w:pPr>
              <w:spacing w:before="0" w:after="0"/>
              <w:ind w:left="0"/>
              <w:rPr>
                <w:rFonts w:ascii="Arial" w:eastAsia="Times New Roman" w:hAnsi="Arial" w:cs="Arial"/>
                <w:color w:val="auto"/>
                <w:sz w:val="36"/>
                <w:szCs w:val="36"/>
                <w:lang w:eastAsia="en-GB"/>
              </w:rPr>
            </w:pPr>
          </w:p>
        </w:tc>
      </w:tr>
    </w:tbl>
    <w:p w14:paraId="56E3CEE1" w14:textId="28367FE1" w:rsidR="005A13F3" w:rsidRDefault="005A13F3" w:rsidP="00CB79FC">
      <w:pPr>
        <w:spacing w:before="0" w:after="0"/>
        <w:ind w:left="0"/>
        <w:rPr>
          <w:rFonts w:ascii="Arial" w:eastAsiaTheme="majorEastAsia" w:hAnsi="Arial" w:cs="Arial"/>
          <w:b/>
          <w:color w:val="005EB8" w:themeColor="accent2"/>
          <w:sz w:val="32"/>
          <w:szCs w:val="26"/>
        </w:rPr>
      </w:pPr>
    </w:p>
    <w:p w14:paraId="71C3E1FD" w14:textId="77777777" w:rsidR="00783DC2" w:rsidRDefault="005A13F3">
      <w:pPr>
        <w:spacing w:before="0" w:after="0"/>
        <w:ind w:left="0"/>
        <w:rPr>
          <w:rFonts w:ascii="Arial" w:eastAsiaTheme="majorEastAsia" w:hAnsi="Arial" w:cs="Arial"/>
          <w:b/>
          <w:color w:val="005EB8" w:themeColor="accent2"/>
          <w:sz w:val="32"/>
          <w:szCs w:val="26"/>
        </w:rPr>
        <w:sectPr w:rsidR="00783DC2" w:rsidSect="00780912">
          <w:footerReference w:type="default" r:id="rId38"/>
          <w:type w:val="continuous"/>
          <w:pgSz w:w="16838" w:h="11906" w:orient="landscape"/>
          <w:pgMar w:top="851" w:right="1560" w:bottom="1133" w:left="1797" w:header="993" w:footer="709" w:gutter="0"/>
          <w:cols w:space="708"/>
          <w:docGrid w:linePitch="360"/>
        </w:sectPr>
      </w:pPr>
      <w:r>
        <w:rPr>
          <w:rFonts w:ascii="Arial" w:eastAsiaTheme="majorEastAsia" w:hAnsi="Arial" w:cs="Arial"/>
          <w:b/>
          <w:color w:val="005EB8" w:themeColor="accent2"/>
          <w:sz w:val="32"/>
          <w:szCs w:val="26"/>
        </w:rPr>
        <w:br w:type="page"/>
      </w:r>
    </w:p>
    <w:p w14:paraId="3716D708" w14:textId="3FE506D3" w:rsidR="005A13F3" w:rsidRDefault="4D64865B" w:rsidP="24ABF4BF">
      <w:pPr>
        <w:pStyle w:val="Heading2"/>
        <w:numPr>
          <w:ilvl w:val="0"/>
          <w:numId w:val="0"/>
        </w:numPr>
        <w:ind w:left="1134" w:hanging="1134"/>
        <w:rPr>
          <w:rFonts w:eastAsiaTheme="majorEastAsia"/>
        </w:rPr>
      </w:pPr>
      <w:bookmarkStart w:id="120" w:name="_Toc213919837"/>
      <w:r w:rsidRPr="24ABF4BF">
        <w:rPr>
          <w:rFonts w:eastAsiaTheme="majorEastAsia"/>
        </w:rPr>
        <w:lastRenderedPageBreak/>
        <w:t>Appendix I – Contract Exit Plan</w:t>
      </w:r>
      <w:r w:rsidR="0361380F" w:rsidRPr="5346073F">
        <w:rPr>
          <w:rFonts w:eastAsiaTheme="majorEastAsia"/>
        </w:rPr>
        <w:t>/</w:t>
      </w:r>
      <w:r w:rsidR="0361380F" w:rsidRPr="18ADB52D">
        <w:rPr>
          <w:rFonts w:eastAsiaTheme="majorEastAsia"/>
        </w:rPr>
        <w:t xml:space="preserve"> Succession Plan</w:t>
      </w:r>
      <w:r w:rsidRPr="24ABF4BF">
        <w:rPr>
          <w:rFonts w:eastAsiaTheme="majorEastAsia"/>
        </w:rPr>
        <w:t xml:space="preserve"> Template</w:t>
      </w:r>
      <w:bookmarkEnd w:id="120"/>
    </w:p>
    <w:p w14:paraId="6EAE027D" w14:textId="04E77F2E" w:rsidR="00FC1722" w:rsidRDefault="76C84A31" w:rsidP="003E6FEA">
      <w:pPr>
        <w:ind w:left="0"/>
      </w:pPr>
      <w:bookmarkStart w:id="121" w:name="_Toc440982943"/>
      <w:r w:rsidRPr="7CD4723F">
        <w:rPr>
          <w:b/>
        </w:rPr>
        <w:t>The exit plan</w:t>
      </w:r>
      <w:r w:rsidR="05E3419E" w:rsidRPr="7CD4723F">
        <w:rPr>
          <w:b/>
        </w:rPr>
        <w:t>/ succession</w:t>
      </w:r>
      <w:r w:rsidRPr="24ABF4BF">
        <w:t xml:space="preserve"> plan comes into effect as the notice to cease the </w:t>
      </w:r>
      <w:r w:rsidRPr="00DA4DD2">
        <w:t xml:space="preserve">service </w:t>
      </w:r>
      <w:r w:rsidR="2AD4B40D" w:rsidRPr="003E6FEA">
        <w:t>(due to contract expiry or termination)</w:t>
      </w:r>
      <w:r w:rsidR="2AD4B40D" w:rsidRPr="00DA4DD2">
        <w:t xml:space="preserve"> </w:t>
      </w:r>
      <w:r w:rsidRPr="00DA4DD2">
        <w:t xml:space="preserve">is issued by the Commissioner and a joint exit group </w:t>
      </w:r>
      <w:r w:rsidR="71C1366C" w:rsidRPr="003E6FEA">
        <w:rPr>
          <w:b/>
        </w:rPr>
        <w:t>or succession planning group</w:t>
      </w:r>
      <w:r w:rsidRPr="003E6FEA">
        <w:rPr>
          <w:b/>
        </w:rPr>
        <w:t xml:space="preserve"> </w:t>
      </w:r>
      <w:r w:rsidR="12908D71" w:rsidRPr="003E6FEA">
        <w:rPr>
          <w:b/>
        </w:rPr>
        <w:t>may</w:t>
      </w:r>
      <w:r w:rsidRPr="00DA4DD2">
        <w:t xml:space="preserve"> be established comprising staff of both parties</w:t>
      </w:r>
      <w:r w:rsidRPr="24ABF4BF">
        <w:t xml:space="preserve"> to manage the contract coming to an end. The role of the joint exit</w:t>
      </w:r>
      <w:r w:rsidR="6B2E1C89" w:rsidRPr="6A7441D5">
        <w:rPr>
          <w:b/>
        </w:rPr>
        <w:t xml:space="preserve">/ succession </w:t>
      </w:r>
      <w:r w:rsidR="6B2E1C89" w:rsidRPr="289826AD">
        <w:rPr>
          <w:b/>
        </w:rPr>
        <w:t>planning</w:t>
      </w:r>
      <w:r w:rsidR="00DA4DD2">
        <w:rPr>
          <w:b/>
        </w:rPr>
        <w:t xml:space="preserve"> </w:t>
      </w:r>
      <w:r w:rsidRPr="24ABF4BF">
        <w:t>group will be to manage all activities to ensure a smooth culmination of the contract or transition to a new provider, where appropriate.</w:t>
      </w:r>
      <w:bookmarkStart w:id="122" w:name="_Toc440982944"/>
      <w:bookmarkEnd w:id="121"/>
    </w:p>
    <w:p w14:paraId="0C40A10D" w14:textId="772551C7" w:rsidR="009B4082" w:rsidRPr="00FC1722" w:rsidRDefault="009B4082" w:rsidP="003E6FEA">
      <w:pPr>
        <w:ind w:left="0"/>
      </w:pPr>
      <w:bookmarkStart w:id="123" w:name="_Toc184404087"/>
      <w:r w:rsidRPr="00FC1722">
        <w:t>Unless it is set out within the contract, there is no obligation on behalf of the contractor to comply with the establishment of a joint exit group; however</w:t>
      </w:r>
      <w:r w:rsidR="00DA4DD2">
        <w:t>,</w:t>
      </w:r>
      <w:r w:rsidRPr="00FC1722">
        <w:t xml:space="preserve"> a joint approach would be in the best interest of service users.</w:t>
      </w:r>
      <w:bookmarkEnd w:id="122"/>
      <w:bookmarkEnd w:id="123"/>
    </w:p>
    <w:p w14:paraId="266F16E9" w14:textId="6DBF27D1" w:rsidR="009B4082" w:rsidRPr="00FC1722" w:rsidRDefault="009B4082" w:rsidP="003E6FEA">
      <w:pPr>
        <w:pStyle w:val="Heading1"/>
        <w:tabs>
          <w:tab w:val="left" w:pos="720"/>
        </w:tabs>
        <w:spacing w:after="0"/>
        <w:rPr>
          <w:rFonts w:cs="Arial"/>
          <w:color w:val="005EB8" w:themeColor="accent2"/>
          <w:sz w:val="24"/>
          <w:szCs w:val="24"/>
        </w:rPr>
      </w:pPr>
      <w:bookmarkStart w:id="124" w:name="_Toc440982945"/>
      <w:r w:rsidRPr="00FC1722">
        <w:rPr>
          <w:rFonts w:cs="Arial"/>
          <w:color w:val="005EB8" w:themeColor="accent2"/>
          <w:sz w:val="24"/>
          <w:szCs w:val="24"/>
        </w:rPr>
        <w:t>Template Exit Plan</w:t>
      </w:r>
      <w:bookmarkEnd w:id="124"/>
      <w:r w:rsidR="53C02A3B" w:rsidRPr="78791CEA">
        <w:rPr>
          <w:rFonts w:cs="Arial"/>
          <w:color w:val="005EB8" w:themeColor="accent2"/>
          <w:sz w:val="24"/>
          <w:szCs w:val="24"/>
        </w:rPr>
        <w:t>/ Succession Plan</w:t>
      </w:r>
    </w:p>
    <w:p w14:paraId="0ECEC269" w14:textId="596765C0" w:rsidR="009B4082" w:rsidRPr="00FC1722" w:rsidRDefault="009B4082" w:rsidP="00444F33">
      <w:pPr>
        <w:pStyle w:val="Heading2"/>
        <w:widowControl/>
        <w:numPr>
          <w:ilvl w:val="0"/>
          <w:numId w:val="0"/>
        </w:numPr>
        <w:rPr>
          <w:rFonts w:cs="Arial"/>
          <w:b w:val="0"/>
          <w:bCs/>
          <w:color w:val="auto"/>
          <w:sz w:val="24"/>
          <w:szCs w:val="24"/>
        </w:rPr>
      </w:pPr>
      <w:bookmarkStart w:id="125" w:name="_Toc440982946"/>
      <w:bookmarkStart w:id="126" w:name="_Toc184404088"/>
      <w:bookmarkStart w:id="127" w:name="_Toc189825467"/>
      <w:bookmarkStart w:id="128" w:name="_Toc213919838"/>
      <w:r w:rsidRPr="00FC1722">
        <w:rPr>
          <w:rFonts w:cs="Arial"/>
          <w:b w:val="0"/>
          <w:bCs/>
          <w:color w:val="auto"/>
          <w:sz w:val="24"/>
          <w:szCs w:val="24"/>
        </w:rPr>
        <w:t>This template exit</w:t>
      </w:r>
      <w:r w:rsidR="365817D6" w:rsidRPr="78791CEA">
        <w:rPr>
          <w:rFonts w:cs="Arial"/>
          <w:b w:val="0"/>
          <w:color w:val="auto"/>
          <w:sz w:val="24"/>
          <w:szCs w:val="24"/>
        </w:rPr>
        <w:t>/ succession</w:t>
      </w:r>
      <w:r w:rsidRPr="00FC1722">
        <w:rPr>
          <w:rFonts w:cs="Arial"/>
          <w:b w:val="0"/>
          <w:bCs/>
          <w:color w:val="auto"/>
          <w:sz w:val="24"/>
          <w:szCs w:val="24"/>
        </w:rPr>
        <w:t xml:space="preserve"> plan is for use where no </w:t>
      </w:r>
      <w:r w:rsidR="679DDA7F" w:rsidRPr="58519E1C">
        <w:rPr>
          <w:rFonts w:cs="Arial"/>
          <w:b w:val="0"/>
          <w:color w:val="auto"/>
          <w:sz w:val="24"/>
          <w:szCs w:val="24"/>
        </w:rPr>
        <w:t>specific</w:t>
      </w:r>
      <w:r w:rsidRPr="58519E1C">
        <w:rPr>
          <w:rFonts w:cs="Arial"/>
          <w:b w:val="0"/>
          <w:color w:val="auto"/>
          <w:sz w:val="24"/>
          <w:szCs w:val="24"/>
        </w:rPr>
        <w:t xml:space="preserve"> </w:t>
      </w:r>
      <w:r w:rsidRPr="00FC1722">
        <w:rPr>
          <w:rFonts w:cs="Arial"/>
          <w:b w:val="0"/>
          <w:bCs/>
          <w:color w:val="auto"/>
          <w:sz w:val="24"/>
          <w:szCs w:val="24"/>
        </w:rPr>
        <w:t>exit arrangements are set out within the</w:t>
      </w:r>
      <w:r w:rsidR="0038528F">
        <w:rPr>
          <w:rFonts w:cs="Arial"/>
          <w:b w:val="0"/>
          <w:bCs/>
          <w:color w:val="auto"/>
          <w:sz w:val="24"/>
          <w:szCs w:val="24"/>
        </w:rPr>
        <w:t xml:space="preserve"> </w:t>
      </w:r>
      <w:r w:rsidRPr="00FC1722">
        <w:rPr>
          <w:rFonts w:cs="Arial"/>
          <w:b w:val="0"/>
          <w:bCs/>
          <w:color w:val="auto"/>
          <w:sz w:val="24"/>
          <w:szCs w:val="24"/>
        </w:rPr>
        <w:t>contract.</w:t>
      </w:r>
      <w:bookmarkEnd w:id="125"/>
      <w:bookmarkEnd w:id="126"/>
      <w:bookmarkEnd w:id="127"/>
      <w:bookmarkEnd w:id="128"/>
    </w:p>
    <w:p w14:paraId="56D65D6A" w14:textId="77777777" w:rsidR="005E3CFB" w:rsidRPr="00A21F81" w:rsidRDefault="005E3CFB" w:rsidP="00D15729">
      <w:pPr>
        <w:pStyle w:val="Body1"/>
        <w:ind w:left="0"/>
        <w:rPr>
          <w:rFonts w:cs="Arial"/>
          <w:sz w:val="24"/>
          <w:szCs w:val="24"/>
        </w:rPr>
      </w:pPr>
    </w:p>
    <w:tbl>
      <w:tblPr>
        <w:tblStyle w:val="TableGrid"/>
        <w:tblW w:w="9776" w:type="dxa"/>
        <w:tblInd w:w="142" w:type="dxa"/>
        <w:tblBorders>
          <w:top w:val="single" w:sz="4" w:space="0" w:color="1C6CB4"/>
          <w:left w:val="single" w:sz="4" w:space="0" w:color="1C6CB4"/>
          <w:bottom w:val="single" w:sz="4" w:space="0" w:color="1C6CB4"/>
          <w:right w:val="single" w:sz="4" w:space="0" w:color="1C6CB4"/>
          <w:insideH w:val="single" w:sz="4" w:space="0" w:color="1C6CB4"/>
          <w:insideV w:val="single" w:sz="4" w:space="0" w:color="1C6CB4"/>
        </w:tblBorders>
        <w:tblLayout w:type="fixed"/>
        <w:tblCellMar>
          <w:top w:w="142" w:type="dxa"/>
          <w:left w:w="142" w:type="dxa"/>
          <w:bottom w:w="142" w:type="dxa"/>
          <w:right w:w="142" w:type="dxa"/>
        </w:tblCellMar>
        <w:tblLook w:val="04A0" w:firstRow="1" w:lastRow="0" w:firstColumn="1" w:lastColumn="0" w:noHBand="0" w:noVBand="1"/>
      </w:tblPr>
      <w:tblGrid>
        <w:gridCol w:w="2405"/>
        <w:gridCol w:w="3515"/>
        <w:gridCol w:w="2155"/>
        <w:gridCol w:w="1701"/>
      </w:tblGrid>
      <w:tr w:rsidR="009B4082" w:rsidRPr="00A21F81" w14:paraId="7B600632" w14:textId="77777777" w:rsidTr="24ABF4BF">
        <w:tc>
          <w:tcPr>
            <w:tcW w:w="2405" w:type="dxa"/>
            <w:tcBorders>
              <w:right w:val="single" w:sz="4" w:space="0" w:color="FFFFFF" w:themeColor="background1"/>
            </w:tcBorders>
            <w:shd w:val="clear" w:color="auto" w:fill="1C6CB4"/>
          </w:tcPr>
          <w:p w14:paraId="33FE6258" w14:textId="77777777" w:rsidR="009B4082" w:rsidRPr="00A21F81" w:rsidRDefault="009B4082" w:rsidP="005E3CFB">
            <w:pPr>
              <w:ind w:left="0"/>
              <w:rPr>
                <w:rFonts w:cs="Arial"/>
                <w:color w:val="FFFFFF" w:themeColor="background1"/>
              </w:rPr>
            </w:pPr>
            <w:r w:rsidRPr="00A21F81">
              <w:rPr>
                <w:rFonts w:cs="Arial"/>
                <w:color w:val="FFFFFF" w:themeColor="background1"/>
              </w:rPr>
              <w:t>Areas for consideration</w:t>
            </w:r>
          </w:p>
        </w:tc>
        <w:tc>
          <w:tcPr>
            <w:tcW w:w="3515" w:type="dxa"/>
            <w:tcBorders>
              <w:left w:val="single" w:sz="4" w:space="0" w:color="FFFFFF" w:themeColor="background1"/>
              <w:right w:val="single" w:sz="4" w:space="0" w:color="FFFFFF" w:themeColor="background1"/>
            </w:tcBorders>
            <w:shd w:val="clear" w:color="auto" w:fill="1C6CB4"/>
          </w:tcPr>
          <w:p w14:paraId="410F97D2" w14:textId="77777777" w:rsidR="009B4082" w:rsidRPr="00A21F81" w:rsidRDefault="009B4082" w:rsidP="005E3CFB">
            <w:pPr>
              <w:autoSpaceDE w:val="0"/>
              <w:autoSpaceDN w:val="0"/>
              <w:adjustRightInd w:val="0"/>
              <w:spacing w:before="120" w:after="120"/>
              <w:ind w:left="0"/>
              <w:jc w:val="both"/>
              <w:rPr>
                <w:rFonts w:cs="Arial"/>
                <w:color w:val="FFFFFF" w:themeColor="background1"/>
              </w:rPr>
            </w:pPr>
            <w:r w:rsidRPr="00A21F81">
              <w:rPr>
                <w:rFonts w:cs="Arial"/>
                <w:color w:val="FFFFFF" w:themeColor="background1"/>
              </w:rPr>
              <w:t>Details of tasks to be undertaken</w:t>
            </w:r>
          </w:p>
        </w:tc>
        <w:tc>
          <w:tcPr>
            <w:tcW w:w="2155" w:type="dxa"/>
            <w:tcBorders>
              <w:left w:val="single" w:sz="4" w:space="0" w:color="FFFFFF" w:themeColor="background1"/>
              <w:right w:val="single" w:sz="4" w:space="0" w:color="FFFFFF" w:themeColor="background1"/>
            </w:tcBorders>
            <w:shd w:val="clear" w:color="auto" w:fill="1C6CB4"/>
          </w:tcPr>
          <w:p w14:paraId="0E402291" w14:textId="77777777" w:rsidR="009B4082" w:rsidRPr="00A21F81" w:rsidRDefault="009B4082" w:rsidP="005E3CFB">
            <w:pPr>
              <w:autoSpaceDE w:val="0"/>
              <w:autoSpaceDN w:val="0"/>
              <w:adjustRightInd w:val="0"/>
              <w:spacing w:before="120" w:after="120"/>
              <w:ind w:left="0"/>
              <w:jc w:val="both"/>
              <w:rPr>
                <w:rFonts w:cs="Arial"/>
                <w:color w:val="FFFFFF" w:themeColor="background1"/>
              </w:rPr>
            </w:pPr>
            <w:r w:rsidRPr="00A21F81">
              <w:rPr>
                <w:rFonts w:cs="Arial"/>
                <w:color w:val="FFFFFF" w:themeColor="background1"/>
              </w:rPr>
              <w:t>Timescales</w:t>
            </w:r>
          </w:p>
        </w:tc>
        <w:tc>
          <w:tcPr>
            <w:tcW w:w="1701" w:type="dxa"/>
            <w:tcBorders>
              <w:left w:val="single" w:sz="4" w:space="0" w:color="FFFFFF" w:themeColor="background1"/>
            </w:tcBorders>
            <w:shd w:val="clear" w:color="auto" w:fill="1C6CB4"/>
          </w:tcPr>
          <w:p w14:paraId="4D7ACEE5" w14:textId="77777777" w:rsidR="009B4082" w:rsidRPr="00A21F81" w:rsidRDefault="009B4082" w:rsidP="005E3CFB">
            <w:pPr>
              <w:autoSpaceDE w:val="0"/>
              <w:autoSpaceDN w:val="0"/>
              <w:adjustRightInd w:val="0"/>
              <w:spacing w:before="120" w:after="120"/>
              <w:ind w:left="0"/>
              <w:jc w:val="both"/>
              <w:rPr>
                <w:rFonts w:cs="Arial"/>
                <w:color w:val="FFFFFF" w:themeColor="background1"/>
              </w:rPr>
            </w:pPr>
            <w:r w:rsidRPr="00A21F81">
              <w:rPr>
                <w:rFonts w:cs="Arial"/>
                <w:color w:val="FFFFFF" w:themeColor="background1"/>
              </w:rPr>
              <w:t>Responsible lead</w:t>
            </w:r>
          </w:p>
        </w:tc>
      </w:tr>
      <w:tr w:rsidR="009B4082" w:rsidRPr="00A21F81" w14:paraId="584B2228" w14:textId="77777777" w:rsidTr="24ABF4BF">
        <w:tc>
          <w:tcPr>
            <w:tcW w:w="2405" w:type="dxa"/>
          </w:tcPr>
          <w:p w14:paraId="2DDAB8A8" w14:textId="77777777" w:rsidR="009B4082" w:rsidRPr="00DA4DD2" w:rsidRDefault="009B4082" w:rsidP="003E6FEA">
            <w:pPr>
              <w:autoSpaceDE w:val="0"/>
              <w:autoSpaceDN w:val="0"/>
              <w:adjustRightInd w:val="0"/>
              <w:spacing w:before="120" w:after="120"/>
              <w:ind w:left="0"/>
              <w:rPr>
                <w:rFonts w:cs="Arial"/>
                <w:b/>
                <w:bCs/>
              </w:rPr>
            </w:pPr>
            <w:r w:rsidRPr="00DA4DD2">
              <w:rPr>
                <w:rFonts w:cs="Arial"/>
              </w:rPr>
              <w:t xml:space="preserve">Clinical </w:t>
            </w:r>
          </w:p>
        </w:tc>
        <w:tc>
          <w:tcPr>
            <w:tcW w:w="3515" w:type="dxa"/>
          </w:tcPr>
          <w:p w14:paraId="42B854D6" w14:textId="360928E6" w:rsidR="009B4082" w:rsidRDefault="3818096B" w:rsidP="24ABF4BF">
            <w:pPr>
              <w:autoSpaceDE w:val="0"/>
              <w:autoSpaceDN w:val="0"/>
              <w:adjustRightInd w:val="0"/>
              <w:spacing w:before="120" w:after="120"/>
              <w:ind w:left="0"/>
              <w:rPr>
                <w:rFonts w:cs="Arial"/>
              </w:rPr>
            </w:pPr>
            <w:r w:rsidRPr="58519E1C">
              <w:rPr>
                <w:rFonts w:cs="Arial"/>
              </w:rPr>
              <w:t xml:space="preserve">For primary care services, </w:t>
            </w:r>
            <w:r w:rsidR="3FE21972" w:rsidRPr="58519E1C">
              <w:rPr>
                <w:rFonts w:cs="Arial"/>
              </w:rPr>
              <w:t>u</w:t>
            </w:r>
            <w:r w:rsidR="76C84A31" w:rsidRPr="58519E1C">
              <w:rPr>
                <w:rFonts w:cs="Arial"/>
              </w:rPr>
              <w:t>p</w:t>
            </w:r>
            <w:r w:rsidR="76C84A31" w:rsidRPr="24ABF4BF">
              <w:rPr>
                <w:rFonts w:cs="Arial"/>
              </w:rPr>
              <w:t>-to-date clinical summaries for all patients; referrals and transfer of care; prescriptions; test results; patient related communications</w:t>
            </w:r>
            <w:r w:rsidR="00AC308A">
              <w:rPr>
                <w:rFonts w:cs="Arial"/>
              </w:rPr>
              <w:t>.</w:t>
            </w:r>
          </w:p>
          <w:p w14:paraId="3AEACEB0" w14:textId="190B887A" w:rsidR="00AC308A" w:rsidRPr="00AC308A" w:rsidRDefault="0011251B" w:rsidP="24ABF4BF">
            <w:pPr>
              <w:autoSpaceDE w:val="0"/>
              <w:autoSpaceDN w:val="0"/>
              <w:adjustRightInd w:val="0"/>
              <w:spacing w:before="120" w:after="120"/>
              <w:ind w:left="0"/>
              <w:rPr>
                <w:rFonts w:cs="Arial"/>
                <w:i/>
                <w:iCs/>
                <w:highlight w:val="cyan"/>
              </w:rPr>
            </w:pPr>
            <w:r>
              <w:rPr>
                <w:rFonts w:cs="Arial"/>
                <w:i/>
                <w:iCs/>
              </w:rPr>
              <w:t>See also section 4 ‘Service Users’.</w:t>
            </w:r>
            <w:r w:rsidR="00C354B5">
              <w:rPr>
                <w:rFonts w:cs="Arial"/>
                <w:i/>
                <w:iCs/>
              </w:rPr>
              <w:t xml:space="preserve"> </w:t>
            </w:r>
          </w:p>
        </w:tc>
        <w:tc>
          <w:tcPr>
            <w:tcW w:w="2155" w:type="dxa"/>
          </w:tcPr>
          <w:p w14:paraId="5D07FE9E" w14:textId="77777777" w:rsidR="009B4082" w:rsidRPr="00A21F81" w:rsidRDefault="009B4082">
            <w:pPr>
              <w:autoSpaceDE w:val="0"/>
              <w:autoSpaceDN w:val="0"/>
              <w:adjustRightInd w:val="0"/>
              <w:spacing w:before="120" w:after="120"/>
              <w:rPr>
                <w:rFonts w:cs="Arial"/>
                <w:b/>
                <w:bCs/>
              </w:rPr>
            </w:pPr>
          </w:p>
        </w:tc>
        <w:tc>
          <w:tcPr>
            <w:tcW w:w="1701" w:type="dxa"/>
          </w:tcPr>
          <w:p w14:paraId="16BFD495" w14:textId="77777777" w:rsidR="009B4082" w:rsidRPr="00A21F81" w:rsidRDefault="009B4082">
            <w:pPr>
              <w:autoSpaceDE w:val="0"/>
              <w:autoSpaceDN w:val="0"/>
              <w:adjustRightInd w:val="0"/>
              <w:spacing w:before="120" w:after="120"/>
              <w:rPr>
                <w:rFonts w:cs="Arial"/>
                <w:b/>
                <w:bCs/>
              </w:rPr>
            </w:pPr>
          </w:p>
        </w:tc>
      </w:tr>
      <w:tr w:rsidR="009B4082" w:rsidRPr="00A21F81" w14:paraId="15F23258" w14:textId="77777777" w:rsidTr="24ABF4BF">
        <w:tc>
          <w:tcPr>
            <w:tcW w:w="2405" w:type="dxa"/>
          </w:tcPr>
          <w:p w14:paraId="556A440D" w14:textId="77777777" w:rsidR="009B4082" w:rsidRPr="00DA4DD2" w:rsidRDefault="009B4082" w:rsidP="003E6FEA">
            <w:pPr>
              <w:autoSpaceDE w:val="0"/>
              <w:autoSpaceDN w:val="0"/>
              <w:adjustRightInd w:val="0"/>
              <w:spacing w:before="120" w:after="120"/>
              <w:ind w:left="0"/>
              <w:rPr>
                <w:rFonts w:cs="Arial"/>
              </w:rPr>
            </w:pPr>
            <w:r w:rsidRPr="00DA4DD2">
              <w:rPr>
                <w:rFonts w:cs="Arial"/>
              </w:rPr>
              <w:t xml:space="preserve">Workforce </w:t>
            </w:r>
          </w:p>
        </w:tc>
        <w:tc>
          <w:tcPr>
            <w:tcW w:w="3515" w:type="dxa"/>
          </w:tcPr>
          <w:p w14:paraId="68C199A9" w14:textId="1FAA7014" w:rsidR="009B4082" w:rsidRPr="00A21F81" w:rsidRDefault="76C84A31" w:rsidP="005E3CFB">
            <w:pPr>
              <w:autoSpaceDE w:val="0"/>
              <w:autoSpaceDN w:val="0"/>
              <w:adjustRightInd w:val="0"/>
              <w:spacing w:before="120" w:after="120"/>
              <w:ind w:left="0"/>
              <w:rPr>
                <w:rFonts w:cs="Arial"/>
              </w:rPr>
            </w:pPr>
            <w:r w:rsidRPr="24ABF4BF">
              <w:rPr>
                <w:rFonts w:cs="Arial"/>
              </w:rPr>
              <w:t>Consideration of staffing issues – if contract ceasing, the responsibility regarding the staff would normally sit with the contractor. If the service is to transfer to a new provider, TUPE may apply</w:t>
            </w:r>
          </w:p>
        </w:tc>
        <w:tc>
          <w:tcPr>
            <w:tcW w:w="2155" w:type="dxa"/>
          </w:tcPr>
          <w:p w14:paraId="6630DAA8" w14:textId="77777777" w:rsidR="009B4082" w:rsidRPr="00A21F81" w:rsidRDefault="009B4082">
            <w:pPr>
              <w:autoSpaceDE w:val="0"/>
              <w:autoSpaceDN w:val="0"/>
              <w:adjustRightInd w:val="0"/>
              <w:spacing w:before="120" w:after="120"/>
              <w:rPr>
                <w:rFonts w:cs="Arial"/>
                <w:b/>
                <w:bCs/>
              </w:rPr>
            </w:pPr>
          </w:p>
        </w:tc>
        <w:tc>
          <w:tcPr>
            <w:tcW w:w="1701" w:type="dxa"/>
          </w:tcPr>
          <w:p w14:paraId="7B415F4E" w14:textId="77777777" w:rsidR="009B4082" w:rsidRPr="00A21F81" w:rsidRDefault="009B4082">
            <w:pPr>
              <w:autoSpaceDE w:val="0"/>
              <w:autoSpaceDN w:val="0"/>
              <w:adjustRightInd w:val="0"/>
              <w:spacing w:before="120" w:after="120"/>
              <w:rPr>
                <w:rFonts w:cs="Arial"/>
                <w:b/>
                <w:bCs/>
              </w:rPr>
            </w:pPr>
          </w:p>
        </w:tc>
      </w:tr>
      <w:tr w:rsidR="009B4082" w:rsidRPr="00A21F81" w14:paraId="7D14EE71" w14:textId="77777777" w:rsidTr="24ABF4BF">
        <w:tc>
          <w:tcPr>
            <w:tcW w:w="2405" w:type="dxa"/>
          </w:tcPr>
          <w:p w14:paraId="078208F4" w14:textId="1872C3AB" w:rsidR="009B4082" w:rsidRPr="00DA4DD2" w:rsidRDefault="76C84A31" w:rsidP="003E6FEA">
            <w:pPr>
              <w:autoSpaceDE w:val="0"/>
              <w:autoSpaceDN w:val="0"/>
              <w:adjustRightInd w:val="0"/>
              <w:spacing w:before="120" w:after="120"/>
              <w:ind w:left="0"/>
              <w:rPr>
                <w:rFonts w:cs="Arial"/>
              </w:rPr>
            </w:pPr>
            <w:r w:rsidRPr="00DA4DD2">
              <w:rPr>
                <w:rFonts w:cs="Arial"/>
              </w:rPr>
              <w:lastRenderedPageBreak/>
              <w:t>Documentation and records</w:t>
            </w:r>
          </w:p>
          <w:p w14:paraId="229E27D9" w14:textId="77777777" w:rsidR="009B4082" w:rsidRPr="00A21F81" w:rsidRDefault="009B4082">
            <w:pPr>
              <w:autoSpaceDE w:val="0"/>
              <w:autoSpaceDN w:val="0"/>
              <w:adjustRightInd w:val="0"/>
              <w:spacing w:before="120" w:after="120"/>
              <w:ind w:left="426" w:hanging="426"/>
              <w:rPr>
                <w:rFonts w:cs="Arial"/>
              </w:rPr>
            </w:pPr>
          </w:p>
        </w:tc>
        <w:tc>
          <w:tcPr>
            <w:tcW w:w="3515" w:type="dxa"/>
          </w:tcPr>
          <w:p w14:paraId="5ACE34A0" w14:textId="3CE093B5" w:rsidR="44D991B6" w:rsidRPr="003E6FEA" w:rsidRDefault="44D991B6" w:rsidP="6DF1FFB1">
            <w:pPr>
              <w:spacing w:before="120" w:after="120"/>
              <w:ind w:left="0"/>
              <w:rPr>
                <w:rFonts w:ascii="Arial" w:eastAsia="Arial" w:hAnsi="Arial" w:cs="Arial"/>
              </w:rPr>
            </w:pPr>
            <w:r w:rsidRPr="003E6FEA">
              <w:rPr>
                <w:rFonts w:ascii="Arial" w:eastAsia="Arial" w:hAnsi="Arial" w:cs="Arial"/>
              </w:rPr>
              <w:t xml:space="preserve">Arrangements </w:t>
            </w:r>
            <w:r w:rsidR="6E47A8C1" w:rsidRPr="003E6FEA">
              <w:rPr>
                <w:rFonts w:ascii="Arial" w:eastAsia="Arial" w:hAnsi="Arial" w:cs="Arial"/>
              </w:rPr>
              <w:t>and responsibility</w:t>
            </w:r>
            <w:r w:rsidR="5F4A17E7" w:rsidRPr="003E6FEA">
              <w:rPr>
                <w:rFonts w:ascii="Arial" w:eastAsia="Arial" w:hAnsi="Arial" w:cs="Arial"/>
              </w:rPr>
              <w:t xml:space="preserve"> for the</w:t>
            </w:r>
            <w:r w:rsidR="5E13B375" w:rsidRPr="003E6FEA">
              <w:rPr>
                <w:rFonts w:ascii="Arial" w:eastAsia="Arial" w:hAnsi="Arial" w:cs="Arial"/>
              </w:rPr>
              <w:t xml:space="preserve"> </w:t>
            </w:r>
            <w:r w:rsidRPr="003E6FEA">
              <w:rPr>
                <w:rFonts w:ascii="Arial" w:eastAsia="Arial" w:hAnsi="Arial" w:cs="Arial"/>
              </w:rPr>
              <w:t>secure transfer of active and inactive Service User Health Records to the incoming Provider or to any third-party Provider</w:t>
            </w:r>
            <w:r w:rsidR="65741086" w:rsidRPr="003E6FEA">
              <w:rPr>
                <w:rFonts w:ascii="Arial" w:eastAsia="Arial" w:hAnsi="Arial" w:cs="Arial"/>
              </w:rPr>
              <w:t xml:space="preserve">. </w:t>
            </w:r>
            <w:r w:rsidR="179D0B2C" w:rsidRPr="003E6FEA">
              <w:rPr>
                <w:rFonts w:ascii="Arial" w:eastAsia="Arial" w:hAnsi="Arial" w:cs="Arial"/>
              </w:rPr>
              <w:t xml:space="preserve">Consideration should be made to applicable NHS document retention guidance. </w:t>
            </w:r>
            <w:r w:rsidR="65741086" w:rsidRPr="003E6FEA">
              <w:rPr>
                <w:rFonts w:ascii="Arial" w:eastAsia="Arial" w:hAnsi="Arial" w:cs="Arial"/>
              </w:rPr>
              <w:t>Reference</w:t>
            </w:r>
            <w:r w:rsidR="44FB75A7" w:rsidRPr="003E6FEA">
              <w:rPr>
                <w:rFonts w:ascii="Arial" w:eastAsia="Arial" w:hAnsi="Arial" w:cs="Arial"/>
              </w:rPr>
              <w:t xml:space="preserve"> </w:t>
            </w:r>
            <w:r w:rsidR="6FB2208F" w:rsidRPr="003E6FEA">
              <w:rPr>
                <w:rFonts w:ascii="Arial" w:eastAsia="Arial" w:hAnsi="Arial" w:cs="Arial"/>
              </w:rPr>
              <w:t>also</w:t>
            </w:r>
            <w:r w:rsidR="65741086" w:rsidRPr="003E6FEA">
              <w:rPr>
                <w:rFonts w:ascii="Arial" w:eastAsia="Arial" w:hAnsi="Arial" w:cs="Arial"/>
              </w:rPr>
              <w:t xml:space="preserve"> should be made to the NHS Standard Contract provisions, where applicable, including Service Condition 23, to ensure the safe transfer of patient </w:t>
            </w:r>
            <w:r w:rsidR="28C53675" w:rsidRPr="003E6FEA">
              <w:rPr>
                <w:rFonts w:ascii="Arial" w:eastAsia="Arial" w:hAnsi="Arial" w:cs="Arial"/>
              </w:rPr>
              <w:t>records</w:t>
            </w:r>
            <w:r w:rsidR="344934F3" w:rsidRPr="003E6FEA">
              <w:rPr>
                <w:rFonts w:ascii="Arial" w:eastAsia="Arial" w:hAnsi="Arial" w:cs="Arial"/>
              </w:rPr>
              <w:t>.</w:t>
            </w:r>
          </w:p>
          <w:p w14:paraId="76CC1260" w14:textId="3CA8ABE1" w:rsidR="24ABF4BF" w:rsidRPr="003E6FEA" w:rsidRDefault="344934F3" w:rsidP="24ABF4BF">
            <w:pPr>
              <w:spacing w:before="120" w:after="120"/>
              <w:ind w:left="0"/>
              <w:rPr>
                <w:rFonts w:ascii="Arial" w:eastAsia="Arial" w:hAnsi="Arial" w:cs="Arial"/>
              </w:rPr>
            </w:pPr>
            <w:r w:rsidRPr="003E6FEA">
              <w:rPr>
                <w:rFonts w:ascii="Arial" w:eastAsia="Arial" w:hAnsi="Arial" w:cs="Arial"/>
              </w:rPr>
              <w:t>Clear plans with</w:t>
            </w:r>
            <w:r w:rsidR="0578822B" w:rsidRPr="003E6FEA">
              <w:rPr>
                <w:rFonts w:ascii="Arial" w:eastAsia="Arial" w:hAnsi="Arial" w:cs="Arial"/>
              </w:rPr>
              <w:t xml:space="preserve"> </w:t>
            </w:r>
            <w:r w:rsidR="624392BA" w:rsidRPr="003E6FEA">
              <w:rPr>
                <w:rFonts w:ascii="Arial" w:eastAsia="Arial" w:hAnsi="Arial" w:cs="Arial"/>
              </w:rPr>
              <w:t>the</w:t>
            </w:r>
            <w:r w:rsidRPr="003E6FEA">
              <w:rPr>
                <w:rFonts w:ascii="Arial" w:eastAsia="Arial" w:hAnsi="Arial" w:cs="Arial"/>
              </w:rPr>
              <w:t xml:space="preserve"> new provider should </w:t>
            </w:r>
            <w:r w:rsidR="13A82619" w:rsidRPr="003E6FEA">
              <w:rPr>
                <w:rFonts w:ascii="Arial" w:eastAsia="Arial" w:hAnsi="Arial" w:cs="Arial"/>
              </w:rPr>
              <w:t xml:space="preserve">also </w:t>
            </w:r>
            <w:r w:rsidRPr="003E6FEA">
              <w:rPr>
                <w:rFonts w:ascii="Arial" w:eastAsia="Arial" w:hAnsi="Arial" w:cs="Arial"/>
              </w:rPr>
              <w:t>be agreed</w:t>
            </w:r>
            <w:r w:rsidR="21461B32" w:rsidRPr="003E6FEA">
              <w:rPr>
                <w:rFonts w:ascii="Arial" w:eastAsia="Arial" w:hAnsi="Arial" w:cs="Arial"/>
              </w:rPr>
              <w:t>,</w:t>
            </w:r>
            <w:r w:rsidRPr="003E6FEA">
              <w:rPr>
                <w:rFonts w:ascii="Arial" w:eastAsia="Arial" w:hAnsi="Arial" w:cs="Arial"/>
              </w:rPr>
              <w:t xml:space="preserve"> </w:t>
            </w:r>
            <w:r w:rsidR="21461B32" w:rsidRPr="003E6FEA">
              <w:rPr>
                <w:rFonts w:ascii="Arial" w:eastAsia="Arial" w:hAnsi="Arial" w:cs="Arial"/>
              </w:rPr>
              <w:t>as part of the new contract terms,</w:t>
            </w:r>
            <w:r w:rsidR="0578822B" w:rsidRPr="003E6FEA">
              <w:rPr>
                <w:rFonts w:ascii="Arial" w:eastAsia="Arial" w:hAnsi="Arial" w:cs="Arial"/>
              </w:rPr>
              <w:t xml:space="preserve"> </w:t>
            </w:r>
            <w:proofErr w:type="gramStart"/>
            <w:r w:rsidRPr="003E6FEA">
              <w:rPr>
                <w:rFonts w:ascii="Arial" w:eastAsia="Arial" w:hAnsi="Arial" w:cs="Arial"/>
              </w:rPr>
              <w:t xml:space="preserve">in </w:t>
            </w:r>
            <w:r w:rsidR="5F898C2C" w:rsidRPr="003E6FEA">
              <w:rPr>
                <w:rFonts w:ascii="Arial" w:eastAsia="Arial" w:hAnsi="Arial" w:cs="Arial"/>
              </w:rPr>
              <w:t>regard</w:t>
            </w:r>
            <w:r w:rsidR="3583E024" w:rsidRPr="003E6FEA">
              <w:rPr>
                <w:rFonts w:ascii="Arial" w:eastAsia="Arial" w:hAnsi="Arial" w:cs="Arial"/>
              </w:rPr>
              <w:t>s</w:t>
            </w:r>
            <w:r w:rsidR="5F898C2C" w:rsidRPr="003E6FEA">
              <w:rPr>
                <w:rFonts w:ascii="Arial" w:eastAsia="Arial" w:hAnsi="Arial" w:cs="Arial"/>
              </w:rPr>
              <w:t xml:space="preserve"> to</w:t>
            </w:r>
            <w:proofErr w:type="gramEnd"/>
            <w:r w:rsidR="0578822B" w:rsidRPr="003E6FEA">
              <w:rPr>
                <w:rFonts w:ascii="Arial" w:eastAsia="Arial" w:hAnsi="Arial" w:cs="Arial"/>
              </w:rPr>
              <w:t xml:space="preserve"> </w:t>
            </w:r>
            <w:r w:rsidR="0DD524C5" w:rsidRPr="003E6FEA">
              <w:rPr>
                <w:rFonts w:ascii="Arial" w:eastAsia="Arial" w:hAnsi="Arial" w:cs="Arial"/>
              </w:rPr>
              <w:t>the</w:t>
            </w:r>
            <w:r w:rsidRPr="003E6FEA">
              <w:rPr>
                <w:rFonts w:ascii="Arial" w:eastAsia="Arial" w:hAnsi="Arial" w:cs="Arial"/>
              </w:rPr>
              <w:t xml:space="preserve"> expectations </w:t>
            </w:r>
            <w:r w:rsidR="5B9AE997" w:rsidRPr="003E6FEA">
              <w:rPr>
                <w:rFonts w:ascii="Arial" w:eastAsia="Arial" w:hAnsi="Arial" w:cs="Arial"/>
              </w:rPr>
              <w:t>for</w:t>
            </w:r>
            <w:r w:rsidRPr="003E6FEA">
              <w:rPr>
                <w:rFonts w:ascii="Arial" w:eastAsia="Arial" w:hAnsi="Arial" w:cs="Arial"/>
              </w:rPr>
              <w:t xml:space="preserve"> </w:t>
            </w:r>
            <w:r w:rsidR="3D9A5DFC" w:rsidRPr="003E6FEA">
              <w:rPr>
                <w:rFonts w:ascii="Arial" w:eastAsia="Arial" w:hAnsi="Arial" w:cs="Arial"/>
              </w:rPr>
              <w:t xml:space="preserve">the receiving, storage and maintenance </w:t>
            </w:r>
            <w:r w:rsidR="01EADDAF" w:rsidRPr="003E6FEA">
              <w:rPr>
                <w:rFonts w:ascii="Arial" w:eastAsia="Arial" w:hAnsi="Arial" w:cs="Arial"/>
              </w:rPr>
              <w:t>of on-going and historic records transferred by the outgoing provider</w:t>
            </w:r>
          </w:p>
          <w:p w14:paraId="1E77ACA1" w14:textId="6C9F265E" w:rsidR="009B4082" w:rsidRPr="00A21F81" w:rsidRDefault="76C84A31" w:rsidP="005E3CFB">
            <w:pPr>
              <w:autoSpaceDE w:val="0"/>
              <w:autoSpaceDN w:val="0"/>
              <w:adjustRightInd w:val="0"/>
              <w:spacing w:before="120" w:after="120"/>
              <w:ind w:left="0"/>
              <w:rPr>
                <w:rFonts w:cs="Arial"/>
              </w:rPr>
            </w:pPr>
            <w:r w:rsidRPr="00DA4DD2">
              <w:rPr>
                <w:rFonts w:cs="Arial"/>
              </w:rPr>
              <w:t xml:space="preserve">The transfer of records must be conducted in accordance with NHS </w:t>
            </w:r>
            <w:r w:rsidR="6EDB2A66" w:rsidRPr="00DA4DD2">
              <w:rPr>
                <w:rFonts w:cs="Arial"/>
              </w:rPr>
              <w:t xml:space="preserve">information </w:t>
            </w:r>
            <w:r w:rsidRPr="00DA4DD2">
              <w:rPr>
                <w:rFonts w:cs="Arial"/>
              </w:rPr>
              <w:t>security requirements.</w:t>
            </w:r>
          </w:p>
        </w:tc>
        <w:tc>
          <w:tcPr>
            <w:tcW w:w="2155" w:type="dxa"/>
          </w:tcPr>
          <w:p w14:paraId="70267128" w14:textId="77777777" w:rsidR="009B4082" w:rsidRPr="00A21F81" w:rsidRDefault="009B4082">
            <w:pPr>
              <w:autoSpaceDE w:val="0"/>
              <w:autoSpaceDN w:val="0"/>
              <w:adjustRightInd w:val="0"/>
              <w:spacing w:before="120" w:after="120"/>
              <w:rPr>
                <w:rFonts w:cs="Arial"/>
                <w:b/>
                <w:bCs/>
              </w:rPr>
            </w:pPr>
          </w:p>
        </w:tc>
        <w:tc>
          <w:tcPr>
            <w:tcW w:w="1701" w:type="dxa"/>
          </w:tcPr>
          <w:p w14:paraId="0DCFEF1D" w14:textId="77777777" w:rsidR="009B4082" w:rsidRPr="00A21F81" w:rsidRDefault="009B4082">
            <w:pPr>
              <w:autoSpaceDE w:val="0"/>
              <w:autoSpaceDN w:val="0"/>
              <w:adjustRightInd w:val="0"/>
              <w:spacing w:before="120" w:after="120"/>
              <w:rPr>
                <w:rFonts w:cs="Arial"/>
                <w:b/>
                <w:bCs/>
              </w:rPr>
            </w:pPr>
          </w:p>
        </w:tc>
      </w:tr>
      <w:tr w:rsidR="0C9EF163" w14:paraId="1C64090E" w14:textId="77777777" w:rsidTr="0C9EF163">
        <w:trPr>
          <w:trHeight w:val="300"/>
        </w:trPr>
        <w:tc>
          <w:tcPr>
            <w:tcW w:w="2405" w:type="dxa"/>
          </w:tcPr>
          <w:p w14:paraId="10D4F63E" w14:textId="05C92EDF" w:rsidR="0C9EF163" w:rsidRDefault="58A996F5" w:rsidP="04C7565D">
            <w:pPr>
              <w:ind w:left="0"/>
              <w:rPr>
                <w:rFonts w:cs="Arial"/>
              </w:rPr>
            </w:pPr>
            <w:r w:rsidRPr="5F6962D2">
              <w:rPr>
                <w:rFonts w:cs="Arial"/>
              </w:rPr>
              <w:t>Service Users</w:t>
            </w:r>
          </w:p>
        </w:tc>
        <w:tc>
          <w:tcPr>
            <w:tcW w:w="3515" w:type="dxa"/>
          </w:tcPr>
          <w:p w14:paraId="2BB2BEC1" w14:textId="3C931924" w:rsidR="4BE31383" w:rsidRDefault="477FBF67" w:rsidP="4BE31383">
            <w:pPr>
              <w:ind w:left="0"/>
              <w:rPr>
                <w:rFonts w:ascii="Arial" w:eastAsia="Arial" w:hAnsi="Arial" w:cs="Arial"/>
              </w:rPr>
            </w:pPr>
            <w:r w:rsidRPr="46DA4A93">
              <w:rPr>
                <w:rFonts w:ascii="Arial" w:eastAsia="Arial" w:hAnsi="Arial" w:cs="Arial"/>
              </w:rPr>
              <w:t>Details</w:t>
            </w:r>
            <w:r w:rsidRPr="70FCE907">
              <w:rPr>
                <w:rFonts w:ascii="Arial" w:eastAsia="Arial" w:hAnsi="Arial" w:cs="Arial"/>
              </w:rPr>
              <w:t xml:space="preserve"> of Service Users </w:t>
            </w:r>
            <w:r w:rsidRPr="1E5254A6">
              <w:rPr>
                <w:rFonts w:ascii="Arial" w:eastAsia="Arial" w:hAnsi="Arial" w:cs="Arial"/>
              </w:rPr>
              <w:t xml:space="preserve">and or </w:t>
            </w:r>
            <w:r w:rsidRPr="174EB702">
              <w:rPr>
                <w:rFonts w:ascii="Arial" w:eastAsia="Arial" w:hAnsi="Arial" w:cs="Arial"/>
              </w:rPr>
              <w:t>user groups</w:t>
            </w:r>
            <w:r w:rsidRPr="1E5254A6">
              <w:rPr>
                <w:rFonts w:ascii="Arial" w:eastAsia="Arial" w:hAnsi="Arial" w:cs="Arial"/>
              </w:rPr>
              <w:t xml:space="preserve"> </w:t>
            </w:r>
            <w:r w:rsidRPr="46DA4A93">
              <w:rPr>
                <w:rFonts w:ascii="Arial" w:eastAsia="Arial" w:hAnsi="Arial" w:cs="Arial"/>
              </w:rPr>
              <w:t>affected</w:t>
            </w:r>
            <w:r w:rsidRPr="70FCE907">
              <w:rPr>
                <w:rFonts w:ascii="Arial" w:eastAsia="Arial" w:hAnsi="Arial" w:cs="Arial"/>
              </w:rPr>
              <w:t xml:space="preserve"> to be identified</w:t>
            </w:r>
            <w:r w:rsidRPr="1E5254A6">
              <w:rPr>
                <w:rFonts w:ascii="Arial" w:eastAsia="Arial" w:hAnsi="Arial" w:cs="Arial"/>
              </w:rPr>
              <w:t>.</w:t>
            </w:r>
          </w:p>
          <w:p w14:paraId="56AA1203" w14:textId="22BC7024" w:rsidR="58A996F5" w:rsidRDefault="58A996F5" w:rsidP="20A311BF">
            <w:pPr>
              <w:ind w:left="0"/>
              <w:rPr>
                <w:rFonts w:ascii="Arial" w:eastAsia="Arial" w:hAnsi="Arial" w:cs="Arial"/>
              </w:rPr>
            </w:pPr>
            <w:r w:rsidRPr="0011251B">
              <w:rPr>
                <w:rFonts w:ascii="Arial" w:eastAsia="Arial" w:hAnsi="Arial" w:cs="Arial"/>
              </w:rPr>
              <w:t>Referral cut-off date to be agreed in accordance with service transition/ cessation timescales</w:t>
            </w:r>
            <w:r w:rsidR="53F2C520" w:rsidRPr="20A311BF">
              <w:rPr>
                <w:rFonts w:ascii="Arial" w:eastAsia="Arial" w:hAnsi="Arial" w:cs="Arial"/>
              </w:rPr>
              <w:t>.</w:t>
            </w:r>
          </w:p>
          <w:p w14:paraId="23C45AE3" w14:textId="209CB3A9" w:rsidR="53F2C520" w:rsidRDefault="53F2C520" w:rsidP="571BB38C">
            <w:pPr>
              <w:ind w:left="0"/>
              <w:rPr>
                <w:rFonts w:ascii="Arial" w:eastAsia="Arial" w:hAnsi="Arial" w:cs="Arial"/>
              </w:rPr>
            </w:pPr>
            <w:r w:rsidRPr="571BB38C">
              <w:rPr>
                <w:rFonts w:ascii="Arial" w:eastAsia="Arial" w:hAnsi="Arial" w:cs="Arial"/>
              </w:rPr>
              <w:t>Transfer and discharge of current Service Users to be agreed, including consideration for long-term legacy patients where appropriate/ applicable</w:t>
            </w:r>
          </w:p>
          <w:p w14:paraId="7C670B6E" w14:textId="551A039D" w:rsidR="0C9EF163" w:rsidRPr="0011251B" w:rsidRDefault="4E192574" w:rsidP="6EBE9A7B">
            <w:pPr>
              <w:ind w:left="0"/>
              <w:rPr>
                <w:rFonts w:ascii="Arial" w:eastAsia="Arial" w:hAnsi="Arial" w:cs="Arial"/>
              </w:rPr>
            </w:pPr>
            <w:r w:rsidRPr="571BB38C">
              <w:rPr>
                <w:rFonts w:ascii="Arial" w:eastAsia="Arial" w:hAnsi="Arial" w:cs="Arial"/>
              </w:rPr>
              <w:lastRenderedPageBreak/>
              <w:t>A</w:t>
            </w:r>
            <w:r w:rsidR="44F6AD39" w:rsidRPr="571BB38C">
              <w:rPr>
                <w:rFonts w:ascii="Arial" w:eastAsia="Arial" w:hAnsi="Arial" w:cs="Arial"/>
              </w:rPr>
              <w:t>gree</w:t>
            </w:r>
            <w:r w:rsidR="5D33DD48" w:rsidRPr="571BB38C">
              <w:rPr>
                <w:rFonts w:ascii="Arial" w:eastAsia="Arial" w:hAnsi="Arial" w:cs="Arial"/>
              </w:rPr>
              <w:t xml:space="preserve">ment should be reached </w:t>
            </w:r>
            <w:r w:rsidR="5D33DD48" w:rsidRPr="319AC27A">
              <w:rPr>
                <w:rFonts w:ascii="Arial" w:eastAsia="Arial" w:hAnsi="Arial" w:cs="Arial"/>
              </w:rPr>
              <w:t xml:space="preserve">on </w:t>
            </w:r>
            <w:r w:rsidR="44F6AD39" w:rsidRPr="319AC27A">
              <w:rPr>
                <w:rFonts w:ascii="Arial" w:eastAsia="Arial" w:hAnsi="Arial" w:cs="Arial"/>
              </w:rPr>
              <w:t>the</w:t>
            </w:r>
            <w:r w:rsidR="44F6AD39" w:rsidRPr="16457B66">
              <w:rPr>
                <w:rFonts w:ascii="Arial" w:eastAsia="Arial" w:hAnsi="Arial" w:cs="Arial"/>
              </w:rPr>
              <w:t xml:space="preserve"> date on which the successor provider will take responsibility for providing the affected Service</w:t>
            </w:r>
            <w:r w:rsidR="1B01B908" w:rsidRPr="319AC27A">
              <w:rPr>
                <w:rFonts w:ascii="Arial" w:eastAsia="Arial" w:hAnsi="Arial" w:cs="Arial"/>
              </w:rPr>
              <w:t>.</w:t>
            </w:r>
          </w:p>
        </w:tc>
        <w:tc>
          <w:tcPr>
            <w:tcW w:w="2155" w:type="dxa"/>
          </w:tcPr>
          <w:p w14:paraId="0772DF26" w14:textId="69F6A31E" w:rsidR="0C9EF163" w:rsidRDefault="0C9EF163" w:rsidP="0C9EF163">
            <w:pPr>
              <w:rPr>
                <w:rFonts w:cs="Arial"/>
                <w:b/>
                <w:bCs/>
              </w:rPr>
            </w:pPr>
          </w:p>
        </w:tc>
        <w:tc>
          <w:tcPr>
            <w:tcW w:w="1701" w:type="dxa"/>
          </w:tcPr>
          <w:p w14:paraId="022E0EF3" w14:textId="1EC29C1C" w:rsidR="0C9EF163" w:rsidRDefault="0C9EF163" w:rsidP="0C9EF163">
            <w:pPr>
              <w:rPr>
                <w:rFonts w:cs="Arial"/>
                <w:b/>
                <w:bCs/>
              </w:rPr>
            </w:pPr>
          </w:p>
        </w:tc>
      </w:tr>
      <w:tr w:rsidR="009B4082" w:rsidRPr="00A21F81" w14:paraId="02F88B27" w14:textId="77777777" w:rsidTr="24ABF4BF">
        <w:tc>
          <w:tcPr>
            <w:tcW w:w="2405" w:type="dxa"/>
          </w:tcPr>
          <w:p w14:paraId="270C6D1F" w14:textId="77777777" w:rsidR="009B4082" w:rsidRPr="00DA4DD2" w:rsidRDefault="009B4082" w:rsidP="003E6FEA">
            <w:pPr>
              <w:autoSpaceDE w:val="0"/>
              <w:autoSpaceDN w:val="0"/>
              <w:adjustRightInd w:val="0"/>
              <w:spacing w:before="120" w:after="120"/>
              <w:ind w:left="0"/>
              <w:rPr>
                <w:rFonts w:cs="Arial"/>
              </w:rPr>
            </w:pPr>
            <w:r w:rsidRPr="00DA4DD2">
              <w:rPr>
                <w:rFonts w:cs="Arial"/>
              </w:rPr>
              <w:t>IM&amp;T</w:t>
            </w:r>
          </w:p>
          <w:p w14:paraId="22C312B5" w14:textId="77777777" w:rsidR="009B4082" w:rsidRPr="00A21F81" w:rsidRDefault="009B4082">
            <w:pPr>
              <w:autoSpaceDE w:val="0"/>
              <w:autoSpaceDN w:val="0"/>
              <w:adjustRightInd w:val="0"/>
              <w:spacing w:before="120" w:after="120"/>
              <w:ind w:left="426" w:hanging="426"/>
              <w:rPr>
                <w:rFonts w:cs="Arial"/>
              </w:rPr>
            </w:pPr>
          </w:p>
        </w:tc>
        <w:tc>
          <w:tcPr>
            <w:tcW w:w="3515" w:type="dxa"/>
          </w:tcPr>
          <w:p w14:paraId="30B1786E" w14:textId="2714913A" w:rsidR="009B4082" w:rsidRPr="00A21F81" w:rsidRDefault="36313491" w:rsidP="005E3CFB">
            <w:pPr>
              <w:autoSpaceDE w:val="0"/>
              <w:autoSpaceDN w:val="0"/>
              <w:adjustRightInd w:val="0"/>
              <w:spacing w:before="120" w:after="120"/>
              <w:ind w:left="0"/>
              <w:rPr>
                <w:rFonts w:cs="Arial"/>
              </w:rPr>
            </w:pPr>
            <w:r w:rsidRPr="31C6C774">
              <w:rPr>
                <w:rFonts w:cs="Arial"/>
              </w:rPr>
              <w:t xml:space="preserve">For </w:t>
            </w:r>
            <w:r w:rsidRPr="63C72DDF">
              <w:rPr>
                <w:rFonts w:cs="Arial"/>
              </w:rPr>
              <w:t>primary care contracts: -</w:t>
            </w:r>
            <w:r w:rsidR="009B4082" w:rsidRPr="63C72DDF">
              <w:rPr>
                <w:rFonts w:cs="Arial"/>
              </w:rPr>
              <w:t>All</w:t>
            </w:r>
            <w:r w:rsidR="009B4082" w:rsidRPr="00A21F81">
              <w:rPr>
                <w:rFonts w:cs="Arial"/>
              </w:rPr>
              <w:t xml:space="preserve"> relevant electronic documentation and records held by the contractor are to be transferred in a recognised industry-standard computer format to the relevant primary care support services organisation or the new provider whichever is applicable </w:t>
            </w:r>
          </w:p>
          <w:p w14:paraId="2365E32A" w14:textId="77777777" w:rsidR="009B4082" w:rsidRPr="00A21F81" w:rsidRDefault="009B4082" w:rsidP="005E3CFB">
            <w:pPr>
              <w:autoSpaceDE w:val="0"/>
              <w:autoSpaceDN w:val="0"/>
              <w:adjustRightInd w:val="0"/>
              <w:spacing w:before="120" w:after="120"/>
              <w:ind w:left="0"/>
              <w:rPr>
                <w:rFonts w:cs="Arial"/>
              </w:rPr>
            </w:pPr>
            <w:r w:rsidRPr="00A21F81">
              <w:rPr>
                <w:rFonts w:cs="Arial"/>
              </w:rPr>
              <w:t>See note below</w:t>
            </w:r>
          </w:p>
          <w:p w14:paraId="16C87583" w14:textId="77777777" w:rsidR="009B4082" w:rsidRPr="00A21F81" w:rsidRDefault="009B4082" w:rsidP="005E3CFB">
            <w:pPr>
              <w:autoSpaceDE w:val="0"/>
              <w:autoSpaceDN w:val="0"/>
              <w:adjustRightInd w:val="0"/>
              <w:spacing w:before="120" w:after="120"/>
              <w:ind w:left="0"/>
              <w:rPr>
                <w:rFonts w:cs="Arial"/>
              </w:rPr>
            </w:pPr>
            <w:r w:rsidRPr="00A21F81">
              <w:rPr>
                <w:rFonts w:cs="Arial"/>
              </w:rPr>
              <w:t>The transfer of records must be conducted in accordance with NHS security requirements.</w:t>
            </w:r>
          </w:p>
          <w:p w14:paraId="2350DF5C" w14:textId="6484BDE4" w:rsidR="009B4082" w:rsidRPr="00A21F81" w:rsidRDefault="009B4082" w:rsidP="005E3CFB">
            <w:pPr>
              <w:autoSpaceDE w:val="0"/>
              <w:autoSpaceDN w:val="0"/>
              <w:adjustRightInd w:val="0"/>
              <w:spacing w:before="120" w:after="120"/>
              <w:ind w:left="0"/>
              <w:rPr>
                <w:rFonts w:cs="Arial"/>
              </w:rPr>
            </w:pPr>
            <w:r w:rsidRPr="00A21F81">
              <w:rPr>
                <w:rFonts w:cs="Arial"/>
              </w:rPr>
              <w:t>Licences should be</w:t>
            </w:r>
            <w:r w:rsidR="005E3CFB">
              <w:rPr>
                <w:rFonts w:cs="Arial"/>
              </w:rPr>
              <w:t xml:space="preserve"> </w:t>
            </w:r>
            <w:r w:rsidRPr="00A21F81">
              <w:rPr>
                <w:rFonts w:cs="Arial"/>
              </w:rPr>
              <w:t xml:space="preserve">transferred where possible </w:t>
            </w:r>
          </w:p>
        </w:tc>
        <w:tc>
          <w:tcPr>
            <w:tcW w:w="2155" w:type="dxa"/>
          </w:tcPr>
          <w:p w14:paraId="70958BCF" w14:textId="77777777" w:rsidR="009B4082" w:rsidRPr="00A21F81" w:rsidRDefault="009B4082">
            <w:pPr>
              <w:autoSpaceDE w:val="0"/>
              <w:autoSpaceDN w:val="0"/>
              <w:adjustRightInd w:val="0"/>
              <w:spacing w:before="120" w:after="120"/>
              <w:rPr>
                <w:rFonts w:cs="Arial"/>
                <w:b/>
                <w:bCs/>
              </w:rPr>
            </w:pPr>
          </w:p>
        </w:tc>
        <w:tc>
          <w:tcPr>
            <w:tcW w:w="1701" w:type="dxa"/>
          </w:tcPr>
          <w:p w14:paraId="342177AA" w14:textId="77777777" w:rsidR="009B4082" w:rsidRPr="00A21F81" w:rsidRDefault="009B4082">
            <w:pPr>
              <w:autoSpaceDE w:val="0"/>
              <w:autoSpaceDN w:val="0"/>
              <w:adjustRightInd w:val="0"/>
              <w:spacing w:before="120" w:after="120"/>
              <w:rPr>
                <w:rFonts w:cs="Arial"/>
                <w:b/>
                <w:bCs/>
              </w:rPr>
            </w:pPr>
          </w:p>
        </w:tc>
      </w:tr>
      <w:tr w:rsidR="009B4082" w:rsidRPr="00A21F81" w14:paraId="423BEC55" w14:textId="77777777" w:rsidTr="24ABF4BF">
        <w:tc>
          <w:tcPr>
            <w:tcW w:w="2405" w:type="dxa"/>
          </w:tcPr>
          <w:p w14:paraId="13FF1B35" w14:textId="77777777" w:rsidR="009B4082" w:rsidRPr="00DA4DD2" w:rsidRDefault="009B4082" w:rsidP="003E6FEA">
            <w:pPr>
              <w:autoSpaceDE w:val="0"/>
              <w:autoSpaceDN w:val="0"/>
              <w:adjustRightInd w:val="0"/>
              <w:spacing w:before="120" w:after="120"/>
              <w:ind w:left="0"/>
              <w:rPr>
                <w:rFonts w:cs="Arial"/>
              </w:rPr>
            </w:pPr>
            <w:r w:rsidRPr="00DA4DD2">
              <w:rPr>
                <w:rFonts w:cs="Arial"/>
              </w:rPr>
              <w:t xml:space="preserve">Premises </w:t>
            </w:r>
          </w:p>
        </w:tc>
        <w:tc>
          <w:tcPr>
            <w:tcW w:w="3515" w:type="dxa"/>
          </w:tcPr>
          <w:p w14:paraId="0D2EE1C6" w14:textId="296EC84E" w:rsidR="3B622A59" w:rsidRPr="003E6FEA" w:rsidRDefault="00C21F81" w:rsidP="24ABF4BF">
            <w:pPr>
              <w:spacing w:before="120" w:after="120"/>
              <w:ind w:left="0"/>
              <w:rPr>
                <w:rFonts w:ascii="Arial" w:eastAsia="Arial" w:hAnsi="Arial" w:cs="Arial"/>
              </w:rPr>
            </w:pPr>
            <w:r>
              <w:rPr>
                <w:rFonts w:ascii="Arial" w:eastAsia="Arial" w:hAnsi="Arial" w:cs="Arial"/>
              </w:rPr>
              <w:t>A</w:t>
            </w:r>
            <w:r w:rsidR="3B622A59" w:rsidRPr="003E6FEA">
              <w:rPr>
                <w:rFonts w:ascii="Arial" w:eastAsia="Arial" w:hAnsi="Arial" w:cs="Arial"/>
              </w:rPr>
              <w:t>rrangements for transfer of freehold or leasehold premises, or of major items of equipment</w:t>
            </w:r>
            <w:r>
              <w:rPr>
                <w:rFonts w:ascii="Arial" w:eastAsia="Arial" w:hAnsi="Arial" w:cs="Arial"/>
              </w:rPr>
              <w:t xml:space="preserve"> (where appropriate)</w:t>
            </w:r>
            <w:r w:rsidR="3B622A59" w:rsidRPr="003E6FEA">
              <w:rPr>
                <w:rFonts w:ascii="Arial" w:eastAsia="Arial" w:hAnsi="Arial" w:cs="Arial"/>
              </w:rPr>
              <w:t>.</w:t>
            </w:r>
          </w:p>
          <w:p w14:paraId="30D43A44" w14:textId="0FA4DF44" w:rsidR="009B4082" w:rsidRPr="00A21F81" w:rsidRDefault="76C84A31" w:rsidP="005E3CFB">
            <w:pPr>
              <w:autoSpaceDE w:val="0"/>
              <w:autoSpaceDN w:val="0"/>
              <w:adjustRightInd w:val="0"/>
              <w:spacing w:before="120" w:after="120"/>
              <w:ind w:left="0"/>
              <w:rPr>
                <w:rFonts w:cs="Arial"/>
              </w:rPr>
            </w:pPr>
            <w:r w:rsidRPr="24ABF4BF">
              <w:rPr>
                <w:rFonts w:cs="Arial"/>
              </w:rPr>
              <w:t>An inspection of the premises must be conducted to ensure that no records or equipment are left behind.</w:t>
            </w:r>
          </w:p>
        </w:tc>
        <w:tc>
          <w:tcPr>
            <w:tcW w:w="2155" w:type="dxa"/>
          </w:tcPr>
          <w:p w14:paraId="58CC0DEE" w14:textId="77777777" w:rsidR="009B4082" w:rsidRPr="00A21F81" w:rsidRDefault="009B4082">
            <w:pPr>
              <w:autoSpaceDE w:val="0"/>
              <w:autoSpaceDN w:val="0"/>
              <w:adjustRightInd w:val="0"/>
              <w:spacing w:before="120" w:after="120"/>
              <w:rPr>
                <w:rFonts w:cs="Arial"/>
                <w:b/>
                <w:bCs/>
              </w:rPr>
            </w:pPr>
          </w:p>
        </w:tc>
        <w:tc>
          <w:tcPr>
            <w:tcW w:w="1701" w:type="dxa"/>
          </w:tcPr>
          <w:p w14:paraId="273F4B63" w14:textId="77777777" w:rsidR="009B4082" w:rsidRPr="00A21F81" w:rsidRDefault="009B4082">
            <w:pPr>
              <w:autoSpaceDE w:val="0"/>
              <w:autoSpaceDN w:val="0"/>
              <w:adjustRightInd w:val="0"/>
              <w:spacing w:before="120" w:after="120"/>
              <w:rPr>
                <w:rFonts w:cs="Arial"/>
                <w:b/>
                <w:bCs/>
              </w:rPr>
            </w:pPr>
          </w:p>
        </w:tc>
      </w:tr>
      <w:tr w:rsidR="009B4082" w:rsidRPr="00A21F81" w14:paraId="02F92835" w14:textId="77777777" w:rsidTr="24ABF4BF">
        <w:tc>
          <w:tcPr>
            <w:tcW w:w="2405" w:type="dxa"/>
          </w:tcPr>
          <w:p w14:paraId="0FE64AC7" w14:textId="77777777" w:rsidR="009B4082" w:rsidRPr="00DA4DD2" w:rsidRDefault="009B4082" w:rsidP="003E6FEA">
            <w:pPr>
              <w:autoSpaceDE w:val="0"/>
              <w:autoSpaceDN w:val="0"/>
              <w:adjustRightInd w:val="0"/>
              <w:spacing w:before="120" w:after="120"/>
              <w:ind w:left="0"/>
              <w:rPr>
                <w:rFonts w:cs="Arial"/>
              </w:rPr>
            </w:pPr>
            <w:r w:rsidRPr="00DA4DD2">
              <w:rPr>
                <w:rFonts w:cs="Arial"/>
              </w:rPr>
              <w:t>Equipment</w:t>
            </w:r>
          </w:p>
          <w:p w14:paraId="10CF7C3A" w14:textId="77777777" w:rsidR="009B4082" w:rsidRPr="00A21F81" w:rsidRDefault="009B4082">
            <w:pPr>
              <w:autoSpaceDE w:val="0"/>
              <w:autoSpaceDN w:val="0"/>
              <w:adjustRightInd w:val="0"/>
              <w:spacing w:before="120" w:after="120"/>
              <w:ind w:left="426" w:hanging="426"/>
              <w:rPr>
                <w:rFonts w:cs="Arial"/>
              </w:rPr>
            </w:pPr>
          </w:p>
        </w:tc>
        <w:tc>
          <w:tcPr>
            <w:tcW w:w="3515" w:type="dxa"/>
          </w:tcPr>
          <w:p w14:paraId="02DD7EF0" w14:textId="77777777" w:rsidR="009B4082" w:rsidRPr="00A21F81" w:rsidRDefault="009B4082" w:rsidP="005E3CFB">
            <w:pPr>
              <w:autoSpaceDE w:val="0"/>
              <w:autoSpaceDN w:val="0"/>
              <w:adjustRightInd w:val="0"/>
              <w:spacing w:before="120" w:after="120"/>
              <w:ind w:left="0"/>
              <w:rPr>
                <w:rFonts w:cs="Arial"/>
              </w:rPr>
            </w:pPr>
            <w:r w:rsidRPr="00A21F81">
              <w:rPr>
                <w:rFonts w:cs="Arial"/>
              </w:rPr>
              <w:t>Consideration of any IT hardware or other equipment held by the contractor that requires return to the relevant owner. Full stock list should be compiled defining which items will be remaining.</w:t>
            </w:r>
          </w:p>
          <w:p w14:paraId="065B63B4" w14:textId="77777777" w:rsidR="009B4082" w:rsidRPr="00A21F81" w:rsidRDefault="009B4082" w:rsidP="005E3CFB">
            <w:pPr>
              <w:autoSpaceDE w:val="0"/>
              <w:autoSpaceDN w:val="0"/>
              <w:adjustRightInd w:val="0"/>
              <w:spacing w:before="120" w:after="120"/>
              <w:ind w:left="0"/>
              <w:rPr>
                <w:rFonts w:cs="Arial"/>
              </w:rPr>
            </w:pPr>
            <w:r w:rsidRPr="00A21F81">
              <w:rPr>
                <w:rFonts w:cs="Arial"/>
              </w:rPr>
              <w:lastRenderedPageBreak/>
              <w:t>The transfer or disposal of equipment must be conducted in accordance with NHS security requirements.</w:t>
            </w:r>
          </w:p>
        </w:tc>
        <w:tc>
          <w:tcPr>
            <w:tcW w:w="2155" w:type="dxa"/>
          </w:tcPr>
          <w:p w14:paraId="7B0CB1CD" w14:textId="77777777" w:rsidR="009B4082" w:rsidRPr="00A21F81" w:rsidRDefault="009B4082">
            <w:pPr>
              <w:autoSpaceDE w:val="0"/>
              <w:autoSpaceDN w:val="0"/>
              <w:adjustRightInd w:val="0"/>
              <w:spacing w:before="120" w:after="120"/>
              <w:rPr>
                <w:rFonts w:cs="Arial"/>
                <w:b/>
                <w:bCs/>
              </w:rPr>
            </w:pPr>
          </w:p>
        </w:tc>
        <w:tc>
          <w:tcPr>
            <w:tcW w:w="1701" w:type="dxa"/>
          </w:tcPr>
          <w:p w14:paraId="310E0C43" w14:textId="77777777" w:rsidR="009B4082" w:rsidRPr="00A21F81" w:rsidRDefault="009B4082">
            <w:pPr>
              <w:autoSpaceDE w:val="0"/>
              <w:autoSpaceDN w:val="0"/>
              <w:adjustRightInd w:val="0"/>
              <w:spacing w:before="120" w:after="120"/>
              <w:rPr>
                <w:rFonts w:cs="Arial"/>
                <w:b/>
                <w:bCs/>
              </w:rPr>
            </w:pPr>
          </w:p>
        </w:tc>
      </w:tr>
      <w:tr w:rsidR="009B4082" w:rsidRPr="00A21F81" w14:paraId="351F81F7" w14:textId="77777777" w:rsidTr="24ABF4BF">
        <w:tc>
          <w:tcPr>
            <w:tcW w:w="2405" w:type="dxa"/>
          </w:tcPr>
          <w:p w14:paraId="2B881FC5" w14:textId="77777777" w:rsidR="009B4082" w:rsidRPr="00DA4DD2" w:rsidRDefault="009B4082" w:rsidP="003E6FEA">
            <w:pPr>
              <w:autoSpaceDE w:val="0"/>
              <w:autoSpaceDN w:val="0"/>
              <w:adjustRightInd w:val="0"/>
              <w:spacing w:before="120" w:after="120"/>
              <w:ind w:left="0"/>
              <w:rPr>
                <w:rFonts w:cs="Arial"/>
              </w:rPr>
            </w:pPr>
            <w:r w:rsidRPr="00DA4DD2">
              <w:rPr>
                <w:rFonts w:cs="Arial"/>
              </w:rPr>
              <w:t xml:space="preserve">Facilities </w:t>
            </w:r>
          </w:p>
        </w:tc>
        <w:tc>
          <w:tcPr>
            <w:tcW w:w="3515" w:type="dxa"/>
          </w:tcPr>
          <w:p w14:paraId="203789FC" w14:textId="77777777" w:rsidR="009B4082" w:rsidRPr="00A21F81" w:rsidRDefault="009B4082" w:rsidP="005E3CFB">
            <w:pPr>
              <w:autoSpaceDE w:val="0"/>
              <w:autoSpaceDN w:val="0"/>
              <w:adjustRightInd w:val="0"/>
              <w:spacing w:before="120" w:after="120"/>
              <w:ind w:left="0"/>
              <w:rPr>
                <w:rFonts w:cs="Arial"/>
              </w:rPr>
            </w:pPr>
            <w:r w:rsidRPr="00A21F81">
              <w:rPr>
                <w:rFonts w:cs="Arial"/>
              </w:rPr>
              <w:t>Consideration of any existing facilities contracts and whether these will cease or transfer to a new provider</w:t>
            </w:r>
          </w:p>
        </w:tc>
        <w:tc>
          <w:tcPr>
            <w:tcW w:w="2155" w:type="dxa"/>
          </w:tcPr>
          <w:p w14:paraId="0DB5429F" w14:textId="77777777" w:rsidR="009B4082" w:rsidRPr="00A21F81" w:rsidRDefault="009B4082">
            <w:pPr>
              <w:autoSpaceDE w:val="0"/>
              <w:autoSpaceDN w:val="0"/>
              <w:adjustRightInd w:val="0"/>
              <w:spacing w:before="120" w:after="120"/>
              <w:rPr>
                <w:rFonts w:cs="Arial"/>
                <w:b/>
                <w:bCs/>
              </w:rPr>
            </w:pPr>
          </w:p>
        </w:tc>
        <w:tc>
          <w:tcPr>
            <w:tcW w:w="1701" w:type="dxa"/>
          </w:tcPr>
          <w:p w14:paraId="7DC97878" w14:textId="77777777" w:rsidR="009B4082" w:rsidRPr="00A21F81" w:rsidRDefault="009B4082">
            <w:pPr>
              <w:autoSpaceDE w:val="0"/>
              <w:autoSpaceDN w:val="0"/>
              <w:adjustRightInd w:val="0"/>
              <w:spacing w:before="120" w:after="120"/>
              <w:rPr>
                <w:rFonts w:cs="Arial"/>
                <w:b/>
                <w:bCs/>
              </w:rPr>
            </w:pPr>
          </w:p>
        </w:tc>
      </w:tr>
      <w:tr w:rsidR="009B4082" w:rsidRPr="00A21F81" w14:paraId="34583C80" w14:textId="77777777" w:rsidTr="24ABF4BF">
        <w:tc>
          <w:tcPr>
            <w:tcW w:w="2405" w:type="dxa"/>
          </w:tcPr>
          <w:p w14:paraId="14C9A9A3" w14:textId="77777777" w:rsidR="009B4082" w:rsidRPr="00DA4DD2" w:rsidRDefault="009B4082" w:rsidP="003E6FEA">
            <w:pPr>
              <w:autoSpaceDE w:val="0"/>
              <w:autoSpaceDN w:val="0"/>
              <w:adjustRightInd w:val="0"/>
              <w:spacing w:before="120" w:after="120"/>
              <w:ind w:left="0"/>
              <w:rPr>
                <w:rFonts w:cs="Arial"/>
              </w:rPr>
            </w:pPr>
            <w:r w:rsidRPr="00DA4DD2">
              <w:rPr>
                <w:rFonts w:cs="Arial"/>
              </w:rPr>
              <w:t>Patient and Public involvement</w:t>
            </w:r>
          </w:p>
        </w:tc>
        <w:tc>
          <w:tcPr>
            <w:tcW w:w="3515" w:type="dxa"/>
          </w:tcPr>
          <w:p w14:paraId="177DA1F1" w14:textId="77777777" w:rsidR="009B4082" w:rsidRPr="00A21F81" w:rsidRDefault="009B4082" w:rsidP="005E3CFB">
            <w:pPr>
              <w:autoSpaceDE w:val="0"/>
              <w:autoSpaceDN w:val="0"/>
              <w:adjustRightInd w:val="0"/>
              <w:spacing w:before="120" w:after="120"/>
              <w:ind w:left="0"/>
              <w:rPr>
                <w:rFonts w:cs="Arial"/>
              </w:rPr>
            </w:pPr>
            <w:r w:rsidRPr="00A21F81">
              <w:rPr>
                <w:rFonts w:cs="Arial"/>
              </w:rPr>
              <w:t>Consideration of the needs to engage and inform throughout.</w:t>
            </w:r>
          </w:p>
        </w:tc>
        <w:tc>
          <w:tcPr>
            <w:tcW w:w="2155" w:type="dxa"/>
          </w:tcPr>
          <w:p w14:paraId="49BA5837" w14:textId="77777777" w:rsidR="009B4082" w:rsidRPr="00A21F81" w:rsidRDefault="009B4082">
            <w:pPr>
              <w:autoSpaceDE w:val="0"/>
              <w:autoSpaceDN w:val="0"/>
              <w:adjustRightInd w:val="0"/>
              <w:spacing w:before="120" w:after="120"/>
              <w:rPr>
                <w:rFonts w:cs="Arial"/>
                <w:b/>
                <w:bCs/>
              </w:rPr>
            </w:pPr>
          </w:p>
        </w:tc>
        <w:tc>
          <w:tcPr>
            <w:tcW w:w="1701" w:type="dxa"/>
          </w:tcPr>
          <w:p w14:paraId="0CD722A1" w14:textId="77777777" w:rsidR="009B4082" w:rsidRPr="00A21F81" w:rsidRDefault="009B4082">
            <w:pPr>
              <w:autoSpaceDE w:val="0"/>
              <w:autoSpaceDN w:val="0"/>
              <w:adjustRightInd w:val="0"/>
              <w:spacing w:before="120" w:after="120"/>
              <w:rPr>
                <w:rFonts w:cs="Arial"/>
                <w:b/>
                <w:bCs/>
              </w:rPr>
            </w:pPr>
          </w:p>
        </w:tc>
      </w:tr>
      <w:tr w:rsidR="009B4082" w:rsidRPr="00A21F81" w14:paraId="67209A85" w14:textId="77777777" w:rsidTr="24ABF4BF">
        <w:tc>
          <w:tcPr>
            <w:tcW w:w="2405" w:type="dxa"/>
          </w:tcPr>
          <w:p w14:paraId="3815D550" w14:textId="77777777" w:rsidR="009B4082" w:rsidRPr="00DA4DD2" w:rsidRDefault="009B4082" w:rsidP="003E6FEA">
            <w:pPr>
              <w:autoSpaceDE w:val="0"/>
              <w:autoSpaceDN w:val="0"/>
              <w:adjustRightInd w:val="0"/>
              <w:spacing w:before="120" w:after="120"/>
              <w:ind w:left="0"/>
              <w:rPr>
                <w:rFonts w:cs="Arial"/>
              </w:rPr>
            </w:pPr>
            <w:r w:rsidRPr="00DA4DD2">
              <w:rPr>
                <w:rFonts w:cs="Arial"/>
              </w:rPr>
              <w:t>Drugs</w:t>
            </w:r>
          </w:p>
        </w:tc>
        <w:tc>
          <w:tcPr>
            <w:tcW w:w="3515" w:type="dxa"/>
          </w:tcPr>
          <w:p w14:paraId="38A53D99" w14:textId="70807D9E" w:rsidR="009B4082" w:rsidRPr="00A21F81" w:rsidRDefault="76C84A31" w:rsidP="005E3CFB">
            <w:pPr>
              <w:autoSpaceDE w:val="0"/>
              <w:autoSpaceDN w:val="0"/>
              <w:adjustRightInd w:val="0"/>
              <w:spacing w:before="120" w:after="120"/>
              <w:ind w:left="0"/>
              <w:rPr>
                <w:rFonts w:cs="Arial"/>
              </w:rPr>
            </w:pPr>
            <w:r w:rsidRPr="24ABF4BF">
              <w:rPr>
                <w:rFonts w:cs="Arial"/>
              </w:rPr>
              <w:t>Practice</w:t>
            </w:r>
            <w:r w:rsidR="71E4704D" w:rsidRPr="0C49C2F6">
              <w:rPr>
                <w:rFonts w:cs="Arial"/>
              </w:rPr>
              <w:t>/ outgoing provider</w:t>
            </w:r>
            <w:r w:rsidRPr="24ABF4BF">
              <w:rPr>
                <w:rFonts w:cs="Arial"/>
              </w:rPr>
              <w:t xml:space="preserve"> held drugs will need to be disposed of</w:t>
            </w:r>
            <w:r w:rsidR="00591836">
              <w:rPr>
                <w:rFonts w:cs="Arial"/>
              </w:rPr>
              <w:t>/transferred</w:t>
            </w:r>
            <w:r w:rsidRPr="24ABF4BF">
              <w:rPr>
                <w:rFonts w:cs="Arial"/>
              </w:rPr>
              <w:t xml:space="preserve"> but are technically likely to be owned by the contractor whose contract is terminating. The Commissioner should seek assurances about the safe and effective disposal </w:t>
            </w:r>
            <w:r w:rsidR="00591836">
              <w:rPr>
                <w:rFonts w:cs="Arial"/>
              </w:rPr>
              <w:t xml:space="preserve">or transfer </w:t>
            </w:r>
            <w:r w:rsidRPr="24ABF4BF">
              <w:rPr>
                <w:rFonts w:cs="Arial"/>
              </w:rPr>
              <w:t>of such drugs.</w:t>
            </w:r>
          </w:p>
        </w:tc>
        <w:tc>
          <w:tcPr>
            <w:tcW w:w="2155" w:type="dxa"/>
          </w:tcPr>
          <w:p w14:paraId="3638E0C3" w14:textId="77777777" w:rsidR="009B4082" w:rsidRPr="00A21F81" w:rsidRDefault="009B4082">
            <w:pPr>
              <w:autoSpaceDE w:val="0"/>
              <w:autoSpaceDN w:val="0"/>
              <w:adjustRightInd w:val="0"/>
              <w:spacing w:before="120" w:after="120"/>
              <w:rPr>
                <w:rFonts w:cs="Arial"/>
                <w:b/>
                <w:bCs/>
              </w:rPr>
            </w:pPr>
          </w:p>
        </w:tc>
        <w:tc>
          <w:tcPr>
            <w:tcW w:w="1701" w:type="dxa"/>
          </w:tcPr>
          <w:p w14:paraId="3F136BF0" w14:textId="77777777" w:rsidR="009B4082" w:rsidRPr="00A21F81" w:rsidRDefault="009B4082">
            <w:pPr>
              <w:autoSpaceDE w:val="0"/>
              <w:autoSpaceDN w:val="0"/>
              <w:adjustRightInd w:val="0"/>
              <w:spacing w:before="120" w:after="120"/>
              <w:rPr>
                <w:rFonts w:cs="Arial"/>
                <w:b/>
                <w:bCs/>
              </w:rPr>
            </w:pPr>
          </w:p>
        </w:tc>
      </w:tr>
      <w:tr w:rsidR="009B4082" w:rsidRPr="00A21F81" w14:paraId="19010D57" w14:textId="77777777" w:rsidTr="24ABF4BF">
        <w:tc>
          <w:tcPr>
            <w:tcW w:w="2405" w:type="dxa"/>
          </w:tcPr>
          <w:p w14:paraId="68D4D354" w14:textId="77777777" w:rsidR="009B4082" w:rsidRPr="00DA4DD2" w:rsidRDefault="009B4082" w:rsidP="003E6FEA">
            <w:pPr>
              <w:autoSpaceDE w:val="0"/>
              <w:autoSpaceDN w:val="0"/>
              <w:adjustRightInd w:val="0"/>
              <w:spacing w:before="120" w:after="120"/>
              <w:ind w:left="0"/>
              <w:rPr>
                <w:rFonts w:cs="Arial"/>
              </w:rPr>
            </w:pPr>
            <w:r w:rsidRPr="00DA4DD2">
              <w:rPr>
                <w:rFonts w:cs="Arial"/>
              </w:rPr>
              <w:t xml:space="preserve">Other </w:t>
            </w:r>
          </w:p>
        </w:tc>
        <w:tc>
          <w:tcPr>
            <w:tcW w:w="3515" w:type="dxa"/>
          </w:tcPr>
          <w:p w14:paraId="47BC36C0" w14:textId="77777777" w:rsidR="009B4082" w:rsidRPr="00A21F81" w:rsidRDefault="009B4082" w:rsidP="005E3CFB">
            <w:pPr>
              <w:spacing w:before="120" w:after="120"/>
              <w:ind w:left="0"/>
              <w:rPr>
                <w:rFonts w:cs="Arial"/>
              </w:rPr>
            </w:pPr>
            <w:r w:rsidRPr="00A21F81">
              <w:rPr>
                <w:rFonts w:cs="Arial"/>
              </w:rPr>
              <w:t>As required</w:t>
            </w:r>
          </w:p>
        </w:tc>
        <w:tc>
          <w:tcPr>
            <w:tcW w:w="2155" w:type="dxa"/>
          </w:tcPr>
          <w:p w14:paraId="1A8D398C" w14:textId="77777777" w:rsidR="009B4082" w:rsidRPr="00A21F81" w:rsidRDefault="009B4082">
            <w:pPr>
              <w:autoSpaceDE w:val="0"/>
              <w:autoSpaceDN w:val="0"/>
              <w:adjustRightInd w:val="0"/>
              <w:spacing w:before="120" w:after="120"/>
              <w:rPr>
                <w:rFonts w:cs="Arial"/>
                <w:b/>
                <w:bCs/>
              </w:rPr>
            </w:pPr>
          </w:p>
        </w:tc>
        <w:tc>
          <w:tcPr>
            <w:tcW w:w="1701" w:type="dxa"/>
          </w:tcPr>
          <w:p w14:paraId="36E56283" w14:textId="77777777" w:rsidR="009B4082" w:rsidRPr="00A21F81" w:rsidRDefault="009B4082">
            <w:pPr>
              <w:autoSpaceDE w:val="0"/>
              <w:autoSpaceDN w:val="0"/>
              <w:adjustRightInd w:val="0"/>
              <w:spacing w:before="120" w:after="120"/>
              <w:rPr>
                <w:rFonts w:cs="Arial"/>
                <w:b/>
                <w:bCs/>
              </w:rPr>
            </w:pPr>
          </w:p>
        </w:tc>
      </w:tr>
    </w:tbl>
    <w:p w14:paraId="58697C99" w14:textId="77777777" w:rsidR="009B4082" w:rsidRPr="00A21F81" w:rsidRDefault="009B4082" w:rsidP="009B4082">
      <w:pPr>
        <w:spacing w:before="120" w:after="120"/>
        <w:rPr>
          <w:rFonts w:cs="Arial"/>
        </w:rPr>
      </w:pPr>
    </w:p>
    <w:sectPr w:rsidR="009B4082" w:rsidRPr="00A21F81" w:rsidSect="00DB5B28">
      <w:pgSz w:w="11906" w:h="16838"/>
      <w:pgMar w:top="1560" w:right="1133" w:bottom="1797" w:left="993"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8F0FC" w14:textId="77777777" w:rsidR="00E35EF1" w:rsidRDefault="00E35EF1" w:rsidP="00EB783D">
      <w:pPr>
        <w:spacing w:before="0" w:after="0"/>
      </w:pPr>
      <w:r>
        <w:separator/>
      </w:r>
    </w:p>
  </w:endnote>
  <w:endnote w:type="continuationSeparator" w:id="0">
    <w:p w14:paraId="31457165" w14:textId="77777777" w:rsidR="00E35EF1" w:rsidRDefault="00E35EF1" w:rsidP="00EB783D">
      <w:pPr>
        <w:spacing w:before="0" w:after="0"/>
      </w:pPr>
      <w:r>
        <w:continuationSeparator/>
      </w:r>
    </w:p>
  </w:endnote>
  <w:endnote w:type="continuationNotice" w:id="1">
    <w:p w14:paraId="5BB27A17" w14:textId="77777777" w:rsidR="00E35EF1" w:rsidRDefault="00E35E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C5B" w14:textId="77777777" w:rsidR="0058242D" w:rsidRDefault="00582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5D22" w14:textId="0DFCCA74" w:rsidR="00076346" w:rsidRDefault="00000000" w:rsidP="00B45CFD">
    <w:pPr>
      <w:pStyle w:val="Footer"/>
      <w:tabs>
        <w:tab w:val="clear" w:pos="4513"/>
        <w:tab w:val="clear" w:pos="9026"/>
        <w:tab w:val="right" w:pos="9780"/>
      </w:tabs>
      <w:ind w:left="0"/>
    </w:pPr>
    <w:sdt>
      <w:sdtPr>
        <w:alias w:val="Title"/>
        <w:tag w:val="title"/>
        <w:id w:val="-1978518315"/>
        <w:dataBinding w:prefixMappings="xmlns:ns0='http://purl.org/dc/elements/1.1/' xmlns:ns1='http://schemas.openxmlformats.org/package/2006/metadata/core-properties' " w:xpath="/ns1:coreProperties[1]/ns0:title[1]" w:storeItemID="{6C3C8BC8-F283-45AE-878A-BAB7291924A1}"/>
        <w:text/>
      </w:sdtPr>
      <w:sdtContent>
        <w:r w:rsidR="00B45CFD">
          <w:t>Decision Making</w:t>
        </w:r>
        <w:r w:rsidR="00CA21E0">
          <w:t xml:space="preserve"> </w:t>
        </w:r>
        <w:r w:rsidR="00E42BA2">
          <w:t xml:space="preserve">Policy and </w:t>
        </w:r>
        <w:r w:rsidR="00BB0272">
          <w:t>Procedure</w:t>
        </w:r>
      </w:sdtContent>
    </w:sdt>
    <w:r w:rsidR="00055517">
      <w:t xml:space="preserve"> v</w:t>
    </w:r>
    <w:r w:rsidR="008F0345">
      <w:t>3.0</w:t>
    </w:r>
    <w:r w:rsidR="00076346" w:rsidRPr="00C1239F">
      <w:tab/>
    </w:r>
    <w:r w:rsidR="00076346" w:rsidRPr="00C90341">
      <w:t xml:space="preserve">Page </w:t>
    </w:r>
    <w:r w:rsidR="00076346" w:rsidRPr="00C90341">
      <w:fldChar w:fldCharType="begin"/>
    </w:r>
    <w:r w:rsidR="00076346" w:rsidRPr="00C90341">
      <w:instrText xml:space="preserve"> PAGE </w:instrText>
    </w:r>
    <w:r w:rsidR="00076346" w:rsidRPr="00C90341">
      <w:fldChar w:fldCharType="separate"/>
    </w:r>
    <w:r w:rsidR="00076346">
      <w:t>2</w:t>
    </w:r>
    <w:r w:rsidR="00076346" w:rsidRPr="00C90341">
      <w:fldChar w:fldCharType="end"/>
    </w:r>
    <w:r w:rsidR="00076346" w:rsidRPr="00C90341">
      <w:t xml:space="preserve"> of </w:t>
    </w:r>
    <w:r w:rsidR="005A17A5">
      <w:fldChar w:fldCharType="begin"/>
    </w:r>
    <w:r w:rsidR="005A17A5">
      <w:instrText xml:space="preserve"> NUMPAGES </w:instrText>
    </w:r>
    <w:r w:rsidR="005A17A5">
      <w:fldChar w:fldCharType="separate"/>
    </w:r>
    <w:r w:rsidR="00076346">
      <w:t>11</w:t>
    </w:r>
    <w:r w:rsidR="005A17A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411" w14:textId="77777777" w:rsidR="0058242D" w:rsidRDefault="005824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354D" w14:textId="1C62B2D7" w:rsidR="00963E81" w:rsidRDefault="00000000" w:rsidP="00963E81">
    <w:pPr>
      <w:pStyle w:val="Footer"/>
      <w:tabs>
        <w:tab w:val="clear" w:pos="4513"/>
        <w:tab w:val="clear" w:pos="9026"/>
        <w:tab w:val="right" w:pos="13467"/>
      </w:tabs>
      <w:ind w:left="0"/>
    </w:pPr>
    <w:sdt>
      <w:sdtPr>
        <w:alias w:val="Title"/>
        <w:tag w:val="title"/>
        <w:id w:val="410893855"/>
        <w:dataBinding w:prefixMappings="xmlns:ns0='http://purl.org/dc/elements/1.1/' xmlns:ns1='http://schemas.openxmlformats.org/package/2006/metadata/core-properties' " w:xpath="/ns1:coreProperties[1]/ns0:title[1]" w:storeItemID="{6C3C8BC8-F283-45AE-878A-BAB7291924A1}"/>
        <w:text/>
      </w:sdtPr>
      <w:sdtContent>
        <w:r w:rsidR="00963E81">
          <w:t>Decision Making Policy and Procedure</w:t>
        </w:r>
      </w:sdtContent>
    </w:sdt>
    <w:r w:rsidR="00963E81">
      <w:t xml:space="preserve"> v</w:t>
    </w:r>
    <w:r w:rsidR="00780EE0">
      <w:t>2.0</w:t>
    </w:r>
    <w:r w:rsidR="00963E81" w:rsidRPr="00C1239F">
      <w:tab/>
    </w:r>
    <w:r w:rsidR="00963E81" w:rsidRPr="00C90341">
      <w:t xml:space="preserve">Page </w:t>
    </w:r>
    <w:r w:rsidR="00963E81" w:rsidRPr="00C90341">
      <w:fldChar w:fldCharType="begin"/>
    </w:r>
    <w:r w:rsidR="00963E81" w:rsidRPr="00C90341">
      <w:instrText xml:space="preserve"> PAGE </w:instrText>
    </w:r>
    <w:r w:rsidR="00963E81" w:rsidRPr="00C90341">
      <w:fldChar w:fldCharType="separate"/>
    </w:r>
    <w:r w:rsidR="00963E81">
      <w:t>2</w:t>
    </w:r>
    <w:r w:rsidR="00963E81" w:rsidRPr="00C90341">
      <w:fldChar w:fldCharType="end"/>
    </w:r>
    <w:r w:rsidR="00963E81" w:rsidRPr="00C90341">
      <w:t xml:space="preserve"> of </w:t>
    </w:r>
    <w:r w:rsidR="005A17A5">
      <w:fldChar w:fldCharType="begin"/>
    </w:r>
    <w:r w:rsidR="005A17A5">
      <w:instrText xml:space="preserve"> NUMPAGES </w:instrText>
    </w:r>
    <w:r w:rsidR="005A17A5">
      <w:fldChar w:fldCharType="separate"/>
    </w:r>
    <w:r w:rsidR="00963E81">
      <w:t>11</w:t>
    </w:r>
    <w:r w:rsidR="005A17A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6BD4" w14:textId="1E9D0E89" w:rsidR="00963E81" w:rsidRDefault="00000000" w:rsidP="00B45CFD">
    <w:pPr>
      <w:pStyle w:val="Footer"/>
      <w:tabs>
        <w:tab w:val="clear" w:pos="4513"/>
        <w:tab w:val="clear" w:pos="9026"/>
        <w:tab w:val="right" w:pos="9780"/>
      </w:tabs>
      <w:ind w:left="0"/>
    </w:pPr>
    <w:sdt>
      <w:sdtPr>
        <w:alias w:val="Title"/>
        <w:tag w:val="title"/>
        <w:id w:val="649787617"/>
        <w:dataBinding w:prefixMappings="xmlns:ns0='http://purl.org/dc/elements/1.1/' xmlns:ns1='http://schemas.openxmlformats.org/package/2006/metadata/core-properties' " w:xpath="/ns1:coreProperties[1]/ns0:title[1]" w:storeItemID="{6C3C8BC8-F283-45AE-878A-BAB7291924A1}"/>
        <w:text/>
      </w:sdtPr>
      <w:sdtContent>
        <w:r w:rsidR="00963E81">
          <w:t>Decision Making Policy and Procedure</w:t>
        </w:r>
      </w:sdtContent>
    </w:sdt>
    <w:r w:rsidR="00963E81">
      <w:t xml:space="preserve"> v</w:t>
    </w:r>
    <w:r w:rsidR="00780EE0">
      <w:t>2.0</w:t>
    </w:r>
    <w:r w:rsidR="00963E81" w:rsidRPr="00C1239F">
      <w:tab/>
    </w:r>
    <w:r w:rsidR="00963E81" w:rsidRPr="00C90341">
      <w:t xml:space="preserve">Page </w:t>
    </w:r>
    <w:r w:rsidR="00963E81" w:rsidRPr="00C90341">
      <w:fldChar w:fldCharType="begin"/>
    </w:r>
    <w:r w:rsidR="00963E81" w:rsidRPr="00C90341">
      <w:instrText xml:space="preserve"> PAGE </w:instrText>
    </w:r>
    <w:r w:rsidR="00963E81" w:rsidRPr="00C90341">
      <w:fldChar w:fldCharType="separate"/>
    </w:r>
    <w:r w:rsidR="00963E81">
      <w:t>2</w:t>
    </w:r>
    <w:r w:rsidR="00963E81" w:rsidRPr="00C90341">
      <w:fldChar w:fldCharType="end"/>
    </w:r>
    <w:r w:rsidR="00963E81" w:rsidRPr="00C90341">
      <w:t xml:space="preserve"> of </w:t>
    </w:r>
    <w:r w:rsidR="005A17A5">
      <w:fldChar w:fldCharType="begin"/>
    </w:r>
    <w:r w:rsidR="005A17A5">
      <w:instrText xml:space="preserve"> NUMPAGES </w:instrText>
    </w:r>
    <w:r w:rsidR="005A17A5">
      <w:fldChar w:fldCharType="separate"/>
    </w:r>
    <w:r w:rsidR="00963E81">
      <w:t>11</w:t>
    </w:r>
    <w:r w:rsidR="005A17A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2CFB" w14:textId="7127FF80" w:rsidR="007F2E51" w:rsidRDefault="00000000" w:rsidP="007F2E51">
    <w:pPr>
      <w:pStyle w:val="Footer"/>
      <w:tabs>
        <w:tab w:val="clear" w:pos="4513"/>
        <w:tab w:val="clear" w:pos="9026"/>
        <w:tab w:val="right" w:pos="13325"/>
      </w:tabs>
      <w:ind w:left="0"/>
    </w:pPr>
    <w:sdt>
      <w:sdtPr>
        <w:alias w:val="Title"/>
        <w:tag w:val="title"/>
        <w:id w:val="942807404"/>
        <w:dataBinding w:prefixMappings="xmlns:ns0='http://purl.org/dc/elements/1.1/' xmlns:ns1='http://schemas.openxmlformats.org/package/2006/metadata/core-properties' " w:xpath="/ns1:coreProperties[1]/ns0:title[1]" w:storeItemID="{6C3C8BC8-F283-45AE-878A-BAB7291924A1}"/>
        <w:text/>
      </w:sdtPr>
      <w:sdtContent>
        <w:r w:rsidR="00B45CFD">
          <w:t>Decision Making Policy and Procedure</w:t>
        </w:r>
      </w:sdtContent>
    </w:sdt>
    <w:r w:rsidR="007F2E51">
      <w:t xml:space="preserve"> v</w:t>
    </w:r>
    <w:r w:rsidR="00780EE0">
      <w:t>2.0</w:t>
    </w:r>
    <w:r w:rsidR="007F2E51" w:rsidRPr="00C1239F">
      <w:tab/>
    </w:r>
    <w:r w:rsidR="007F2E51" w:rsidRPr="00C90341">
      <w:t xml:space="preserve">Page </w:t>
    </w:r>
    <w:r w:rsidR="007F2E51" w:rsidRPr="00C90341">
      <w:fldChar w:fldCharType="begin"/>
    </w:r>
    <w:r w:rsidR="007F2E51" w:rsidRPr="00C90341">
      <w:instrText xml:space="preserve"> PAGE </w:instrText>
    </w:r>
    <w:r w:rsidR="007F2E51" w:rsidRPr="00C90341">
      <w:fldChar w:fldCharType="separate"/>
    </w:r>
    <w:r w:rsidR="007F2E51">
      <w:t>2</w:t>
    </w:r>
    <w:r w:rsidR="007F2E51" w:rsidRPr="00C90341">
      <w:fldChar w:fldCharType="end"/>
    </w:r>
    <w:r w:rsidR="007F2E51" w:rsidRPr="00C90341">
      <w:t xml:space="preserve"> of </w:t>
    </w:r>
    <w:r w:rsidR="005A17A5">
      <w:fldChar w:fldCharType="begin"/>
    </w:r>
    <w:r w:rsidR="005A17A5">
      <w:instrText xml:space="preserve"> NUMPAGES </w:instrText>
    </w:r>
    <w:r w:rsidR="005A17A5">
      <w:fldChar w:fldCharType="separate"/>
    </w:r>
    <w:r w:rsidR="007F2E51">
      <w:t>11</w:t>
    </w:r>
    <w:r w:rsidR="005A17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6001" w14:textId="77777777" w:rsidR="00E35EF1" w:rsidRDefault="00E35EF1" w:rsidP="00EB783D">
      <w:pPr>
        <w:spacing w:before="0" w:after="0"/>
      </w:pPr>
      <w:r>
        <w:separator/>
      </w:r>
    </w:p>
  </w:footnote>
  <w:footnote w:type="continuationSeparator" w:id="0">
    <w:p w14:paraId="2BF7C9A4" w14:textId="77777777" w:rsidR="00E35EF1" w:rsidRDefault="00E35EF1" w:rsidP="00EB783D">
      <w:pPr>
        <w:spacing w:before="0" w:after="0"/>
      </w:pPr>
      <w:r>
        <w:continuationSeparator/>
      </w:r>
    </w:p>
  </w:footnote>
  <w:footnote w:type="continuationNotice" w:id="1">
    <w:p w14:paraId="71E683C4" w14:textId="77777777" w:rsidR="00E35EF1" w:rsidRDefault="00E35EF1">
      <w:pPr>
        <w:spacing w:before="0" w:after="0"/>
      </w:pPr>
    </w:p>
  </w:footnote>
  <w:footnote w:id="2">
    <w:p w14:paraId="0C321277" w14:textId="24898CAF" w:rsidR="00755219" w:rsidRDefault="00755219">
      <w:pPr>
        <w:pStyle w:val="FootnoteText"/>
      </w:pPr>
      <w:r>
        <w:rPr>
          <w:rStyle w:val="FootnoteReference"/>
        </w:rPr>
        <w:footnoteRef/>
      </w:r>
      <w:r>
        <w:t xml:space="preserve"> Thos</w:t>
      </w:r>
      <w:r w:rsidR="009605D0">
        <w:t>e in relation to the core NHS Contract</w:t>
      </w:r>
      <w:r w:rsidR="00886DEA">
        <w:t xml:space="preserve"> and Direct Enhanced Services</w:t>
      </w:r>
      <w:r w:rsidR="009605D0">
        <w:t xml:space="preserve"> (or other similar contractual</w:t>
      </w:r>
      <w:r w:rsidR="00C013BA">
        <w:t xml:space="preserve"> arrangement).  This would therefore exclude discretionary payments such as those relating to Local Enhanced </w:t>
      </w:r>
      <w:r w:rsidR="00F00781">
        <w:t>Services (LES) schemes.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B390" w14:textId="77777777" w:rsidR="0058242D" w:rsidRDefault="00582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6ADC" w14:textId="0327947E" w:rsidR="00076346" w:rsidRDefault="00076346" w:rsidP="00EB783D">
    <w:pPr>
      <w:pStyle w:val="Header"/>
      <w:ind w:left="0"/>
    </w:pPr>
    <w:r>
      <w:rPr>
        <w:noProof/>
      </w:rPr>
      <w:drawing>
        <wp:anchor distT="0" distB="0" distL="114300" distR="114300" simplePos="0" relativeHeight="251658240" behindDoc="0" locked="0" layoutInCell="1" allowOverlap="1" wp14:anchorId="7686D816" wp14:editId="1DEE9EE3">
          <wp:simplePos x="0" y="0"/>
          <wp:positionH relativeFrom="column">
            <wp:posOffset>4000500</wp:posOffset>
          </wp:positionH>
          <wp:positionV relativeFrom="paragraph">
            <wp:posOffset>367030</wp:posOffset>
          </wp:positionV>
          <wp:extent cx="1767840" cy="763905"/>
          <wp:effectExtent l="0" t="0" r="3810" b="0"/>
          <wp:wrapThrough wrapText="bothSides">
            <wp:wrapPolygon edited="0">
              <wp:start x="0" y="0"/>
              <wp:lineTo x="0" y="21007"/>
              <wp:lineTo x="21414" y="21007"/>
              <wp:lineTo x="21414" y="0"/>
              <wp:lineTo x="0" y="0"/>
            </wp:wrapPolygon>
          </wp:wrapThrough>
          <wp:docPr id="2115451567" name="Picture 2115451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840" cy="763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2992BE" wp14:editId="322AEFF7">
          <wp:extent cx="2225040" cy="646430"/>
          <wp:effectExtent l="0" t="0" r="3810" b="1270"/>
          <wp:docPr id="1448012384" name="Picture 1448012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5040"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4CDD" w14:textId="2B9F4817" w:rsidR="00055517" w:rsidRDefault="00055517" w:rsidP="00055517">
    <w:pPr>
      <w:pStyle w:val="Header"/>
      <w:ind w:left="0"/>
    </w:pPr>
    <w:r w:rsidRPr="00B857E7">
      <w:rPr>
        <w:noProof/>
      </w:rPr>
      <w:drawing>
        <wp:inline distT="0" distB="0" distL="0" distR="0" wp14:anchorId="189D6835" wp14:editId="3503701F">
          <wp:extent cx="5731510" cy="621665"/>
          <wp:effectExtent l="0" t="0" r="2540" b="6985"/>
          <wp:docPr id="901551755" name="Picture 901551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stretch>
                    <a:fillRect/>
                  </a:stretch>
                </pic:blipFill>
                <pic:spPr>
                  <a:xfrm>
                    <a:off x="0" y="0"/>
                    <a:ext cx="5731510" cy="62166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4C16" w14:textId="77777777" w:rsidR="00CB79FC" w:rsidRDefault="00CB79FC" w:rsidP="00EB783D">
    <w:pPr>
      <w:pStyle w:val="Heade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21D" w14:textId="77777777" w:rsidR="00963E81" w:rsidRDefault="00963E81" w:rsidP="00EB783D">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2297" w14:textId="77777777" w:rsidR="00963E81" w:rsidRDefault="00963E81"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2D"/>
    <w:multiLevelType w:val="hybridMultilevel"/>
    <w:tmpl w:val="76A8AF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2751DB"/>
    <w:multiLevelType w:val="multilevel"/>
    <w:tmpl w:val="1FAEBDCC"/>
    <w:lvl w:ilvl="0">
      <w:start w:val="6"/>
      <w:numFmt w:val="decimal"/>
      <w:lvlText w:val="%1"/>
      <w:lvlJc w:val="left"/>
      <w:pPr>
        <w:ind w:left="2223" w:hanging="718"/>
      </w:pPr>
      <w:rPr>
        <w:rFonts w:hint="default"/>
        <w:lang w:val="en-GB" w:eastAsia="en-GB" w:bidi="en-GB"/>
      </w:rPr>
    </w:lvl>
    <w:lvl w:ilvl="1">
      <w:start w:val="1"/>
      <w:numFmt w:val="decimal"/>
      <w:lvlText w:val="%1.%2"/>
      <w:lvlJc w:val="left"/>
      <w:pPr>
        <w:ind w:left="2223" w:hanging="718"/>
      </w:pPr>
      <w:rPr>
        <w:rFonts w:ascii="Arial" w:eastAsia="Arial" w:hAnsi="Arial" w:cs="Arial" w:hint="default"/>
        <w:spacing w:val="-5"/>
        <w:w w:val="99"/>
        <w:sz w:val="24"/>
        <w:szCs w:val="24"/>
        <w:lang w:val="en-GB" w:eastAsia="en-GB" w:bidi="en-GB"/>
      </w:rPr>
    </w:lvl>
    <w:lvl w:ilvl="2">
      <w:numFmt w:val="bullet"/>
      <w:lvlText w:val=""/>
      <w:lvlJc w:val="left"/>
      <w:pPr>
        <w:ind w:left="2223" w:hanging="358"/>
      </w:pPr>
      <w:rPr>
        <w:rFonts w:ascii="Symbol" w:eastAsia="Symbol" w:hAnsi="Symbol" w:cs="Symbol" w:hint="default"/>
        <w:w w:val="100"/>
        <w:sz w:val="24"/>
        <w:szCs w:val="24"/>
        <w:lang w:val="en-GB" w:eastAsia="en-GB" w:bidi="en-GB"/>
      </w:rPr>
    </w:lvl>
    <w:lvl w:ilvl="3">
      <w:numFmt w:val="bullet"/>
      <w:lvlText w:val="•"/>
      <w:lvlJc w:val="left"/>
      <w:pPr>
        <w:ind w:left="4992" w:hanging="358"/>
      </w:pPr>
      <w:rPr>
        <w:rFonts w:hint="default"/>
        <w:lang w:val="en-GB" w:eastAsia="en-GB" w:bidi="en-GB"/>
      </w:rPr>
    </w:lvl>
    <w:lvl w:ilvl="4">
      <w:numFmt w:val="bullet"/>
      <w:lvlText w:val="•"/>
      <w:lvlJc w:val="left"/>
      <w:pPr>
        <w:ind w:left="5916" w:hanging="358"/>
      </w:pPr>
      <w:rPr>
        <w:rFonts w:hint="default"/>
        <w:lang w:val="en-GB" w:eastAsia="en-GB" w:bidi="en-GB"/>
      </w:rPr>
    </w:lvl>
    <w:lvl w:ilvl="5">
      <w:numFmt w:val="bullet"/>
      <w:lvlText w:val="•"/>
      <w:lvlJc w:val="left"/>
      <w:pPr>
        <w:ind w:left="6840" w:hanging="358"/>
      </w:pPr>
      <w:rPr>
        <w:rFonts w:hint="default"/>
        <w:lang w:val="en-GB" w:eastAsia="en-GB" w:bidi="en-GB"/>
      </w:rPr>
    </w:lvl>
    <w:lvl w:ilvl="6">
      <w:numFmt w:val="bullet"/>
      <w:lvlText w:val="•"/>
      <w:lvlJc w:val="left"/>
      <w:pPr>
        <w:ind w:left="7764" w:hanging="358"/>
      </w:pPr>
      <w:rPr>
        <w:rFonts w:hint="default"/>
        <w:lang w:val="en-GB" w:eastAsia="en-GB" w:bidi="en-GB"/>
      </w:rPr>
    </w:lvl>
    <w:lvl w:ilvl="7">
      <w:numFmt w:val="bullet"/>
      <w:lvlText w:val="•"/>
      <w:lvlJc w:val="left"/>
      <w:pPr>
        <w:ind w:left="8688" w:hanging="358"/>
      </w:pPr>
      <w:rPr>
        <w:rFonts w:hint="default"/>
        <w:lang w:val="en-GB" w:eastAsia="en-GB" w:bidi="en-GB"/>
      </w:rPr>
    </w:lvl>
    <w:lvl w:ilvl="8">
      <w:numFmt w:val="bullet"/>
      <w:lvlText w:val="•"/>
      <w:lvlJc w:val="left"/>
      <w:pPr>
        <w:ind w:left="9612" w:hanging="358"/>
      </w:pPr>
      <w:rPr>
        <w:rFonts w:hint="default"/>
        <w:lang w:val="en-GB" w:eastAsia="en-GB" w:bidi="en-GB"/>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005FC2"/>
    <w:multiLevelType w:val="multilevel"/>
    <w:tmpl w:val="B150C2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8111D9"/>
    <w:multiLevelType w:val="hybridMultilevel"/>
    <w:tmpl w:val="B1E895BE"/>
    <w:lvl w:ilvl="0" w:tplc="9F0AD560">
      <w:numFmt w:val="bullet"/>
      <w:lvlText w:val="–"/>
      <w:lvlJc w:val="left"/>
      <w:pPr>
        <w:tabs>
          <w:tab w:val="num" w:pos="360"/>
        </w:tabs>
        <w:ind w:left="360" w:hanging="360"/>
      </w:pPr>
      <w:rPr>
        <w:rFonts w:ascii="Arial" w:eastAsia="Times New Roman" w:hAnsi="Arial" w:cs="Arial" w:hint="default"/>
      </w:rPr>
    </w:lvl>
    <w:lvl w:ilvl="1" w:tplc="9F0AD560">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D5154CA"/>
    <w:multiLevelType w:val="hybridMultilevel"/>
    <w:tmpl w:val="733431C0"/>
    <w:lvl w:ilvl="0" w:tplc="9F0AD56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037C95"/>
    <w:multiLevelType w:val="hybridMultilevel"/>
    <w:tmpl w:val="E878E65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21CB1766"/>
    <w:multiLevelType w:val="multilevel"/>
    <w:tmpl w:val="D25A4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E22134"/>
    <w:multiLevelType w:val="hybridMultilevel"/>
    <w:tmpl w:val="1C72A762"/>
    <w:lvl w:ilvl="0" w:tplc="D46E22B0">
      <w:start w:val="7"/>
      <w:numFmt w:val="decimal"/>
      <w:lvlText w:val="%1."/>
      <w:lvlJc w:val="left"/>
      <w:pPr>
        <w:ind w:left="1669" w:hanging="269"/>
      </w:pPr>
      <w:rPr>
        <w:rFonts w:ascii="Arial" w:eastAsia="Arial" w:hAnsi="Arial" w:cs="Arial" w:hint="default"/>
        <w:b/>
        <w:bCs/>
        <w:w w:val="99"/>
        <w:sz w:val="24"/>
        <w:szCs w:val="24"/>
        <w:lang w:val="en-GB" w:eastAsia="en-GB" w:bidi="en-GB"/>
      </w:rPr>
    </w:lvl>
    <w:lvl w:ilvl="1" w:tplc="213425BA">
      <w:numFmt w:val="bullet"/>
      <w:lvlText w:val=""/>
      <w:lvlJc w:val="left"/>
      <w:pPr>
        <w:ind w:left="2840" w:hanging="720"/>
      </w:pPr>
      <w:rPr>
        <w:rFonts w:ascii="Symbol" w:eastAsia="Symbol" w:hAnsi="Symbol" w:cs="Symbol" w:hint="default"/>
        <w:w w:val="100"/>
        <w:sz w:val="24"/>
        <w:szCs w:val="24"/>
        <w:lang w:val="en-GB" w:eastAsia="en-GB" w:bidi="en-GB"/>
      </w:rPr>
    </w:lvl>
    <w:lvl w:ilvl="2" w:tplc="CC209B66">
      <w:numFmt w:val="bullet"/>
      <w:lvlText w:val="•"/>
      <w:lvlJc w:val="left"/>
      <w:pPr>
        <w:ind w:left="2840" w:hanging="720"/>
      </w:pPr>
      <w:rPr>
        <w:rFonts w:hint="default"/>
        <w:lang w:val="en-GB" w:eastAsia="en-GB" w:bidi="en-GB"/>
      </w:rPr>
    </w:lvl>
    <w:lvl w:ilvl="3" w:tplc="32D6AA68">
      <w:numFmt w:val="bullet"/>
      <w:lvlText w:val="•"/>
      <w:lvlJc w:val="left"/>
      <w:pPr>
        <w:ind w:left="3917" w:hanging="720"/>
      </w:pPr>
      <w:rPr>
        <w:rFonts w:hint="default"/>
        <w:lang w:val="en-GB" w:eastAsia="en-GB" w:bidi="en-GB"/>
      </w:rPr>
    </w:lvl>
    <w:lvl w:ilvl="4" w:tplc="CC4E75B2">
      <w:numFmt w:val="bullet"/>
      <w:lvlText w:val="•"/>
      <w:lvlJc w:val="left"/>
      <w:pPr>
        <w:ind w:left="4995" w:hanging="720"/>
      </w:pPr>
      <w:rPr>
        <w:rFonts w:hint="default"/>
        <w:lang w:val="en-GB" w:eastAsia="en-GB" w:bidi="en-GB"/>
      </w:rPr>
    </w:lvl>
    <w:lvl w:ilvl="5" w:tplc="D26AE9FE">
      <w:numFmt w:val="bullet"/>
      <w:lvlText w:val="•"/>
      <w:lvlJc w:val="left"/>
      <w:pPr>
        <w:ind w:left="6072" w:hanging="720"/>
      </w:pPr>
      <w:rPr>
        <w:rFonts w:hint="default"/>
        <w:lang w:val="en-GB" w:eastAsia="en-GB" w:bidi="en-GB"/>
      </w:rPr>
    </w:lvl>
    <w:lvl w:ilvl="6" w:tplc="452E6AB4">
      <w:numFmt w:val="bullet"/>
      <w:lvlText w:val="•"/>
      <w:lvlJc w:val="left"/>
      <w:pPr>
        <w:ind w:left="7150" w:hanging="720"/>
      </w:pPr>
      <w:rPr>
        <w:rFonts w:hint="default"/>
        <w:lang w:val="en-GB" w:eastAsia="en-GB" w:bidi="en-GB"/>
      </w:rPr>
    </w:lvl>
    <w:lvl w:ilvl="7" w:tplc="D8606F04">
      <w:numFmt w:val="bullet"/>
      <w:lvlText w:val="•"/>
      <w:lvlJc w:val="left"/>
      <w:pPr>
        <w:ind w:left="8228" w:hanging="720"/>
      </w:pPr>
      <w:rPr>
        <w:rFonts w:hint="default"/>
        <w:lang w:val="en-GB" w:eastAsia="en-GB" w:bidi="en-GB"/>
      </w:rPr>
    </w:lvl>
    <w:lvl w:ilvl="8" w:tplc="50184140">
      <w:numFmt w:val="bullet"/>
      <w:lvlText w:val="•"/>
      <w:lvlJc w:val="left"/>
      <w:pPr>
        <w:ind w:left="9305" w:hanging="720"/>
      </w:pPr>
      <w:rPr>
        <w:rFonts w:hint="default"/>
        <w:lang w:val="en-GB" w:eastAsia="en-GB" w:bidi="en-GB"/>
      </w:rPr>
    </w:lvl>
  </w:abstractNum>
  <w:abstractNum w:abstractNumId="9"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FF66C3"/>
    <w:multiLevelType w:val="multilevel"/>
    <w:tmpl w:val="085AA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B61CE"/>
    <w:multiLevelType w:val="multilevel"/>
    <w:tmpl w:val="C53C1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C1A6AD7"/>
    <w:multiLevelType w:val="hybridMultilevel"/>
    <w:tmpl w:val="F9D89CA2"/>
    <w:lvl w:ilvl="0" w:tplc="9F0AD56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E011BC"/>
    <w:multiLevelType w:val="hybridMultilevel"/>
    <w:tmpl w:val="33E66A2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D331ADB"/>
    <w:multiLevelType w:val="multilevel"/>
    <w:tmpl w:val="01349B30"/>
    <w:lvl w:ilvl="0">
      <w:numFmt w:val="bullet"/>
      <w:lvlText w:val="–"/>
      <w:lvlJc w:val="left"/>
      <w:pPr>
        <w:tabs>
          <w:tab w:val="num" w:pos="360"/>
        </w:tabs>
        <w:ind w:left="360" w:hanging="360"/>
      </w:pPr>
      <w:rPr>
        <w:rFonts w:ascii="Arial" w:eastAsia="Times New Roman" w:hAnsi="Arial" w:cs="Arial"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1343233"/>
    <w:multiLevelType w:val="multilevel"/>
    <w:tmpl w:val="2F8EC722"/>
    <w:lvl w:ilvl="0">
      <w:start w:val="1"/>
      <w:numFmt w:val="decimal"/>
      <w:lvlText w:val="%1."/>
      <w:lvlJc w:val="left"/>
      <w:pPr>
        <w:ind w:left="1134" w:hanging="1134"/>
      </w:pPr>
      <w:rPr>
        <w:rFonts w:hint="default"/>
      </w:rPr>
    </w:lvl>
    <w:lvl w:ilvl="1">
      <w:start w:val="1"/>
      <w:numFmt w:val="decimal"/>
      <w:lvlText w:val="%1.%2."/>
      <w:lvlJc w:val="left"/>
      <w:pPr>
        <w:ind w:left="3119" w:hanging="1134"/>
      </w:pPr>
      <w:rPr>
        <w:rFonts w:hint="default"/>
      </w:rPr>
    </w:lvl>
    <w:lvl w:ilvl="2">
      <w:start w:val="1"/>
      <w:numFmt w:val="decimal"/>
      <w:lvlText w:val="%1.%2.%3."/>
      <w:lvlJc w:val="left"/>
      <w:pPr>
        <w:ind w:left="1844" w:hanging="1134"/>
      </w:pPr>
      <w:rPr>
        <w:rFonts w:hint="default"/>
        <w:b w:val="0"/>
        <w:bCs/>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292C6D"/>
    <w:multiLevelType w:val="hybridMultilevel"/>
    <w:tmpl w:val="04A81AC4"/>
    <w:lvl w:ilvl="0" w:tplc="9F0AD560">
      <w:numFmt w:val="bullet"/>
      <w:lvlText w:val="–"/>
      <w:lvlJc w:val="left"/>
      <w:pPr>
        <w:tabs>
          <w:tab w:val="num" w:pos="360"/>
        </w:tabs>
        <w:ind w:left="360" w:hanging="360"/>
      </w:pPr>
      <w:rPr>
        <w:rFonts w:ascii="Arial" w:eastAsia="Times New Roman" w:hAnsi="Arial" w:cs="Arial" w:hint="default"/>
      </w:rPr>
    </w:lvl>
    <w:lvl w:ilvl="1" w:tplc="9F0AD560">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A27D7D"/>
    <w:multiLevelType w:val="hybridMultilevel"/>
    <w:tmpl w:val="EDF205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4BBB0E2A"/>
    <w:multiLevelType w:val="hybridMultilevel"/>
    <w:tmpl w:val="803C209C"/>
    <w:lvl w:ilvl="0" w:tplc="9F0AD560">
      <w:numFmt w:val="bullet"/>
      <w:lvlText w:val="–"/>
      <w:lvlJc w:val="left"/>
      <w:pPr>
        <w:tabs>
          <w:tab w:val="num" w:pos="720"/>
        </w:tabs>
        <w:ind w:left="720" w:hanging="360"/>
      </w:pPr>
      <w:rPr>
        <w:rFonts w:ascii="Arial" w:eastAsia="Times New Roman" w:hAnsi="Arial" w:cs="Arial" w:hint="default"/>
      </w:rPr>
    </w:lvl>
    <w:lvl w:ilvl="1" w:tplc="9F0AD560">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B73FA4"/>
    <w:multiLevelType w:val="hybridMultilevel"/>
    <w:tmpl w:val="5D8E6700"/>
    <w:lvl w:ilvl="0" w:tplc="E2324C2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C2A25"/>
    <w:multiLevelType w:val="hybridMultilevel"/>
    <w:tmpl w:val="9D7650BA"/>
    <w:lvl w:ilvl="0" w:tplc="0809000F">
      <w:start w:val="1"/>
      <w:numFmt w:val="decimal"/>
      <w:lvlText w:val="%1."/>
      <w:lvlJc w:val="left"/>
      <w:pPr>
        <w:tabs>
          <w:tab w:val="num" w:pos="720"/>
        </w:tabs>
        <w:ind w:left="720" w:hanging="360"/>
      </w:pPr>
      <w:rPr>
        <w:rFonts w:hint="default"/>
      </w:rPr>
    </w:lvl>
    <w:lvl w:ilvl="1" w:tplc="9F0AD560">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3610F4"/>
    <w:multiLevelType w:val="hybridMultilevel"/>
    <w:tmpl w:val="0CE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329CA"/>
    <w:multiLevelType w:val="multilevel"/>
    <w:tmpl w:val="D39EF98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276" w:hanging="1134"/>
      </w:pPr>
    </w:lvl>
    <w:lvl w:ilvl="2">
      <w:start w:val="1"/>
      <w:numFmt w:val="decimal"/>
      <w:pStyle w:val="Style2"/>
      <w:lvlText w:val="%1.%2.%3."/>
      <w:lvlJc w:val="left"/>
      <w:pPr>
        <w:ind w:left="1134" w:hanging="1134"/>
      </w:p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8412FF"/>
    <w:multiLevelType w:val="multilevel"/>
    <w:tmpl w:val="01707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B866076"/>
    <w:multiLevelType w:val="hybridMultilevel"/>
    <w:tmpl w:val="B7EC8F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2" w15:restartNumberingAfterBreak="0">
    <w:nsid w:val="5EA81406"/>
    <w:multiLevelType w:val="hybridMultilevel"/>
    <w:tmpl w:val="CE70472E"/>
    <w:lvl w:ilvl="0" w:tplc="9F0AD560">
      <w:numFmt w:val="bullet"/>
      <w:lvlText w:val="–"/>
      <w:lvlJc w:val="left"/>
      <w:pPr>
        <w:tabs>
          <w:tab w:val="num" w:pos="360"/>
        </w:tabs>
        <w:ind w:left="360" w:hanging="360"/>
      </w:pPr>
      <w:rPr>
        <w:rFonts w:ascii="Arial" w:eastAsia="Times New Roman" w:hAnsi="Arial" w:cs="Arial" w:hint="default"/>
      </w:rPr>
    </w:lvl>
    <w:lvl w:ilvl="1" w:tplc="9F0AD560">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0980561"/>
    <w:multiLevelType w:val="hybridMultilevel"/>
    <w:tmpl w:val="B69C0EF8"/>
    <w:lvl w:ilvl="0" w:tplc="9F0AD560">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A2473F"/>
    <w:multiLevelType w:val="multilevel"/>
    <w:tmpl w:val="F530D592"/>
    <w:lvl w:ilvl="0">
      <w:start w:val="1"/>
      <w:numFmt w:val="decimal"/>
      <w:lvlText w:val="%1)"/>
      <w:lvlJc w:val="left"/>
      <w:pPr>
        <w:ind w:left="720" w:hanging="360"/>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D47186"/>
    <w:multiLevelType w:val="multilevel"/>
    <w:tmpl w:val="FBAEC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475738"/>
    <w:multiLevelType w:val="hybridMultilevel"/>
    <w:tmpl w:val="7FF08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6EFB5F1D"/>
    <w:multiLevelType w:val="hybridMultilevel"/>
    <w:tmpl w:val="4FA6212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70192D72"/>
    <w:multiLevelType w:val="hybridMultilevel"/>
    <w:tmpl w:val="33B4D380"/>
    <w:lvl w:ilvl="0" w:tplc="9F0AD56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DA75EA"/>
    <w:multiLevelType w:val="multilevel"/>
    <w:tmpl w:val="CB76EBD6"/>
    <w:styleLink w:val="WWOutlineListStyle2"/>
    <w:lvl w:ilvl="0">
      <w:start w:val="1"/>
      <w:numFmt w:val="none"/>
      <w:lvlText w:val="%1"/>
      <w:lvlJc w:val="left"/>
    </w:lvl>
    <w:lvl w:ilvl="1">
      <w:start w:val="1"/>
      <w:numFmt w:val="decimal"/>
      <w:pStyle w:val="Heading2-numbered"/>
      <w:lvlText w:val="%2."/>
      <w:lvlJc w:val="left"/>
      <w:pPr>
        <w:ind w:left="782" w:hanging="357"/>
      </w:pPr>
      <w:rPr>
        <w:rFonts w:ascii="Arial" w:hAnsi="Arial" w:cs="Arial"/>
        <w:b/>
        <w:i w:val="0"/>
        <w:caps w:val="0"/>
        <w:strike w:val="0"/>
        <w:dstrike w:val="0"/>
        <w:vanish w:val="0"/>
        <w:position w:val="0"/>
        <w:sz w:val="41"/>
        <w:vertAlign w:val="baseline"/>
      </w:rPr>
    </w:lvl>
    <w:lvl w:ilvl="2">
      <w:start w:val="1"/>
      <w:numFmt w:val="decimal"/>
      <w:pStyle w:val="Heading3-numbered"/>
      <w:lvlText w:val="%1.%2.%3"/>
      <w:lvlJc w:val="left"/>
      <w:pPr>
        <w:ind w:left="782" w:hanging="357"/>
      </w:pPr>
      <w:rPr>
        <w:rFonts w:ascii="Arial" w:hAnsi="Arial" w:cs="Arial"/>
        <w:b/>
        <w:i w:val="0"/>
        <w:caps w:val="0"/>
        <w:strike w:val="0"/>
        <w:dstrike w:val="0"/>
        <w:vanish w:val="0"/>
        <w:position w:val="0"/>
        <w:sz w:val="29"/>
        <w:vertAlign w:val="base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764C28"/>
    <w:multiLevelType w:val="hybridMultilevel"/>
    <w:tmpl w:val="4D3418AE"/>
    <w:lvl w:ilvl="0" w:tplc="074643BE">
      <w:start w:val="1"/>
      <w:numFmt w:val="bullet"/>
      <w:pStyle w:val="ListParagraph"/>
      <w:lvlText w:val=""/>
      <w:lvlJc w:val="left"/>
      <w:pPr>
        <w:ind w:left="1780" w:hanging="34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start w:val="1"/>
      <w:numFmt w:val="bullet"/>
      <w:lvlText w:val=""/>
      <w:lvlJc w:val="left"/>
      <w:pPr>
        <w:ind w:left="2466" w:hanging="360"/>
      </w:pPr>
      <w:rPr>
        <w:rFonts w:ascii="Wingdings" w:hAnsi="Wingdings" w:hint="default"/>
      </w:rPr>
    </w:lvl>
    <w:lvl w:ilvl="3" w:tplc="0809000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3" w15:restartNumberingAfterBreak="0">
    <w:nsid w:val="765A3BF9"/>
    <w:multiLevelType w:val="hybridMultilevel"/>
    <w:tmpl w:val="F89E4A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088960437">
    <w:abstractNumId w:val="29"/>
  </w:num>
  <w:num w:numId="2" w16cid:durableId="1889491613">
    <w:abstractNumId w:val="35"/>
  </w:num>
  <w:num w:numId="3" w16cid:durableId="487326368">
    <w:abstractNumId w:val="9"/>
  </w:num>
  <w:num w:numId="4" w16cid:durableId="1861358669">
    <w:abstractNumId w:val="26"/>
  </w:num>
  <w:num w:numId="5" w16cid:durableId="1932472038">
    <w:abstractNumId w:val="34"/>
  </w:num>
  <w:num w:numId="6" w16cid:durableId="1864708475">
    <w:abstractNumId w:val="11"/>
  </w:num>
  <w:num w:numId="7" w16cid:durableId="1075081144">
    <w:abstractNumId w:val="42"/>
  </w:num>
  <w:num w:numId="8" w16cid:durableId="383065018">
    <w:abstractNumId w:val="2"/>
  </w:num>
  <w:num w:numId="9" w16cid:durableId="949508499">
    <w:abstractNumId w:val="20"/>
  </w:num>
  <w:num w:numId="10" w16cid:durableId="1371538975">
    <w:abstractNumId w:val="13"/>
  </w:num>
  <w:num w:numId="11" w16cid:durableId="8653630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4527472">
    <w:abstractNumId w:val="6"/>
  </w:num>
  <w:num w:numId="13" w16cid:durableId="178467796">
    <w:abstractNumId w:val="25"/>
  </w:num>
  <w:num w:numId="14" w16cid:durableId="1748962953">
    <w:abstractNumId w:val="1"/>
  </w:num>
  <w:num w:numId="15" w16cid:durableId="116341362">
    <w:abstractNumId w:val="8"/>
  </w:num>
  <w:num w:numId="16" w16cid:durableId="2109814645">
    <w:abstractNumId w:val="24"/>
  </w:num>
  <w:num w:numId="17" w16cid:durableId="912085047">
    <w:abstractNumId w:val="40"/>
  </w:num>
  <w:num w:numId="18" w16cid:durableId="515385731">
    <w:abstractNumId w:val="22"/>
  </w:num>
  <w:num w:numId="19" w16cid:durableId="1086003167">
    <w:abstractNumId w:val="17"/>
  </w:num>
  <w:num w:numId="20" w16cid:durableId="90204063">
    <w:abstractNumId w:val="4"/>
  </w:num>
  <w:num w:numId="21" w16cid:durableId="259801845">
    <w:abstractNumId w:val="32"/>
  </w:num>
  <w:num w:numId="22" w16cid:durableId="96222163">
    <w:abstractNumId w:val="5"/>
  </w:num>
  <w:num w:numId="23" w16cid:durableId="1467890198">
    <w:abstractNumId w:val="15"/>
  </w:num>
  <w:num w:numId="24" w16cid:durableId="590817385">
    <w:abstractNumId w:val="33"/>
  </w:num>
  <w:num w:numId="25" w16cid:durableId="1867714827">
    <w:abstractNumId w:val="19"/>
  </w:num>
  <w:num w:numId="26" w16cid:durableId="1452625133">
    <w:abstractNumId w:val="28"/>
  </w:num>
  <w:num w:numId="27" w16cid:durableId="385226268">
    <w:abstractNumId w:val="31"/>
  </w:num>
  <w:num w:numId="28" w16cid:durableId="452864354">
    <w:abstractNumId w:val="21"/>
  </w:num>
  <w:num w:numId="29" w16cid:durableId="198979768">
    <w:abstractNumId w:val="16"/>
  </w:num>
  <w:num w:numId="30" w16cid:durableId="1695032594">
    <w:abstractNumId w:val="39"/>
  </w:num>
  <w:num w:numId="31" w16cid:durableId="1554077813">
    <w:abstractNumId w:val="27"/>
  </w:num>
  <w:num w:numId="32" w16cid:durableId="542716591">
    <w:abstractNumId w:val="10"/>
  </w:num>
  <w:num w:numId="33" w16cid:durableId="353195905">
    <w:abstractNumId w:val="23"/>
  </w:num>
  <w:num w:numId="34" w16cid:durableId="831871912">
    <w:abstractNumId w:val="43"/>
  </w:num>
  <w:num w:numId="35" w16cid:durableId="1215122004">
    <w:abstractNumId w:val="38"/>
  </w:num>
  <w:num w:numId="36" w16cid:durableId="967198082">
    <w:abstractNumId w:val="37"/>
  </w:num>
  <w:num w:numId="37" w16cid:durableId="576865112">
    <w:abstractNumId w:val="7"/>
  </w:num>
  <w:num w:numId="38" w16cid:durableId="382339733">
    <w:abstractNumId w:val="41"/>
  </w:num>
  <w:num w:numId="39" w16cid:durableId="1263027944">
    <w:abstractNumId w:val="30"/>
  </w:num>
  <w:num w:numId="40" w16cid:durableId="490828437">
    <w:abstractNumId w:val="3"/>
  </w:num>
  <w:num w:numId="41" w16cid:durableId="2069526442">
    <w:abstractNumId w:val="36"/>
  </w:num>
  <w:num w:numId="42" w16cid:durableId="573245218">
    <w:abstractNumId w:val="14"/>
  </w:num>
  <w:num w:numId="43" w16cid:durableId="440801023">
    <w:abstractNumId w:val="12"/>
  </w:num>
  <w:num w:numId="44" w16cid:durableId="731346275">
    <w:abstractNumId w:val="42"/>
  </w:num>
  <w:num w:numId="45" w16cid:durableId="1724672656">
    <w:abstractNumId w:val="42"/>
  </w:num>
  <w:num w:numId="46" w16cid:durableId="702100235">
    <w:abstractNumId w:val="42"/>
  </w:num>
  <w:num w:numId="47" w16cid:durableId="573589682">
    <w:abstractNumId w:val="28"/>
  </w:num>
  <w:num w:numId="48" w16cid:durableId="1088576068">
    <w:abstractNumId w:val="28"/>
  </w:num>
  <w:num w:numId="49" w16cid:durableId="1432583741">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0AE2"/>
    <w:rsid w:val="000011BD"/>
    <w:rsid w:val="000014FA"/>
    <w:rsid w:val="00001A5F"/>
    <w:rsid w:val="0000403D"/>
    <w:rsid w:val="00005E44"/>
    <w:rsid w:val="00007FC3"/>
    <w:rsid w:val="0001098D"/>
    <w:rsid w:val="00010A58"/>
    <w:rsid w:val="00012A61"/>
    <w:rsid w:val="00012E93"/>
    <w:rsid w:val="00015495"/>
    <w:rsid w:val="000223C5"/>
    <w:rsid w:val="00022575"/>
    <w:rsid w:val="00023B28"/>
    <w:rsid w:val="0002404B"/>
    <w:rsid w:val="000241AC"/>
    <w:rsid w:val="00024D33"/>
    <w:rsid w:val="00025482"/>
    <w:rsid w:val="00026525"/>
    <w:rsid w:val="00026BC2"/>
    <w:rsid w:val="00026EFB"/>
    <w:rsid w:val="00027E19"/>
    <w:rsid w:val="000308AD"/>
    <w:rsid w:val="00032159"/>
    <w:rsid w:val="00032306"/>
    <w:rsid w:val="00032517"/>
    <w:rsid w:val="000326ED"/>
    <w:rsid w:val="00032882"/>
    <w:rsid w:val="00033906"/>
    <w:rsid w:val="00033ADA"/>
    <w:rsid w:val="000356FE"/>
    <w:rsid w:val="000361FF"/>
    <w:rsid w:val="00037F44"/>
    <w:rsid w:val="00040769"/>
    <w:rsid w:val="000417DD"/>
    <w:rsid w:val="00041B42"/>
    <w:rsid w:val="00042979"/>
    <w:rsid w:val="00043819"/>
    <w:rsid w:val="00043C73"/>
    <w:rsid w:val="00043D93"/>
    <w:rsid w:val="00043E96"/>
    <w:rsid w:val="000445B4"/>
    <w:rsid w:val="000449BB"/>
    <w:rsid w:val="00045296"/>
    <w:rsid w:val="00046B00"/>
    <w:rsid w:val="000471F3"/>
    <w:rsid w:val="00047D8A"/>
    <w:rsid w:val="00047FF6"/>
    <w:rsid w:val="000504FA"/>
    <w:rsid w:val="000511E1"/>
    <w:rsid w:val="00053CDD"/>
    <w:rsid w:val="00053E76"/>
    <w:rsid w:val="000545E4"/>
    <w:rsid w:val="00054CB1"/>
    <w:rsid w:val="00054F21"/>
    <w:rsid w:val="00055517"/>
    <w:rsid w:val="00055B0E"/>
    <w:rsid w:val="00057CC5"/>
    <w:rsid w:val="000606D6"/>
    <w:rsid w:val="00061443"/>
    <w:rsid w:val="00061BCE"/>
    <w:rsid w:val="00063BEB"/>
    <w:rsid w:val="000644C8"/>
    <w:rsid w:val="00066472"/>
    <w:rsid w:val="000665B0"/>
    <w:rsid w:val="0006736C"/>
    <w:rsid w:val="00071B96"/>
    <w:rsid w:val="00072BD6"/>
    <w:rsid w:val="00075849"/>
    <w:rsid w:val="00075C95"/>
    <w:rsid w:val="00075FF3"/>
    <w:rsid w:val="00076346"/>
    <w:rsid w:val="00076CA1"/>
    <w:rsid w:val="00080E97"/>
    <w:rsid w:val="0008360E"/>
    <w:rsid w:val="00083B88"/>
    <w:rsid w:val="0008628D"/>
    <w:rsid w:val="00086BEE"/>
    <w:rsid w:val="00086F83"/>
    <w:rsid w:val="00087DE9"/>
    <w:rsid w:val="00087EA0"/>
    <w:rsid w:val="00090375"/>
    <w:rsid w:val="00090B87"/>
    <w:rsid w:val="00090D28"/>
    <w:rsid w:val="00091568"/>
    <w:rsid w:val="00092880"/>
    <w:rsid w:val="00093732"/>
    <w:rsid w:val="00093DB9"/>
    <w:rsid w:val="00094FB7"/>
    <w:rsid w:val="000955EB"/>
    <w:rsid w:val="00095AE9"/>
    <w:rsid w:val="0009708D"/>
    <w:rsid w:val="0009780C"/>
    <w:rsid w:val="000A13F0"/>
    <w:rsid w:val="000A21EA"/>
    <w:rsid w:val="000A4F85"/>
    <w:rsid w:val="000A618B"/>
    <w:rsid w:val="000A7438"/>
    <w:rsid w:val="000B1034"/>
    <w:rsid w:val="000B1156"/>
    <w:rsid w:val="000B2002"/>
    <w:rsid w:val="000B2A18"/>
    <w:rsid w:val="000B2E09"/>
    <w:rsid w:val="000B4EB4"/>
    <w:rsid w:val="000B61A3"/>
    <w:rsid w:val="000B7839"/>
    <w:rsid w:val="000C06C2"/>
    <w:rsid w:val="000C119B"/>
    <w:rsid w:val="000C1826"/>
    <w:rsid w:val="000C4762"/>
    <w:rsid w:val="000C47CE"/>
    <w:rsid w:val="000C4F76"/>
    <w:rsid w:val="000C5D12"/>
    <w:rsid w:val="000C643E"/>
    <w:rsid w:val="000D1211"/>
    <w:rsid w:val="000D24A0"/>
    <w:rsid w:val="000D27B5"/>
    <w:rsid w:val="000D3F1F"/>
    <w:rsid w:val="000D4553"/>
    <w:rsid w:val="000D69D9"/>
    <w:rsid w:val="000D72B4"/>
    <w:rsid w:val="000D766F"/>
    <w:rsid w:val="000D7807"/>
    <w:rsid w:val="000D7F4D"/>
    <w:rsid w:val="000E0D24"/>
    <w:rsid w:val="000E159B"/>
    <w:rsid w:val="000E3F87"/>
    <w:rsid w:val="000F0EA9"/>
    <w:rsid w:val="000F1FD1"/>
    <w:rsid w:val="000F206D"/>
    <w:rsid w:val="000F2FCD"/>
    <w:rsid w:val="000F3DC8"/>
    <w:rsid w:val="000F560D"/>
    <w:rsid w:val="000F71CE"/>
    <w:rsid w:val="000F7F00"/>
    <w:rsid w:val="00100894"/>
    <w:rsid w:val="0010092F"/>
    <w:rsid w:val="00102D49"/>
    <w:rsid w:val="001031C7"/>
    <w:rsid w:val="00103855"/>
    <w:rsid w:val="00104301"/>
    <w:rsid w:val="001053C4"/>
    <w:rsid w:val="001064DA"/>
    <w:rsid w:val="00107BB3"/>
    <w:rsid w:val="0011251B"/>
    <w:rsid w:val="001149A2"/>
    <w:rsid w:val="00115819"/>
    <w:rsid w:val="0011635B"/>
    <w:rsid w:val="00116515"/>
    <w:rsid w:val="0011754B"/>
    <w:rsid w:val="001179AB"/>
    <w:rsid w:val="001200AA"/>
    <w:rsid w:val="001205A8"/>
    <w:rsid w:val="00122063"/>
    <w:rsid w:val="00125E75"/>
    <w:rsid w:val="00126146"/>
    <w:rsid w:val="00126397"/>
    <w:rsid w:val="0012647F"/>
    <w:rsid w:val="00126ED8"/>
    <w:rsid w:val="001313A9"/>
    <w:rsid w:val="0013185D"/>
    <w:rsid w:val="00132EB9"/>
    <w:rsid w:val="001335F8"/>
    <w:rsid w:val="001345B4"/>
    <w:rsid w:val="00134A1D"/>
    <w:rsid w:val="001352AE"/>
    <w:rsid w:val="0013559C"/>
    <w:rsid w:val="00135D39"/>
    <w:rsid w:val="001372BC"/>
    <w:rsid w:val="0013734E"/>
    <w:rsid w:val="00137B4C"/>
    <w:rsid w:val="001415AD"/>
    <w:rsid w:val="00141FC0"/>
    <w:rsid w:val="00142D28"/>
    <w:rsid w:val="001439CA"/>
    <w:rsid w:val="00146A94"/>
    <w:rsid w:val="0015182B"/>
    <w:rsid w:val="001528D1"/>
    <w:rsid w:val="0015598A"/>
    <w:rsid w:val="0015676C"/>
    <w:rsid w:val="00161B7D"/>
    <w:rsid w:val="00162914"/>
    <w:rsid w:val="00167744"/>
    <w:rsid w:val="00170DC0"/>
    <w:rsid w:val="001722B4"/>
    <w:rsid w:val="001728F4"/>
    <w:rsid w:val="001732B6"/>
    <w:rsid w:val="001742A9"/>
    <w:rsid w:val="001743CD"/>
    <w:rsid w:val="0017440B"/>
    <w:rsid w:val="0017505F"/>
    <w:rsid w:val="001751BE"/>
    <w:rsid w:val="001755A6"/>
    <w:rsid w:val="001757B8"/>
    <w:rsid w:val="0017589A"/>
    <w:rsid w:val="00176AD4"/>
    <w:rsid w:val="00176FBA"/>
    <w:rsid w:val="001775EE"/>
    <w:rsid w:val="001802CB"/>
    <w:rsid w:val="00181408"/>
    <w:rsid w:val="00182901"/>
    <w:rsid w:val="00182DAB"/>
    <w:rsid w:val="00182E0F"/>
    <w:rsid w:val="0018348A"/>
    <w:rsid w:val="0018358D"/>
    <w:rsid w:val="00186694"/>
    <w:rsid w:val="0018741D"/>
    <w:rsid w:val="00190D37"/>
    <w:rsid w:val="001922F0"/>
    <w:rsid w:val="0019360D"/>
    <w:rsid w:val="00193F82"/>
    <w:rsid w:val="001946F0"/>
    <w:rsid w:val="00196DCE"/>
    <w:rsid w:val="001972AB"/>
    <w:rsid w:val="001977FD"/>
    <w:rsid w:val="0019790A"/>
    <w:rsid w:val="00197BB0"/>
    <w:rsid w:val="00197CE5"/>
    <w:rsid w:val="001A49DA"/>
    <w:rsid w:val="001A58E5"/>
    <w:rsid w:val="001A6C25"/>
    <w:rsid w:val="001B0512"/>
    <w:rsid w:val="001B0A16"/>
    <w:rsid w:val="001B214F"/>
    <w:rsid w:val="001B2556"/>
    <w:rsid w:val="001B289C"/>
    <w:rsid w:val="001B3C09"/>
    <w:rsid w:val="001B5C9A"/>
    <w:rsid w:val="001B6CE9"/>
    <w:rsid w:val="001B754E"/>
    <w:rsid w:val="001B7E13"/>
    <w:rsid w:val="001C0A73"/>
    <w:rsid w:val="001C1626"/>
    <w:rsid w:val="001C2FF4"/>
    <w:rsid w:val="001C437A"/>
    <w:rsid w:val="001C5284"/>
    <w:rsid w:val="001C5ABA"/>
    <w:rsid w:val="001C632D"/>
    <w:rsid w:val="001C7A24"/>
    <w:rsid w:val="001C7E84"/>
    <w:rsid w:val="001D09BB"/>
    <w:rsid w:val="001D1572"/>
    <w:rsid w:val="001D1E17"/>
    <w:rsid w:val="001D212C"/>
    <w:rsid w:val="001D2701"/>
    <w:rsid w:val="001D2AC8"/>
    <w:rsid w:val="001D60F4"/>
    <w:rsid w:val="001D6EAC"/>
    <w:rsid w:val="001D7AB3"/>
    <w:rsid w:val="001E0BFF"/>
    <w:rsid w:val="001E142E"/>
    <w:rsid w:val="001E2888"/>
    <w:rsid w:val="001E3772"/>
    <w:rsid w:val="001E38EE"/>
    <w:rsid w:val="001E685F"/>
    <w:rsid w:val="001E6B77"/>
    <w:rsid w:val="001F0A57"/>
    <w:rsid w:val="001F140D"/>
    <w:rsid w:val="001F18DC"/>
    <w:rsid w:val="001F2245"/>
    <w:rsid w:val="001F3ACE"/>
    <w:rsid w:val="001F3F3C"/>
    <w:rsid w:val="001F4C61"/>
    <w:rsid w:val="001F64C6"/>
    <w:rsid w:val="00201DAA"/>
    <w:rsid w:val="00202844"/>
    <w:rsid w:val="00204209"/>
    <w:rsid w:val="002046E3"/>
    <w:rsid w:val="00204782"/>
    <w:rsid w:val="00206129"/>
    <w:rsid w:val="00206D8C"/>
    <w:rsid w:val="002079B5"/>
    <w:rsid w:val="00207B8B"/>
    <w:rsid w:val="00212254"/>
    <w:rsid w:val="00212A6D"/>
    <w:rsid w:val="00213803"/>
    <w:rsid w:val="00215E64"/>
    <w:rsid w:val="00216368"/>
    <w:rsid w:val="00217892"/>
    <w:rsid w:val="00220BB5"/>
    <w:rsid w:val="0022106F"/>
    <w:rsid w:val="0022147B"/>
    <w:rsid w:val="00222EB9"/>
    <w:rsid w:val="0022369E"/>
    <w:rsid w:val="00223A24"/>
    <w:rsid w:val="00224E5D"/>
    <w:rsid w:val="00225AB9"/>
    <w:rsid w:val="002272E0"/>
    <w:rsid w:val="00230285"/>
    <w:rsid w:val="00231C70"/>
    <w:rsid w:val="0023259B"/>
    <w:rsid w:val="00232F9D"/>
    <w:rsid w:val="002358C4"/>
    <w:rsid w:val="00235AD0"/>
    <w:rsid w:val="00236F22"/>
    <w:rsid w:val="00237B4C"/>
    <w:rsid w:val="002409C0"/>
    <w:rsid w:val="00240E56"/>
    <w:rsid w:val="00241289"/>
    <w:rsid w:val="0024199D"/>
    <w:rsid w:val="00241CDA"/>
    <w:rsid w:val="00242EC1"/>
    <w:rsid w:val="002440E8"/>
    <w:rsid w:val="00246107"/>
    <w:rsid w:val="00247567"/>
    <w:rsid w:val="00250FB0"/>
    <w:rsid w:val="00251032"/>
    <w:rsid w:val="00253252"/>
    <w:rsid w:val="00254FFE"/>
    <w:rsid w:val="00255453"/>
    <w:rsid w:val="002555BA"/>
    <w:rsid w:val="002603C4"/>
    <w:rsid w:val="0026103C"/>
    <w:rsid w:val="0026109B"/>
    <w:rsid w:val="0026202B"/>
    <w:rsid w:val="002626B2"/>
    <w:rsid w:val="0026349B"/>
    <w:rsid w:val="00267410"/>
    <w:rsid w:val="00267A79"/>
    <w:rsid w:val="00267F92"/>
    <w:rsid w:val="00270B75"/>
    <w:rsid w:val="00270C3A"/>
    <w:rsid w:val="00273C0C"/>
    <w:rsid w:val="00273D9F"/>
    <w:rsid w:val="002740DD"/>
    <w:rsid w:val="0027592E"/>
    <w:rsid w:val="00282225"/>
    <w:rsid w:val="00284771"/>
    <w:rsid w:val="00286962"/>
    <w:rsid w:val="002879B8"/>
    <w:rsid w:val="00291527"/>
    <w:rsid w:val="00291EEA"/>
    <w:rsid w:val="00292A58"/>
    <w:rsid w:val="00294FDB"/>
    <w:rsid w:val="00296698"/>
    <w:rsid w:val="0029787B"/>
    <w:rsid w:val="00297D09"/>
    <w:rsid w:val="002A12ED"/>
    <w:rsid w:val="002A19A6"/>
    <w:rsid w:val="002A400A"/>
    <w:rsid w:val="002A430B"/>
    <w:rsid w:val="002A4F98"/>
    <w:rsid w:val="002A529F"/>
    <w:rsid w:val="002A66CE"/>
    <w:rsid w:val="002A79D1"/>
    <w:rsid w:val="002B3ACF"/>
    <w:rsid w:val="002B3D19"/>
    <w:rsid w:val="002B5000"/>
    <w:rsid w:val="002B5243"/>
    <w:rsid w:val="002B6424"/>
    <w:rsid w:val="002B764C"/>
    <w:rsid w:val="002C0366"/>
    <w:rsid w:val="002C0D8E"/>
    <w:rsid w:val="002C1098"/>
    <w:rsid w:val="002C150E"/>
    <w:rsid w:val="002C1C87"/>
    <w:rsid w:val="002C1D0F"/>
    <w:rsid w:val="002C2CF9"/>
    <w:rsid w:val="002C5793"/>
    <w:rsid w:val="002C59BC"/>
    <w:rsid w:val="002C5FE2"/>
    <w:rsid w:val="002C6B5F"/>
    <w:rsid w:val="002D08EF"/>
    <w:rsid w:val="002D3CC9"/>
    <w:rsid w:val="002D4093"/>
    <w:rsid w:val="002D4A3E"/>
    <w:rsid w:val="002D53DC"/>
    <w:rsid w:val="002D5631"/>
    <w:rsid w:val="002D57FE"/>
    <w:rsid w:val="002E0B75"/>
    <w:rsid w:val="002E1AD5"/>
    <w:rsid w:val="002E1ED8"/>
    <w:rsid w:val="002E34F4"/>
    <w:rsid w:val="002E441A"/>
    <w:rsid w:val="002F020F"/>
    <w:rsid w:val="002F0244"/>
    <w:rsid w:val="002F2C71"/>
    <w:rsid w:val="002F2CC5"/>
    <w:rsid w:val="002F2FDF"/>
    <w:rsid w:val="002F4DDC"/>
    <w:rsid w:val="002F5F01"/>
    <w:rsid w:val="002F6985"/>
    <w:rsid w:val="002F6B33"/>
    <w:rsid w:val="002F7A88"/>
    <w:rsid w:val="00300587"/>
    <w:rsid w:val="003006FA"/>
    <w:rsid w:val="003019F6"/>
    <w:rsid w:val="00301A9A"/>
    <w:rsid w:val="003020BB"/>
    <w:rsid w:val="00304200"/>
    <w:rsid w:val="0030490F"/>
    <w:rsid w:val="003061D1"/>
    <w:rsid w:val="00307059"/>
    <w:rsid w:val="0030743B"/>
    <w:rsid w:val="00307A1E"/>
    <w:rsid w:val="003102E8"/>
    <w:rsid w:val="00310A82"/>
    <w:rsid w:val="003119A4"/>
    <w:rsid w:val="0031307E"/>
    <w:rsid w:val="00313FB0"/>
    <w:rsid w:val="00314DF2"/>
    <w:rsid w:val="00315109"/>
    <w:rsid w:val="00315CE5"/>
    <w:rsid w:val="003169A1"/>
    <w:rsid w:val="00316B28"/>
    <w:rsid w:val="00316FDB"/>
    <w:rsid w:val="00320C09"/>
    <w:rsid w:val="00322BA0"/>
    <w:rsid w:val="00323CC9"/>
    <w:rsid w:val="003240E4"/>
    <w:rsid w:val="00324655"/>
    <w:rsid w:val="00324D0B"/>
    <w:rsid w:val="00324D86"/>
    <w:rsid w:val="00324F4C"/>
    <w:rsid w:val="00326CEF"/>
    <w:rsid w:val="00326F3F"/>
    <w:rsid w:val="00327C7E"/>
    <w:rsid w:val="00331F09"/>
    <w:rsid w:val="003336E1"/>
    <w:rsid w:val="00333D5C"/>
    <w:rsid w:val="003342A5"/>
    <w:rsid w:val="00335DF9"/>
    <w:rsid w:val="00336FB4"/>
    <w:rsid w:val="00337029"/>
    <w:rsid w:val="003375BA"/>
    <w:rsid w:val="00337E2D"/>
    <w:rsid w:val="00340EDF"/>
    <w:rsid w:val="00341FAC"/>
    <w:rsid w:val="003438CC"/>
    <w:rsid w:val="00343A4F"/>
    <w:rsid w:val="00343C94"/>
    <w:rsid w:val="00344367"/>
    <w:rsid w:val="00344967"/>
    <w:rsid w:val="00346078"/>
    <w:rsid w:val="00346AFB"/>
    <w:rsid w:val="00346C64"/>
    <w:rsid w:val="00346C90"/>
    <w:rsid w:val="00347F4B"/>
    <w:rsid w:val="00351059"/>
    <w:rsid w:val="0035216B"/>
    <w:rsid w:val="00352E8A"/>
    <w:rsid w:val="0036232F"/>
    <w:rsid w:val="00364759"/>
    <w:rsid w:val="0036492F"/>
    <w:rsid w:val="00364F5C"/>
    <w:rsid w:val="00370CB5"/>
    <w:rsid w:val="00371FC0"/>
    <w:rsid w:val="003722C8"/>
    <w:rsid w:val="00373939"/>
    <w:rsid w:val="003752E6"/>
    <w:rsid w:val="00375DF6"/>
    <w:rsid w:val="00375F8C"/>
    <w:rsid w:val="003771EC"/>
    <w:rsid w:val="00377B48"/>
    <w:rsid w:val="00380EAB"/>
    <w:rsid w:val="00381939"/>
    <w:rsid w:val="0038211F"/>
    <w:rsid w:val="003832BB"/>
    <w:rsid w:val="0038465B"/>
    <w:rsid w:val="00385229"/>
    <w:rsid w:val="0038528F"/>
    <w:rsid w:val="00386CD0"/>
    <w:rsid w:val="00390446"/>
    <w:rsid w:val="0039173F"/>
    <w:rsid w:val="00391FA5"/>
    <w:rsid w:val="003934CE"/>
    <w:rsid w:val="00393BD3"/>
    <w:rsid w:val="003960B6"/>
    <w:rsid w:val="0039715A"/>
    <w:rsid w:val="00397D1E"/>
    <w:rsid w:val="003A0076"/>
    <w:rsid w:val="003A0B78"/>
    <w:rsid w:val="003A0CB1"/>
    <w:rsid w:val="003A264C"/>
    <w:rsid w:val="003A34CC"/>
    <w:rsid w:val="003A4389"/>
    <w:rsid w:val="003A636B"/>
    <w:rsid w:val="003A663C"/>
    <w:rsid w:val="003A6FE6"/>
    <w:rsid w:val="003B0CB5"/>
    <w:rsid w:val="003B12AE"/>
    <w:rsid w:val="003B4BD3"/>
    <w:rsid w:val="003B4E7B"/>
    <w:rsid w:val="003B5193"/>
    <w:rsid w:val="003B61BB"/>
    <w:rsid w:val="003B7257"/>
    <w:rsid w:val="003B72DE"/>
    <w:rsid w:val="003C0283"/>
    <w:rsid w:val="003C03D4"/>
    <w:rsid w:val="003C3589"/>
    <w:rsid w:val="003C48F8"/>
    <w:rsid w:val="003C4A0C"/>
    <w:rsid w:val="003C4F95"/>
    <w:rsid w:val="003C51D4"/>
    <w:rsid w:val="003C6732"/>
    <w:rsid w:val="003C6B8D"/>
    <w:rsid w:val="003C6E42"/>
    <w:rsid w:val="003D1AB4"/>
    <w:rsid w:val="003D259E"/>
    <w:rsid w:val="003D34B3"/>
    <w:rsid w:val="003D436B"/>
    <w:rsid w:val="003D43ED"/>
    <w:rsid w:val="003D4469"/>
    <w:rsid w:val="003D4FE7"/>
    <w:rsid w:val="003D7F65"/>
    <w:rsid w:val="003E048E"/>
    <w:rsid w:val="003E30FE"/>
    <w:rsid w:val="003E6FEA"/>
    <w:rsid w:val="003F1965"/>
    <w:rsid w:val="003F31B7"/>
    <w:rsid w:val="003F5FAE"/>
    <w:rsid w:val="003F7456"/>
    <w:rsid w:val="00401CFC"/>
    <w:rsid w:val="00402499"/>
    <w:rsid w:val="00402BF1"/>
    <w:rsid w:val="00403633"/>
    <w:rsid w:val="004061D8"/>
    <w:rsid w:val="00407F98"/>
    <w:rsid w:val="00410D56"/>
    <w:rsid w:val="00411C8A"/>
    <w:rsid w:val="00412911"/>
    <w:rsid w:val="00413770"/>
    <w:rsid w:val="004152AC"/>
    <w:rsid w:val="004159E2"/>
    <w:rsid w:val="004206DE"/>
    <w:rsid w:val="004216FE"/>
    <w:rsid w:val="0042230B"/>
    <w:rsid w:val="004253C9"/>
    <w:rsid w:val="004266CB"/>
    <w:rsid w:val="004273F1"/>
    <w:rsid w:val="0043086A"/>
    <w:rsid w:val="004348BF"/>
    <w:rsid w:val="00436C3D"/>
    <w:rsid w:val="00437BE5"/>
    <w:rsid w:val="00441CE1"/>
    <w:rsid w:val="00443743"/>
    <w:rsid w:val="00444F33"/>
    <w:rsid w:val="00445FE6"/>
    <w:rsid w:val="00446DD0"/>
    <w:rsid w:val="004476AD"/>
    <w:rsid w:val="004500E5"/>
    <w:rsid w:val="004505B9"/>
    <w:rsid w:val="00450B28"/>
    <w:rsid w:val="004531C0"/>
    <w:rsid w:val="0045409B"/>
    <w:rsid w:val="00454CF6"/>
    <w:rsid w:val="00454FD0"/>
    <w:rsid w:val="00456365"/>
    <w:rsid w:val="00460A81"/>
    <w:rsid w:val="00461D54"/>
    <w:rsid w:val="00462BED"/>
    <w:rsid w:val="00463A36"/>
    <w:rsid w:val="00463AB3"/>
    <w:rsid w:val="0046469D"/>
    <w:rsid w:val="00466163"/>
    <w:rsid w:val="00466732"/>
    <w:rsid w:val="00466B2E"/>
    <w:rsid w:val="00467D48"/>
    <w:rsid w:val="00471D45"/>
    <w:rsid w:val="004728B0"/>
    <w:rsid w:val="00473E93"/>
    <w:rsid w:val="00474685"/>
    <w:rsid w:val="00474D18"/>
    <w:rsid w:val="00477A9B"/>
    <w:rsid w:val="00480982"/>
    <w:rsid w:val="004821FA"/>
    <w:rsid w:val="0048449B"/>
    <w:rsid w:val="004844D5"/>
    <w:rsid w:val="00485472"/>
    <w:rsid w:val="00486D87"/>
    <w:rsid w:val="00487C77"/>
    <w:rsid w:val="004902CA"/>
    <w:rsid w:val="0049141D"/>
    <w:rsid w:val="00491AED"/>
    <w:rsid w:val="00492446"/>
    <w:rsid w:val="00494C18"/>
    <w:rsid w:val="00495B4E"/>
    <w:rsid w:val="00495FAE"/>
    <w:rsid w:val="004962AA"/>
    <w:rsid w:val="00496ACE"/>
    <w:rsid w:val="004977D3"/>
    <w:rsid w:val="004A095A"/>
    <w:rsid w:val="004A1219"/>
    <w:rsid w:val="004A1ADD"/>
    <w:rsid w:val="004A1DA1"/>
    <w:rsid w:val="004A2E71"/>
    <w:rsid w:val="004A2F47"/>
    <w:rsid w:val="004A4C30"/>
    <w:rsid w:val="004A61EF"/>
    <w:rsid w:val="004A6FD7"/>
    <w:rsid w:val="004A7818"/>
    <w:rsid w:val="004B014D"/>
    <w:rsid w:val="004B2F5A"/>
    <w:rsid w:val="004B34E6"/>
    <w:rsid w:val="004B6D1B"/>
    <w:rsid w:val="004B6E95"/>
    <w:rsid w:val="004B798D"/>
    <w:rsid w:val="004C0EA4"/>
    <w:rsid w:val="004C1426"/>
    <w:rsid w:val="004C2E74"/>
    <w:rsid w:val="004C2ED5"/>
    <w:rsid w:val="004C4C5B"/>
    <w:rsid w:val="004C792C"/>
    <w:rsid w:val="004C7ECC"/>
    <w:rsid w:val="004D33A5"/>
    <w:rsid w:val="004D4B10"/>
    <w:rsid w:val="004D5CFA"/>
    <w:rsid w:val="004D5EEE"/>
    <w:rsid w:val="004D64C9"/>
    <w:rsid w:val="004D6501"/>
    <w:rsid w:val="004D6559"/>
    <w:rsid w:val="004D7426"/>
    <w:rsid w:val="004E06CE"/>
    <w:rsid w:val="004E2BC7"/>
    <w:rsid w:val="004E2D2D"/>
    <w:rsid w:val="004E56AD"/>
    <w:rsid w:val="004E5A4D"/>
    <w:rsid w:val="004E5CF2"/>
    <w:rsid w:val="004E5F32"/>
    <w:rsid w:val="004E6155"/>
    <w:rsid w:val="004F465C"/>
    <w:rsid w:val="004F4A96"/>
    <w:rsid w:val="004F4BE3"/>
    <w:rsid w:val="004F76BF"/>
    <w:rsid w:val="005020E3"/>
    <w:rsid w:val="00502A0B"/>
    <w:rsid w:val="005044FA"/>
    <w:rsid w:val="00504FA0"/>
    <w:rsid w:val="0050541C"/>
    <w:rsid w:val="00506759"/>
    <w:rsid w:val="005075C8"/>
    <w:rsid w:val="00510880"/>
    <w:rsid w:val="00510EE6"/>
    <w:rsid w:val="00511BB5"/>
    <w:rsid w:val="00511D9F"/>
    <w:rsid w:val="005131A9"/>
    <w:rsid w:val="005135CB"/>
    <w:rsid w:val="00514203"/>
    <w:rsid w:val="00514AF2"/>
    <w:rsid w:val="00515273"/>
    <w:rsid w:val="00515AEE"/>
    <w:rsid w:val="00516C57"/>
    <w:rsid w:val="00522DA3"/>
    <w:rsid w:val="00530293"/>
    <w:rsid w:val="00530CC7"/>
    <w:rsid w:val="00532A35"/>
    <w:rsid w:val="0053602E"/>
    <w:rsid w:val="005360B6"/>
    <w:rsid w:val="005361DF"/>
    <w:rsid w:val="005428CD"/>
    <w:rsid w:val="00542FB6"/>
    <w:rsid w:val="00544B19"/>
    <w:rsid w:val="00544FB8"/>
    <w:rsid w:val="00546280"/>
    <w:rsid w:val="00546341"/>
    <w:rsid w:val="00546A28"/>
    <w:rsid w:val="0054760E"/>
    <w:rsid w:val="005554E9"/>
    <w:rsid w:val="0056200B"/>
    <w:rsid w:val="00562024"/>
    <w:rsid w:val="00562866"/>
    <w:rsid w:val="00563C10"/>
    <w:rsid w:val="00564680"/>
    <w:rsid w:val="00566410"/>
    <w:rsid w:val="00566B13"/>
    <w:rsid w:val="00567357"/>
    <w:rsid w:val="00570756"/>
    <w:rsid w:val="0057126D"/>
    <w:rsid w:val="00572949"/>
    <w:rsid w:val="0057314F"/>
    <w:rsid w:val="005740BE"/>
    <w:rsid w:val="00574912"/>
    <w:rsid w:val="005752B3"/>
    <w:rsid w:val="00576C1E"/>
    <w:rsid w:val="00580007"/>
    <w:rsid w:val="005807B5"/>
    <w:rsid w:val="00580FC8"/>
    <w:rsid w:val="0058242D"/>
    <w:rsid w:val="00583B94"/>
    <w:rsid w:val="00585F22"/>
    <w:rsid w:val="00587B9B"/>
    <w:rsid w:val="00591836"/>
    <w:rsid w:val="00591E4A"/>
    <w:rsid w:val="00595C9E"/>
    <w:rsid w:val="00596091"/>
    <w:rsid w:val="00597B9F"/>
    <w:rsid w:val="005A1203"/>
    <w:rsid w:val="005A13F3"/>
    <w:rsid w:val="005A17A5"/>
    <w:rsid w:val="005A1A4E"/>
    <w:rsid w:val="005A456D"/>
    <w:rsid w:val="005A5F5C"/>
    <w:rsid w:val="005A7C2C"/>
    <w:rsid w:val="005B02EB"/>
    <w:rsid w:val="005B3324"/>
    <w:rsid w:val="005B3A6F"/>
    <w:rsid w:val="005B3FFB"/>
    <w:rsid w:val="005B43B6"/>
    <w:rsid w:val="005B7DA7"/>
    <w:rsid w:val="005C3EC6"/>
    <w:rsid w:val="005C4EDB"/>
    <w:rsid w:val="005C5966"/>
    <w:rsid w:val="005C5B2A"/>
    <w:rsid w:val="005D0471"/>
    <w:rsid w:val="005D089F"/>
    <w:rsid w:val="005D125C"/>
    <w:rsid w:val="005D13DC"/>
    <w:rsid w:val="005D286C"/>
    <w:rsid w:val="005D4EB4"/>
    <w:rsid w:val="005D550A"/>
    <w:rsid w:val="005D563D"/>
    <w:rsid w:val="005D604E"/>
    <w:rsid w:val="005D643E"/>
    <w:rsid w:val="005D76C2"/>
    <w:rsid w:val="005D7804"/>
    <w:rsid w:val="005E0056"/>
    <w:rsid w:val="005E0498"/>
    <w:rsid w:val="005E0C6C"/>
    <w:rsid w:val="005E1C21"/>
    <w:rsid w:val="005E2508"/>
    <w:rsid w:val="005E3CFB"/>
    <w:rsid w:val="005E49E9"/>
    <w:rsid w:val="005E4CC5"/>
    <w:rsid w:val="005E5EE7"/>
    <w:rsid w:val="005E6FF9"/>
    <w:rsid w:val="005E7068"/>
    <w:rsid w:val="005E7858"/>
    <w:rsid w:val="005E7E42"/>
    <w:rsid w:val="005F0FCA"/>
    <w:rsid w:val="005F1CDD"/>
    <w:rsid w:val="005F3613"/>
    <w:rsid w:val="005F363A"/>
    <w:rsid w:val="005F40A1"/>
    <w:rsid w:val="005F4A97"/>
    <w:rsid w:val="005F5D6F"/>
    <w:rsid w:val="0060182C"/>
    <w:rsid w:val="0060315F"/>
    <w:rsid w:val="006034BA"/>
    <w:rsid w:val="00603773"/>
    <w:rsid w:val="00610177"/>
    <w:rsid w:val="00611F9C"/>
    <w:rsid w:val="006134A1"/>
    <w:rsid w:val="0061368C"/>
    <w:rsid w:val="00613A1D"/>
    <w:rsid w:val="0061407C"/>
    <w:rsid w:val="00614C73"/>
    <w:rsid w:val="00614E84"/>
    <w:rsid w:val="006153F1"/>
    <w:rsid w:val="00616027"/>
    <w:rsid w:val="006168B8"/>
    <w:rsid w:val="00616D54"/>
    <w:rsid w:val="0061770A"/>
    <w:rsid w:val="00620A5B"/>
    <w:rsid w:val="00624F3B"/>
    <w:rsid w:val="006250B7"/>
    <w:rsid w:val="00625237"/>
    <w:rsid w:val="00627119"/>
    <w:rsid w:val="00630B76"/>
    <w:rsid w:val="006311BC"/>
    <w:rsid w:val="00631744"/>
    <w:rsid w:val="0063477A"/>
    <w:rsid w:val="00635D5A"/>
    <w:rsid w:val="00637807"/>
    <w:rsid w:val="00637969"/>
    <w:rsid w:val="00637F41"/>
    <w:rsid w:val="00637F74"/>
    <w:rsid w:val="006405A5"/>
    <w:rsid w:val="00641033"/>
    <w:rsid w:val="00643649"/>
    <w:rsid w:val="00643986"/>
    <w:rsid w:val="00643DAE"/>
    <w:rsid w:val="00644301"/>
    <w:rsid w:val="00646945"/>
    <w:rsid w:val="00647E77"/>
    <w:rsid w:val="00650F43"/>
    <w:rsid w:val="00651186"/>
    <w:rsid w:val="00651480"/>
    <w:rsid w:val="00651EAA"/>
    <w:rsid w:val="006520C1"/>
    <w:rsid w:val="00653125"/>
    <w:rsid w:val="0065516F"/>
    <w:rsid w:val="00655730"/>
    <w:rsid w:val="00656086"/>
    <w:rsid w:val="006606C1"/>
    <w:rsid w:val="006615BE"/>
    <w:rsid w:val="0066168A"/>
    <w:rsid w:val="00662461"/>
    <w:rsid w:val="006625E0"/>
    <w:rsid w:val="006661F5"/>
    <w:rsid w:val="00667220"/>
    <w:rsid w:val="0066748E"/>
    <w:rsid w:val="006704E2"/>
    <w:rsid w:val="0067159A"/>
    <w:rsid w:val="00673380"/>
    <w:rsid w:val="00673760"/>
    <w:rsid w:val="00675671"/>
    <w:rsid w:val="00676573"/>
    <w:rsid w:val="00676856"/>
    <w:rsid w:val="006770CD"/>
    <w:rsid w:val="00680401"/>
    <w:rsid w:val="006818F5"/>
    <w:rsid w:val="006820D9"/>
    <w:rsid w:val="00682B39"/>
    <w:rsid w:val="00682D61"/>
    <w:rsid w:val="00682D67"/>
    <w:rsid w:val="006838C6"/>
    <w:rsid w:val="00683A1F"/>
    <w:rsid w:val="006844A3"/>
    <w:rsid w:val="006844D9"/>
    <w:rsid w:val="0068469E"/>
    <w:rsid w:val="00685626"/>
    <w:rsid w:val="0068628A"/>
    <w:rsid w:val="0068694C"/>
    <w:rsid w:val="006903DB"/>
    <w:rsid w:val="00690B68"/>
    <w:rsid w:val="00690CD8"/>
    <w:rsid w:val="00693A2F"/>
    <w:rsid w:val="00693F8B"/>
    <w:rsid w:val="00693FB8"/>
    <w:rsid w:val="0069690D"/>
    <w:rsid w:val="00697107"/>
    <w:rsid w:val="00697163"/>
    <w:rsid w:val="00697CCB"/>
    <w:rsid w:val="006A0B09"/>
    <w:rsid w:val="006A36E8"/>
    <w:rsid w:val="006A3B30"/>
    <w:rsid w:val="006A444F"/>
    <w:rsid w:val="006A6E1B"/>
    <w:rsid w:val="006B36CC"/>
    <w:rsid w:val="006B3E9C"/>
    <w:rsid w:val="006B623F"/>
    <w:rsid w:val="006C470D"/>
    <w:rsid w:val="006C7201"/>
    <w:rsid w:val="006D0C46"/>
    <w:rsid w:val="006D1C21"/>
    <w:rsid w:val="006D2F48"/>
    <w:rsid w:val="006D390E"/>
    <w:rsid w:val="006D5394"/>
    <w:rsid w:val="006D5C66"/>
    <w:rsid w:val="006D6EE9"/>
    <w:rsid w:val="006E1155"/>
    <w:rsid w:val="006E132B"/>
    <w:rsid w:val="006E1839"/>
    <w:rsid w:val="006E1EB7"/>
    <w:rsid w:val="006E3013"/>
    <w:rsid w:val="006E3869"/>
    <w:rsid w:val="006E4F10"/>
    <w:rsid w:val="006E5393"/>
    <w:rsid w:val="006E67FE"/>
    <w:rsid w:val="006E6BFA"/>
    <w:rsid w:val="006E6F93"/>
    <w:rsid w:val="006F006E"/>
    <w:rsid w:val="006F023D"/>
    <w:rsid w:val="006F36FD"/>
    <w:rsid w:val="006F370D"/>
    <w:rsid w:val="006F4B6F"/>
    <w:rsid w:val="006F5D73"/>
    <w:rsid w:val="006F5DEB"/>
    <w:rsid w:val="006F682E"/>
    <w:rsid w:val="006F7E99"/>
    <w:rsid w:val="0070507D"/>
    <w:rsid w:val="00706434"/>
    <w:rsid w:val="00710694"/>
    <w:rsid w:val="007124C1"/>
    <w:rsid w:val="00712CF9"/>
    <w:rsid w:val="00713122"/>
    <w:rsid w:val="007136F5"/>
    <w:rsid w:val="00716D9A"/>
    <w:rsid w:val="00716DEC"/>
    <w:rsid w:val="00717F41"/>
    <w:rsid w:val="00722DAE"/>
    <w:rsid w:val="0072315C"/>
    <w:rsid w:val="00724538"/>
    <w:rsid w:val="007260B7"/>
    <w:rsid w:val="00726125"/>
    <w:rsid w:val="00726287"/>
    <w:rsid w:val="007267DB"/>
    <w:rsid w:val="00726C67"/>
    <w:rsid w:val="00732AFE"/>
    <w:rsid w:val="0073459A"/>
    <w:rsid w:val="0073494E"/>
    <w:rsid w:val="00735149"/>
    <w:rsid w:val="007355D2"/>
    <w:rsid w:val="007362A0"/>
    <w:rsid w:val="00741D9B"/>
    <w:rsid w:val="00741EC2"/>
    <w:rsid w:val="007449B9"/>
    <w:rsid w:val="0074688A"/>
    <w:rsid w:val="007470DF"/>
    <w:rsid w:val="00751CF0"/>
    <w:rsid w:val="00752AD9"/>
    <w:rsid w:val="00755219"/>
    <w:rsid w:val="0075560A"/>
    <w:rsid w:val="00756F81"/>
    <w:rsid w:val="00757253"/>
    <w:rsid w:val="007578FD"/>
    <w:rsid w:val="00757DC2"/>
    <w:rsid w:val="00761230"/>
    <w:rsid w:val="007622E3"/>
    <w:rsid w:val="00762388"/>
    <w:rsid w:val="00762676"/>
    <w:rsid w:val="007641D7"/>
    <w:rsid w:val="007655F2"/>
    <w:rsid w:val="0077055C"/>
    <w:rsid w:val="007717BB"/>
    <w:rsid w:val="00771D26"/>
    <w:rsid w:val="00772FC6"/>
    <w:rsid w:val="00775F11"/>
    <w:rsid w:val="007760E4"/>
    <w:rsid w:val="0077741B"/>
    <w:rsid w:val="00777A7B"/>
    <w:rsid w:val="00777DDC"/>
    <w:rsid w:val="00780912"/>
    <w:rsid w:val="00780EE0"/>
    <w:rsid w:val="00781F15"/>
    <w:rsid w:val="00782491"/>
    <w:rsid w:val="00782A73"/>
    <w:rsid w:val="00783534"/>
    <w:rsid w:val="00783DC2"/>
    <w:rsid w:val="007841AA"/>
    <w:rsid w:val="007847D6"/>
    <w:rsid w:val="00786817"/>
    <w:rsid w:val="00786D48"/>
    <w:rsid w:val="007925FF"/>
    <w:rsid w:val="00792DA5"/>
    <w:rsid w:val="00792ED1"/>
    <w:rsid w:val="00793049"/>
    <w:rsid w:val="007936AC"/>
    <w:rsid w:val="0079495E"/>
    <w:rsid w:val="00795B02"/>
    <w:rsid w:val="007960C5"/>
    <w:rsid w:val="007A0F22"/>
    <w:rsid w:val="007A11F6"/>
    <w:rsid w:val="007B0E1B"/>
    <w:rsid w:val="007B3656"/>
    <w:rsid w:val="007B47AD"/>
    <w:rsid w:val="007B5028"/>
    <w:rsid w:val="007B5DBA"/>
    <w:rsid w:val="007B755C"/>
    <w:rsid w:val="007B7C13"/>
    <w:rsid w:val="007B7D8B"/>
    <w:rsid w:val="007C11AC"/>
    <w:rsid w:val="007C17F3"/>
    <w:rsid w:val="007C1D86"/>
    <w:rsid w:val="007C29CA"/>
    <w:rsid w:val="007C4715"/>
    <w:rsid w:val="007C6DF4"/>
    <w:rsid w:val="007C7EF8"/>
    <w:rsid w:val="007D0108"/>
    <w:rsid w:val="007D051C"/>
    <w:rsid w:val="007D05B9"/>
    <w:rsid w:val="007D43D5"/>
    <w:rsid w:val="007D4575"/>
    <w:rsid w:val="007D4741"/>
    <w:rsid w:val="007D4AD6"/>
    <w:rsid w:val="007D50CA"/>
    <w:rsid w:val="007D50DD"/>
    <w:rsid w:val="007D52F8"/>
    <w:rsid w:val="007D5D0D"/>
    <w:rsid w:val="007D5E89"/>
    <w:rsid w:val="007D633A"/>
    <w:rsid w:val="007D6D10"/>
    <w:rsid w:val="007D7F72"/>
    <w:rsid w:val="007E0DB5"/>
    <w:rsid w:val="007E179D"/>
    <w:rsid w:val="007E5C56"/>
    <w:rsid w:val="007F2E51"/>
    <w:rsid w:val="007F2F3D"/>
    <w:rsid w:val="007F397E"/>
    <w:rsid w:val="007F3C90"/>
    <w:rsid w:val="007F471E"/>
    <w:rsid w:val="007F5F4F"/>
    <w:rsid w:val="007F6397"/>
    <w:rsid w:val="007F7336"/>
    <w:rsid w:val="007F736C"/>
    <w:rsid w:val="007F7400"/>
    <w:rsid w:val="007F7BCE"/>
    <w:rsid w:val="00800305"/>
    <w:rsid w:val="00800E4D"/>
    <w:rsid w:val="00801217"/>
    <w:rsid w:val="008030F8"/>
    <w:rsid w:val="0080317A"/>
    <w:rsid w:val="008074FF"/>
    <w:rsid w:val="008109DD"/>
    <w:rsid w:val="00810A42"/>
    <w:rsid w:val="00811D6F"/>
    <w:rsid w:val="00812240"/>
    <w:rsid w:val="008137A9"/>
    <w:rsid w:val="00813858"/>
    <w:rsid w:val="008141E0"/>
    <w:rsid w:val="00814356"/>
    <w:rsid w:val="00820AED"/>
    <w:rsid w:val="00820D9C"/>
    <w:rsid w:val="0082320E"/>
    <w:rsid w:val="008238AF"/>
    <w:rsid w:val="00824B03"/>
    <w:rsid w:val="00825B1D"/>
    <w:rsid w:val="00825F82"/>
    <w:rsid w:val="00826559"/>
    <w:rsid w:val="00826D33"/>
    <w:rsid w:val="00827621"/>
    <w:rsid w:val="00827957"/>
    <w:rsid w:val="00830999"/>
    <w:rsid w:val="00831E8E"/>
    <w:rsid w:val="008333AE"/>
    <w:rsid w:val="008334BF"/>
    <w:rsid w:val="00833D59"/>
    <w:rsid w:val="00834130"/>
    <w:rsid w:val="008344D6"/>
    <w:rsid w:val="00835C4A"/>
    <w:rsid w:val="0083665A"/>
    <w:rsid w:val="00837C0C"/>
    <w:rsid w:val="00837E4B"/>
    <w:rsid w:val="00840AE8"/>
    <w:rsid w:val="00840CF4"/>
    <w:rsid w:val="00842283"/>
    <w:rsid w:val="008431B7"/>
    <w:rsid w:val="00843CF9"/>
    <w:rsid w:val="00844D34"/>
    <w:rsid w:val="00845127"/>
    <w:rsid w:val="008464B5"/>
    <w:rsid w:val="008500B0"/>
    <w:rsid w:val="008507F0"/>
    <w:rsid w:val="00850C86"/>
    <w:rsid w:val="0085179C"/>
    <w:rsid w:val="00851BCC"/>
    <w:rsid w:val="00852CE0"/>
    <w:rsid w:val="00853AE1"/>
    <w:rsid w:val="00853DCE"/>
    <w:rsid w:val="008547E5"/>
    <w:rsid w:val="008578A0"/>
    <w:rsid w:val="0086124B"/>
    <w:rsid w:val="00861A2C"/>
    <w:rsid w:val="00861C79"/>
    <w:rsid w:val="00862D6A"/>
    <w:rsid w:val="00862F6C"/>
    <w:rsid w:val="00862FD7"/>
    <w:rsid w:val="00863A18"/>
    <w:rsid w:val="008650AE"/>
    <w:rsid w:val="008653DD"/>
    <w:rsid w:val="0086747F"/>
    <w:rsid w:val="008710D0"/>
    <w:rsid w:val="00872487"/>
    <w:rsid w:val="008728AA"/>
    <w:rsid w:val="0087293C"/>
    <w:rsid w:val="0087351A"/>
    <w:rsid w:val="0087395B"/>
    <w:rsid w:val="0087464E"/>
    <w:rsid w:val="00875006"/>
    <w:rsid w:val="00876CDD"/>
    <w:rsid w:val="00876E95"/>
    <w:rsid w:val="00877BF0"/>
    <w:rsid w:val="00881741"/>
    <w:rsid w:val="00881D97"/>
    <w:rsid w:val="00882FEA"/>
    <w:rsid w:val="00883E55"/>
    <w:rsid w:val="00884FE5"/>
    <w:rsid w:val="008853AF"/>
    <w:rsid w:val="00885E13"/>
    <w:rsid w:val="008863AF"/>
    <w:rsid w:val="008865E9"/>
    <w:rsid w:val="00886DEA"/>
    <w:rsid w:val="00887BA5"/>
    <w:rsid w:val="0089546A"/>
    <w:rsid w:val="00896227"/>
    <w:rsid w:val="00896E85"/>
    <w:rsid w:val="00897AB2"/>
    <w:rsid w:val="008A00B7"/>
    <w:rsid w:val="008A456C"/>
    <w:rsid w:val="008A5426"/>
    <w:rsid w:val="008A5783"/>
    <w:rsid w:val="008A5A2D"/>
    <w:rsid w:val="008A7CAE"/>
    <w:rsid w:val="008B0894"/>
    <w:rsid w:val="008B2704"/>
    <w:rsid w:val="008B2E1E"/>
    <w:rsid w:val="008B2EEB"/>
    <w:rsid w:val="008B420D"/>
    <w:rsid w:val="008B4229"/>
    <w:rsid w:val="008B59E1"/>
    <w:rsid w:val="008C10D7"/>
    <w:rsid w:val="008C2F92"/>
    <w:rsid w:val="008C4223"/>
    <w:rsid w:val="008C4A84"/>
    <w:rsid w:val="008C4EF3"/>
    <w:rsid w:val="008C597D"/>
    <w:rsid w:val="008C7FB4"/>
    <w:rsid w:val="008D034C"/>
    <w:rsid w:val="008D2C1A"/>
    <w:rsid w:val="008D2D91"/>
    <w:rsid w:val="008D32E6"/>
    <w:rsid w:val="008D5BFE"/>
    <w:rsid w:val="008D61F5"/>
    <w:rsid w:val="008E0599"/>
    <w:rsid w:val="008E2CAD"/>
    <w:rsid w:val="008E35CE"/>
    <w:rsid w:val="008E3F60"/>
    <w:rsid w:val="008E4350"/>
    <w:rsid w:val="008E4397"/>
    <w:rsid w:val="008E7B4E"/>
    <w:rsid w:val="008F0345"/>
    <w:rsid w:val="008F0CC8"/>
    <w:rsid w:val="008F2D82"/>
    <w:rsid w:val="008F3104"/>
    <w:rsid w:val="008F355A"/>
    <w:rsid w:val="008F4886"/>
    <w:rsid w:val="008F50CF"/>
    <w:rsid w:val="008F60F0"/>
    <w:rsid w:val="008F6E0B"/>
    <w:rsid w:val="008F79B8"/>
    <w:rsid w:val="0090041C"/>
    <w:rsid w:val="009009D6"/>
    <w:rsid w:val="00902496"/>
    <w:rsid w:val="009034A2"/>
    <w:rsid w:val="0090384F"/>
    <w:rsid w:val="00903C63"/>
    <w:rsid w:val="00903CCB"/>
    <w:rsid w:val="00904ADA"/>
    <w:rsid w:val="00905296"/>
    <w:rsid w:val="009057A8"/>
    <w:rsid w:val="00905BB3"/>
    <w:rsid w:val="00907CB7"/>
    <w:rsid w:val="009102C2"/>
    <w:rsid w:val="00910935"/>
    <w:rsid w:val="009114A9"/>
    <w:rsid w:val="00911C7E"/>
    <w:rsid w:val="009120A0"/>
    <w:rsid w:val="00912416"/>
    <w:rsid w:val="00913C65"/>
    <w:rsid w:val="00915388"/>
    <w:rsid w:val="00921539"/>
    <w:rsid w:val="0092740D"/>
    <w:rsid w:val="0093094C"/>
    <w:rsid w:val="00931293"/>
    <w:rsid w:val="009337A0"/>
    <w:rsid w:val="00933AB6"/>
    <w:rsid w:val="0093488D"/>
    <w:rsid w:val="00934B58"/>
    <w:rsid w:val="00935C35"/>
    <w:rsid w:val="0093687C"/>
    <w:rsid w:val="0094021B"/>
    <w:rsid w:val="00942C62"/>
    <w:rsid w:val="00943A19"/>
    <w:rsid w:val="0094522E"/>
    <w:rsid w:val="00946991"/>
    <w:rsid w:val="009470EA"/>
    <w:rsid w:val="00947531"/>
    <w:rsid w:val="0095356E"/>
    <w:rsid w:val="00954CD3"/>
    <w:rsid w:val="009550AD"/>
    <w:rsid w:val="00955502"/>
    <w:rsid w:val="00956907"/>
    <w:rsid w:val="009605D0"/>
    <w:rsid w:val="00960E06"/>
    <w:rsid w:val="00962037"/>
    <w:rsid w:val="00962E77"/>
    <w:rsid w:val="009633C3"/>
    <w:rsid w:val="00963E81"/>
    <w:rsid w:val="00964754"/>
    <w:rsid w:val="0096475D"/>
    <w:rsid w:val="00966E9D"/>
    <w:rsid w:val="00967546"/>
    <w:rsid w:val="00967EFC"/>
    <w:rsid w:val="00967F4E"/>
    <w:rsid w:val="009704E7"/>
    <w:rsid w:val="00970DF8"/>
    <w:rsid w:val="00974009"/>
    <w:rsid w:val="0097607D"/>
    <w:rsid w:val="0097609A"/>
    <w:rsid w:val="00976DC5"/>
    <w:rsid w:val="00977630"/>
    <w:rsid w:val="0097774C"/>
    <w:rsid w:val="00980F3B"/>
    <w:rsid w:val="0098283B"/>
    <w:rsid w:val="0098644B"/>
    <w:rsid w:val="009879A5"/>
    <w:rsid w:val="00990C68"/>
    <w:rsid w:val="0099128D"/>
    <w:rsid w:val="00991A2E"/>
    <w:rsid w:val="0099225D"/>
    <w:rsid w:val="00992CA3"/>
    <w:rsid w:val="00993066"/>
    <w:rsid w:val="009933AF"/>
    <w:rsid w:val="0099346C"/>
    <w:rsid w:val="00994D9D"/>
    <w:rsid w:val="009960FB"/>
    <w:rsid w:val="009967DE"/>
    <w:rsid w:val="009A017C"/>
    <w:rsid w:val="009A0FE5"/>
    <w:rsid w:val="009A11E4"/>
    <w:rsid w:val="009A21F5"/>
    <w:rsid w:val="009A3C03"/>
    <w:rsid w:val="009A4473"/>
    <w:rsid w:val="009A50A1"/>
    <w:rsid w:val="009A5F7D"/>
    <w:rsid w:val="009A68E2"/>
    <w:rsid w:val="009A7716"/>
    <w:rsid w:val="009A7897"/>
    <w:rsid w:val="009A7F3F"/>
    <w:rsid w:val="009B0882"/>
    <w:rsid w:val="009B08A3"/>
    <w:rsid w:val="009B0E86"/>
    <w:rsid w:val="009B21D7"/>
    <w:rsid w:val="009B2D9A"/>
    <w:rsid w:val="009B4082"/>
    <w:rsid w:val="009B4174"/>
    <w:rsid w:val="009B6088"/>
    <w:rsid w:val="009B6373"/>
    <w:rsid w:val="009B6F81"/>
    <w:rsid w:val="009C2D7F"/>
    <w:rsid w:val="009C3838"/>
    <w:rsid w:val="009C3AA5"/>
    <w:rsid w:val="009C4028"/>
    <w:rsid w:val="009C506B"/>
    <w:rsid w:val="009C523D"/>
    <w:rsid w:val="009C53DA"/>
    <w:rsid w:val="009C61F1"/>
    <w:rsid w:val="009C6439"/>
    <w:rsid w:val="009C7329"/>
    <w:rsid w:val="009C7D12"/>
    <w:rsid w:val="009D0546"/>
    <w:rsid w:val="009D1227"/>
    <w:rsid w:val="009D44B4"/>
    <w:rsid w:val="009D475D"/>
    <w:rsid w:val="009D5ACC"/>
    <w:rsid w:val="009E0511"/>
    <w:rsid w:val="009E09B1"/>
    <w:rsid w:val="009E19A6"/>
    <w:rsid w:val="009E4544"/>
    <w:rsid w:val="009E555C"/>
    <w:rsid w:val="009E5DBD"/>
    <w:rsid w:val="009E6A1A"/>
    <w:rsid w:val="009F0346"/>
    <w:rsid w:val="009F2518"/>
    <w:rsid w:val="009F3C7C"/>
    <w:rsid w:val="009F3F2F"/>
    <w:rsid w:val="009F4612"/>
    <w:rsid w:val="009F46DD"/>
    <w:rsid w:val="009F53F3"/>
    <w:rsid w:val="009F76DB"/>
    <w:rsid w:val="009F7791"/>
    <w:rsid w:val="00A00270"/>
    <w:rsid w:val="00A033AA"/>
    <w:rsid w:val="00A0390D"/>
    <w:rsid w:val="00A04376"/>
    <w:rsid w:val="00A05E63"/>
    <w:rsid w:val="00A11D49"/>
    <w:rsid w:val="00A12F26"/>
    <w:rsid w:val="00A1355D"/>
    <w:rsid w:val="00A1374C"/>
    <w:rsid w:val="00A15E45"/>
    <w:rsid w:val="00A161A4"/>
    <w:rsid w:val="00A16E5D"/>
    <w:rsid w:val="00A17882"/>
    <w:rsid w:val="00A20268"/>
    <w:rsid w:val="00A208EA"/>
    <w:rsid w:val="00A21139"/>
    <w:rsid w:val="00A21471"/>
    <w:rsid w:val="00A21AC3"/>
    <w:rsid w:val="00A22CE4"/>
    <w:rsid w:val="00A23003"/>
    <w:rsid w:val="00A24694"/>
    <w:rsid w:val="00A24DE9"/>
    <w:rsid w:val="00A25D1A"/>
    <w:rsid w:val="00A30CA1"/>
    <w:rsid w:val="00A34BF6"/>
    <w:rsid w:val="00A352D3"/>
    <w:rsid w:val="00A35402"/>
    <w:rsid w:val="00A35A54"/>
    <w:rsid w:val="00A3687D"/>
    <w:rsid w:val="00A36E23"/>
    <w:rsid w:val="00A41301"/>
    <w:rsid w:val="00A42D0F"/>
    <w:rsid w:val="00A43163"/>
    <w:rsid w:val="00A43180"/>
    <w:rsid w:val="00A44602"/>
    <w:rsid w:val="00A453E3"/>
    <w:rsid w:val="00A459CA"/>
    <w:rsid w:val="00A5005C"/>
    <w:rsid w:val="00A50067"/>
    <w:rsid w:val="00A50ED6"/>
    <w:rsid w:val="00A53B69"/>
    <w:rsid w:val="00A552A0"/>
    <w:rsid w:val="00A5697D"/>
    <w:rsid w:val="00A60A19"/>
    <w:rsid w:val="00A60E42"/>
    <w:rsid w:val="00A62957"/>
    <w:rsid w:val="00A630F1"/>
    <w:rsid w:val="00A64466"/>
    <w:rsid w:val="00A6485C"/>
    <w:rsid w:val="00A65932"/>
    <w:rsid w:val="00A65B68"/>
    <w:rsid w:val="00A66D2D"/>
    <w:rsid w:val="00A67F5E"/>
    <w:rsid w:val="00A67FAC"/>
    <w:rsid w:val="00A719E7"/>
    <w:rsid w:val="00A72DD1"/>
    <w:rsid w:val="00A732EE"/>
    <w:rsid w:val="00A7383E"/>
    <w:rsid w:val="00A744E5"/>
    <w:rsid w:val="00A74732"/>
    <w:rsid w:val="00A7479B"/>
    <w:rsid w:val="00A751BD"/>
    <w:rsid w:val="00A7532C"/>
    <w:rsid w:val="00A7635A"/>
    <w:rsid w:val="00A76786"/>
    <w:rsid w:val="00A8076B"/>
    <w:rsid w:val="00A8174F"/>
    <w:rsid w:val="00A81772"/>
    <w:rsid w:val="00A82027"/>
    <w:rsid w:val="00A827D8"/>
    <w:rsid w:val="00A82E6C"/>
    <w:rsid w:val="00A83F22"/>
    <w:rsid w:val="00A85515"/>
    <w:rsid w:val="00A85924"/>
    <w:rsid w:val="00A85F7A"/>
    <w:rsid w:val="00A8767E"/>
    <w:rsid w:val="00A87D27"/>
    <w:rsid w:val="00A906DC"/>
    <w:rsid w:val="00A912FA"/>
    <w:rsid w:val="00A9165D"/>
    <w:rsid w:val="00A91F12"/>
    <w:rsid w:val="00A91F3C"/>
    <w:rsid w:val="00A92E83"/>
    <w:rsid w:val="00A931DB"/>
    <w:rsid w:val="00A9324C"/>
    <w:rsid w:val="00A96766"/>
    <w:rsid w:val="00AA040B"/>
    <w:rsid w:val="00AA09D2"/>
    <w:rsid w:val="00AA1B2C"/>
    <w:rsid w:val="00AA1E17"/>
    <w:rsid w:val="00AA20C6"/>
    <w:rsid w:val="00AA3012"/>
    <w:rsid w:val="00AA6030"/>
    <w:rsid w:val="00AB01B5"/>
    <w:rsid w:val="00AB2BB2"/>
    <w:rsid w:val="00AB2ED1"/>
    <w:rsid w:val="00AB452F"/>
    <w:rsid w:val="00AB456E"/>
    <w:rsid w:val="00AB46BD"/>
    <w:rsid w:val="00AB544B"/>
    <w:rsid w:val="00AB56DA"/>
    <w:rsid w:val="00AB7A26"/>
    <w:rsid w:val="00AC308A"/>
    <w:rsid w:val="00AD0AB7"/>
    <w:rsid w:val="00AD0F90"/>
    <w:rsid w:val="00AD1A4F"/>
    <w:rsid w:val="00AD4A65"/>
    <w:rsid w:val="00AD5E51"/>
    <w:rsid w:val="00AD6FC0"/>
    <w:rsid w:val="00AE2D5F"/>
    <w:rsid w:val="00AE3317"/>
    <w:rsid w:val="00AE3668"/>
    <w:rsid w:val="00AE4127"/>
    <w:rsid w:val="00AE542C"/>
    <w:rsid w:val="00AE798B"/>
    <w:rsid w:val="00AE7A6A"/>
    <w:rsid w:val="00AF1EC7"/>
    <w:rsid w:val="00AF2CE7"/>
    <w:rsid w:val="00AF3351"/>
    <w:rsid w:val="00AF5B12"/>
    <w:rsid w:val="00AF6416"/>
    <w:rsid w:val="00AF6519"/>
    <w:rsid w:val="00B00BCB"/>
    <w:rsid w:val="00B0363E"/>
    <w:rsid w:val="00B04676"/>
    <w:rsid w:val="00B047A2"/>
    <w:rsid w:val="00B0572E"/>
    <w:rsid w:val="00B058E8"/>
    <w:rsid w:val="00B05C31"/>
    <w:rsid w:val="00B06816"/>
    <w:rsid w:val="00B06B72"/>
    <w:rsid w:val="00B07373"/>
    <w:rsid w:val="00B0763C"/>
    <w:rsid w:val="00B11EBC"/>
    <w:rsid w:val="00B20BF9"/>
    <w:rsid w:val="00B218EE"/>
    <w:rsid w:val="00B23437"/>
    <w:rsid w:val="00B23BDD"/>
    <w:rsid w:val="00B24C30"/>
    <w:rsid w:val="00B26C61"/>
    <w:rsid w:val="00B27AEB"/>
    <w:rsid w:val="00B31468"/>
    <w:rsid w:val="00B31CD9"/>
    <w:rsid w:val="00B31E42"/>
    <w:rsid w:val="00B32257"/>
    <w:rsid w:val="00B3276D"/>
    <w:rsid w:val="00B332EA"/>
    <w:rsid w:val="00B349C4"/>
    <w:rsid w:val="00B365A7"/>
    <w:rsid w:val="00B36934"/>
    <w:rsid w:val="00B36BF3"/>
    <w:rsid w:val="00B373A4"/>
    <w:rsid w:val="00B37735"/>
    <w:rsid w:val="00B414DC"/>
    <w:rsid w:val="00B415AC"/>
    <w:rsid w:val="00B416C9"/>
    <w:rsid w:val="00B41897"/>
    <w:rsid w:val="00B41B4E"/>
    <w:rsid w:val="00B41FB8"/>
    <w:rsid w:val="00B41FD8"/>
    <w:rsid w:val="00B420E7"/>
    <w:rsid w:val="00B45CFD"/>
    <w:rsid w:val="00B45E6C"/>
    <w:rsid w:val="00B4794F"/>
    <w:rsid w:val="00B50217"/>
    <w:rsid w:val="00B52855"/>
    <w:rsid w:val="00B5398B"/>
    <w:rsid w:val="00B548EF"/>
    <w:rsid w:val="00B549ED"/>
    <w:rsid w:val="00B54B8C"/>
    <w:rsid w:val="00B54CB3"/>
    <w:rsid w:val="00B55885"/>
    <w:rsid w:val="00B5631F"/>
    <w:rsid w:val="00B60451"/>
    <w:rsid w:val="00B64FEE"/>
    <w:rsid w:val="00B65053"/>
    <w:rsid w:val="00B65202"/>
    <w:rsid w:val="00B655A3"/>
    <w:rsid w:val="00B657FB"/>
    <w:rsid w:val="00B65CA8"/>
    <w:rsid w:val="00B65F26"/>
    <w:rsid w:val="00B67026"/>
    <w:rsid w:val="00B7243E"/>
    <w:rsid w:val="00B73768"/>
    <w:rsid w:val="00B73A29"/>
    <w:rsid w:val="00B74953"/>
    <w:rsid w:val="00B754E0"/>
    <w:rsid w:val="00B758E9"/>
    <w:rsid w:val="00B76331"/>
    <w:rsid w:val="00B76543"/>
    <w:rsid w:val="00B77D3C"/>
    <w:rsid w:val="00B80050"/>
    <w:rsid w:val="00B80EAE"/>
    <w:rsid w:val="00B82A36"/>
    <w:rsid w:val="00B82D32"/>
    <w:rsid w:val="00B82D37"/>
    <w:rsid w:val="00B84157"/>
    <w:rsid w:val="00B85D95"/>
    <w:rsid w:val="00B85EEC"/>
    <w:rsid w:val="00B8797F"/>
    <w:rsid w:val="00B921F4"/>
    <w:rsid w:val="00B92B63"/>
    <w:rsid w:val="00B965DE"/>
    <w:rsid w:val="00B968AB"/>
    <w:rsid w:val="00B97389"/>
    <w:rsid w:val="00B97577"/>
    <w:rsid w:val="00BA00C6"/>
    <w:rsid w:val="00BA09A9"/>
    <w:rsid w:val="00BA117D"/>
    <w:rsid w:val="00BA2368"/>
    <w:rsid w:val="00BA2EBC"/>
    <w:rsid w:val="00BA4C46"/>
    <w:rsid w:val="00BA56B8"/>
    <w:rsid w:val="00BA7286"/>
    <w:rsid w:val="00BB0272"/>
    <w:rsid w:val="00BB03C6"/>
    <w:rsid w:val="00BB0DBC"/>
    <w:rsid w:val="00BB2087"/>
    <w:rsid w:val="00BB2D92"/>
    <w:rsid w:val="00BB32C5"/>
    <w:rsid w:val="00BB3862"/>
    <w:rsid w:val="00BB45C4"/>
    <w:rsid w:val="00BB6188"/>
    <w:rsid w:val="00BB72F1"/>
    <w:rsid w:val="00BC1E5E"/>
    <w:rsid w:val="00BC457D"/>
    <w:rsid w:val="00BC5214"/>
    <w:rsid w:val="00BC56CA"/>
    <w:rsid w:val="00BC5A7F"/>
    <w:rsid w:val="00BC736C"/>
    <w:rsid w:val="00BC766F"/>
    <w:rsid w:val="00BD1336"/>
    <w:rsid w:val="00BD18D1"/>
    <w:rsid w:val="00BD1D7A"/>
    <w:rsid w:val="00BD22AF"/>
    <w:rsid w:val="00BD6EA5"/>
    <w:rsid w:val="00BD7AEA"/>
    <w:rsid w:val="00BE03B9"/>
    <w:rsid w:val="00BE0542"/>
    <w:rsid w:val="00BE1D9D"/>
    <w:rsid w:val="00BE2AB4"/>
    <w:rsid w:val="00BE3ACC"/>
    <w:rsid w:val="00BE3F04"/>
    <w:rsid w:val="00BE4FDC"/>
    <w:rsid w:val="00BE73E7"/>
    <w:rsid w:val="00BF05CE"/>
    <w:rsid w:val="00BF0781"/>
    <w:rsid w:val="00BF2BB2"/>
    <w:rsid w:val="00BF2C10"/>
    <w:rsid w:val="00BF4B5E"/>
    <w:rsid w:val="00BF6596"/>
    <w:rsid w:val="00BF768A"/>
    <w:rsid w:val="00BF77CB"/>
    <w:rsid w:val="00BF7CC1"/>
    <w:rsid w:val="00C00FEC"/>
    <w:rsid w:val="00C013BA"/>
    <w:rsid w:val="00C01E5B"/>
    <w:rsid w:val="00C05A06"/>
    <w:rsid w:val="00C0647A"/>
    <w:rsid w:val="00C07805"/>
    <w:rsid w:val="00C11115"/>
    <w:rsid w:val="00C11885"/>
    <w:rsid w:val="00C11EBA"/>
    <w:rsid w:val="00C15E70"/>
    <w:rsid w:val="00C16098"/>
    <w:rsid w:val="00C16CDC"/>
    <w:rsid w:val="00C176AF"/>
    <w:rsid w:val="00C176D5"/>
    <w:rsid w:val="00C21F81"/>
    <w:rsid w:val="00C23184"/>
    <w:rsid w:val="00C24BEE"/>
    <w:rsid w:val="00C24D12"/>
    <w:rsid w:val="00C2509A"/>
    <w:rsid w:val="00C255DE"/>
    <w:rsid w:val="00C25AD4"/>
    <w:rsid w:val="00C26681"/>
    <w:rsid w:val="00C27892"/>
    <w:rsid w:val="00C31806"/>
    <w:rsid w:val="00C31C1A"/>
    <w:rsid w:val="00C323F0"/>
    <w:rsid w:val="00C347E9"/>
    <w:rsid w:val="00C34B3B"/>
    <w:rsid w:val="00C350BB"/>
    <w:rsid w:val="00C354B5"/>
    <w:rsid w:val="00C35ABA"/>
    <w:rsid w:val="00C364AE"/>
    <w:rsid w:val="00C37964"/>
    <w:rsid w:val="00C37B68"/>
    <w:rsid w:val="00C406D1"/>
    <w:rsid w:val="00C4088C"/>
    <w:rsid w:val="00C4269E"/>
    <w:rsid w:val="00C430BA"/>
    <w:rsid w:val="00C43CC3"/>
    <w:rsid w:val="00C456C4"/>
    <w:rsid w:val="00C477AA"/>
    <w:rsid w:val="00C479D0"/>
    <w:rsid w:val="00C47D9B"/>
    <w:rsid w:val="00C5059F"/>
    <w:rsid w:val="00C52622"/>
    <w:rsid w:val="00C5425C"/>
    <w:rsid w:val="00C56A93"/>
    <w:rsid w:val="00C56B5D"/>
    <w:rsid w:val="00C62455"/>
    <w:rsid w:val="00C63ECB"/>
    <w:rsid w:val="00C655A7"/>
    <w:rsid w:val="00C6629A"/>
    <w:rsid w:val="00C67F57"/>
    <w:rsid w:val="00C7154C"/>
    <w:rsid w:val="00C71729"/>
    <w:rsid w:val="00C72E24"/>
    <w:rsid w:val="00C746BC"/>
    <w:rsid w:val="00C747E3"/>
    <w:rsid w:val="00C77CC0"/>
    <w:rsid w:val="00C819CD"/>
    <w:rsid w:val="00C81BDD"/>
    <w:rsid w:val="00C81EC2"/>
    <w:rsid w:val="00C83BB1"/>
    <w:rsid w:val="00C83C0C"/>
    <w:rsid w:val="00C85864"/>
    <w:rsid w:val="00C858DD"/>
    <w:rsid w:val="00C86167"/>
    <w:rsid w:val="00C869E9"/>
    <w:rsid w:val="00C93C68"/>
    <w:rsid w:val="00C94247"/>
    <w:rsid w:val="00C947DC"/>
    <w:rsid w:val="00C94C70"/>
    <w:rsid w:val="00C96D3F"/>
    <w:rsid w:val="00CA0AE4"/>
    <w:rsid w:val="00CA0F92"/>
    <w:rsid w:val="00CA158C"/>
    <w:rsid w:val="00CA21E0"/>
    <w:rsid w:val="00CA2400"/>
    <w:rsid w:val="00CA2808"/>
    <w:rsid w:val="00CA35F6"/>
    <w:rsid w:val="00CA361E"/>
    <w:rsid w:val="00CA3AAE"/>
    <w:rsid w:val="00CA3CA0"/>
    <w:rsid w:val="00CA453A"/>
    <w:rsid w:val="00CB1137"/>
    <w:rsid w:val="00CB6F8C"/>
    <w:rsid w:val="00CB789B"/>
    <w:rsid w:val="00CB79FC"/>
    <w:rsid w:val="00CC2400"/>
    <w:rsid w:val="00CC2C2C"/>
    <w:rsid w:val="00CC2D05"/>
    <w:rsid w:val="00CC434D"/>
    <w:rsid w:val="00CC4589"/>
    <w:rsid w:val="00CC47E1"/>
    <w:rsid w:val="00CC4C50"/>
    <w:rsid w:val="00CC5FD2"/>
    <w:rsid w:val="00CC74CA"/>
    <w:rsid w:val="00CD2A89"/>
    <w:rsid w:val="00CD2FB6"/>
    <w:rsid w:val="00CD3C70"/>
    <w:rsid w:val="00CD4B24"/>
    <w:rsid w:val="00CD50EE"/>
    <w:rsid w:val="00CD5C63"/>
    <w:rsid w:val="00CD77F4"/>
    <w:rsid w:val="00CE05E1"/>
    <w:rsid w:val="00CE2741"/>
    <w:rsid w:val="00CE2FA9"/>
    <w:rsid w:val="00CE33BD"/>
    <w:rsid w:val="00CE3CBE"/>
    <w:rsid w:val="00CE50EE"/>
    <w:rsid w:val="00CE7528"/>
    <w:rsid w:val="00CE7807"/>
    <w:rsid w:val="00CF2514"/>
    <w:rsid w:val="00CF4B1E"/>
    <w:rsid w:val="00CF4FAF"/>
    <w:rsid w:val="00CF6129"/>
    <w:rsid w:val="00D01146"/>
    <w:rsid w:val="00D01A42"/>
    <w:rsid w:val="00D02C9C"/>
    <w:rsid w:val="00D0310D"/>
    <w:rsid w:val="00D03B75"/>
    <w:rsid w:val="00D0491D"/>
    <w:rsid w:val="00D04957"/>
    <w:rsid w:val="00D05427"/>
    <w:rsid w:val="00D056E3"/>
    <w:rsid w:val="00D05AE6"/>
    <w:rsid w:val="00D06A3C"/>
    <w:rsid w:val="00D10153"/>
    <w:rsid w:val="00D11A33"/>
    <w:rsid w:val="00D11C26"/>
    <w:rsid w:val="00D11E69"/>
    <w:rsid w:val="00D1361C"/>
    <w:rsid w:val="00D13BA6"/>
    <w:rsid w:val="00D1422B"/>
    <w:rsid w:val="00D14237"/>
    <w:rsid w:val="00D15358"/>
    <w:rsid w:val="00D15729"/>
    <w:rsid w:val="00D159B6"/>
    <w:rsid w:val="00D20586"/>
    <w:rsid w:val="00D21F92"/>
    <w:rsid w:val="00D2235B"/>
    <w:rsid w:val="00D23B86"/>
    <w:rsid w:val="00D242CD"/>
    <w:rsid w:val="00D25247"/>
    <w:rsid w:val="00D26FED"/>
    <w:rsid w:val="00D30F03"/>
    <w:rsid w:val="00D3153E"/>
    <w:rsid w:val="00D31A7D"/>
    <w:rsid w:val="00D31BB7"/>
    <w:rsid w:val="00D359CF"/>
    <w:rsid w:val="00D365E1"/>
    <w:rsid w:val="00D3708A"/>
    <w:rsid w:val="00D37E82"/>
    <w:rsid w:val="00D40308"/>
    <w:rsid w:val="00D41793"/>
    <w:rsid w:val="00D417D8"/>
    <w:rsid w:val="00D422F4"/>
    <w:rsid w:val="00D42F16"/>
    <w:rsid w:val="00D43E28"/>
    <w:rsid w:val="00D43F85"/>
    <w:rsid w:val="00D442CE"/>
    <w:rsid w:val="00D45B41"/>
    <w:rsid w:val="00D45F47"/>
    <w:rsid w:val="00D461BF"/>
    <w:rsid w:val="00D477A4"/>
    <w:rsid w:val="00D478CE"/>
    <w:rsid w:val="00D520C1"/>
    <w:rsid w:val="00D53485"/>
    <w:rsid w:val="00D53865"/>
    <w:rsid w:val="00D53A64"/>
    <w:rsid w:val="00D53C59"/>
    <w:rsid w:val="00D5533E"/>
    <w:rsid w:val="00D55A80"/>
    <w:rsid w:val="00D56619"/>
    <w:rsid w:val="00D609DB"/>
    <w:rsid w:val="00D618FB"/>
    <w:rsid w:val="00D62366"/>
    <w:rsid w:val="00D627A4"/>
    <w:rsid w:val="00D6340B"/>
    <w:rsid w:val="00D648C0"/>
    <w:rsid w:val="00D676C4"/>
    <w:rsid w:val="00D70435"/>
    <w:rsid w:val="00D71DD3"/>
    <w:rsid w:val="00D71F49"/>
    <w:rsid w:val="00D72E5B"/>
    <w:rsid w:val="00D7638C"/>
    <w:rsid w:val="00D76542"/>
    <w:rsid w:val="00D77368"/>
    <w:rsid w:val="00D80EAE"/>
    <w:rsid w:val="00D81622"/>
    <w:rsid w:val="00D82977"/>
    <w:rsid w:val="00D838AD"/>
    <w:rsid w:val="00D85EC4"/>
    <w:rsid w:val="00D85F63"/>
    <w:rsid w:val="00D8692C"/>
    <w:rsid w:val="00D86ACE"/>
    <w:rsid w:val="00D9032B"/>
    <w:rsid w:val="00D9038F"/>
    <w:rsid w:val="00D91E37"/>
    <w:rsid w:val="00D922B8"/>
    <w:rsid w:val="00D92557"/>
    <w:rsid w:val="00D92609"/>
    <w:rsid w:val="00D92AA3"/>
    <w:rsid w:val="00D93A64"/>
    <w:rsid w:val="00D97947"/>
    <w:rsid w:val="00D97FD1"/>
    <w:rsid w:val="00DA084E"/>
    <w:rsid w:val="00DA1884"/>
    <w:rsid w:val="00DA1DBD"/>
    <w:rsid w:val="00DA33B9"/>
    <w:rsid w:val="00DA3C6F"/>
    <w:rsid w:val="00DA4DD2"/>
    <w:rsid w:val="00DA5857"/>
    <w:rsid w:val="00DA5AF7"/>
    <w:rsid w:val="00DA5B3C"/>
    <w:rsid w:val="00DA7D2E"/>
    <w:rsid w:val="00DB1144"/>
    <w:rsid w:val="00DB16E4"/>
    <w:rsid w:val="00DB36E6"/>
    <w:rsid w:val="00DB384D"/>
    <w:rsid w:val="00DB50E4"/>
    <w:rsid w:val="00DB5503"/>
    <w:rsid w:val="00DB5A36"/>
    <w:rsid w:val="00DB5B28"/>
    <w:rsid w:val="00DB6601"/>
    <w:rsid w:val="00DB6BDC"/>
    <w:rsid w:val="00DC1C30"/>
    <w:rsid w:val="00DC1DD7"/>
    <w:rsid w:val="00DC2F69"/>
    <w:rsid w:val="00DC3A7F"/>
    <w:rsid w:val="00DC3E44"/>
    <w:rsid w:val="00DC58D8"/>
    <w:rsid w:val="00DC6948"/>
    <w:rsid w:val="00DC6F7F"/>
    <w:rsid w:val="00DD035D"/>
    <w:rsid w:val="00DD1716"/>
    <w:rsid w:val="00DD2749"/>
    <w:rsid w:val="00DD3038"/>
    <w:rsid w:val="00DD32C9"/>
    <w:rsid w:val="00DD3571"/>
    <w:rsid w:val="00DD35C4"/>
    <w:rsid w:val="00DD71B1"/>
    <w:rsid w:val="00DD79A7"/>
    <w:rsid w:val="00DD7B19"/>
    <w:rsid w:val="00DD7B4B"/>
    <w:rsid w:val="00DE348D"/>
    <w:rsid w:val="00DE378C"/>
    <w:rsid w:val="00DE3EFB"/>
    <w:rsid w:val="00DE41D7"/>
    <w:rsid w:val="00DE437C"/>
    <w:rsid w:val="00DE5114"/>
    <w:rsid w:val="00DE51A6"/>
    <w:rsid w:val="00DE5D4D"/>
    <w:rsid w:val="00DE6DF3"/>
    <w:rsid w:val="00DF057E"/>
    <w:rsid w:val="00DF0CAD"/>
    <w:rsid w:val="00DF1001"/>
    <w:rsid w:val="00DF1054"/>
    <w:rsid w:val="00DF184D"/>
    <w:rsid w:val="00DF20FE"/>
    <w:rsid w:val="00DF2AB3"/>
    <w:rsid w:val="00DF30B9"/>
    <w:rsid w:val="00DF4036"/>
    <w:rsid w:val="00DF440D"/>
    <w:rsid w:val="00E01D83"/>
    <w:rsid w:val="00E02399"/>
    <w:rsid w:val="00E04E36"/>
    <w:rsid w:val="00E0600B"/>
    <w:rsid w:val="00E0662E"/>
    <w:rsid w:val="00E068FE"/>
    <w:rsid w:val="00E1030C"/>
    <w:rsid w:val="00E107BB"/>
    <w:rsid w:val="00E10969"/>
    <w:rsid w:val="00E11573"/>
    <w:rsid w:val="00E13040"/>
    <w:rsid w:val="00E154C3"/>
    <w:rsid w:val="00E15743"/>
    <w:rsid w:val="00E158CB"/>
    <w:rsid w:val="00E17B73"/>
    <w:rsid w:val="00E2049E"/>
    <w:rsid w:val="00E210A9"/>
    <w:rsid w:val="00E22B0B"/>
    <w:rsid w:val="00E2369E"/>
    <w:rsid w:val="00E23D89"/>
    <w:rsid w:val="00E26271"/>
    <w:rsid w:val="00E26D4E"/>
    <w:rsid w:val="00E27F6E"/>
    <w:rsid w:val="00E31252"/>
    <w:rsid w:val="00E32EF9"/>
    <w:rsid w:val="00E33208"/>
    <w:rsid w:val="00E350D6"/>
    <w:rsid w:val="00E35EF1"/>
    <w:rsid w:val="00E3632E"/>
    <w:rsid w:val="00E40057"/>
    <w:rsid w:val="00E4012C"/>
    <w:rsid w:val="00E40D35"/>
    <w:rsid w:val="00E421DA"/>
    <w:rsid w:val="00E42ABF"/>
    <w:rsid w:val="00E42BA2"/>
    <w:rsid w:val="00E42BA3"/>
    <w:rsid w:val="00E445C4"/>
    <w:rsid w:val="00E44D45"/>
    <w:rsid w:val="00E456A4"/>
    <w:rsid w:val="00E4668E"/>
    <w:rsid w:val="00E46FD9"/>
    <w:rsid w:val="00E47462"/>
    <w:rsid w:val="00E509CA"/>
    <w:rsid w:val="00E51999"/>
    <w:rsid w:val="00E52092"/>
    <w:rsid w:val="00E52958"/>
    <w:rsid w:val="00E533D2"/>
    <w:rsid w:val="00E53AC6"/>
    <w:rsid w:val="00E53CFF"/>
    <w:rsid w:val="00E57374"/>
    <w:rsid w:val="00E600F1"/>
    <w:rsid w:val="00E63A2E"/>
    <w:rsid w:val="00E643F7"/>
    <w:rsid w:val="00E64CDE"/>
    <w:rsid w:val="00E664BF"/>
    <w:rsid w:val="00E675C4"/>
    <w:rsid w:val="00E703B9"/>
    <w:rsid w:val="00E73132"/>
    <w:rsid w:val="00E74236"/>
    <w:rsid w:val="00E74CCA"/>
    <w:rsid w:val="00E74EEC"/>
    <w:rsid w:val="00E76474"/>
    <w:rsid w:val="00E861A9"/>
    <w:rsid w:val="00E90CB2"/>
    <w:rsid w:val="00E938FF"/>
    <w:rsid w:val="00E95D43"/>
    <w:rsid w:val="00E960AC"/>
    <w:rsid w:val="00E969BB"/>
    <w:rsid w:val="00EA53D6"/>
    <w:rsid w:val="00EA550C"/>
    <w:rsid w:val="00EA73C1"/>
    <w:rsid w:val="00EB0053"/>
    <w:rsid w:val="00EB04CA"/>
    <w:rsid w:val="00EB3F99"/>
    <w:rsid w:val="00EB44FF"/>
    <w:rsid w:val="00EB7500"/>
    <w:rsid w:val="00EB783D"/>
    <w:rsid w:val="00EC1E21"/>
    <w:rsid w:val="00EC23E1"/>
    <w:rsid w:val="00EC3489"/>
    <w:rsid w:val="00EC582E"/>
    <w:rsid w:val="00EC72AA"/>
    <w:rsid w:val="00EC767F"/>
    <w:rsid w:val="00EC7CE1"/>
    <w:rsid w:val="00ED1078"/>
    <w:rsid w:val="00ED1470"/>
    <w:rsid w:val="00ED258C"/>
    <w:rsid w:val="00ED734A"/>
    <w:rsid w:val="00ED7E84"/>
    <w:rsid w:val="00EE006C"/>
    <w:rsid w:val="00EE1312"/>
    <w:rsid w:val="00EE21DA"/>
    <w:rsid w:val="00EE269D"/>
    <w:rsid w:val="00EE397B"/>
    <w:rsid w:val="00EE3DE6"/>
    <w:rsid w:val="00EE599E"/>
    <w:rsid w:val="00EE6051"/>
    <w:rsid w:val="00EE6C77"/>
    <w:rsid w:val="00EE7B02"/>
    <w:rsid w:val="00EF0494"/>
    <w:rsid w:val="00EF096D"/>
    <w:rsid w:val="00EF162A"/>
    <w:rsid w:val="00EF3F13"/>
    <w:rsid w:val="00EF5257"/>
    <w:rsid w:val="00EF63E0"/>
    <w:rsid w:val="00EF6832"/>
    <w:rsid w:val="00EF739D"/>
    <w:rsid w:val="00EF75F8"/>
    <w:rsid w:val="00F00781"/>
    <w:rsid w:val="00F00DB3"/>
    <w:rsid w:val="00F0251F"/>
    <w:rsid w:val="00F060A7"/>
    <w:rsid w:val="00F06192"/>
    <w:rsid w:val="00F10293"/>
    <w:rsid w:val="00F1211D"/>
    <w:rsid w:val="00F127CB"/>
    <w:rsid w:val="00F1357F"/>
    <w:rsid w:val="00F136EF"/>
    <w:rsid w:val="00F143B6"/>
    <w:rsid w:val="00F14F7D"/>
    <w:rsid w:val="00F156CF"/>
    <w:rsid w:val="00F16C0A"/>
    <w:rsid w:val="00F16FB7"/>
    <w:rsid w:val="00F216AA"/>
    <w:rsid w:val="00F242D5"/>
    <w:rsid w:val="00F24373"/>
    <w:rsid w:val="00F24835"/>
    <w:rsid w:val="00F26C81"/>
    <w:rsid w:val="00F309DB"/>
    <w:rsid w:val="00F30CD1"/>
    <w:rsid w:val="00F31CBF"/>
    <w:rsid w:val="00F32153"/>
    <w:rsid w:val="00F360CB"/>
    <w:rsid w:val="00F3701A"/>
    <w:rsid w:val="00F370DB"/>
    <w:rsid w:val="00F37F2C"/>
    <w:rsid w:val="00F40D75"/>
    <w:rsid w:val="00F448A7"/>
    <w:rsid w:val="00F4558B"/>
    <w:rsid w:val="00F45636"/>
    <w:rsid w:val="00F45964"/>
    <w:rsid w:val="00F45AA6"/>
    <w:rsid w:val="00F47A93"/>
    <w:rsid w:val="00F47D1C"/>
    <w:rsid w:val="00F47D88"/>
    <w:rsid w:val="00F508BE"/>
    <w:rsid w:val="00F51781"/>
    <w:rsid w:val="00F52434"/>
    <w:rsid w:val="00F531C2"/>
    <w:rsid w:val="00F54BC1"/>
    <w:rsid w:val="00F56041"/>
    <w:rsid w:val="00F57702"/>
    <w:rsid w:val="00F57C78"/>
    <w:rsid w:val="00F60DAA"/>
    <w:rsid w:val="00F611C1"/>
    <w:rsid w:val="00F63AA2"/>
    <w:rsid w:val="00F646E2"/>
    <w:rsid w:val="00F64E49"/>
    <w:rsid w:val="00F6599F"/>
    <w:rsid w:val="00F65D1C"/>
    <w:rsid w:val="00F65F85"/>
    <w:rsid w:val="00F7359A"/>
    <w:rsid w:val="00F73B5E"/>
    <w:rsid w:val="00F73E04"/>
    <w:rsid w:val="00F750E2"/>
    <w:rsid w:val="00F7606E"/>
    <w:rsid w:val="00F80E81"/>
    <w:rsid w:val="00F858BB"/>
    <w:rsid w:val="00F9072D"/>
    <w:rsid w:val="00F91049"/>
    <w:rsid w:val="00F913CD"/>
    <w:rsid w:val="00F9212A"/>
    <w:rsid w:val="00F96722"/>
    <w:rsid w:val="00F974D8"/>
    <w:rsid w:val="00FA02C6"/>
    <w:rsid w:val="00FA1188"/>
    <w:rsid w:val="00FA2A27"/>
    <w:rsid w:val="00FA3773"/>
    <w:rsid w:val="00FA477F"/>
    <w:rsid w:val="00FA5745"/>
    <w:rsid w:val="00FA61AB"/>
    <w:rsid w:val="00FA72E2"/>
    <w:rsid w:val="00FB02F6"/>
    <w:rsid w:val="00FB10CD"/>
    <w:rsid w:val="00FB3A12"/>
    <w:rsid w:val="00FB3C48"/>
    <w:rsid w:val="00FB4308"/>
    <w:rsid w:val="00FB5878"/>
    <w:rsid w:val="00FB6261"/>
    <w:rsid w:val="00FB6CE5"/>
    <w:rsid w:val="00FB7477"/>
    <w:rsid w:val="00FB7C11"/>
    <w:rsid w:val="00FC1722"/>
    <w:rsid w:val="00FC1BC2"/>
    <w:rsid w:val="00FC20F5"/>
    <w:rsid w:val="00FC2AF6"/>
    <w:rsid w:val="00FC3102"/>
    <w:rsid w:val="00FC3191"/>
    <w:rsid w:val="00FC503A"/>
    <w:rsid w:val="00FC58E4"/>
    <w:rsid w:val="00FC7C60"/>
    <w:rsid w:val="00FD06EB"/>
    <w:rsid w:val="00FD1C74"/>
    <w:rsid w:val="00FD2B5D"/>
    <w:rsid w:val="00FD3475"/>
    <w:rsid w:val="00FD41A1"/>
    <w:rsid w:val="00FD5AB7"/>
    <w:rsid w:val="00FD7CEB"/>
    <w:rsid w:val="00FE025E"/>
    <w:rsid w:val="00FE09F5"/>
    <w:rsid w:val="00FE1125"/>
    <w:rsid w:val="00FE2002"/>
    <w:rsid w:val="00FE4198"/>
    <w:rsid w:val="00FE46AA"/>
    <w:rsid w:val="00FE5401"/>
    <w:rsid w:val="00FE64E4"/>
    <w:rsid w:val="00FE7A65"/>
    <w:rsid w:val="00FE7E02"/>
    <w:rsid w:val="00FF10B1"/>
    <w:rsid w:val="00FF1856"/>
    <w:rsid w:val="00FF1EBE"/>
    <w:rsid w:val="00FF6702"/>
    <w:rsid w:val="011D1FDA"/>
    <w:rsid w:val="015A8053"/>
    <w:rsid w:val="016F1373"/>
    <w:rsid w:val="0183FC8F"/>
    <w:rsid w:val="01EADDAF"/>
    <w:rsid w:val="0361380F"/>
    <w:rsid w:val="03C83BAE"/>
    <w:rsid w:val="040BCF88"/>
    <w:rsid w:val="044135CE"/>
    <w:rsid w:val="04908515"/>
    <w:rsid w:val="04C7565D"/>
    <w:rsid w:val="0504E46B"/>
    <w:rsid w:val="056C3412"/>
    <w:rsid w:val="0578822B"/>
    <w:rsid w:val="059CABB4"/>
    <w:rsid w:val="05E3419E"/>
    <w:rsid w:val="06AE9687"/>
    <w:rsid w:val="07D41857"/>
    <w:rsid w:val="081E2E94"/>
    <w:rsid w:val="09FBDFB5"/>
    <w:rsid w:val="0C49C2F6"/>
    <w:rsid w:val="0C8DFCFC"/>
    <w:rsid w:val="0C9EF163"/>
    <w:rsid w:val="0CE1EEA7"/>
    <w:rsid w:val="0DD524C5"/>
    <w:rsid w:val="0E4E714E"/>
    <w:rsid w:val="0E54AE7A"/>
    <w:rsid w:val="0F1EAC7C"/>
    <w:rsid w:val="0F85FCCE"/>
    <w:rsid w:val="0F8F7B84"/>
    <w:rsid w:val="0FDECBB0"/>
    <w:rsid w:val="0FF78ECB"/>
    <w:rsid w:val="10010E64"/>
    <w:rsid w:val="107D7BC6"/>
    <w:rsid w:val="1277C909"/>
    <w:rsid w:val="12908D71"/>
    <w:rsid w:val="13A349D8"/>
    <w:rsid w:val="13A82619"/>
    <w:rsid w:val="143584B9"/>
    <w:rsid w:val="14C5E4EF"/>
    <w:rsid w:val="16457B66"/>
    <w:rsid w:val="165AE839"/>
    <w:rsid w:val="169F6F46"/>
    <w:rsid w:val="174EB702"/>
    <w:rsid w:val="179D0B2C"/>
    <w:rsid w:val="17D4F8E5"/>
    <w:rsid w:val="1808CF8F"/>
    <w:rsid w:val="18ADB52D"/>
    <w:rsid w:val="197906D4"/>
    <w:rsid w:val="199BCDBD"/>
    <w:rsid w:val="19DA69D9"/>
    <w:rsid w:val="1A8A0485"/>
    <w:rsid w:val="1A9844ED"/>
    <w:rsid w:val="1B01B908"/>
    <w:rsid w:val="1B94EDA5"/>
    <w:rsid w:val="1CC3C9A0"/>
    <w:rsid w:val="1DD005F5"/>
    <w:rsid w:val="1E5254A6"/>
    <w:rsid w:val="1F98AB61"/>
    <w:rsid w:val="1FD7EF1D"/>
    <w:rsid w:val="2026A2C1"/>
    <w:rsid w:val="20A311BF"/>
    <w:rsid w:val="21245445"/>
    <w:rsid w:val="21461B32"/>
    <w:rsid w:val="21AA3978"/>
    <w:rsid w:val="221343D6"/>
    <w:rsid w:val="226713B7"/>
    <w:rsid w:val="22B8DB51"/>
    <w:rsid w:val="22D124A5"/>
    <w:rsid w:val="23C6F4A8"/>
    <w:rsid w:val="23CA2376"/>
    <w:rsid w:val="23EF63F4"/>
    <w:rsid w:val="24ABF4BF"/>
    <w:rsid w:val="2531407C"/>
    <w:rsid w:val="25F128BF"/>
    <w:rsid w:val="27B77CFC"/>
    <w:rsid w:val="27BAC31A"/>
    <w:rsid w:val="27CE0C6C"/>
    <w:rsid w:val="289826AD"/>
    <w:rsid w:val="28C53675"/>
    <w:rsid w:val="29E886B0"/>
    <w:rsid w:val="29EFB9B2"/>
    <w:rsid w:val="2AD4B40D"/>
    <w:rsid w:val="2B1D556D"/>
    <w:rsid w:val="2C019136"/>
    <w:rsid w:val="2CA116B3"/>
    <w:rsid w:val="2E0FEE82"/>
    <w:rsid w:val="2EF10E3A"/>
    <w:rsid w:val="3091A422"/>
    <w:rsid w:val="3140C601"/>
    <w:rsid w:val="319AC27A"/>
    <w:rsid w:val="31C6C774"/>
    <w:rsid w:val="33852640"/>
    <w:rsid w:val="344934F3"/>
    <w:rsid w:val="34E28721"/>
    <w:rsid w:val="3583E024"/>
    <w:rsid w:val="359B8CA7"/>
    <w:rsid w:val="36313491"/>
    <w:rsid w:val="365817D6"/>
    <w:rsid w:val="370B6415"/>
    <w:rsid w:val="37431CD3"/>
    <w:rsid w:val="3818096B"/>
    <w:rsid w:val="3860BF7C"/>
    <w:rsid w:val="389004C6"/>
    <w:rsid w:val="394639B7"/>
    <w:rsid w:val="3A0B9640"/>
    <w:rsid w:val="3ACFF495"/>
    <w:rsid w:val="3B622A59"/>
    <w:rsid w:val="3C9C30FF"/>
    <w:rsid w:val="3CE5FC11"/>
    <w:rsid w:val="3D0F5266"/>
    <w:rsid w:val="3D9A5DFC"/>
    <w:rsid w:val="3E683001"/>
    <w:rsid w:val="3E72C135"/>
    <w:rsid w:val="3E72FFF5"/>
    <w:rsid w:val="3E89C15E"/>
    <w:rsid w:val="3E8B0C5C"/>
    <w:rsid w:val="3F288520"/>
    <w:rsid w:val="3FE21972"/>
    <w:rsid w:val="413C060C"/>
    <w:rsid w:val="4241E98F"/>
    <w:rsid w:val="424E2808"/>
    <w:rsid w:val="429B3AE8"/>
    <w:rsid w:val="44A8F5EA"/>
    <w:rsid w:val="44BD9352"/>
    <w:rsid w:val="44D991B6"/>
    <w:rsid w:val="44F6AD39"/>
    <w:rsid w:val="44FB75A7"/>
    <w:rsid w:val="46DA4A93"/>
    <w:rsid w:val="477FBF67"/>
    <w:rsid w:val="4859515D"/>
    <w:rsid w:val="488D9208"/>
    <w:rsid w:val="4919D028"/>
    <w:rsid w:val="49C802B6"/>
    <w:rsid w:val="4A2EA0DA"/>
    <w:rsid w:val="4B0FFFA9"/>
    <w:rsid w:val="4BE31383"/>
    <w:rsid w:val="4CE5F1F8"/>
    <w:rsid w:val="4D64865B"/>
    <w:rsid w:val="4E192574"/>
    <w:rsid w:val="51C7963E"/>
    <w:rsid w:val="51F59CBB"/>
    <w:rsid w:val="52364AE7"/>
    <w:rsid w:val="525B181B"/>
    <w:rsid w:val="52EFDBC2"/>
    <w:rsid w:val="5346073F"/>
    <w:rsid w:val="535AE18D"/>
    <w:rsid w:val="5398C71C"/>
    <w:rsid w:val="53C02A3B"/>
    <w:rsid w:val="53F2C520"/>
    <w:rsid w:val="54B502EC"/>
    <w:rsid w:val="551D7165"/>
    <w:rsid w:val="55DAF59C"/>
    <w:rsid w:val="5616F4F2"/>
    <w:rsid w:val="563A4A2E"/>
    <w:rsid w:val="570C6861"/>
    <w:rsid w:val="571BB38C"/>
    <w:rsid w:val="57795FE8"/>
    <w:rsid w:val="57C5A7DC"/>
    <w:rsid w:val="58519E1C"/>
    <w:rsid w:val="58A996F5"/>
    <w:rsid w:val="592D4717"/>
    <w:rsid w:val="5A4E8F85"/>
    <w:rsid w:val="5B302F35"/>
    <w:rsid w:val="5B990CD9"/>
    <w:rsid w:val="5B9AE997"/>
    <w:rsid w:val="5BFCDBCB"/>
    <w:rsid w:val="5C0AA965"/>
    <w:rsid w:val="5C360993"/>
    <w:rsid w:val="5CD5A40C"/>
    <w:rsid w:val="5CD8A930"/>
    <w:rsid w:val="5D33DD48"/>
    <w:rsid w:val="5D6464DF"/>
    <w:rsid w:val="5D73328E"/>
    <w:rsid w:val="5D950DD2"/>
    <w:rsid w:val="5E13B375"/>
    <w:rsid w:val="5F11E18A"/>
    <w:rsid w:val="5F4A17E7"/>
    <w:rsid w:val="5F6962D2"/>
    <w:rsid w:val="5F898C2C"/>
    <w:rsid w:val="61427307"/>
    <w:rsid w:val="62026731"/>
    <w:rsid w:val="624392BA"/>
    <w:rsid w:val="6290DA8B"/>
    <w:rsid w:val="63B0DCA8"/>
    <w:rsid w:val="63C72DDF"/>
    <w:rsid w:val="6401EE98"/>
    <w:rsid w:val="65270C36"/>
    <w:rsid w:val="654E2824"/>
    <w:rsid w:val="65741086"/>
    <w:rsid w:val="65F489D2"/>
    <w:rsid w:val="66B20FEB"/>
    <w:rsid w:val="66D5E361"/>
    <w:rsid w:val="66F8F1C6"/>
    <w:rsid w:val="679DDA7F"/>
    <w:rsid w:val="67DC0EE2"/>
    <w:rsid w:val="68404C3B"/>
    <w:rsid w:val="69E10E77"/>
    <w:rsid w:val="6A7441D5"/>
    <w:rsid w:val="6B2E1C89"/>
    <w:rsid w:val="6D4A3EC1"/>
    <w:rsid w:val="6DA9DA4D"/>
    <w:rsid w:val="6DD33750"/>
    <w:rsid w:val="6DF1FFB1"/>
    <w:rsid w:val="6E47A8C1"/>
    <w:rsid w:val="6EBE9A7B"/>
    <w:rsid w:val="6EDB2A66"/>
    <w:rsid w:val="6FB2208F"/>
    <w:rsid w:val="6FEC3D66"/>
    <w:rsid w:val="70A5E624"/>
    <w:rsid w:val="70FCE907"/>
    <w:rsid w:val="71C1366C"/>
    <w:rsid w:val="71E4704D"/>
    <w:rsid w:val="7259B20F"/>
    <w:rsid w:val="72C05B8F"/>
    <w:rsid w:val="76C84A31"/>
    <w:rsid w:val="77362A60"/>
    <w:rsid w:val="7739EF8D"/>
    <w:rsid w:val="776C0CBD"/>
    <w:rsid w:val="77A7EB23"/>
    <w:rsid w:val="781CEFDF"/>
    <w:rsid w:val="784B330E"/>
    <w:rsid w:val="78791CEA"/>
    <w:rsid w:val="792E83E1"/>
    <w:rsid w:val="7981C2D0"/>
    <w:rsid w:val="799D23DA"/>
    <w:rsid w:val="7C6A70D0"/>
    <w:rsid w:val="7C6DCD76"/>
    <w:rsid w:val="7CD4723F"/>
    <w:rsid w:val="7DA5DA27"/>
    <w:rsid w:val="7DCE8DB9"/>
    <w:rsid w:val="7EC42BE9"/>
    <w:rsid w:val="7EC80EAC"/>
    <w:rsid w:val="7F59CA3E"/>
    <w:rsid w:val="7F698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E1D86A18-288C-40BF-8D99-D5E4BCE3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8F0CC8"/>
    <w:pPr>
      <w:widowControl w:val="0"/>
      <w:numPr>
        <w:numId w:val="26"/>
      </w:numPr>
      <w:spacing w:before="500" w:after="240"/>
      <w:outlineLvl w:val="1"/>
    </w:pPr>
    <w:rPr>
      <w:rFonts w:ascii="Arial" w:eastAsia="Times New Roman" w:hAnsi="Arial" w:cs="Times New Roman"/>
      <w:b/>
      <w:color w:val="005EB8"/>
      <w:sz w:val="32"/>
      <w:szCs w:val="26"/>
    </w:rPr>
  </w:style>
  <w:style w:type="paragraph" w:styleId="Heading3">
    <w:name w:val="heading 3"/>
    <w:basedOn w:val="Normal"/>
    <w:next w:val="Normal"/>
    <w:link w:val="Heading3Char"/>
    <w:unhideWhenUsed/>
    <w:qFormat/>
    <w:rsid w:val="005F1CDD"/>
    <w:pPr>
      <w:widowControl w:val="0"/>
      <w:numPr>
        <w:ilvl w:val="1"/>
        <w:numId w:val="26"/>
      </w:numPr>
      <w:ind w:left="1134"/>
      <w:outlineLvl w:val="2"/>
    </w:pPr>
    <w:rPr>
      <w:rFonts w:asciiTheme="majorHAnsi" w:eastAsia="Times New Roman" w:hAnsiTheme="majorHAnsi" w:cstheme="majorBidi"/>
      <w:b/>
    </w:rPr>
  </w:style>
  <w:style w:type="paragraph" w:styleId="Heading4">
    <w:name w:val="heading 4"/>
    <w:basedOn w:val="Normal"/>
    <w:next w:val="Normal"/>
    <w:link w:val="Heading4Char"/>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nhideWhenUsed/>
    <w:qFormat/>
    <w:rsid w:val="001372BC"/>
    <w:pPr>
      <w:keepNext/>
      <w:keepLines/>
      <w:spacing w:before="360"/>
      <w:ind w:left="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nhideWhenUsed/>
    <w:qFormat/>
    <w:rsid w:val="001372BC"/>
    <w:pPr>
      <w:widowControl w:val="0"/>
      <w:spacing w:before="360"/>
      <w:ind w:left="0"/>
      <w:outlineLvl w:val="5"/>
    </w:pPr>
    <w:rPr>
      <w:rFonts w:asciiTheme="majorHAnsi" w:eastAsiaTheme="majorEastAsia" w:hAnsiTheme="majorHAnsi" w:cstheme="majorBidi"/>
    </w:rPr>
  </w:style>
  <w:style w:type="paragraph" w:styleId="Heading7">
    <w:name w:val="heading 7"/>
    <w:basedOn w:val="Normal"/>
    <w:next w:val="Normal"/>
    <w:link w:val="Heading7Char"/>
    <w:unhideWhenUsed/>
    <w:qFormat/>
    <w:rsid w:val="006606C1"/>
    <w:pPr>
      <w:keepNext/>
      <w:keepLines/>
      <w:spacing w:before="40" w:after="0"/>
      <w:ind w:left="0"/>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nhideWhenUsed/>
    <w:qFormat/>
    <w:rsid w:val="006606C1"/>
    <w:pPr>
      <w:keepNext/>
      <w:keepLines/>
      <w:spacing w:before="40" w:after="0"/>
      <w:ind w:left="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nhideWhenUsed/>
    <w:qFormat/>
    <w:rsid w:val="006606C1"/>
    <w:pPr>
      <w:keepNext/>
      <w:keepLines/>
      <w:spacing w:before="40" w:after="0"/>
      <w:ind w:left="0"/>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rsid w:val="008F0CC8"/>
    <w:rPr>
      <w:rFonts w:ascii="Arial" w:eastAsia="Times New Roman" w:hAnsi="Arial" w:cs="Times New Roman"/>
      <w:b/>
      <w:color w:val="005EB8"/>
      <w:sz w:val="32"/>
      <w:szCs w:val="26"/>
    </w:rPr>
  </w:style>
  <w:style w:type="character" w:customStyle="1" w:styleId="Heading3Char">
    <w:name w:val="Heading 3 Char"/>
    <w:basedOn w:val="DefaultParagraphFont"/>
    <w:link w:val="Heading3"/>
    <w:rsid w:val="005F1CDD"/>
    <w:rPr>
      <w:rFonts w:asciiTheme="majorHAnsi" w:eastAsia="Times New Roman"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0606D6"/>
    <w:pPr>
      <w:numPr>
        <w:ilvl w:val="2"/>
        <w:numId w:val="26"/>
      </w:numPr>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
      </w:numPr>
    </w:pPr>
  </w:style>
  <w:style w:type="numbering" w:customStyle="1" w:styleId="CurrentList2">
    <w:name w:val="Current List2"/>
    <w:uiPriority w:val="99"/>
    <w:rsid w:val="00254FFE"/>
    <w:pPr>
      <w:numPr>
        <w:numId w:val="2"/>
      </w:numPr>
    </w:pPr>
  </w:style>
  <w:style w:type="numbering" w:customStyle="1" w:styleId="CurrentList3">
    <w:name w:val="Current List3"/>
    <w:uiPriority w:val="99"/>
    <w:rsid w:val="00254FFE"/>
    <w:pPr>
      <w:numPr>
        <w:numId w:val="3"/>
      </w:numPr>
    </w:pPr>
  </w:style>
  <w:style w:type="numbering" w:customStyle="1" w:styleId="CurrentList4">
    <w:name w:val="Current List4"/>
    <w:uiPriority w:val="99"/>
    <w:rsid w:val="00B31CD9"/>
    <w:pPr>
      <w:numPr>
        <w:numId w:val="4"/>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EC23E1"/>
    <w:pPr>
      <w:tabs>
        <w:tab w:val="left" w:pos="1843"/>
        <w:tab w:val="right" w:leader="underscore" w:pos="8931"/>
      </w:tabs>
      <w:spacing w:after="100"/>
      <w:ind w:left="1843" w:right="566"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5"/>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CF2514"/>
    <w:pPr>
      <w:numPr>
        <w:numId w:val="7"/>
      </w:numPr>
      <w:ind w:left="1474"/>
    </w:pPr>
    <w:rPr>
      <w:rFonts w:cs="Times New Roman (Body CS)"/>
    </w:rPr>
  </w:style>
  <w:style w:type="paragraph" w:customStyle="1" w:styleId="Style1">
    <w:name w:val="Style1"/>
    <w:basedOn w:val="Heading3"/>
    <w:link w:val="Style1Char"/>
    <w:qFormat/>
    <w:rsid w:val="00F370DB"/>
    <w:pPr>
      <w:outlineLvl w:val="1"/>
    </w:pPr>
    <w:rPr>
      <w:b w:val="0"/>
    </w:rPr>
  </w:style>
  <w:style w:type="numbering" w:customStyle="1" w:styleId="CurrentList6">
    <w:name w:val="Current List6"/>
    <w:uiPriority w:val="99"/>
    <w:rsid w:val="00F913CD"/>
    <w:pPr>
      <w:numPr>
        <w:numId w:val="6"/>
      </w:numPr>
    </w:pPr>
  </w:style>
  <w:style w:type="numbering" w:customStyle="1" w:styleId="CurrentList7">
    <w:name w:val="Current List7"/>
    <w:uiPriority w:val="99"/>
    <w:rsid w:val="006B3E9C"/>
    <w:pPr>
      <w:numPr>
        <w:numId w:val="8"/>
      </w:numPr>
    </w:pPr>
  </w:style>
  <w:style w:type="numbering" w:customStyle="1" w:styleId="CurrentList8">
    <w:name w:val="Current List8"/>
    <w:uiPriority w:val="99"/>
    <w:rsid w:val="006B3E9C"/>
    <w:pPr>
      <w:numPr>
        <w:numId w:val="9"/>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1839"/>
    <w:rPr>
      <w:color w:val="605E5C"/>
      <w:shd w:val="clear" w:color="auto" w:fill="E1DFDD"/>
    </w:rPr>
  </w:style>
  <w:style w:type="paragraph" w:styleId="BalloonText">
    <w:name w:val="Balloon Text"/>
    <w:basedOn w:val="Normal"/>
    <w:link w:val="BalloonTextChar"/>
    <w:uiPriority w:val="99"/>
    <w:semiHidden/>
    <w:unhideWhenUsed/>
    <w:rsid w:val="00F127CB"/>
    <w:pPr>
      <w:widowControl w:val="0"/>
      <w:autoSpaceDE w:val="0"/>
      <w:autoSpaceDN w:val="0"/>
      <w:spacing w:before="0" w:after="0"/>
      <w:ind w:left="0"/>
    </w:pPr>
    <w:rPr>
      <w:rFonts w:ascii="Tahoma" w:eastAsia="Arial" w:hAnsi="Tahoma" w:cs="Tahoma"/>
      <w:color w:val="auto"/>
      <w:sz w:val="16"/>
      <w:szCs w:val="16"/>
      <w:lang w:eastAsia="en-GB" w:bidi="en-GB"/>
    </w:rPr>
  </w:style>
  <w:style w:type="character" w:customStyle="1" w:styleId="BalloonTextChar">
    <w:name w:val="Balloon Text Char"/>
    <w:basedOn w:val="DefaultParagraphFont"/>
    <w:link w:val="BalloonText"/>
    <w:uiPriority w:val="99"/>
    <w:semiHidden/>
    <w:rsid w:val="00F127CB"/>
    <w:rPr>
      <w:rFonts w:ascii="Tahoma" w:eastAsia="Arial" w:hAnsi="Tahoma" w:cs="Tahoma"/>
      <w:sz w:val="16"/>
      <w:szCs w:val="16"/>
      <w:lang w:eastAsia="en-GB" w:bidi="en-GB"/>
    </w:rPr>
  </w:style>
  <w:style w:type="paragraph" w:customStyle="1" w:styleId="TableParagraph">
    <w:name w:val="Table Paragraph"/>
    <w:basedOn w:val="Normal"/>
    <w:uiPriority w:val="1"/>
    <w:qFormat/>
    <w:rsid w:val="009633C3"/>
    <w:pPr>
      <w:widowControl w:val="0"/>
      <w:autoSpaceDE w:val="0"/>
      <w:autoSpaceDN w:val="0"/>
      <w:spacing w:before="0" w:after="0"/>
      <w:ind w:left="107"/>
    </w:pPr>
    <w:rPr>
      <w:rFonts w:ascii="Arial" w:eastAsia="Arial" w:hAnsi="Arial" w:cs="Arial"/>
      <w:color w:val="auto"/>
      <w:sz w:val="22"/>
      <w:szCs w:val="22"/>
      <w:lang w:eastAsia="en-GB" w:bidi="en-GB"/>
    </w:rPr>
  </w:style>
  <w:style w:type="paragraph" w:styleId="Revision">
    <w:name w:val="Revision"/>
    <w:hidden/>
    <w:uiPriority w:val="99"/>
    <w:semiHidden/>
    <w:rsid w:val="00585F22"/>
    <w:rPr>
      <w:color w:val="231F20" w:themeColor="text1"/>
    </w:rPr>
  </w:style>
  <w:style w:type="character" w:customStyle="1" w:styleId="Style1Char">
    <w:name w:val="Style1 Char"/>
    <w:basedOn w:val="Heading3Char"/>
    <w:link w:val="Style1"/>
    <w:rsid w:val="00F370DB"/>
    <w:rPr>
      <w:rFonts w:asciiTheme="majorHAnsi" w:eastAsia="Times New Roman" w:hAnsiTheme="majorHAnsi" w:cstheme="majorBidi"/>
      <w:b w:val="0"/>
      <w:color w:val="231F20" w:themeColor="text1"/>
    </w:rPr>
  </w:style>
  <w:style w:type="paragraph" w:styleId="NormalWeb">
    <w:name w:val="Normal (Web)"/>
    <w:basedOn w:val="Normal"/>
    <w:uiPriority w:val="99"/>
    <w:semiHidden/>
    <w:unhideWhenUsed/>
    <w:rsid w:val="00643986"/>
    <w:pPr>
      <w:spacing w:before="100" w:beforeAutospacing="1" w:after="100" w:afterAutospacing="1"/>
      <w:ind w:left="0"/>
    </w:pPr>
    <w:rPr>
      <w:rFonts w:ascii="Times New Roman" w:eastAsia="Times New Roman" w:hAnsi="Times New Roman" w:cs="Times New Roman"/>
      <w:color w:val="auto"/>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CF2514"/>
    <w:rPr>
      <w:rFonts w:cs="Times New Roman (Body CS)"/>
      <w:color w:val="231F20" w:themeColor="text1"/>
    </w:rPr>
  </w:style>
  <w:style w:type="character" w:styleId="FollowedHyperlink">
    <w:name w:val="FollowedHyperlink"/>
    <w:basedOn w:val="DefaultParagraphFont"/>
    <w:uiPriority w:val="99"/>
    <w:semiHidden/>
    <w:unhideWhenUsed/>
    <w:rsid w:val="00A66D2D"/>
    <w:rPr>
      <w:color w:val="00A399" w:themeColor="followedHyperlink"/>
      <w:u w:val="single"/>
    </w:rPr>
  </w:style>
  <w:style w:type="table" w:customStyle="1" w:styleId="TableGrid2">
    <w:name w:val="Table Grid2"/>
    <w:basedOn w:val="TableNormal"/>
    <w:next w:val="TableGrid"/>
    <w:uiPriority w:val="39"/>
    <w:rsid w:val="00F907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44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1"/>
    <w:basedOn w:val="Normal"/>
    <w:rsid w:val="009B4082"/>
    <w:pPr>
      <w:widowControl w:val="0"/>
      <w:spacing w:after="60"/>
      <w:ind w:left="714"/>
      <w:jc w:val="both"/>
    </w:pPr>
    <w:rPr>
      <w:rFonts w:ascii="Arial" w:eastAsia="Times New Roman" w:hAnsi="Arial" w:cs="Times New Roman"/>
      <w:color w:val="auto"/>
      <w:sz w:val="20"/>
      <w:szCs w:val="20"/>
      <w:lang w:eastAsia="en-GB"/>
    </w:rPr>
  </w:style>
  <w:style w:type="paragraph" w:customStyle="1" w:styleId="Body2">
    <w:name w:val="Body2"/>
    <w:basedOn w:val="Normal"/>
    <w:rsid w:val="009B4082"/>
    <w:pPr>
      <w:widowControl w:val="0"/>
      <w:spacing w:after="60"/>
      <w:ind w:left="1414"/>
      <w:jc w:val="both"/>
    </w:pPr>
    <w:rPr>
      <w:rFonts w:ascii="Arial" w:eastAsia="Times New Roman" w:hAnsi="Arial" w:cs="Times New Roman"/>
      <w:color w:val="auto"/>
      <w:sz w:val="20"/>
      <w:szCs w:val="20"/>
      <w:lang w:eastAsia="en-GB"/>
    </w:rPr>
  </w:style>
  <w:style w:type="numbering" w:customStyle="1" w:styleId="WWOutlineListStyle2">
    <w:name w:val="WW_OutlineListStyle_2"/>
    <w:basedOn w:val="NoList"/>
    <w:rsid w:val="00DC1C30"/>
    <w:pPr>
      <w:numPr>
        <w:numId w:val="38"/>
      </w:numPr>
    </w:pPr>
  </w:style>
  <w:style w:type="paragraph" w:customStyle="1" w:styleId="Heading2-numbered">
    <w:name w:val="Heading 2 - numbered"/>
    <w:basedOn w:val="Heading2"/>
    <w:next w:val="Paragraphtext"/>
    <w:rsid w:val="00DC1C30"/>
    <w:pPr>
      <w:keepNext/>
      <w:keepLines/>
      <w:widowControl/>
      <w:numPr>
        <w:ilvl w:val="1"/>
        <w:numId w:val="38"/>
      </w:numPr>
      <w:tabs>
        <w:tab w:val="left" w:pos="-782"/>
      </w:tabs>
      <w:suppressAutoHyphens/>
      <w:autoSpaceDN w:val="0"/>
      <w:spacing w:before="240" w:line="490" w:lineRule="exact"/>
      <w:textAlignment w:val="baseline"/>
    </w:pPr>
    <w:rPr>
      <w:color w:val="auto"/>
      <w:sz w:val="41"/>
      <w:szCs w:val="20"/>
      <w:lang w:eastAsia="en-GB"/>
    </w:rPr>
  </w:style>
  <w:style w:type="paragraph" w:customStyle="1" w:styleId="Heading3-numbered">
    <w:name w:val="Heading 3 - numbered"/>
    <w:basedOn w:val="Heading3"/>
    <w:next w:val="Paragraphtext"/>
    <w:rsid w:val="00DC1C30"/>
    <w:pPr>
      <w:keepNext/>
      <w:widowControl/>
      <w:numPr>
        <w:ilvl w:val="2"/>
        <w:numId w:val="38"/>
      </w:numPr>
      <w:suppressAutoHyphens/>
      <w:autoSpaceDN w:val="0"/>
      <w:spacing w:before="120" w:after="240" w:line="370" w:lineRule="exact"/>
      <w:textAlignment w:val="baseline"/>
    </w:pPr>
    <w:rPr>
      <w:rFonts w:ascii="Arial" w:hAnsi="Arial" w:cs="Times New Roman"/>
      <w:color w:val="auto"/>
      <w:sz w:val="29"/>
      <w:szCs w:val="20"/>
      <w:lang w:eastAsia="en-GB"/>
    </w:rPr>
  </w:style>
  <w:style w:type="paragraph" w:customStyle="1" w:styleId="Paragraphtext">
    <w:name w:val="Paragraph text"/>
    <w:rsid w:val="00DC1C30"/>
    <w:pPr>
      <w:suppressAutoHyphens/>
      <w:autoSpaceDN w:val="0"/>
      <w:spacing w:after="284" w:line="288" w:lineRule="auto"/>
      <w:textAlignment w:val="baseline"/>
    </w:pPr>
    <w:rPr>
      <w:rFonts w:ascii="Arial" w:eastAsia="Times New Roman" w:hAnsi="Arial" w:cs="Times New Roman"/>
      <w:szCs w:val="20"/>
      <w:lang w:eastAsia="en-GB"/>
    </w:rPr>
  </w:style>
  <w:style w:type="paragraph" w:styleId="FootnoteText">
    <w:name w:val="footnote text"/>
    <w:basedOn w:val="Normal"/>
    <w:link w:val="FootnoteTextChar"/>
    <w:uiPriority w:val="99"/>
    <w:semiHidden/>
    <w:unhideWhenUsed/>
    <w:rsid w:val="00755219"/>
    <w:pPr>
      <w:spacing w:before="0" w:after="0"/>
    </w:pPr>
    <w:rPr>
      <w:sz w:val="20"/>
      <w:szCs w:val="20"/>
    </w:rPr>
  </w:style>
  <w:style w:type="character" w:customStyle="1" w:styleId="FootnoteTextChar">
    <w:name w:val="Footnote Text Char"/>
    <w:basedOn w:val="DefaultParagraphFont"/>
    <w:link w:val="FootnoteText"/>
    <w:uiPriority w:val="99"/>
    <w:semiHidden/>
    <w:rsid w:val="00755219"/>
    <w:rPr>
      <w:color w:val="231F20" w:themeColor="text1"/>
      <w:sz w:val="20"/>
      <w:szCs w:val="20"/>
    </w:rPr>
  </w:style>
  <w:style w:type="character" w:styleId="FootnoteReference">
    <w:name w:val="footnote reference"/>
    <w:basedOn w:val="DefaultParagraphFont"/>
    <w:uiPriority w:val="99"/>
    <w:semiHidden/>
    <w:unhideWhenUsed/>
    <w:rsid w:val="007552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243">
      <w:bodyDiv w:val="1"/>
      <w:marLeft w:val="0"/>
      <w:marRight w:val="0"/>
      <w:marTop w:val="0"/>
      <w:marBottom w:val="0"/>
      <w:divBdr>
        <w:top w:val="none" w:sz="0" w:space="0" w:color="auto"/>
        <w:left w:val="none" w:sz="0" w:space="0" w:color="auto"/>
        <w:bottom w:val="none" w:sz="0" w:space="0" w:color="auto"/>
        <w:right w:val="none" w:sz="0" w:space="0" w:color="auto"/>
      </w:divBdr>
    </w:div>
    <w:div w:id="115879106">
      <w:bodyDiv w:val="1"/>
      <w:marLeft w:val="0"/>
      <w:marRight w:val="0"/>
      <w:marTop w:val="0"/>
      <w:marBottom w:val="0"/>
      <w:divBdr>
        <w:top w:val="none" w:sz="0" w:space="0" w:color="auto"/>
        <w:left w:val="none" w:sz="0" w:space="0" w:color="auto"/>
        <w:bottom w:val="none" w:sz="0" w:space="0" w:color="auto"/>
        <w:right w:val="none" w:sz="0" w:space="0" w:color="auto"/>
      </w:divBdr>
    </w:div>
    <w:div w:id="396779107">
      <w:bodyDiv w:val="1"/>
      <w:marLeft w:val="0"/>
      <w:marRight w:val="0"/>
      <w:marTop w:val="0"/>
      <w:marBottom w:val="0"/>
      <w:divBdr>
        <w:top w:val="none" w:sz="0" w:space="0" w:color="auto"/>
        <w:left w:val="none" w:sz="0" w:space="0" w:color="auto"/>
        <w:bottom w:val="none" w:sz="0" w:space="0" w:color="auto"/>
        <w:right w:val="none" w:sz="0" w:space="0" w:color="auto"/>
      </w:divBdr>
    </w:div>
    <w:div w:id="701245243">
      <w:bodyDiv w:val="1"/>
      <w:marLeft w:val="0"/>
      <w:marRight w:val="0"/>
      <w:marTop w:val="0"/>
      <w:marBottom w:val="0"/>
      <w:divBdr>
        <w:top w:val="none" w:sz="0" w:space="0" w:color="auto"/>
        <w:left w:val="none" w:sz="0" w:space="0" w:color="auto"/>
        <w:bottom w:val="none" w:sz="0" w:space="0" w:color="auto"/>
        <w:right w:val="none" w:sz="0" w:space="0" w:color="auto"/>
      </w:divBdr>
    </w:div>
    <w:div w:id="770442690">
      <w:bodyDiv w:val="1"/>
      <w:marLeft w:val="0"/>
      <w:marRight w:val="0"/>
      <w:marTop w:val="0"/>
      <w:marBottom w:val="0"/>
      <w:divBdr>
        <w:top w:val="none" w:sz="0" w:space="0" w:color="auto"/>
        <w:left w:val="none" w:sz="0" w:space="0" w:color="auto"/>
        <w:bottom w:val="none" w:sz="0" w:space="0" w:color="auto"/>
        <w:right w:val="none" w:sz="0" w:space="0" w:color="auto"/>
      </w:divBdr>
    </w:div>
    <w:div w:id="1184124808">
      <w:bodyDiv w:val="1"/>
      <w:marLeft w:val="0"/>
      <w:marRight w:val="0"/>
      <w:marTop w:val="0"/>
      <w:marBottom w:val="0"/>
      <w:divBdr>
        <w:top w:val="none" w:sz="0" w:space="0" w:color="auto"/>
        <w:left w:val="none" w:sz="0" w:space="0" w:color="auto"/>
        <w:bottom w:val="none" w:sz="0" w:space="0" w:color="auto"/>
        <w:right w:val="none" w:sz="0" w:space="0" w:color="auto"/>
      </w:divBdr>
    </w:div>
    <w:div w:id="1189372256">
      <w:bodyDiv w:val="1"/>
      <w:marLeft w:val="0"/>
      <w:marRight w:val="0"/>
      <w:marTop w:val="0"/>
      <w:marBottom w:val="0"/>
      <w:divBdr>
        <w:top w:val="none" w:sz="0" w:space="0" w:color="auto"/>
        <w:left w:val="none" w:sz="0" w:space="0" w:color="auto"/>
        <w:bottom w:val="none" w:sz="0" w:space="0" w:color="auto"/>
        <w:right w:val="none" w:sz="0" w:space="0" w:color="auto"/>
      </w:divBdr>
    </w:div>
    <w:div w:id="1203010456">
      <w:bodyDiv w:val="1"/>
      <w:marLeft w:val="0"/>
      <w:marRight w:val="0"/>
      <w:marTop w:val="0"/>
      <w:marBottom w:val="0"/>
      <w:divBdr>
        <w:top w:val="none" w:sz="0" w:space="0" w:color="auto"/>
        <w:left w:val="none" w:sz="0" w:space="0" w:color="auto"/>
        <w:bottom w:val="none" w:sz="0" w:space="0" w:color="auto"/>
        <w:right w:val="none" w:sz="0" w:space="0" w:color="auto"/>
      </w:divBdr>
    </w:div>
    <w:div w:id="1326007173">
      <w:bodyDiv w:val="1"/>
      <w:marLeft w:val="0"/>
      <w:marRight w:val="0"/>
      <w:marTop w:val="0"/>
      <w:marBottom w:val="0"/>
      <w:divBdr>
        <w:top w:val="none" w:sz="0" w:space="0" w:color="auto"/>
        <w:left w:val="none" w:sz="0" w:space="0" w:color="auto"/>
        <w:bottom w:val="none" w:sz="0" w:space="0" w:color="auto"/>
        <w:right w:val="none" w:sz="0" w:space="0" w:color="auto"/>
      </w:divBdr>
    </w:div>
    <w:div w:id="1467813425">
      <w:bodyDiv w:val="1"/>
      <w:marLeft w:val="0"/>
      <w:marRight w:val="0"/>
      <w:marTop w:val="0"/>
      <w:marBottom w:val="0"/>
      <w:divBdr>
        <w:top w:val="none" w:sz="0" w:space="0" w:color="auto"/>
        <w:left w:val="none" w:sz="0" w:space="0" w:color="auto"/>
        <w:bottom w:val="none" w:sz="0" w:space="0" w:color="auto"/>
        <w:right w:val="none" w:sz="0" w:space="0" w:color="auto"/>
      </w:divBdr>
    </w:div>
    <w:div w:id="1549685582">
      <w:bodyDiv w:val="1"/>
      <w:marLeft w:val="0"/>
      <w:marRight w:val="0"/>
      <w:marTop w:val="0"/>
      <w:marBottom w:val="0"/>
      <w:divBdr>
        <w:top w:val="none" w:sz="0" w:space="0" w:color="auto"/>
        <w:left w:val="none" w:sz="0" w:space="0" w:color="auto"/>
        <w:bottom w:val="none" w:sz="0" w:space="0" w:color="auto"/>
        <w:right w:val="none" w:sz="0" w:space="0" w:color="auto"/>
      </w:divBdr>
    </w:div>
    <w:div w:id="1646739521">
      <w:bodyDiv w:val="1"/>
      <w:marLeft w:val="0"/>
      <w:marRight w:val="0"/>
      <w:marTop w:val="0"/>
      <w:marBottom w:val="0"/>
      <w:divBdr>
        <w:top w:val="none" w:sz="0" w:space="0" w:color="auto"/>
        <w:left w:val="none" w:sz="0" w:space="0" w:color="auto"/>
        <w:bottom w:val="none" w:sz="0" w:space="0" w:color="auto"/>
        <w:right w:val="none" w:sz="0" w:space="0" w:color="auto"/>
      </w:divBdr>
    </w:div>
    <w:div w:id="1808234977">
      <w:bodyDiv w:val="1"/>
      <w:marLeft w:val="0"/>
      <w:marRight w:val="0"/>
      <w:marTop w:val="0"/>
      <w:marBottom w:val="0"/>
      <w:divBdr>
        <w:top w:val="none" w:sz="0" w:space="0" w:color="auto"/>
        <w:left w:val="none" w:sz="0" w:space="0" w:color="auto"/>
        <w:bottom w:val="none" w:sz="0" w:space="0" w:color="auto"/>
        <w:right w:val="none" w:sz="0" w:space="0" w:color="auto"/>
      </w:divBdr>
    </w:div>
    <w:div w:id="1998149569">
      <w:bodyDiv w:val="1"/>
      <w:marLeft w:val="0"/>
      <w:marRight w:val="0"/>
      <w:marTop w:val="0"/>
      <w:marBottom w:val="0"/>
      <w:divBdr>
        <w:top w:val="none" w:sz="0" w:space="0" w:color="auto"/>
        <w:left w:val="none" w:sz="0" w:space="0" w:color="auto"/>
        <w:bottom w:val="none" w:sz="0" w:space="0" w:color="auto"/>
        <w:right w:val="none" w:sz="0" w:space="0" w:color="auto"/>
      </w:divBdr>
    </w:div>
    <w:div w:id="2084450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yperlink" Target="https://www.england.nhs.uk/publication/grant-agreement/"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emf"/><Relationship Id="rId25" Type="http://schemas.openxmlformats.org/officeDocument/2006/relationships/hyperlink" Target="https://nhs.sharepoint.com/sites/99F_Connect/SitePages/Self%20service%20pages/Finance%20self%20service%20pages/Procurement-and-contracting.aspx"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7.emf"/><Relationship Id="rId29" Type="http://schemas.openxmlformats.org/officeDocument/2006/relationships/hyperlink" Target="https://view.officeapps.live.com/op/view.aspx?src=https%3A%2F%2Fwww.midandsouthessex.ics.nhs.uk%2Fcontent%2Fuploads%2F2023%2F04%2F1.-JC-FP001-Mid-South-Essex-SRP-v1.3-Updated-March-2023.doc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gland.nhs.uk/nhs-standard-contract/24-25/" TargetMode="External"/><Relationship Id="rId32" Type="http://schemas.openxmlformats.org/officeDocument/2006/relationships/hyperlink" Target="https://www.midandsouthessex.ics.nhs.uk/publications/?publications_category=icb-policies"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nhs.sharepoint.com/sites/99F_Connect/SitePages/Self%20service%20pages/Finance%20self%20service%20pages/Triple-lock-process.aspx" TargetMode="External"/><Relationship Id="rId28" Type="http://schemas.openxmlformats.org/officeDocument/2006/relationships/hyperlink" Target="https://nhs.sharepoint.com/sites/99F_Connect/SitePages/Self%20service%20pages/Finance%20self%20service%20pages/Procurement-and-contracting.aspx"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hyperlink" Target="mailto:mseicb.enquirie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nhs.sharepoint.com/sites/99F_Connect/SitePages/Self%20service%20pages/Corporate%20self%20service%20pages/Central%20PMO%20self%20service%20pages/ICB-Project-Workbook-Guidance.aspx" TargetMode="External"/><Relationship Id="rId27" Type="http://schemas.openxmlformats.org/officeDocument/2006/relationships/hyperlink" Target="https://www.england.nhs.uk/publication/guidance-on-the-use-of-the-draft-model-grant-funding-agreement/" TargetMode="External"/><Relationship Id="rId30" Type="http://schemas.openxmlformats.org/officeDocument/2006/relationships/hyperlink" Target="https://www.midandsouthessex.ics.nhs.uk/health/personalised-care/individual-funding-requests/individual-funding-request-policy/"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SharedWithUsers xmlns="9f7c630f-7b21-41af-8e66-c00e7f0a0ae0">
      <UserInfo>
        <DisplayName>BRITTON, Frances (NHS MID AND SOUTH ESSEX ICB - 06Q)</DisplayName>
        <AccountId>95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9c8a0972f6b10ea0365675ac89b42387">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489e1b256c2def76807e763eb0eeda03"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F903CF12-9ABF-48F8-A6BB-7AC4770B2528}">
  <ds:schemaRefs>
    <ds:schemaRef ds:uri="http://schemas.microsoft.com/sharepoint/v3/contenttype/forms"/>
  </ds:schemaRefs>
</ds:datastoreItem>
</file>

<file path=customXml/itemProps3.xml><?xml version="1.0" encoding="utf-8"?>
<ds:datastoreItem xmlns:ds="http://schemas.openxmlformats.org/officeDocument/2006/customXml" ds:itemID="{4489FFA1-E180-4CCB-B900-C4757784F3B9}">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4.xml><?xml version="1.0" encoding="utf-8"?>
<ds:datastoreItem xmlns:ds="http://schemas.openxmlformats.org/officeDocument/2006/customXml" ds:itemID="{5A91BF38-C037-48C7-BB15-D36F67B2E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63</TotalTime>
  <Pages>51</Pages>
  <Words>13729</Words>
  <Characters>78261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Decision Making Policy and Procedure</vt:lpstr>
    </vt:vector>
  </TitlesOfParts>
  <Manager/>
  <Company/>
  <LinksUpToDate>false</LinksUpToDate>
  <CharactersWithSpaces>91807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Making Policy and Procedure</dc:title>
  <dc:subject/>
  <dc:creator>Adams Nicola (07G) Thurrock CCG</dc:creator>
  <cp:keywords/>
  <dc:description/>
  <cp:lastModifiedBy>CHASNEY, Helen (NHS MID AND SOUTH ESSEX ICB - 07G)</cp:lastModifiedBy>
  <cp:revision>56</cp:revision>
  <cp:lastPrinted>2021-12-03T22:01:00Z</cp:lastPrinted>
  <dcterms:created xsi:type="dcterms:W3CDTF">2025-10-17T14:47:00Z</dcterms:created>
  <dcterms:modified xsi:type="dcterms:W3CDTF">2025-11-13T10:27:00Z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0x0101002E5D983C6DD6CA4FB798FFE5ED97F751</vt:lpwstr>
  </property>
</Properties>
</file>