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5" w:type="dxa"/>
        <w:tblLook w:val="04A0" w:firstRow="1" w:lastRow="0" w:firstColumn="1" w:lastColumn="0" w:noHBand="0" w:noVBand="1"/>
      </w:tblPr>
      <w:tblGrid>
        <w:gridCol w:w="2410"/>
        <w:gridCol w:w="6662"/>
      </w:tblGrid>
      <w:tr w:rsidR="005C729E" w:rsidRPr="00777E05" w14:paraId="691E047B" w14:textId="77777777" w:rsidTr="00B2549B">
        <w:tc>
          <w:tcPr>
            <w:tcW w:w="2410" w:type="dxa"/>
            <w:shd w:val="clear" w:color="auto" w:fill="BDD6EE" w:themeFill="accent5" w:themeFillTint="66"/>
          </w:tcPr>
          <w:p w14:paraId="725D2BC4" w14:textId="77777777" w:rsidR="005C729E" w:rsidRPr="00C82E9A" w:rsidRDefault="005C729E" w:rsidP="00B2549B">
            <w:pPr>
              <w:rPr>
                <w:rFonts w:ascii="Arial" w:hAnsi="Arial" w:cs="Arial"/>
              </w:rPr>
            </w:pPr>
            <w:r w:rsidRPr="00C82E9A">
              <w:rPr>
                <w:rFonts w:ascii="Arial" w:hAnsi="Arial" w:cs="Arial"/>
              </w:rPr>
              <w:t>Policy Number</w:t>
            </w:r>
          </w:p>
        </w:tc>
        <w:tc>
          <w:tcPr>
            <w:tcW w:w="6662" w:type="dxa"/>
          </w:tcPr>
          <w:p w14:paraId="7B64E7D0" w14:textId="1CD1C351" w:rsidR="005C729E" w:rsidRPr="00C82E9A" w:rsidRDefault="005C729E" w:rsidP="00B2549B">
            <w:pPr>
              <w:rPr>
                <w:rFonts w:ascii="Arial" w:hAnsi="Arial" w:cs="Arial"/>
                <w:b/>
                <w:bCs/>
              </w:rPr>
            </w:pPr>
            <w:r w:rsidRPr="00C82E9A">
              <w:rPr>
                <w:rFonts w:ascii="Arial" w:hAnsi="Arial" w:cs="Arial"/>
                <w:b/>
                <w:bCs/>
              </w:rPr>
              <w:t xml:space="preserve">MSEICB </w:t>
            </w:r>
            <w:r>
              <w:rPr>
                <w:rFonts w:ascii="Arial" w:hAnsi="Arial" w:cs="Arial"/>
                <w:b/>
                <w:bCs/>
              </w:rPr>
              <w:t>084</w:t>
            </w:r>
          </w:p>
        </w:tc>
      </w:tr>
      <w:tr w:rsidR="005C729E" w:rsidRPr="00777E05" w14:paraId="22A2C5D9" w14:textId="77777777" w:rsidTr="00B2549B">
        <w:tc>
          <w:tcPr>
            <w:tcW w:w="2410" w:type="dxa"/>
            <w:tcBorders>
              <w:bottom w:val="single" w:sz="4" w:space="0" w:color="auto"/>
            </w:tcBorders>
            <w:shd w:val="clear" w:color="auto" w:fill="BDD6EE" w:themeFill="accent5" w:themeFillTint="66"/>
          </w:tcPr>
          <w:p w14:paraId="3F9ECE81" w14:textId="77777777" w:rsidR="005C729E" w:rsidRPr="00C82E9A" w:rsidRDefault="005C729E" w:rsidP="00B2549B">
            <w:pPr>
              <w:rPr>
                <w:rFonts w:ascii="Arial" w:hAnsi="Arial" w:cs="Arial"/>
              </w:rPr>
            </w:pPr>
            <w:r w:rsidRPr="00C82E9A">
              <w:rPr>
                <w:rFonts w:ascii="Arial" w:hAnsi="Arial" w:cs="Arial"/>
              </w:rPr>
              <w:t>Policy Name</w:t>
            </w:r>
          </w:p>
        </w:tc>
        <w:tc>
          <w:tcPr>
            <w:tcW w:w="6662" w:type="dxa"/>
            <w:tcBorders>
              <w:bottom w:val="single" w:sz="4" w:space="0" w:color="auto"/>
            </w:tcBorders>
          </w:tcPr>
          <w:p w14:paraId="4A651350" w14:textId="5757430B" w:rsidR="005C729E" w:rsidRPr="00C82E9A" w:rsidRDefault="005C729E" w:rsidP="005C729E">
            <w:pPr>
              <w:rPr>
                <w:rFonts w:ascii="Arial" w:hAnsi="Arial" w:cs="Arial"/>
                <w:b/>
                <w:bCs/>
              </w:rPr>
            </w:pPr>
            <w:r w:rsidRPr="00E317AF">
              <w:rPr>
                <w:rFonts w:ascii="Arial" w:hAnsi="Arial" w:cs="Arial"/>
                <w:b/>
                <w:bCs/>
              </w:rPr>
              <w:t>Female Sterilisation (operative occlusion of the fallopian tubes)</w:t>
            </w:r>
          </w:p>
        </w:tc>
      </w:tr>
      <w:tr w:rsidR="005C729E" w:rsidRPr="00777E05" w14:paraId="5EB59E9B" w14:textId="77777777" w:rsidTr="00B2549B">
        <w:tc>
          <w:tcPr>
            <w:tcW w:w="2410" w:type="dxa"/>
            <w:tcBorders>
              <w:bottom w:val="double" w:sz="4" w:space="0" w:color="auto"/>
            </w:tcBorders>
            <w:shd w:val="clear" w:color="auto" w:fill="BDD6EE" w:themeFill="accent5" w:themeFillTint="66"/>
          </w:tcPr>
          <w:p w14:paraId="598CCAE1" w14:textId="77777777" w:rsidR="005C729E" w:rsidRPr="00C82E9A" w:rsidRDefault="005C729E" w:rsidP="00B2549B">
            <w:pPr>
              <w:rPr>
                <w:rFonts w:ascii="Arial" w:hAnsi="Arial" w:cs="Arial"/>
              </w:rPr>
            </w:pPr>
            <w:r w:rsidRPr="00C82E9A">
              <w:rPr>
                <w:rFonts w:ascii="Arial" w:hAnsi="Arial" w:cs="Arial"/>
              </w:rPr>
              <w:t>Status</w:t>
            </w:r>
          </w:p>
        </w:tc>
        <w:tc>
          <w:tcPr>
            <w:tcW w:w="6662" w:type="dxa"/>
            <w:tcBorders>
              <w:bottom w:val="double" w:sz="4" w:space="0" w:color="auto"/>
            </w:tcBorders>
          </w:tcPr>
          <w:p w14:paraId="09500AA9" w14:textId="77777777" w:rsidR="005C729E" w:rsidRPr="00C82E9A" w:rsidRDefault="005C729E" w:rsidP="00B2549B">
            <w:pPr>
              <w:rPr>
                <w:rFonts w:ascii="Arial" w:hAnsi="Arial" w:cs="Arial"/>
                <w:b/>
                <w:bCs/>
              </w:rPr>
            </w:pPr>
            <w:r w:rsidRPr="00C82E9A">
              <w:rPr>
                <w:rFonts w:ascii="Arial" w:hAnsi="Arial" w:cs="Arial"/>
                <w:b/>
                <w:bCs/>
              </w:rPr>
              <w:t xml:space="preserve">Group Prior Approval </w:t>
            </w:r>
          </w:p>
        </w:tc>
      </w:tr>
      <w:tr w:rsidR="005C729E" w:rsidRPr="00777E05" w14:paraId="7B9DD42C" w14:textId="77777777" w:rsidTr="00B2549B">
        <w:tc>
          <w:tcPr>
            <w:tcW w:w="2410" w:type="dxa"/>
            <w:tcBorders>
              <w:top w:val="double" w:sz="4" w:space="0" w:color="auto"/>
            </w:tcBorders>
            <w:shd w:val="clear" w:color="auto" w:fill="BDD6EE" w:themeFill="accent5" w:themeFillTint="66"/>
          </w:tcPr>
          <w:p w14:paraId="78927666" w14:textId="77777777" w:rsidR="005C729E" w:rsidRPr="00C82E9A" w:rsidRDefault="005C729E" w:rsidP="00B2549B">
            <w:pPr>
              <w:rPr>
                <w:rFonts w:ascii="Arial" w:hAnsi="Arial" w:cs="Arial"/>
              </w:rPr>
            </w:pPr>
            <w:r w:rsidRPr="00C82E9A">
              <w:rPr>
                <w:rFonts w:ascii="Arial" w:hAnsi="Arial" w:cs="Arial"/>
              </w:rPr>
              <w:t>Effective Date</w:t>
            </w:r>
          </w:p>
        </w:tc>
        <w:tc>
          <w:tcPr>
            <w:tcW w:w="6662" w:type="dxa"/>
            <w:tcBorders>
              <w:top w:val="double" w:sz="4" w:space="0" w:color="auto"/>
            </w:tcBorders>
          </w:tcPr>
          <w:p w14:paraId="25D51BF2" w14:textId="77777777" w:rsidR="005C729E" w:rsidRPr="00C82E9A" w:rsidRDefault="005C729E" w:rsidP="00B2549B">
            <w:pPr>
              <w:rPr>
                <w:rFonts w:ascii="Arial" w:hAnsi="Arial" w:cs="Arial"/>
                <w:highlight w:val="yellow"/>
              </w:rPr>
            </w:pPr>
            <w:r w:rsidRPr="00C82E9A">
              <w:rPr>
                <w:rStyle w:val="ui-provider"/>
                <w:rFonts w:ascii="Arial" w:hAnsi="Arial" w:cs="Arial"/>
              </w:rPr>
              <w:t>1 April 2023</w:t>
            </w:r>
          </w:p>
        </w:tc>
      </w:tr>
      <w:tr w:rsidR="005C729E" w:rsidRPr="00777E05" w14:paraId="168BA0AE" w14:textId="77777777" w:rsidTr="00B2549B">
        <w:trPr>
          <w:trHeight w:val="103"/>
        </w:trPr>
        <w:tc>
          <w:tcPr>
            <w:tcW w:w="2410" w:type="dxa"/>
            <w:shd w:val="clear" w:color="auto" w:fill="BDD6EE" w:themeFill="accent5" w:themeFillTint="66"/>
          </w:tcPr>
          <w:p w14:paraId="70E1A434" w14:textId="77777777" w:rsidR="005C729E" w:rsidRPr="00C82E9A" w:rsidRDefault="005C729E" w:rsidP="00B2549B">
            <w:pPr>
              <w:rPr>
                <w:rFonts w:ascii="Arial" w:hAnsi="Arial" w:cs="Arial"/>
              </w:rPr>
            </w:pPr>
            <w:r w:rsidRPr="00C82E9A">
              <w:rPr>
                <w:rFonts w:ascii="Arial" w:hAnsi="Arial" w:cs="Arial"/>
              </w:rPr>
              <w:t>Next Review Date</w:t>
            </w:r>
          </w:p>
        </w:tc>
        <w:tc>
          <w:tcPr>
            <w:tcW w:w="6662" w:type="dxa"/>
          </w:tcPr>
          <w:p w14:paraId="1B65416D" w14:textId="77777777" w:rsidR="005C729E" w:rsidRPr="00C82E9A" w:rsidRDefault="005C729E" w:rsidP="00B2549B">
            <w:pPr>
              <w:rPr>
                <w:rFonts w:ascii="Arial" w:hAnsi="Arial" w:cs="Arial"/>
              </w:rPr>
            </w:pPr>
            <w:r w:rsidRPr="00C82E9A">
              <w:rPr>
                <w:rFonts w:ascii="Arial" w:hAnsi="Arial" w:cs="Arial"/>
              </w:rPr>
              <w:t xml:space="preserve">1 April 2024 </w:t>
            </w:r>
          </w:p>
        </w:tc>
      </w:tr>
    </w:tbl>
    <w:p w14:paraId="531BE427" w14:textId="77777777" w:rsidR="00DB0426" w:rsidRDefault="00DB0426" w:rsidP="00DB0426">
      <w:pPr>
        <w:spacing w:after="0" w:line="240" w:lineRule="auto"/>
      </w:pPr>
    </w:p>
    <w:p w14:paraId="64153918" w14:textId="02F38965" w:rsidR="006508F7" w:rsidRPr="006508F7" w:rsidRDefault="006508F7" w:rsidP="0B0415B3">
      <w:pPr>
        <w:spacing w:after="0" w:line="240" w:lineRule="auto"/>
        <w:rPr>
          <w:rFonts w:ascii="Arial" w:hAnsi="Arial" w:cs="Arial"/>
        </w:rPr>
      </w:pPr>
      <w:r w:rsidRPr="0B0415B3">
        <w:rPr>
          <w:rFonts w:ascii="Arial" w:hAnsi="Arial" w:cs="Arial"/>
        </w:rPr>
        <w:t>Mid and South Essex ICB commission Female Sterilisation on a restricted basis.</w:t>
      </w:r>
    </w:p>
    <w:p w14:paraId="2C415706" w14:textId="77777777" w:rsidR="006508F7" w:rsidRDefault="006508F7" w:rsidP="00DB0426">
      <w:pPr>
        <w:spacing w:after="0" w:line="240" w:lineRule="auto"/>
        <w:rPr>
          <w:rFonts w:ascii="Arial" w:hAnsi="Arial" w:cs="Arial"/>
        </w:rPr>
      </w:pPr>
    </w:p>
    <w:p w14:paraId="5A0FBA4C" w14:textId="61E03C9D" w:rsidR="006508F7" w:rsidRDefault="006508F7" w:rsidP="006508F7">
      <w:pPr>
        <w:spacing w:after="0" w:line="240" w:lineRule="auto"/>
        <w:rPr>
          <w:rFonts w:ascii="Arial" w:hAnsi="Arial" w:cs="Arial"/>
        </w:rPr>
      </w:pPr>
      <w:r w:rsidRPr="006508F7">
        <w:rPr>
          <w:rFonts w:ascii="Arial" w:hAnsi="Arial" w:cs="Arial"/>
        </w:rPr>
        <w:t>Sterilisation is an irreversible method of contraception. The surgery involves blocking or sealing the fallopian tubes, which link the ovaries to the uterus, thus preventing the eggs from reaching the sperm and becoming fertilised. As this procedure is invasive and usually requires general anaesthetic it comes with associated health risks. There are many methods of contraception accessible in the ICB, some of which may be as or more clinically effective, and that are associated with lower acute health risks</w:t>
      </w:r>
      <w:r>
        <w:rPr>
          <w:rFonts w:ascii="Arial" w:hAnsi="Arial" w:cs="Arial"/>
        </w:rPr>
        <w:t>.</w:t>
      </w:r>
    </w:p>
    <w:p w14:paraId="72823616" w14:textId="0861EF25" w:rsidR="006508F7" w:rsidRDefault="006508F7" w:rsidP="006508F7">
      <w:pPr>
        <w:spacing w:after="0" w:line="240" w:lineRule="auto"/>
        <w:rPr>
          <w:rFonts w:ascii="Arial" w:hAnsi="Arial" w:cs="Arial"/>
        </w:rPr>
      </w:pPr>
    </w:p>
    <w:p w14:paraId="30200960" w14:textId="07397932" w:rsidR="006508F7" w:rsidRDefault="006508F7" w:rsidP="006508F7">
      <w:pPr>
        <w:spacing w:after="0" w:line="240" w:lineRule="auto"/>
        <w:rPr>
          <w:rFonts w:ascii="Arial" w:hAnsi="Arial" w:cs="Arial"/>
        </w:rPr>
      </w:pPr>
      <w:r w:rsidRPr="006508F7">
        <w:rPr>
          <w:rFonts w:ascii="Arial" w:hAnsi="Arial" w:cs="Arial"/>
          <w:b/>
          <w:bCs/>
        </w:rPr>
        <w:t>Counselling:</w:t>
      </w:r>
      <w:r w:rsidRPr="006508F7">
        <w:rPr>
          <w:rFonts w:ascii="Arial" w:hAnsi="Arial" w:cs="Arial"/>
        </w:rPr>
        <w:t xml:space="preserve"> </w:t>
      </w:r>
      <w:r w:rsidR="005C729E">
        <w:rPr>
          <w:rFonts w:ascii="Arial" w:hAnsi="Arial" w:cs="Arial"/>
        </w:rPr>
        <w:t xml:space="preserve">the </w:t>
      </w:r>
      <w:r w:rsidRPr="006508F7">
        <w:rPr>
          <w:rFonts w:ascii="Arial" w:hAnsi="Arial" w:cs="Arial"/>
        </w:rPr>
        <w:t xml:space="preserve">patient </w:t>
      </w:r>
      <w:r w:rsidR="005C729E">
        <w:rPr>
          <w:rFonts w:ascii="Arial" w:hAnsi="Arial" w:cs="Arial"/>
        </w:rPr>
        <w:t>must be</w:t>
      </w:r>
      <w:r w:rsidRPr="006508F7">
        <w:rPr>
          <w:rFonts w:ascii="Arial" w:hAnsi="Arial" w:cs="Arial"/>
        </w:rPr>
        <w:t xml:space="preserve"> aware that the procedure is permanent but has a failure rate, that reversal is not funded on the NHS (unless</w:t>
      </w:r>
      <w:r w:rsidR="005C729E">
        <w:rPr>
          <w:rFonts w:ascii="Arial" w:hAnsi="Arial" w:cs="Arial"/>
        </w:rPr>
        <w:t xml:space="preserve"> there are</w:t>
      </w:r>
      <w:r w:rsidRPr="006508F7">
        <w:rPr>
          <w:rFonts w:ascii="Arial" w:hAnsi="Arial" w:cs="Arial"/>
        </w:rPr>
        <w:t xml:space="preserve"> Exceptional Clinical Circumstances),</w:t>
      </w:r>
      <w:r w:rsidR="00705494">
        <w:rPr>
          <w:rFonts w:ascii="Arial" w:hAnsi="Arial" w:cs="Arial"/>
        </w:rPr>
        <w:t xml:space="preserve"> and</w:t>
      </w:r>
      <w:r w:rsidRPr="006508F7">
        <w:rPr>
          <w:rFonts w:ascii="Arial" w:hAnsi="Arial" w:cs="Arial"/>
        </w:rPr>
        <w:t xml:space="preserve"> other forms of LARC have a similar success rate, with lower risk profile.</w:t>
      </w:r>
    </w:p>
    <w:p w14:paraId="3DAF717E" w14:textId="0EA1D607" w:rsidR="006508F7" w:rsidRDefault="006508F7" w:rsidP="006508F7">
      <w:pPr>
        <w:spacing w:after="0" w:line="240" w:lineRule="auto"/>
        <w:rPr>
          <w:rFonts w:ascii="Arial" w:hAnsi="Arial" w:cs="Arial"/>
        </w:rPr>
      </w:pPr>
    </w:p>
    <w:p w14:paraId="719C9505" w14:textId="5F35A90C" w:rsidR="006508F7" w:rsidRDefault="006508F7" w:rsidP="006508F7">
      <w:pPr>
        <w:spacing w:after="0" w:line="240" w:lineRule="auto"/>
        <w:rPr>
          <w:rFonts w:ascii="Arial" w:hAnsi="Arial" w:cs="Arial"/>
        </w:rPr>
      </w:pPr>
      <w:r w:rsidRPr="006508F7">
        <w:rPr>
          <w:rFonts w:ascii="Arial" w:hAnsi="Arial" w:cs="Arial"/>
        </w:rPr>
        <w:t xml:space="preserve">Vasectomy, tubal </w:t>
      </w:r>
      <w:proofErr w:type="gramStart"/>
      <w:r w:rsidRPr="006508F7">
        <w:rPr>
          <w:rFonts w:ascii="Arial" w:hAnsi="Arial" w:cs="Arial"/>
        </w:rPr>
        <w:t>occlusion</w:t>
      </w:r>
      <w:proofErr w:type="gramEnd"/>
      <w:r w:rsidRPr="006508F7">
        <w:rPr>
          <w:rFonts w:ascii="Arial" w:hAnsi="Arial" w:cs="Arial"/>
        </w:rPr>
        <w:t xml:space="preserve"> and other methods of contraception should be discussed with all patients requesting sterilisation irrespective of their gender. Individuals should be made aware that some LARC methods are as effective as sterilisation and may confer non</w:t>
      </w:r>
      <w:r>
        <w:rPr>
          <w:rFonts w:ascii="Arial" w:hAnsi="Arial" w:cs="Arial"/>
        </w:rPr>
        <w:t xml:space="preserve"> </w:t>
      </w:r>
      <w:r w:rsidRPr="006508F7">
        <w:rPr>
          <w:rFonts w:ascii="Arial" w:hAnsi="Arial" w:cs="Arial"/>
        </w:rPr>
        <w:t>contraceptive benefits. They should be advised that vasectomy is safer, quicker to perform and is associated with less morbidity than laparoscopic sterilisation.</w:t>
      </w:r>
    </w:p>
    <w:p w14:paraId="28A32114" w14:textId="1538CF70" w:rsidR="006508F7" w:rsidRDefault="006508F7" w:rsidP="006508F7">
      <w:pPr>
        <w:spacing w:after="0" w:line="240" w:lineRule="auto"/>
        <w:rPr>
          <w:rFonts w:ascii="Arial" w:hAnsi="Arial" w:cs="Arial"/>
        </w:rPr>
      </w:pPr>
    </w:p>
    <w:p w14:paraId="53EE2151" w14:textId="2C78FE75" w:rsidR="005104AF" w:rsidRPr="001A61AB" w:rsidRDefault="006508F7" w:rsidP="00DB0426">
      <w:pPr>
        <w:spacing w:after="0" w:line="240" w:lineRule="auto"/>
        <w:rPr>
          <w:rFonts w:ascii="Arial" w:hAnsi="Arial" w:cs="Arial"/>
        </w:rPr>
      </w:pPr>
      <w:r w:rsidRPr="006508F7">
        <w:rPr>
          <w:rFonts w:ascii="Arial" w:hAnsi="Arial" w:cs="Arial"/>
        </w:rPr>
        <w:t>Where an individual patient’s BMI is above 35, this will be reviewed carefully at surgical assessment, and options for appropriate weight management may be considered prior to a decision on surgery.</w:t>
      </w:r>
    </w:p>
    <w:p w14:paraId="677569AB" w14:textId="77777777" w:rsidR="00A37ABC" w:rsidRPr="001A61AB" w:rsidRDefault="00A37ABC" w:rsidP="00DB0426">
      <w:pPr>
        <w:spacing w:after="0" w:line="240" w:lineRule="auto"/>
        <w:rPr>
          <w:rFonts w:ascii="Arial" w:hAnsi="Arial" w:cs="Arial"/>
        </w:rPr>
      </w:pPr>
    </w:p>
    <w:p w14:paraId="700C8601" w14:textId="6DB571BF" w:rsidR="00DB0426" w:rsidRPr="001A61AB" w:rsidRDefault="006508F7" w:rsidP="00DB0426">
      <w:pPr>
        <w:spacing w:after="0" w:line="240" w:lineRule="auto"/>
        <w:rPr>
          <w:rFonts w:ascii="Arial" w:hAnsi="Arial" w:cs="Arial"/>
        </w:rPr>
      </w:pPr>
      <w:r w:rsidRPr="0B0415B3">
        <w:rPr>
          <w:rFonts w:ascii="Arial" w:hAnsi="Arial" w:cs="Arial"/>
        </w:rPr>
        <w:t xml:space="preserve">Patients will be eligible if </w:t>
      </w:r>
      <w:r w:rsidR="7AE361C1" w:rsidRPr="0B0415B3">
        <w:rPr>
          <w:rFonts w:ascii="Arial" w:hAnsi="Arial" w:cs="Arial"/>
          <w:u w:val="single"/>
        </w:rPr>
        <w:t>BOTH</w:t>
      </w:r>
      <w:r w:rsidRPr="0B0415B3">
        <w:rPr>
          <w:rFonts w:ascii="Arial" w:hAnsi="Arial" w:cs="Arial"/>
        </w:rPr>
        <w:t xml:space="preserve"> the following are confirmed:</w:t>
      </w:r>
    </w:p>
    <w:p w14:paraId="2B7DCC66" w14:textId="77777777" w:rsidR="00DB0426" w:rsidRPr="001A61AB" w:rsidRDefault="00DB0426" w:rsidP="00DB0426">
      <w:pPr>
        <w:spacing w:after="0" w:line="240" w:lineRule="auto"/>
        <w:rPr>
          <w:rFonts w:ascii="Arial" w:hAnsi="Arial" w:cs="Arial"/>
        </w:rPr>
      </w:pPr>
    </w:p>
    <w:p w14:paraId="5F7F9149" w14:textId="782B4648" w:rsidR="006508F7" w:rsidRPr="00272F92" w:rsidRDefault="006508F7" w:rsidP="00272F92">
      <w:pPr>
        <w:pStyle w:val="ListParagraph"/>
        <w:numPr>
          <w:ilvl w:val="0"/>
          <w:numId w:val="2"/>
        </w:numPr>
        <w:spacing w:after="0" w:line="240" w:lineRule="auto"/>
        <w:rPr>
          <w:rFonts w:ascii="Arial" w:hAnsi="Arial" w:cs="Arial"/>
        </w:rPr>
      </w:pPr>
      <w:r w:rsidRPr="006508F7">
        <w:rPr>
          <w:rFonts w:ascii="Arial" w:hAnsi="Arial" w:cs="Arial"/>
        </w:rPr>
        <w:t xml:space="preserve">The patient is certain that their family is complete, or they have a medical </w:t>
      </w:r>
      <w:r w:rsidRPr="00272F92">
        <w:rPr>
          <w:rFonts w:ascii="Arial" w:hAnsi="Arial" w:cs="Arial"/>
        </w:rPr>
        <w:t>condition making pregnancy dangerous, and that they never want children in the future</w:t>
      </w:r>
    </w:p>
    <w:p w14:paraId="21072753" w14:textId="7A13AA77" w:rsidR="00CD47EA" w:rsidRPr="006508F7" w:rsidRDefault="00DB0426" w:rsidP="006508F7">
      <w:pPr>
        <w:pStyle w:val="ListParagraph"/>
        <w:spacing w:after="0" w:line="240" w:lineRule="auto"/>
        <w:rPr>
          <w:rFonts w:ascii="Arial" w:hAnsi="Arial" w:cs="Arial"/>
          <w:b/>
          <w:bCs/>
        </w:rPr>
      </w:pPr>
      <w:r w:rsidRPr="006508F7">
        <w:rPr>
          <w:rFonts w:ascii="Arial" w:hAnsi="Arial" w:cs="Arial"/>
          <w:b/>
          <w:bCs/>
        </w:rPr>
        <w:t>AND</w:t>
      </w:r>
    </w:p>
    <w:p w14:paraId="5CE30BFB" w14:textId="18D35698" w:rsidR="000E570D" w:rsidRPr="00AA2951" w:rsidRDefault="006508F7" w:rsidP="00AA2951">
      <w:pPr>
        <w:pStyle w:val="ListParagraph"/>
        <w:numPr>
          <w:ilvl w:val="0"/>
          <w:numId w:val="2"/>
        </w:numPr>
        <w:spacing w:after="0" w:line="240" w:lineRule="auto"/>
        <w:rPr>
          <w:rFonts w:ascii="Arial" w:hAnsi="Arial" w:cs="Arial"/>
        </w:rPr>
      </w:pPr>
      <w:r w:rsidRPr="006508F7">
        <w:rPr>
          <w:rFonts w:ascii="Arial" w:hAnsi="Arial" w:cs="Arial"/>
        </w:rPr>
        <w:t xml:space="preserve">Contraception: there is an absolute clinical contraindication to </w:t>
      </w:r>
      <w:r w:rsidR="2734E419" w:rsidRPr="006508F7">
        <w:rPr>
          <w:rFonts w:ascii="Arial" w:hAnsi="Arial" w:cs="Arial"/>
        </w:rPr>
        <w:t>Long-Acting</w:t>
      </w:r>
      <w:r w:rsidRPr="006508F7">
        <w:rPr>
          <w:rFonts w:ascii="Arial" w:hAnsi="Arial" w:cs="Arial"/>
        </w:rPr>
        <w:t xml:space="preserve"> </w:t>
      </w:r>
      <w:r w:rsidRPr="00AA2951">
        <w:rPr>
          <w:rFonts w:ascii="Arial" w:hAnsi="Arial" w:cs="Arial"/>
        </w:rPr>
        <w:t>Reversible Contraception (LARC) or has severe side effects to the use of LARC or declines a trial of LARC after counselling from a healthcare professional experienced in fitting these devices.</w:t>
      </w:r>
      <w:r w:rsidRPr="00AA2951">
        <w:rPr>
          <w:rFonts w:ascii="Arial" w:hAnsi="Arial" w:cs="Arial"/>
        </w:rPr>
        <w:cr/>
      </w:r>
    </w:p>
    <w:p w14:paraId="2A4D78A9" w14:textId="77777777" w:rsidR="00C708AA" w:rsidRPr="001A61AB" w:rsidRDefault="00C708AA" w:rsidP="00C708AA">
      <w:pPr>
        <w:spacing w:after="0" w:line="240" w:lineRule="auto"/>
        <w:rPr>
          <w:rFonts w:ascii="Arial" w:hAnsi="Arial" w:cs="Arial"/>
        </w:rPr>
      </w:pPr>
    </w:p>
    <w:p w14:paraId="3257542E" w14:textId="77777777" w:rsidR="00DB0426" w:rsidRPr="001A61AB" w:rsidRDefault="00DB0426" w:rsidP="00DB0426">
      <w:pPr>
        <w:spacing w:after="0" w:line="240" w:lineRule="auto"/>
        <w:rPr>
          <w:rFonts w:ascii="Arial" w:hAnsi="Arial" w:cs="Arial"/>
        </w:rPr>
      </w:pPr>
      <w:r w:rsidRPr="001A61AB">
        <w:rPr>
          <w:rFonts w:ascii="Arial" w:hAnsi="Arial" w:cs="Arial"/>
        </w:rPr>
        <w:t xml:space="preserve">Patients not meeting the above criteria will not be funded unless there are </w:t>
      </w:r>
      <w:bookmarkStart w:id="0" w:name="_Hlk128392165"/>
      <w:r w:rsidRPr="001A61AB">
        <w:rPr>
          <w:rFonts w:ascii="Arial" w:hAnsi="Arial" w:cs="Arial"/>
          <w:b/>
        </w:rPr>
        <w:t>clinically exceptional circumstances.</w:t>
      </w:r>
      <w:r w:rsidRPr="001A61AB">
        <w:rPr>
          <w:rFonts w:ascii="Arial" w:hAnsi="Arial" w:cs="Arial"/>
        </w:rPr>
        <w:t xml:space="preserve">  </w:t>
      </w:r>
      <w:bookmarkEnd w:id="0"/>
    </w:p>
    <w:p w14:paraId="5B453E5A" w14:textId="77777777" w:rsidR="00DB0426" w:rsidRPr="001A61AB" w:rsidRDefault="00DB0426" w:rsidP="00DB0426">
      <w:pPr>
        <w:spacing w:after="0" w:line="240" w:lineRule="auto"/>
        <w:rPr>
          <w:rFonts w:ascii="Arial" w:hAnsi="Arial" w:cs="Arial"/>
        </w:rPr>
      </w:pPr>
    </w:p>
    <w:p w14:paraId="0A75F424" w14:textId="77777777" w:rsidR="00DB0426" w:rsidRPr="001A61AB" w:rsidRDefault="00DB0426" w:rsidP="00DB0426">
      <w:pPr>
        <w:spacing w:after="0" w:line="240" w:lineRule="auto"/>
        <w:rPr>
          <w:rFonts w:ascii="Arial" w:hAnsi="Arial" w:cs="Arial"/>
        </w:rPr>
      </w:pPr>
      <w:r w:rsidRPr="001A61AB">
        <w:rPr>
          <w:rFonts w:ascii="Arial" w:hAnsi="Arial" w:cs="Arial"/>
        </w:rPr>
        <w:t xml:space="preserve">Individual funding requests should only be made where the patient demonstrates clinical exceptionality.  </w:t>
      </w:r>
    </w:p>
    <w:p w14:paraId="6A23BCB4" w14:textId="77777777" w:rsidR="00DB0426" w:rsidRPr="001A61AB" w:rsidRDefault="00DB0426" w:rsidP="00DB0426">
      <w:pPr>
        <w:spacing w:after="0" w:line="240" w:lineRule="auto"/>
        <w:rPr>
          <w:rFonts w:ascii="Arial" w:hAnsi="Arial" w:cs="Arial"/>
        </w:rPr>
      </w:pPr>
    </w:p>
    <w:p w14:paraId="440B24A0" w14:textId="05F369D1" w:rsidR="005546A5" w:rsidRPr="006508F7" w:rsidRDefault="00DB0426" w:rsidP="006508F7">
      <w:pPr>
        <w:spacing w:after="0" w:line="240" w:lineRule="auto"/>
        <w:rPr>
          <w:rFonts w:ascii="Arial" w:hAnsi="Arial" w:cs="Arial"/>
        </w:rPr>
      </w:pPr>
      <w:r w:rsidRPr="001A61AB">
        <w:rPr>
          <w:rFonts w:ascii="Arial" w:hAnsi="Arial" w:cs="Arial"/>
        </w:rPr>
        <w:t xml:space="preserve">Further information on applying for funding in exceptional clinical circumstances can be found on the ICS’ website. </w:t>
      </w:r>
    </w:p>
    <w:sectPr w:rsidR="005546A5" w:rsidRPr="006508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46FF" w14:textId="77777777" w:rsidR="003B7FD2" w:rsidRDefault="003B7FD2" w:rsidP="003B7FD2">
      <w:pPr>
        <w:spacing w:after="0" w:line="240" w:lineRule="auto"/>
      </w:pPr>
      <w:r>
        <w:separator/>
      </w:r>
    </w:p>
  </w:endnote>
  <w:endnote w:type="continuationSeparator" w:id="0">
    <w:p w14:paraId="0779A70C" w14:textId="77777777" w:rsidR="003B7FD2" w:rsidRDefault="003B7FD2" w:rsidP="003B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11673"/>
      <w:docPartObj>
        <w:docPartGallery w:val="Page Numbers (Bottom of Page)"/>
        <w:docPartUnique/>
      </w:docPartObj>
    </w:sdtPr>
    <w:sdtEndPr/>
    <w:sdtContent>
      <w:sdt>
        <w:sdtPr>
          <w:id w:val="-1769616900"/>
          <w:docPartObj>
            <w:docPartGallery w:val="Page Numbers (Top of Page)"/>
            <w:docPartUnique/>
          </w:docPartObj>
        </w:sdtPr>
        <w:sdtEndPr/>
        <w:sdtContent>
          <w:p w14:paraId="5048F81A" w14:textId="46CD3433" w:rsidR="005C729E" w:rsidRDefault="005C72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662B39" w14:textId="3CC2445A" w:rsidR="005C729E" w:rsidRDefault="005C729E" w:rsidP="005C729E">
    <w:pPr>
      <w:pStyle w:val="Footer"/>
    </w:pPr>
    <w:r>
      <w:t>084</w:t>
    </w:r>
    <w:r w:rsidRPr="003B7FD2">
      <w:t xml:space="preserve"> – MSE ICB </w:t>
    </w:r>
    <w:r>
      <w:t>Female Sterilisation (</w:t>
    </w:r>
    <w:r w:rsidRPr="003B7FD2">
      <w:t>April 2023</w:t>
    </w:r>
    <w:r>
      <w:t>)</w:t>
    </w:r>
  </w:p>
  <w:p w14:paraId="7E1CE26A" w14:textId="0E579056" w:rsidR="003B7FD2" w:rsidRDefault="003B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D5E6" w14:textId="77777777" w:rsidR="003B7FD2" w:rsidRDefault="003B7FD2" w:rsidP="003B7FD2">
      <w:pPr>
        <w:spacing w:after="0" w:line="240" w:lineRule="auto"/>
      </w:pPr>
      <w:r>
        <w:separator/>
      </w:r>
    </w:p>
  </w:footnote>
  <w:footnote w:type="continuationSeparator" w:id="0">
    <w:p w14:paraId="2BC756D7" w14:textId="77777777" w:rsidR="003B7FD2" w:rsidRDefault="003B7FD2" w:rsidP="003B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154" w14:textId="3A1AE9D7" w:rsidR="00E317AF" w:rsidRDefault="00E317AF">
    <w:pPr>
      <w:pStyle w:val="Header"/>
    </w:pPr>
    <w:r>
      <w:rPr>
        <w:noProof/>
      </w:rPr>
      <w:drawing>
        <wp:anchor distT="0" distB="0" distL="114300" distR="114300" simplePos="0" relativeHeight="251658240" behindDoc="1" locked="0" layoutInCell="1" allowOverlap="1" wp14:anchorId="740F7654" wp14:editId="4FBD237D">
          <wp:simplePos x="0" y="0"/>
          <wp:positionH relativeFrom="page">
            <wp:align>right</wp:align>
          </wp:positionH>
          <wp:positionV relativeFrom="paragraph">
            <wp:posOffset>-449580</wp:posOffset>
          </wp:positionV>
          <wp:extent cx="7498715" cy="1316990"/>
          <wp:effectExtent l="0" t="0" r="6985" b="0"/>
          <wp:wrapTight wrapText="bothSides">
            <wp:wrapPolygon edited="0">
              <wp:start x="0" y="0"/>
              <wp:lineTo x="0" y="21246"/>
              <wp:lineTo x="21565" y="21246"/>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715" cy="1316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1222"/>
    <w:multiLevelType w:val="hybridMultilevel"/>
    <w:tmpl w:val="C2F4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35867"/>
    <w:multiLevelType w:val="hybridMultilevel"/>
    <w:tmpl w:val="F4A28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0469147">
    <w:abstractNumId w:val="1"/>
  </w:num>
  <w:num w:numId="2" w16cid:durableId="59798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26"/>
    <w:rsid w:val="00083C78"/>
    <w:rsid w:val="000D35D7"/>
    <w:rsid w:val="000E570D"/>
    <w:rsid w:val="001A61AB"/>
    <w:rsid w:val="001F35C2"/>
    <w:rsid w:val="002633DB"/>
    <w:rsid w:val="0027072E"/>
    <w:rsid w:val="00272F92"/>
    <w:rsid w:val="003B7FD2"/>
    <w:rsid w:val="004E5C0B"/>
    <w:rsid w:val="005104AF"/>
    <w:rsid w:val="005546A5"/>
    <w:rsid w:val="005A2609"/>
    <w:rsid w:val="005C729E"/>
    <w:rsid w:val="00623E91"/>
    <w:rsid w:val="006508F7"/>
    <w:rsid w:val="00674A48"/>
    <w:rsid w:val="00705494"/>
    <w:rsid w:val="00772F4B"/>
    <w:rsid w:val="00A11FAF"/>
    <w:rsid w:val="00A37ABC"/>
    <w:rsid w:val="00A564CB"/>
    <w:rsid w:val="00A77122"/>
    <w:rsid w:val="00AA2951"/>
    <w:rsid w:val="00AC7062"/>
    <w:rsid w:val="00B84DDF"/>
    <w:rsid w:val="00C347B3"/>
    <w:rsid w:val="00C708AA"/>
    <w:rsid w:val="00CD47EA"/>
    <w:rsid w:val="00D06090"/>
    <w:rsid w:val="00DB0426"/>
    <w:rsid w:val="00E317AF"/>
    <w:rsid w:val="00E43F63"/>
    <w:rsid w:val="00FC7506"/>
    <w:rsid w:val="0B0415B3"/>
    <w:rsid w:val="0E559FCD"/>
    <w:rsid w:val="168B654F"/>
    <w:rsid w:val="1CF1FBB3"/>
    <w:rsid w:val="2734E419"/>
    <w:rsid w:val="7AE3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C4B52"/>
  <w15:chartTrackingRefBased/>
  <w15:docId w15:val="{2C59335F-B376-43F4-9465-9D7A0370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0426"/>
    <w:rPr>
      <w:sz w:val="16"/>
      <w:szCs w:val="16"/>
    </w:rPr>
  </w:style>
  <w:style w:type="paragraph" w:styleId="CommentText">
    <w:name w:val="annotation text"/>
    <w:basedOn w:val="Normal"/>
    <w:link w:val="CommentTextChar"/>
    <w:uiPriority w:val="99"/>
    <w:semiHidden/>
    <w:unhideWhenUsed/>
    <w:rsid w:val="00DB0426"/>
    <w:pPr>
      <w:spacing w:line="240" w:lineRule="auto"/>
    </w:pPr>
    <w:rPr>
      <w:sz w:val="20"/>
      <w:szCs w:val="20"/>
    </w:rPr>
  </w:style>
  <w:style w:type="character" w:customStyle="1" w:styleId="CommentTextChar">
    <w:name w:val="Comment Text Char"/>
    <w:basedOn w:val="DefaultParagraphFont"/>
    <w:link w:val="CommentText"/>
    <w:uiPriority w:val="99"/>
    <w:semiHidden/>
    <w:rsid w:val="00DB0426"/>
    <w:rPr>
      <w:sz w:val="20"/>
      <w:szCs w:val="20"/>
    </w:rPr>
  </w:style>
  <w:style w:type="paragraph" w:styleId="ListParagraph">
    <w:name w:val="List Paragraph"/>
    <w:basedOn w:val="Normal"/>
    <w:uiPriority w:val="34"/>
    <w:qFormat/>
    <w:rsid w:val="00DB0426"/>
    <w:pPr>
      <w:ind w:left="720"/>
      <w:contextualSpacing/>
    </w:pPr>
  </w:style>
  <w:style w:type="paragraph" w:styleId="CommentSubject">
    <w:name w:val="annotation subject"/>
    <w:basedOn w:val="CommentText"/>
    <w:next w:val="CommentText"/>
    <w:link w:val="CommentSubjectChar"/>
    <w:uiPriority w:val="99"/>
    <w:semiHidden/>
    <w:unhideWhenUsed/>
    <w:rsid w:val="00A11FAF"/>
    <w:rPr>
      <w:b/>
      <w:bCs/>
    </w:rPr>
  </w:style>
  <w:style w:type="character" w:customStyle="1" w:styleId="CommentSubjectChar">
    <w:name w:val="Comment Subject Char"/>
    <w:basedOn w:val="CommentTextChar"/>
    <w:link w:val="CommentSubject"/>
    <w:uiPriority w:val="99"/>
    <w:semiHidden/>
    <w:rsid w:val="00A11FAF"/>
    <w:rPr>
      <w:b/>
      <w:bCs/>
      <w:sz w:val="20"/>
      <w:szCs w:val="20"/>
    </w:rPr>
  </w:style>
  <w:style w:type="paragraph" w:styleId="Header">
    <w:name w:val="header"/>
    <w:basedOn w:val="Normal"/>
    <w:link w:val="HeaderChar"/>
    <w:uiPriority w:val="99"/>
    <w:unhideWhenUsed/>
    <w:rsid w:val="003B7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FD2"/>
  </w:style>
  <w:style w:type="paragraph" w:styleId="Footer">
    <w:name w:val="footer"/>
    <w:basedOn w:val="Normal"/>
    <w:link w:val="FooterChar"/>
    <w:uiPriority w:val="99"/>
    <w:unhideWhenUsed/>
    <w:rsid w:val="003B7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FD2"/>
  </w:style>
  <w:style w:type="table" w:styleId="TableGrid">
    <w:name w:val="Table Grid"/>
    <w:basedOn w:val="TableNormal"/>
    <w:uiPriority w:val="59"/>
    <w:rsid w:val="005C72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5C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Paula (NHS MID AND SOUTH ESSEX ICB - 06Q)</dc:creator>
  <cp:keywords/>
  <dc:description/>
  <cp:lastModifiedBy>LAWSON, Kaye (NHS MID AND SOUTH ESSEX ICB - 99E)</cp:lastModifiedBy>
  <cp:revision>3</cp:revision>
  <dcterms:created xsi:type="dcterms:W3CDTF">2023-03-15T17:19:00Z</dcterms:created>
  <dcterms:modified xsi:type="dcterms:W3CDTF">2023-03-16T16:58:00Z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2023-01-23T13:40:18Z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8645ab2b-afe3-4f80-8f9f-f4f1095ec975</vt:lpwstr>
  </property>
  <property fmtid="{D5CDD505-2E9C-101B-9397-08002B2CF9AE}" pid="8" name="MSIP_Label_39d8be9e-c8d9-4b9c-bd40-2c27cc7ea2e6_ContentBits">
    <vt:lpwstr>0</vt:lpwstr>
  </property>
</Properties>
</file>