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5" w:type="dxa"/>
        <w:tblLook w:val="04A0" w:firstRow="1" w:lastRow="0" w:firstColumn="1" w:lastColumn="0" w:noHBand="0" w:noVBand="1"/>
      </w:tblPr>
      <w:tblGrid>
        <w:gridCol w:w="2410"/>
        <w:gridCol w:w="6662"/>
      </w:tblGrid>
      <w:tr w:rsidR="00C82E9A" w:rsidRPr="00777E05" w14:paraId="71295922" w14:textId="77777777" w:rsidTr="00C82E9A">
        <w:tc>
          <w:tcPr>
            <w:tcW w:w="2410" w:type="dxa"/>
            <w:shd w:val="clear" w:color="auto" w:fill="BDD6EE" w:themeFill="accent5" w:themeFillTint="66"/>
          </w:tcPr>
          <w:p w14:paraId="2968B991" w14:textId="0F7EEF63" w:rsidR="00C82E9A" w:rsidRPr="00C82E9A" w:rsidRDefault="00C82E9A" w:rsidP="00C82E9A">
            <w:pPr>
              <w:rPr>
                <w:rFonts w:ascii="Arial" w:hAnsi="Arial" w:cs="Arial"/>
              </w:rPr>
            </w:pPr>
            <w:r w:rsidRPr="00C82E9A">
              <w:rPr>
                <w:rFonts w:ascii="Arial" w:hAnsi="Arial" w:cs="Arial"/>
              </w:rPr>
              <w:t>Policy Number</w:t>
            </w:r>
          </w:p>
        </w:tc>
        <w:tc>
          <w:tcPr>
            <w:tcW w:w="6662" w:type="dxa"/>
          </w:tcPr>
          <w:p w14:paraId="31A3BA28" w14:textId="13B267C2" w:rsidR="00C82E9A" w:rsidRPr="00C82E9A" w:rsidRDefault="00C82E9A" w:rsidP="00C82E9A">
            <w:pPr>
              <w:rPr>
                <w:rFonts w:ascii="Arial" w:hAnsi="Arial" w:cs="Arial"/>
                <w:b/>
                <w:bCs/>
              </w:rPr>
            </w:pPr>
            <w:r w:rsidRPr="00C82E9A">
              <w:rPr>
                <w:rFonts w:ascii="Arial" w:hAnsi="Arial" w:cs="Arial"/>
                <w:b/>
                <w:bCs/>
              </w:rPr>
              <w:t>MSEICB 075</w:t>
            </w:r>
          </w:p>
        </w:tc>
      </w:tr>
      <w:tr w:rsidR="00C82E9A" w:rsidRPr="00777E05" w14:paraId="09C57CE8" w14:textId="77777777" w:rsidTr="00D938E2">
        <w:tc>
          <w:tcPr>
            <w:tcW w:w="2410" w:type="dxa"/>
            <w:tcBorders>
              <w:bottom w:val="single" w:sz="4" w:space="0" w:color="auto"/>
            </w:tcBorders>
            <w:shd w:val="clear" w:color="auto" w:fill="BDD6EE" w:themeFill="accent5" w:themeFillTint="66"/>
          </w:tcPr>
          <w:p w14:paraId="1640B529" w14:textId="5382FA45" w:rsidR="00C82E9A" w:rsidRPr="00C82E9A" w:rsidRDefault="00C82E9A" w:rsidP="00C82E9A">
            <w:pPr>
              <w:rPr>
                <w:rFonts w:ascii="Arial" w:hAnsi="Arial" w:cs="Arial"/>
              </w:rPr>
            </w:pPr>
            <w:r w:rsidRPr="00C82E9A">
              <w:rPr>
                <w:rFonts w:ascii="Arial" w:hAnsi="Arial" w:cs="Arial"/>
              </w:rPr>
              <w:t>Policy Name</w:t>
            </w:r>
          </w:p>
        </w:tc>
        <w:tc>
          <w:tcPr>
            <w:tcW w:w="6662" w:type="dxa"/>
            <w:tcBorders>
              <w:bottom w:val="single" w:sz="4" w:space="0" w:color="auto"/>
            </w:tcBorders>
          </w:tcPr>
          <w:p w14:paraId="4B72AF8C" w14:textId="62C814F6" w:rsidR="00C82E9A" w:rsidRPr="00C82E9A" w:rsidRDefault="00C82E9A" w:rsidP="00C82E9A">
            <w:pPr>
              <w:rPr>
                <w:rFonts w:ascii="Arial" w:hAnsi="Arial" w:cs="Arial"/>
                <w:b/>
                <w:bCs/>
              </w:rPr>
            </w:pPr>
            <w:r w:rsidRPr="00C82E9A">
              <w:rPr>
                <w:rFonts w:ascii="Arial" w:hAnsi="Arial" w:cs="Arial"/>
                <w:b/>
                <w:bCs/>
              </w:rPr>
              <w:t>Specialist Obesity Services</w:t>
            </w:r>
          </w:p>
        </w:tc>
      </w:tr>
      <w:tr w:rsidR="00C82E9A" w:rsidRPr="00777E05" w14:paraId="68BD28BA" w14:textId="77777777" w:rsidTr="00D938E2">
        <w:tc>
          <w:tcPr>
            <w:tcW w:w="2410" w:type="dxa"/>
            <w:tcBorders>
              <w:bottom w:val="double" w:sz="4" w:space="0" w:color="auto"/>
            </w:tcBorders>
            <w:shd w:val="clear" w:color="auto" w:fill="BDD6EE" w:themeFill="accent5" w:themeFillTint="66"/>
          </w:tcPr>
          <w:p w14:paraId="6FDE2163" w14:textId="67887DA5" w:rsidR="00C82E9A" w:rsidRPr="00C82E9A" w:rsidRDefault="00C82E9A" w:rsidP="00C82E9A">
            <w:pPr>
              <w:rPr>
                <w:rFonts w:ascii="Arial" w:hAnsi="Arial" w:cs="Arial"/>
              </w:rPr>
            </w:pPr>
            <w:r w:rsidRPr="00C82E9A">
              <w:rPr>
                <w:rFonts w:ascii="Arial" w:hAnsi="Arial" w:cs="Arial"/>
              </w:rPr>
              <w:t>Status</w:t>
            </w:r>
          </w:p>
        </w:tc>
        <w:tc>
          <w:tcPr>
            <w:tcW w:w="6662" w:type="dxa"/>
            <w:tcBorders>
              <w:bottom w:val="double" w:sz="4" w:space="0" w:color="auto"/>
            </w:tcBorders>
          </w:tcPr>
          <w:p w14:paraId="0604299D" w14:textId="674EECD3" w:rsidR="00C82E9A" w:rsidRPr="00C82E9A" w:rsidRDefault="00C82E9A" w:rsidP="00C82E9A">
            <w:pPr>
              <w:rPr>
                <w:rFonts w:ascii="Arial" w:hAnsi="Arial" w:cs="Arial"/>
                <w:b/>
                <w:bCs/>
              </w:rPr>
            </w:pPr>
            <w:r w:rsidRPr="00C82E9A">
              <w:rPr>
                <w:rFonts w:ascii="Arial" w:hAnsi="Arial" w:cs="Arial"/>
                <w:b/>
                <w:bCs/>
              </w:rPr>
              <w:t xml:space="preserve">Group Prior Approval </w:t>
            </w:r>
          </w:p>
        </w:tc>
      </w:tr>
      <w:tr w:rsidR="00C82E9A" w:rsidRPr="00777E05" w14:paraId="5E1DB0C7" w14:textId="77777777" w:rsidTr="00D938E2">
        <w:tc>
          <w:tcPr>
            <w:tcW w:w="2410" w:type="dxa"/>
            <w:tcBorders>
              <w:top w:val="double" w:sz="4" w:space="0" w:color="auto"/>
            </w:tcBorders>
            <w:shd w:val="clear" w:color="auto" w:fill="BDD6EE" w:themeFill="accent5" w:themeFillTint="66"/>
          </w:tcPr>
          <w:p w14:paraId="75D8BE36" w14:textId="777DD17A" w:rsidR="00C82E9A" w:rsidRPr="00C82E9A" w:rsidRDefault="00C82E9A" w:rsidP="00C82E9A">
            <w:pPr>
              <w:rPr>
                <w:rFonts w:ascii="Arial" w:hAnsi="Arial" w:cs="Arial"/>
              </w:rPr>
            </w:pPr>
            <w:r w:rsidRPr="00C82E9A">
              <w:rPr>
                <w:rFonts w:ascii="Arial" w:hAnsi="Arial" w:cs="Arial"/>
              </w:rPr>
              <w:t>Effective Date</w:t>
            </w:r>
          </w:p>
        </w:tc>
        <w:tc>
          <w:tcPr>
            <w:tcW w:w="6662" w:type="dxa"/>
            <w:tcBorders>
              <w:top w:val="double" w:sz="4" w:space="0" w:color="auto"/>
            </w:tcBorders>
          </w:tcPr>
          <w:p w14:paraId="17060C97" w14:textId="33ED3AC0" w:rsidR="00C82E9A" w:rsidRPr="00C82E9A" w:rsidRDefault="00C82E9A" w:rsidP="00C82E9A">
            <w:pPr>
              <w:rPr>
                <w:rFonts w:ascii="Arial" w:hAnsi="Arial" w:cs="Arial"/>
                <w:highlight w:val="yellow"/>
              </w:rPr>
            </w:pPr>
            <w:r w:rsidRPr="00C82E9A">
              <w:rPr>
                <w:rStyle w:val="ui-provider"/>
                <w:rFonts w:ascii="Arial" w:hAnsi="Arial" w:cs="Arial"/>
              </w:rPr>
              <w:t>1 April 2023</w:t>
            </w:r>
          </w:p>
        </w:tc>
      </w:tr>
      <w:tr w:rsidR="00C82E9A" w:rsidRPr="00777E05" w14:paraId="445CF67A" w14:textId="77777777" w:rsidTr="00C82E9A">
        <w:trPr>
          <w:trHeight w:val="103"/>
        </w:trPr>
        <w:tc>
          <w:tcPr>
            <w:tcW w:w="2410" w:type="dxa"/>
            <w:shd w:val="clear" w:color="auto" w:fill="BDD6EE" w:themeFill="accent5" w:themeFillTint="66"/>
          </w:tcPr>
          <w:p w14:paraId="3413BDC7" w14:textId="77777777" w:rsidR="00C82E9A" w:rsidRPr="00C82E9A" w:rsidRDefault="00C82E9A" w:rsidP="00C82E9A">
            <w:pPr>
              <w:rPr>
                <w:rFonts w:ascii="Arial" w:hAnsi="Arial" w:cs="Arial"/>
              </w:rPr>
            </w:pPr>
            <w:r w:rsidRPr="00C82E9A">
              <w:rPr>
                <w:rFonts w:ascii="Arial" w:hAnsi="Arial" w:cs="Arial"/>
              </w:rPr>
              <w:t>Next Review Date</w:t>
            </w:r>
          </w:p>
        </w:tc>
        <w:tc>
          <w:tcPr>
            <w:tcW w:w="6662" w:type="dxa"/>
          </w:tcPr>
          <w:p w14:paraId="74643BF4" w14:textId="77777777" w:rsidR="00C82E9A" w:rsidRPr="00C82E9A" w:rsidRDefault="00C82E9A" w:rsidP="00C82E9A">
            <w:pPr>
              <w:rPr>
                <w:rFonts w:ascii="Arial" w:hAnsi="Arial" w:cs="Arial"/>
              </w:rPr>
            </w:pPr>
            <w:r w:rsidRPr="00C82E9A">
              <w:rPr>
                <w:rFonts w:ascii="Arial" w:hAnsi="Arial" w:cs="Arial"/>
              </w:rPr>
              <w:t xml:space="preserve">1 April 2024 </w:t>
            </w:r>
          </w:p>
        </w:tc>
      </w:tr>
    </w:tbl>
    <w:p w14:paraId="3A44D621" w14:textId="77777777" w:rsidR="00C82E9A" w:rsidRDefault="00C82E9A" w:rsidP="003311D4">
      <w:pPr>
        <w:spacing w:after="0" w:line="240" w:lineRule="auto"/>
        <w:rPr>
          <w:rFonts w:ascii="Arial" w:hAnsi="Arial" w:cs="Arial"/>
          <w:iCs/>
        </w:rPr>
      </w:pPr>
    </w:p>
    <w:p w14:paraId="4110E87B" w14:textId="77777777" w:rsidR="00441074" w:rsidRDefault="00441074" w:rsidP="00861D86">
      <w:pPr>
        <w:rPr>
          <w:rFonts w:ascii="Arial" w:hAnsi="Arial" w:cs="Arial"/>
          <w:iCs/>
        </w:rPr>
      </w:pPr>
      <w:r w:rsidRPr="00441074">
        <w:rPr>
          <w:rFonts w:ascii="Arial" w:hAnsi="Arial" w:cs="Arial"/>
          <w:iCs/>
        </w:rPr>
        <w:t xml:space="preserve">Mid and South Essex ICB commissions specialist obesity services on a restricted basis, including Bariatric Surgery. </w:t>
      </w:r>
    </w:p>
    <w:p w14:paraId="63BB7CD6" w14:textId="6C79EB30" w:rsidR="00441074" w:rsidRDefault="00441074" w:rsidP="00861D86">
      <w:pPr>
        <w:rPr>
          <w:rFonts w:ascii="Arial" w:hAnsi="Arial" w:cs="Arial"/>
          <w:iCs/>
        </w:rPr>
      </w:pPr>
      <w:r w:rsidRPr="00441074">
        <w:rPr>
          <w:rFonts w:ascii="Arial" w:hAnsi="Arial" w:cs="Arial"/>
          <w:iCs/>
        </w:rPr>
        <w:t xml:space="preserve">Patients may be referred for assessment and subsequent treatment by Specialist Obesity Services in line with service specification, which include assessment for bariatric surgery, if they meet </w:t>
      </w:r>
      <w:r w:rsidRPr="00441074">
        <w:rPr>
          <w:rFonts w:ascii="Arial" w:hAnsi="Arial" w:cs="Arial"/>
          <w:b/>
          <w:bCs/>
          <w:iCs/>
        </w:rPr>
        <w:t>ALL</w:t>
      </w:r>
      <w:r w:rsidRPr="00441074">
        <w:rPr>
          <w:rFonts w:ascii="Arial" w:hAnsi="Arial" w:cs="Arial"/>
          <w:iCs/>
        </w:rPr>
        <w:t xml:space="preserve"> the following criteria</w:t>
      </w:r>
    </w:p>
    <w:p w14:paraId="49E555BF" w14:textId="12DCA169" w:rsidR="00861D86" w:rsidRPr="00441074" w:rsidRDefault="00861D86" w:rsidP="00861D86">
      <w:pPr>
        <w:numPr>
          <w:ilvl w:val="0"/>
          <w:numId w:val="2"/>
        </w:numPr>
        <w:spacing w:after="200" w:line="276" w:lineRule="auto"/>
        <w:rPr>
          <w:rFonts w:ascii="Arial" w:hAnsi="Arial" w:cs="Arial"/>
          <w:iCs/>
        </w:rPr>
      </w:pPr>
      <w:r w:rsidRPr="00441074">
        <w:rPr>
          <w:rFonts w:ascii="Arial" w:hAnsi="Arial" w:cs="Arial"/>
          <w:iCs/>
        </w:rPr>
        <w:t>Patient is 18 year or older.</w:t>
      </w:r>
    </w:p>
    <w:p w14:paraId="64C44B54" w14:textId="77777777" w:rsidR="00441074" w:rsidRDefault="00E20B0D" w:rsidP="00441074">
      <w:pPr>
        <w:spacing w:after="200" w:line="276" w:lineRule="auto"/>
        <w:ind w:left="360"/>
        <w:rPr>
          <w:rFonts w:ascii="Arial" w:hAnsi="Arial" w:cs="Arial"/>
          <w:b/>
          <w:bCs/>
          <w:iCs/>
        </w:rPr>
      </w:pPr>
      <w:r w:rsidRPr="00E20B0D">
        <w:rPr>
          <w:rFonts w:ascii="Arial" w:hAnsi="Arial" w:cs="Arial"/>
          <w:b/>
          <w:bCs/>
          <w:iCs/>
        </w:rPr>
        <w:t>AND</w:t>
      </w:r>
    </w:p>
    <w:p w14:paraId="25A7C580" w14:textId="6636D9AE" w:rsidR="00E20B0D" w:rsidRPr="00D938E2" w:rsidRDefault="00441074" w:rsidP="00D938E2">
      <w:pPr>
        <w:pStyle w:val="ListParagraph"/>
        <w:numPr>
          <w:ilvl w:val="0"/>
          <w:numId w:val="2"/>
        </w:numPr>
        <w:spacing w:after="200" w:line="276" w:lineRule="auto"/>
        <w:rPr>
          <w:rFonts w:ascii="Arial" w:hAnsi="Arial" w:cs="Arial"/>
          <w:b/>
          <w:bCs/>
          <w:iCs/>
        </w:rPr>
      </w:pPr>
      <w:r w:rsidRPr="00441074">
        <w:rPr>
          <w:rFonts w:ascii="Arial" w:hAnsi="Arial" w:cs="Arial"/>
        </w:rPr>
        <w:t xml:space="preserve">The person has a body mass index (BMI) of 40 kg/m2 or more without comorbidities, </w:t>
      </w:r>
      <w:r w:rsidRPr="00D938E2">
        <w:rPr>
          <w:rFonts w:ascii="Arial" w:hAnsi="Arial" w:cs="Arial"/>
        </w:rPr>
        <w:t>OR between 35 kg/m2 and 40 kg/m2 and other significant diseases (for example type 2 diabetes, hypertension, cardiovascular disease, osteoarthritis, dyslipidaemia, and sleep apnoea) that could be improved if they lost weight.</w:t>
      </w:r>
    </w:p>
    <w:p w14:paraId="65FACC26" w14:textId="77777777" w:rsidR="00441074" w:rsidRDefault="00441074" w:rsidP="00E20B0D">
      <w:pPr>
        <w:pStyle w:val="ListParagraph"/>
        <w:spacing w:after="0" w:line="240" w:lineRule="auto"/>
        <w:ind w:left="360"/>
        <w:rPr>
          <w:rFonts w:ascii="Arial" w:hAnsi="Arial" w:cs="Arial"/>
          <w:b/>
          <w:bCs/>
        </w:rPr>
      </w:pPr>
    </w:p>
    <w:p w14:paraId="1C62AF73" w14:textId="4A4C2380" w:rsidR="00E20B0D" w:rsidRPr="00E20B0D" w:rsidRDefault="00E20B0D" w:rsidP="00E20B0D">
      <w:pPr>
        <w:pStyle w:val="ListParagraph"/>
        <w:spacing w:after="0" w:line="240" w:lineRule="auto"/>
        <w:ind w:left="360"/>
        <w:rPr>
          <w:rFonts w:ascii="Arial" w:hAnsi="Arial" w:cs="Arial"/>
          <w:b/>
          <w:bCs/>
        </w:rPr>
      </w:pPr>
      <w:r w:rsidRPr="00E20B0D">
        <w:rPr>
          <w:rFonts w:ascii="Arial" w:hAnsi="Arial" w:cs="Arial"/>
          <w:b/>
          <w:bCs/>
        </w:rPr>
        <w:t>AND</w:t>
      </w:r>
    </w:p>
    <w:p w14:paraId="69EB5CE1" w14:textId="77777777" w:rsidR="00441074" w:rsidRDefault="00441074" w:rsidP="00441074">
      <w:pPr>
        <w:spacing w:after="0" w:line="240" w:lineRule="auto"/>
        <w:rPr>
          <w:rFonts w:ascii="Arial" w:hAnsi="Arial" w:cs="Arial"/>
        </w:rPr>
      </w:pPr>
    </w:p>
    <w:p w14:paraId="08DC8C79" w14:textId="3731BE68" w:rsidR="00441074" w:rsidRDefault="00441074" w:rsidP="00441074">
      <w:pPr>
        <w:pStyle w:val="ListParagraph"/>
        <w:numPr>
          <w:ilvl w:val="0"/>
          <w:numId w:val="2"/>
        </w:numPr>
        <w:spacing w:after="0" w:line="240" w:lineRule="auto"/>
        <w:rPr>
          <w:rFonts w:ascii="Arial" w:hAnsi="Arial" w:cs="Arial"/>
        </w:rPr>
      </w:pPr>
      <w:r w:rsidRPr="4DD41986">
        <w:rPr>
          <w:rFonts w:ascii="Arial" w:hAnsi="Arial" w:cs="Arial"/>
        </w:rPr>
        <w:t>The person has completed Tier Three weight management service including the maintenance period, and the person has not achieved or maintained adequate, clinically beneficial weight loss. (A tier three service is a weight management programme that supports adults with severe and complex obesity to lose weight through a range of interventions including psychological approaches and dietary changes)</w:t>
      </w:r>
    </w:p>
    <w:p w14:paraId="1AE2854E" w14:textId="0107486E" w:rsidR="00441074" w:rsidRDefault="00441074" w:rsidP="00441074">
      <w:pPr>
        <w:pStyle w:val="ListParagraph"/>
        <w:spacing w:after="0" w:line="240" w:lineRule="auto"/>
        <w:ind w:left="360"/>
        <w:rPr>
          <w:rFonts w:ascii="Arial" w:hAnsi="Arial" w:cs="Arial"/>
        </w:rPr>
      </w:pPr>
    </w:p>
    <w:p w14:paraId="3A88048A" w14:textId="26BB49A1" w:rsidR="00861D86" w:rsidRPr="00E20B0D" w:rsidRDefault="00E20B0D" w:rsidP="4DD41986">
      <w:pPr>
        <w:pStyle w:val="ListParagraph"/>
        <w:spacing w:after="0" w:line="240" w:lineRule="auto"/>
        <w:ind w:left="360"/>
        <w:rPr>
          <w:rFonts w:ascii="Arial" w:hAnsi="Arial" w:cs="Arial"/>
          <w:b/>
          <w:bCs/>
        </w:rPr>
      </w:pPr>
      <w:r w:rsidRPr="4DD41986">
        <w:rPr>
          <w:rFonts w:ascii="Arial" w:hAnsi="Arial" w:cs="Arial"/>
          <w:b/>
          <w:bCs/>
        </w:rPr>
        <w:t>AND</w:t>
      </w:r>
    </w:p>
    <w:p w14:paraId="032BC0D8" w14:textId="348B5001" w:rsidR="4DD41986" w:rsidRDefault="4DD41986" w:rsidP="4DD41986">
      <w:pPr>
        <w:pStyle w:val="ListParagraph"/>
        <w:spacing w:after="0" w:line="240" w:lineRule="auto"/>
        <w:ind w:left="360"/>
        <w:rPr>
          <w:rFonts w:ascii="Arial" w:hAnsi="Arial" w:cs="Arial"/>
          <w:b/>
          <w:bCs/>
        </w:rPr>
      </w:pPr>
    </w:p>
    <w:p w14:paraId="07591292" w14:textId="2CE044C3" w:rsidR="00152395" w:rsidRPr="00441074" w:rsidRDefault="00861D86" w:rsidP="00861D86">
      <w:pPr>
        <w:pStyle w:val="ListParagraph"/>
        <w:numPr>
          <w:ilvl w:val="0"/>
          <w:numId w:val="2"/>
        </w:numPr>
        <w:spacing w:after="0" w:line="240" w:lineRule="auto"/>
        <w:rPr>
          <w:rFonts w:ascii="Arial" w:hAnsi="Arial" w:cs="Arial"/>
        </w:rPr>
      </w:pPr>
      <w:r w:rsidRPr="4DD41986">
        <w:rPr>
          <w:rFonts w:ascii="Arial" w:hAnsi="Arial" w:cs="Arial"/>
        </w:rPr>
        <w:t>GP has addressed and optimised management of any underlying clinical conditions which may be affecting weight management in the patient</w:t>
      </w:r>
    </w:p>
    <w:p w14:paraId="7F2A2E65" w14:textId="77777777" w:rsidR="00152395" w:rsidRPr="00441074" w:rsidRDefault="00152395" w:rsidP="00284ED9">
      <w:pPr>
        <w:pStyle w:val="ListParagraph"/>
        <w:spacing w:after="0" w:line="240" w:lineRule="auto"/>
        <w:rPr>
          <w:rFonts w:ascii="Arial" w:hAnsi="Arial" w:cs="Arial"/>
          <w:iCs/>
          <w:lang w:val="en"/>
        </w:rPr>
      </w:pPr>
    </w:p>
    <w:p w14:paraId="45E11080" w14:textId="53DC4DF6" w:rsidR="00152395" w:rsidRPr="00441074" w:rsidRDefault="00861D86" w:rsidP="00284ED9">
      <w:pPr>
        <w:pStyle w:val="ListParagraph"/>
        <w:numPr>
          <w:ilvl w:val="1"/>
          <w:numId w:val="2"/>
        </w:numPr>
        <w:spacing w:after="0" w:line="240" w:lineRule="auto"/>
        <w:rPr>
          <w:rFonts w:ascii="Arial" w:hAnsi="Arial" w:cs="Arial"/>
        </w:rPr>
      </w:pPr>
      <w:r w:rsidRPr="00441074">
        <w:rPr>
          <w:rFonts w:ascii="Arial" w:hAnsi="Arial" w:cs="Arial"/>
          <w:iCs/>
          <w:lang w:val="en"/>
        </w:rPr>
        <w:t>hormone problems such as underactive thyroid, Cushing's syndrome, polycystic ovarian syndrome (PCOS</w:t>
      </w:r>
      <w:r w:rsidR="00EC1DA6" w:rsidRPr="00441074">
        <w:rPr>
          <w:rFonts w:ascii="Arial" w:hAnsi="Arial" w:cs="Arial"/>
          <w:iCs/>
          <w:lang w:val="en"/>
        </w:rPr>
        <w:t>).</w:t>
      </w:r>
      <w:r w:rsidRPr="00441074">
        <w:rPr>
          <w:rFonts w:ascii="Arial" w:hAnsi="Arial" w:cs="Arial"/>
          <w:iCs/>
          <w:lang w:val="en"/>
        </w:rPr>
        <w:t xml:space="preserve"> </w:t>
      </w:r>
    </w:p>
    <w:p w14:paraId="6A5790EC" w14:textId="0CCF0250" w:rsidR="0047447A" w:rsidRPr="00441074" w:rsidRDefault="00861D86" w:rsidP="00284ED9">
      <w:pPr>
        <w:pStyle w:val="ListParagraph"/>
        <w:numPr>
          <w:ilvl w:val="1"/>
          <w:numId w:val="2"/>
        </w:numPr>
        <w:spacing w:after="0" w:line="240" w:lineRule="auto"/>
        <w:rPr>
          <w:rFonts w:ascii="Arial" w:hAnsi="Arial" w:cs="Arial"/>
        </w:rPr>
      </w:pPr>
      <w:r w:rsidRPr="00441074">
        <w:rPr>
          <w:rFonts w:ascii="Arial" w:hAnsi="Arial" w:cs="Arial"/>
          <w:iCs/>
          <w:lang w:val="en"/>
        </w:rPr>
        <w:t>substance misuse</w:t>
      </w:r>
    </w:p>
    <w:p w14:paraId="76204F7D" w14:textId="7EAFD372" w:rsidR="00861D86" w:rsidRPr="00441074" w:rsidRDefault="00861D86" w:rsidP="00284ED9">
      <w:pPr>
        <w:numPr>
          <w:ilvl w:val="0"/>
          <w:numId w:val="5"/>
        </w:numPr>
        <w:spacing w:after="0" w:line="240" w:lineRule="auto"/>
        <w:rPr>
          <w:rFonts w:ascii="Arial" w:hAnsi="Arial" w:cs="Arial"/>
          <w:iCs/>
          <w:lang w:val="en"/>
        </w:rPr>
      </w:pPr>
      <w:r w:rsidRPr="00441074">
        <w:rPr>
          <w:rFonts w:ascii="Arial" w:hAnsi="Arial" w:cs="Arial"/>
          <w:iCs/>
          <w:lang w:val="en"/>
        </w:rPr>
        <w:t xml:space="preserve">lack of sleep- </w:t>
      </w:r>
      <w:r w:rsidRPr="00441074">
        <w:rPr>
          <w:rFonts w:ascii="Arial" w:hAnsi="Arial" w:cs="Arial"/>
          <w:iCs/>
          <w:u w:val="single"/>
          <w:lang w:val="en"/>
        </w:rPr>
        <w:t>exclude obstructive sleep apnoea</w:t>
      </w:r>
      <w:r w:rsidR="00284ED9" w:rsidRPr="00441074">
        <w:rPr>
          <w:rFonts w:ascii="Arial" w:hAnsi="Arial" w:cs="Arial"/>
          <w:iCs/>
          <w:u w:val="single"/>
          <w:lang w:val="en"/>
        </w:rPr>
        <w:t xml:space="preserve"> </w:t>
      </w:r>
      <w:r w:rsidRPr="00441074">
        <w:rPr>
          <w:rFonts w:ascii="Arial" w:hAnsi="Arial" w:cs="Arial"/>
          <w:iCs/>
          <w:lang w:val="en"/>
        </w:rPr>
        <w:t>-</w:t>
      </w:r>
      <w:r w:rsidR="00284ED9" w:rsidRPr="00441074">
        <w:rPr>
          <w:rFonts w:ascii="Arial" w:hAnsi="Arial" w:cs="Arial"/>
          <w:iCs/>
          <w:lang w:val="en"/>
        </w:rPr>
        <w:t xml:space="preserve"> </w:t>
      </w:r>
      <w:r w:rsidRPr="00441074">
        <w:rPr>
          <w:rFonts w:ascii="Arial" w:hAnsi="Arial" w:cs="Arial"/>
          <w:iCs/>
          <w:lang w:val="en"/>
        </w:rPr>
        <w:t>Epworth score of 1</w:t>
      </w:r>
      <w:r w:rsidR="00152395" w:rsidRPr="00441074">
        <w:rPr>
          <w:rFonts w:ascii="Arial" w:hAnsi="Arial" w:cs="Arial"/>
          <w:iCs/>
          <w:lang w:val="en"/>
        </w:rPr>
        <w:t>0</w:t>
      </w:r>
      <w:r w:rsidRPr="00441074">
        <w:rPr>
          <w:rFonts w:ascii="Arial" w:hAnsi="Arial" w:cs="Arial"/>
          <w:iCs/>
          <w:lang w:val="en"/>
        </w:rPr>
        <w:t xml:space="preserve"> or less</w:t>
      </w:r>
    </w:p>
    <w:p w14:paraId="5096664B" w14:textId="77777777" w:rsidR="00861D86" w:rsidRPr="00441074" w:rsidRDefault="00861D86" w:rsidP="00284ED9">
      <w:pPr>
        <w:numPr>
          <w:ilvl w:val="0"/>
          <w:numId w:val="5"/>
        </w:numPr>
        <w:spacing w:after="0" w:line="240" w:lineRule="auto"/>
        <w:rPr>
          <w:rFonts w:ascii="Arial" w:hAnsi="Arial" w:cs="Arial"/>
          <w:iCs/>
          <w:lang w:val="en"/>
        </w:rPr>
      </w:pPr>
      <w:r w:rsidRPr="00441074">
        <w:rPr>
          <w:rFonts w:ascii="Arial" w:hAnsi="Arial" w:cs="Arial"/>
          <w:iCs/>
          <w:lang w:val="en"/>
        </w:rPr>
        <w:t>depression- patients with a score of more than 17 on PHQ9 screening tool must be referred to IAPT and condition managed before referral</w:t>
      </w:r>
    </w:p>
    <w:p w14:paraId="34DF3D10" w14:textId="77777777" w:rsidR="00861D86" w:rsidRPr="00441074" w:rsidRDefault="00861D86" w:rsidP="00284ED9">
      <w:pPr>
        <w:numPr>
          <w:ilvl w:val="0"/>
          <w:numId w:val="5"/>
        </w:numPr>
        <w:spacing w:after="0" w:line="240" w:lineRule="auto"/>
        <w:rPr>
          <w:rFonts w:ascii="Arial" w:hAnsi="Arial" w:cs="Arial"/>
          <w:iCs/>
          <w:lang w:val="en"/>
        </w:rPr>
      </w:pPr>
      <w:r w:rsidRPr="4DD41986">
        <w:rPr>
          <w:rFonts w:ascii="Arial" w:hAnsi="Arial" w:cs="Arial"/>
          <w:lang w:val="en"/>
        </w:rPr>
        <w:t xml:space="preserve">alcohol consumption-refer to </w:t>
      </w:r>
      <w:hyperlink r:id="rId7">
        <w:r w:rsidRPr="4DD41986">
          <w:rPr>
            <w:rFonts w:ascii="Arial" w:hAnsi="Arial" w:cs="Arial"/>
            <w:color w:val="0000FF"/>
            <w:u w:val="single"/>
            <w:lang w:val="en"/>
          </w:rPr>
          <w:t>http://openroad.org.uk/contact_us/</w:t>
        </w:r>
      </w:hyperlink>
      <w:r w:rsidRPr="4DD41986">
        <w:rPr>
          <w:rFonts w:ascii="Arial" w:hAnsi="Arial" w:cs="Arial"/>
          <w:lang w:val="en"/>
        </w:rPr>
        <w:t xml:space="preserve"> and condition managed before referral</w:t>
      </w:r>
    </w:p>
    <w:p w14:paraId="4ECC16A9" w14:textId="6ED3A35D" w:rsidR="00EC1DA6" w:rsidRDefault="00EC1DA6" w:rsidP="4DD41986">
      <w:pPr>
        <w:spacing w:after="0" w:line="240" w:lineRule="auto"/>
        <w:rPr>
          <w:rFonts w:ascii="Arial" w:hAnsi="Arial" w:cs="Arial"/>
        </w:rPr>
      </w:pPr>
    </w:p>
    <w:p w14:paraId="6489545D" w14:textId="45A7BB5F" w:rsidR="003311D4" w:rsidRPr="00E20B0D" w:rsidRDefault="003311D4" w:rsidP="003311D4">
      <w:pPr>
        <w:spacing w:after="0" w:line="240" w:lineRule="auto"/>
        <w:rPr>
          <w:rFonts w:ascii="Arial" w:hAnsi="Arial" w:cs="Arial"/>
          <w:b/>
        </w:rPr>
      </w:pPr>
      <w:r w:rsidRPr="00E20B0D">
        <w:rPr>
          <w:rFonts w:ascii="Arial" w:hAnsi="Arial" w:cs="Arial"/>
          <w:b/>
        </w:rPr>
        <w:t>Obesity surgery for children and adolescents is commissioned by NHSE.</w:t>
      </w:r>
    </w:p>
    <w:p w14:paraId="03765BCA" w14:textId="77777777" w:rsidR="003311D4" w:rsidRPr="00E20B0D" w:rsidRDefault="003311D4" w:rsidP="003311D4">
      <w:pPr>
        <w:spacing w:after="0" w:line="240" w:lineRule="auto"/>
        <w:rPr>
          <w:rFonts w:ascii="Arial" w:hAnsi="Arial" w:cs="Arial"/>
        </w:rPr>
      </w:pPr>
    </w:p>
    <w:p w14:paraId="6EAC0C5A" w14:textId="77777777" w:rsidR="003311D4" w:rsidRPr="00E20B0D" w:rsidRDefault="003311D4" w:rsidP="003311D4">
      <w:pPr>
        <w:spacing w:after="0" w:line="240" w:lineRule="auto"/>
        <w:rPr>
          <w:rFonts w:ascii="Arial" w:hAnsi="Arial" w:cs="Arial"/>
        </w:rPr>
      </w:pPr>
      <w:r w:rsidRPr="00E20B0D">
        <w:rPr>
          <w:rFonts w:ascii="Arial" w:hAnsi="Arial" w:cs="Arial"/>
        </w:rPr>
        <w:t xml:space="preserve">Patients not meeting the above criteria will not be funded unless there are </w:t>
      </w:r>
      <w:r w:rsidRPr="00E20B0D">
        <w:rPr>
          <w:rFonts w:ascii="Arial" w:hAnsi="Arial" w:cs="Arial"/>
          <w:b/>
        </w:rPr>
        <w:t>clinically exceptional circumstances.</w:t>
      </w:r>
      <w:r w:rsidRPr="00E20B0D">
        <w:rPr>
          <w:rFonts w:ascii="Arial" w:hAnsi="Arial" w:cs="Arial"/>
        </w:rPr>
        <w:t xml:space="preserve">  </w:t>
      </w:r>
    </w:p>
    <w:p w14:paraId="5962CCD5" w14:textId="77777777" w:rsidR="003311D4" w:rsidRPr="00E20B0D" w:rsidRDefault="003311D4" w:rsidP="003311D4">
      <w:pPr>
        <w:spacing w:after="0" w:line="240" w:lineRule="auto"/>
        <w:rPr>
          <w:rFonts w:ascii="Arial" w:hAnsi="Arial" w:cs="Arial"/>
        </w:rPr>
      </w:pPr>
    </w:p>
    <w:p w14:paraId="3E58F633" w14:textId="77777777" w:rsidR="003311D4" w:rsidRPr="00E20B0D" w:rsidRDefault="003311D4" w:rsidP="003311D4">
      <w:pPr>
        <w:spacing w:after="0" w:line="240" w:lineRule="auto"/>
        <w:rPr>
          <w:rFonts w:ascii="Arial" w:hAnsi="Arial" w:cs="Arial"/>
        </w:rPr>
      </w:pPr>
      <w:r w:rsidRPr="00E20B0D">
        <w:rPr>
          <w:rFonts w:ascii="Arial" w:hAnsi="Arial" w:cs="Arial"/>
        </w:rPr>
        <w:t xml:space="preserve">Individual funding requests should only be made where the patient demonstrates clinical exceptionality.  </w:t>
      </w:r>
    </w:p>
    <w:p w14:paraId="75E9CECD" w14:textId="77777777" w:rsidR="003311D4" w:rsidRPr="00E20B0D" w:rsidRDefault="003311D4" w:rsidP="003311D4">
      <w:pPr>
        <w:spacing w:after="0" w:line="240" w:lineRule="auto"/>
        <w:rPr>
          <w:rFonts w:ascii="Arial" w:hAnsi="Arial" w:cs="Arial"/>
        </w:rPr>
      </w:pPr>
    </w:p>
    <w:p w14:paraId="25AF8B3B" w14:textId="77777777" w:rsidR="003311D4" w:rsidRPr="00E20B0D" w:rsidRDefault="003311D4" w:rsidP="003311D4">
      <w:pPr>
        <w:spacing w:after="0" w:line="240" w:lineRule="auto"/>
        <w:rPr>
          <w:rFonts w:ascii="Arial" w:hAnsi="Arial" w:cs="Arial"/>
        </w:rPr>
      </w:pPr>
      <w:r w:rsidRPr="00E20B0D">
        <w:rPr>
          <w:rFonts w:ascii="Arial" w:hAnsi="Arial" w:cs="Arial"/>
        </w:rPr>
        <w:t xml:space="preserve">Further information on applying for funding in exceptional clinical circumstances can be found on the ICS’ website. </w:t>
      </w:r>
    </w:p>
    <w:p w14:paraId="13177F27" w14:textId="77777777" w:rsidR="005546A5" w:rsidRPr="00E20B0D" w:rsidRDefault="005546A5">
      <w:pPr>
        <w:rPr>
          <w:rFonts w:ascii="Arial" w:hAnsi="Arial" w:cs="Arial"/>
        </w:rPr>
      </w:pPr>
    </w:p>
    <w:sectPr w:rsidR="005546A5" w:rsidRPr="00E20B0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6828" w14:textId="77777777" w:rsidR="008A1F8D" w:rsidRDefault="008A1F8D" w:rsidP="008A1F8D">
      <w:pPr>
        <w:spacing w:after="0" w:line="240" w:lineRule="auto"/>
      </w:pPr>
      <w:r>
        <w:separator/>
      </w:r>
    </w:p>
  </w:endnote>
  <w:endnote w:type="continuationSeparator" w:id="0">
    <w:p w14:paraId="2F64E2BB" w14:textId="77777777" w:rsidR="008A1F8D" w:rsidRDefault="008A1F8D" w:rsidP="008A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30818"/>
      <w:docPartObj>
        <w:docPartGallery w:val="Page Numbers (Bottom of Page)"/>
        <w:docPartUnique/>
      </w:docPartObj>
    </w:sdtPr>
    <w:sdtContent>
      <w:sdt>
        <w:sdtPr>
          <w:id w:val="-1769616900"/>
          <w:docPartObj>
            <w:docPartGallery w:val="Page Numbers (Top of Page)"/>
            <w:docPartUnique/>
          </w:docPartObj>
        </w:sdtPr>
        <w:sdtContent>
          <w:p w14:paraId="6A6E533D" w14:textId="3243AB38" w:rsidR="007D73BE" w:rsidRDefault="007D73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FC9369" w14:textId="3F162029" w:rsidR="008A1F8D" w:rsidRDefault="007D73BE">
    <w:pPr>
      <w:pStyle w:val="Footer"/>
    </w:pPr>
    <w:r>
      <w:t>075 – MSE ICB Specialist Obesity Services (April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9CCB" w14:textId="77777777" w:rsidR="008A1F8D" w:rsidRDefault="008A1F8D" w:rsidP="008A1F8D">
      <w:pPr>
        <w:spacing w:after="0" w:line="240" w:lineRule="auto"/>
      </w:pPr>
      <w:r>
        <w:separator/>
      </w:r>
    </w:p>
  </w:footnote>
  <w:footnote w:type="continuationSeparator" w:id="0">
    <w:p w14:paraId="078FE6D8" w14:textId="77777777" w:rsidR="008A1F8D" w:rsidRDefault="008A1F8D" w:rsidP="008A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952E" w14:textId="29454E78" w:rsidR="000A1773" w:rsidRDefault="000A1773">
    <w:pPr>
      <w:pStyle w:val="Header"/>
    </w:pPr>
    <w:r>
      <w:rPr>
        <w:noProof/>
      </w:rPr>
      <w:drawing>
        <wp:anchor distT="0" distB="0" distL="114300" distR="114300" simplePos="0" relativeHeight="251658240" behindDoc="1" locked="0" layoutInCell="1" allowOverlap="1" wp14:anchorId="193FA893" wp14:editId="71CA6258">
          <wp:simplePos x="0" y="0"/>
          <wp:positionH relativeFrom="page">
            <wp:align>left</wp:align>
          </wp:positionH>
          <wp:positionV relativeFrom="paragraph">
            <wp:posOffset>-440055</wp:posOffset>
          </wp:positionV>
          <wp:extent cx="7498715" cy="1316990"/>
          <wp:effectExtent l="0" t="0" r="6985" b="0"/>
          <wp:wrapTight wrapText="bothSides">
            <wp:wrapPolygon edited="0">
              <wp:start x="0" y="0"/>
              <wp:lineTo x="0" y="21246"/>
              <wp:lineTo x="21565" y="21246"/>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715" cy="1316990"/>
                  </a:xfrm>
                  <a:prstGeom prst="rect">
                    <a:avLst/>
                  </a:prstGeom>
                  <a:noFill/>
                </pic:spPr>
              </pic:pic>
            </a:graphicData>
          </a:graphic>
        </wp:anchor>
      </w:drawing>
    </w:r>
  </w:p>
  <w:p w14:paraId="46576DB9" w14:textId="77777777" w:rsidR="000A1773" w:rsidRDefault="000A1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362F2"/>
    <w:multiLevelType w:val="hybridMultilevel"/>
    <w:tmpl w:val="431049EE"/>
    <w:lvl w:ilvl="0" w:tplc="A46404DA">
      <w:start w:val="1"/>
      <w:numFmt w:val="bullet"/>
      <w:lvlText w:val=""/>
      <w:lvlJc w:val="left"/>
      <w:pPr>
        <w:tabs>
          <w:tab w:val="num" w:pos="720"/>
        </w:tabs>
        <w:ind w:left="720" w:hanging="360"/>
      </w:pPr>
      <w:rPr>
        <w:rFonts w:ascii="Wingdings" w:hAnsi="Wingdings" w:hint="default"/>
      </w:rPr>
    </w:lvl>
    <w:lvl w:ilvl="1" w:tplc="5F362BCC" w:tentative="1">
      <w:start w:val="1"/>
      <w:numFmt w:val="bullet"/>
      <w:lvlText w:val=""/>
      <w:lvlJc w:val="left"/>
      <w:pPr>
        <w:tabs>
          <w:tab w:val="num" w:pos="1440"/>
        </w:tabs>
        <w:ind w:left="1440" w:hanging="360"/>
      </w:pPr>
      <w:rPr>
        <w:rFonts w:ascii="Wingdings" w:hAnsi="Wingdings" w:hint="default"/>
      </w:rPr>
    </w:lvl>
    <w:lvl w:ilvl="2" w:tplc="85F8DFC8" w:tentative="1">
      <w:start w:val="1"/>
      <w:numFmt w:val="bullet"/>
      <w:lvlText w:val=""/>
      <w:lvlJc w:val="left"/>
      <w:pPr>
        <w:tabs>
          <w:tab w:val="num" w:pos="2160"/>
        </w:tabs>
        <w:ind w:left="2160" w:hanging="360"/>
      </w:pPr>
      <w:rPr>
        <w:rFonts w:ascii="Wingdings" w:hAnsi="Wingdings" w:hint="default"/>
      </w:rPr>
    </w:lvl>
    <w:lvl w:ilvl="3" w:tplc="BD784C9C" w:tentative="1">
      <w:start w:val="1"/>
      <w:numFmt w:val="bullet"/>
      <w:lvlText w:val=""/>
      <w:lvlJc w:val="left"/>
      <w:pPr>
        <w:tabs>
          <w:tab w:val="num" w:pos="2880"/>
        </w:tabs>
        <w:ind w:left="2880" w:hanging="360"/>
      </w:pPr>
      <w:rPr>
        <w:rFonts w:ascii="Wingdings" w:hAnsi="Wingdings" w:hint="default"/>
      </w:rPr>
    </w:lvl>
    <w:lvl w:ilvl="4" w:tplc="4BCEA568" w:tentative="1">
      <w:start w:val="1"/>
      <w:numFmt w:val="bullet"/>
      <w:lvlText w:val=""/>
      <w:lvlJc w:val="left"/>
      <w:pPr>
        <w:tabs>
          <w:tab w:val="num" w:pos="3600"/>
        </w:tabs>
        <w:ind w:left="3600" w:hanging="360"/>
      </w:pPr>
      <w:rPr>
        <w:rFonts w:ascii="Wingdings" w:hAnsi="Wingdings" w:hint="default"/>
      </w:rPr>
    </w:lvl>
    <w:lvl w:ilvl="5" w:tplc="0EAC4024" w:tentative="1">
      <w:start w:val="1"/>
      <w:numFmt w:val="bullet"/>
      <w:lvlText w:val=""/>
      <w:lvlJc w:val="left"/>
      <w:pPr>
        <w:tabs>
          <w:tab w:val="num" w:pos="4320"/>
        </w:tabs>
        <w:ind w:left="4320" w:hanging="360"/>
      </w:pPr>
      <w:rPr>
        <w:rFonts w:ascii="Wingdings" w:hAnsi="Wingdings" w:hint="default"/>
      </w:rPr>
    </w:lvl>
    <w:lvl w:ilvl="6" w:tplc="EFBED828" w:tentative="1">
      <w:start w:val="1"/>
      <w:numFmt w:val="bullet"/>
      <w:lvlText w:val=""/>
      <w:lvlJc w:val="left"/>
      <w:pPr>
        <w:tabs>
          <w:tab w:val="num" w:pos="5040"/>
        </w:tabs>
        <w:ind w:left="5040" w:hanging="360"/>
      </w:pPr>
      <w:rPr>
        <w:rFonts w:ascii="Wingdings" w:hAnsi="Wingdings" w:hint="default"/>
      </w:rPr>
    </w:lvl>
    <w:lvl w:ilvl="7" w:tplc="3190E13C" w:tentative="1">
      <w:start w:val="1"/>
      <w:numFmt w:val="bullet"/>
      <w:lvlText w:val=""/>
      <w:lvlJc w:val="left"/>
      <w:pPr>
        <w:tabs>
          <w:tab w:val="num" w:pos="5760"/>
        </w:tabs>
        <w:ind w:left="5760" w:hanging="360"/>
      </w:pPr>
      <w:rPr>
        <w:rFonts w:ascii="Wingdings" w:hAnsi="Wingdings" w:hint="default"/>
      </w:rPr>
    </w:lvl>
    <w:lvl w:ilvl="8" w:tplc="6EE0FE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9758F"/>
    <w:multiLevelType w:val="hybridMultilevel"/>
    <w:tmpl w:val="62FCB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6C201E"/>
    <w:multiLevelType w:val="hybridMultilevel"/>
    <w:tmpl w:val="868C2080"/>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6A1A3762"/>
    <w:multiLevelType w:val="hybridMultilevel"/>
    <w:tmpl w:val="BB1257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E52792"/>
    <w:multiLevelType w:val="hybridMultilevel"/>
    <w:tmpl w:val="EEBC5B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91438800">
    <w:abstractNumId w:val="3"/>
  </w:num>
  <w:num w:numId="2" w16cid:durableId="1696998889">
    <w:abstractNumId w:val="1"/>
  </w:num>
  <w:num w:numId="3" w16cid:durableId="1494837446">
    <w:abstractNumId w:val="4"/>
  </w:num>
  <w:num w:numId="4" w16cid:durableId="1425422879">
    <w:abstractNumId w:val="0"/>
  </w:num>
  <w:num w:numId="5" w16cid:durableId="1563714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D4"/>
    <w:rsid w:val="00017EF7"/>
    <w:rsid w:val="000A1773"/>
    <w:rsid w:val="00152395"/>
    <w:rsid w:val="001A2E1B"/>
    <w:rsid w:val="002464FE"/>
    <w:rsid w:val="00284ED9"/>
    <w:rsid w:val="00316E66"/>
    <w:rsid w:val="003311D4"/>
    <w:rsid w:val="00346F99"/>
    <w:rsid w:val="0037476B"/>
    <w:rsid w:val="00441074"/>
    <w:rsid w:val="0047447A"/>
    <w:rsid w:val="004C66E4"/>
    <w:rsid w:val="005546A5"/>
    <w:rsid w:val="00623CF5"/>
    <w:rsid w:val="006F641F"/>
    <w:rsid w:val="007003B1"/>
    <w:rsid w:val="0071369F"/>
    <w:rsid w:val="007D73BE"/>
    <w:rsid w:val="00861D86"/>
    <w:rsid w:val="008A1F8D"/>
    <w:rsid w:val="008A2633"/>
    <w:rsid w:val="00B32F4C"/>
    <w:rsid w:val="00C64CDF"/>
    <w:rsid w:val="00C82E9A"/>
    <w:rsid w:val="00D47D1E"/>
    <w:rsid w:val="00D938E2"/>
    <w:rsid w:val="00E20B0D"/>
    <w:rsid w:val="00EC1DA6"/>
    <w:rsid w:val="00F12F1B"/>
    <w:rsid w:val="055A68AE"/>
    <w:rsid w:val="098DB8EE"/>
    <w:rsid w:val="0D4C5236"/>
    <w:rsid w:val="1FF20954"/>
    <w:rsid w:val="27E3F2DC"/>
    <w:rsid w:val="2BCB7C4B"/>
    <w:rsid w:val="4DD41986"/>
    <w:rsid w:val="6876FCB2"/>
    <w:rsid w:val="753C5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BA6D"/>
  <w15:chartTrackingRefBased/>
  <w15:docId w15:val="{B95005B0-9BE2-4F3B-97F6-C44B2701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1D4"/>
    <w:rPr>
      <w:color w:val="0563C1" w:themeColor="hyperlink"/>
      <w:u w:val="single"/>
    </w:rPr>
  </w:style>
  <w:style w:type="character" w:styleId="CommentReference">
    <w:name w:val="annotation reference"/>
    <w:basedOn w:val="DefaultParagraphFont"/>
    <w:uiPriority w:val="99"/>
    <w:semiHidden/>
    <w:unhideWhenUsed/>
    <w:rsid w:val="003311D4"/>
    <w:rPr>
      <w:sz w:val="16"/>
      <w:szCs w:val="16"/>
    </w:rPr>
  </w:style>
  <w:style w:type="paragraph" w:styleId="CommentText">
    <w:name w:val="annotation text"/>
    <w:basedOn w:val="Normal"/>
    <w:link w:val="CommentTextChar"/>
    <w:uiPriority w:val="99"/>
    <w:semiHidden/>
    <w:unhideWhenUsed/>
    <w:rsid w:val="003311D4"/>
    <w:pPr>
      <w:spacing w:line="240" w:lineRule="auto"/>
    </w:pPr>
    <w:rPr>
      <w:sz w:val="20"/>
      <w:szCs w:val="20"/>
    </w:rPr>
  </w:style>
  <w:style w:type="character" w:customStyle="1" w:styleId="CommentTextChar">
    <w:name w:val="Comment Text Char"/>
    <w:basedOn w:val="DefaultParagraphFont"/>
    <w:link w:val="CommentText"/>
    <w:uiPriority w:val="99"/>
    <w:semiHidden/>
    <w:rsid w:val="003311D4"/>
    <w:rPr>
      <w:sz w:val="20"/>
      <w:szCs w:val="20"/>
    </w:rPr>
  </w:style>
  <w:style w:type="paragraph" w:styleId="ListParagraph">
    <w:name w:val="List Paragraph"/>
    <w:basedOn w:val="Normal"/>
    <w:uiPriority w:val="34"/>
    <w:qFormat/>
    <w:rsid w:val="003311D4"/>
    <w:pPr>
      <w:ind w:left="720"/>
      <w:contextualSpacing/>
    </w:pPr>
  </w:style>
  <w:style w:type="paragraph" w:styleId="CommentSubject">
    <w:name w:val="annotation subject"/>
    <w:basedOn w:val="CommentText"/>
    <w:next w:val="CommentText"/>
    <w:link w:val="CommentSubjectChar"/>
    <w:uiPriority w:val="99"/>
    <w:semiHidden/>
    <w:unhideWhenUsed/>
    <w:rsid w:val="002464FE"/>
    <w:rPr>
      <w:b/>
      <w:bCs/>
    </w:rPr>
  </w:style>
  <w:style w:type="character" w:customStyle="1" w:styleId="CommentSubjectChar">
    <w:name w:val="Comment Subject Char"/>
    <w:basedOn w:val="CommentTextChar"/>
    <w:link w:val="CommentSubject"/>
    <w:uiPriority w:val="99"/>
    <w:semiHidden/>
    <w:rsid w:val="002464FE"/>
    <w:rPr>
      <w:b/>
      <w:bCs/>
      <w:sz w:val="20"/>
      <w:szCs w:val="20"/>
    </w:rPr>
  </w:style>
  <w:style w:type="paragraph" w:styleId="Header">
    <w:name w:val="header"/>
    <w:basedOn w:val="Normal"/>
    <w:link w:val="HeaderChar"/>
    <w:uiPriority w:val="99"/>
    <w:unhideWhenUsed/>
    <w:rsid w:val="008A1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F8D"/>
  </w:style>
  <w:style w:type="paragraph" w:styleId="Footer">
    <w:name w:val="footer"/>
    <w:basedOn w:val="Normal"/>
    <w:link w:val="FooterChar"/>
    <w:uiPriority w:val="99"/>
    <w:unhideWhenUsed/>
    <w:rsid w:val="008A1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F8D"/>
  </w:style>
  <w:style w:type="table" w:styleId="TableGrid">
    <w:name w:val="Table Grid"/>
    <w:basedOn w:val="TableNormal"/>
    <w:uiPriority w:val="59"/>
    <w:rsid w:val="00C82E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82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3198">
      <w:bodyDiv w:val="1"/>
      <w:marLeft w:val="0"/>
      <w:marRight w:val="0"/>
      <w:marTop w:val="0"/>
      <w:marBottom w:val="0"/>
      <w:divBdr>
        <w:top w:val="none" w:sz="0" w:space="0" w:color="auto"/>
        <w:left w:val="none" w:sz="0" w:space="0" w:color="auto"/>
        <w:bottom w:val="none" w:sz="0" w:space="0" w:color="auto"/>
        <w:right w:val="none" w:sz="0" w:space="0" w:color="auto"/>
      </w:divBdr>
      <w:divsChild>
        <w:div w:id="1972590443">
          <w:marLeft w:val="274"/>
          <w:marRight w:val="0"/>
          <w:marTop w:val="0"/>
          <w:marBottom w:val="0"/>
          <w:divBdr>
            <w:top w:val="none" w:sz="0" w:space="0" w:color="auto"/>
            <w:left w:val="none" w:sz="0" w:space="0" w:color="auto"/>
            <w:bottom w:val="none" w:sz="0" w:space="0" w:color="auto"/>
            <w:right w:val="none" w:sz="0" w:space="0" w:color="auto"/>
          </w:divBdr>
        </w:div>
        <w:div w:id="11714835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enroad.org.uk/contact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Paula (NHS MID AND SOUTH ESSEX ICB - 06Q)</dc:creator>
  <cp:keywords/>
  <dc:description/>
  <cp:lastModifiedBy>LAWSON, Kaye (NHS MID AND SOUTH ESSEX ICB - 99E)</cp:lastModifiedBy>
  <cp:revision>2</cp:revision>
  <dcterms:created xsi:type="dcterms:W3CDTF">2023-03-15T16:46:00Z</dcterms:created>
  <dcterms:modified xsi:type="dcterms:W3CDTF">2023-03-15T16:46:00Z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2023-01-23T13:53:58Z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9a3ca0b9-e442-4fa1-84f9-c1b93f434396</vt:lpwstr>
  </property>
  <property fmtid="{D5CDD505-2E9C-101B-9397-08002B2CF9AE}" pid="8" name="MSIP_Label_39d8be9e-c8d9-4b9c-bd40-2c27cc7ea2e6_ContentBits">
    <vt:lpwstr>0</vt:lpwstr>
  </property>
</Properties>
</file>