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B09F6" w14:textId="77777777" w:rsidR="00050609" w:rsidRDefault="009C523D" w:rsidP="003A663C">
      <w:pPr>
        <w:pStyle w:val="Title"/>
      </w:pPr>
      <w:bookmarkStart w:id="0" w:name="_Toc85717490"/>
      <w:r>
        <w:br/>
      </w:r>
      <w:r>
        <w:br/>
      </w:r>
      <w:r>
        <w:br/>
      </w:r>
      <w:r>
        <w:br/>
      </w:r>
      <w:r>
        <w:br/>
      </w:r>
      <w:bookmarkStart w:id="1" w:name="_Toc88478171"/>
      <w:bookmarkEnd w:id="0"/>
    </w:p>
    <w:p w14:paraId="544847A0" w14:textId="77777777" w:rsidR="00050609" w:rsidRDefault="00050609" w:rsidP="003A663C">
      <w:pPr>
        <w:pStyle w:val="Title"/>
      </w:pPr>
    </w:p>
    <w:p w14:paraId="73F7B9E7" w14:textId="77777777" w:rsidR="00050609" w:rsidRDefault="00050609" w:rsidP="003A663C">
      <w:pPr>
        <w:pStyle w:val="Title"/>
      </w:pPr>
    </w:p>
    <w:p w14:paraId="05DE52E4" w14:textId="77777777" w:rsidR="00050609" w:rsidRDefault="00050609" w:rsidP="003A663C">
      <w:pPr>
        <w:pStyle w:val="Title"/>
      </w:pPr>
    </w:p>
    <w:p w14:paraId="5BC6FA08" w14:textId="77777777" w:rsidR="00050609" w:rsidRDefault="00050609" w:rsidP="003A663C">
      <w:pPr>
        <w:pStyle w:val="Title"/>
      </w:pPr>
    </w:p>
    <w:p w14:paraId="00737B97" w14:textId="77777777" w:rsidR="00050609" w:rsidRDefault="00050609" w:rsidP="003A663C">
      <w:pPr>
        <w:pStyle w:val="Title"/>
      </w:pPr>
    </w:p>
    <w:p w14:paraId="14ACB7D8" w14:textId="7B72DC1F" w:rsidR="003A663C" w:rsidRPr="003A663C" w:rsidRDefault="0034379C" w:rsidP="003A663C">
      <w:pPr>
        <w:pStyle w:val="Title"/>
      </w:pPr>
      <w:r>
        <w:t>Accounting &amp; Financial Management</w:t>
      </w:r>
      <w:r w:rsidR="002D1C4B">
        <w:t xml:space="preserve"> Policy</w:t>
      </w:r>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508"/>
        <w:gridCol w:w="4508"/>
        <w:gridCol w:w="56"/>
      </w:tblGrid>
      <w:tr w:rsidR="0014334F" w:rsidRPr="009A3207" w14:paraId="58A915F9" w14:textId="77777777" w:rsidTr="0014334F">
        <w:trPr>
          <w:tblHeader/>
        </w:trPr>
        <w:tc>
          <w:tcPr>
            <w:tcW w:w="4508" w:type="dxa"/>
            <w:shd w:val="clear" w:color="auto" w:fill="003087" w:themeFill="accent1"/>
          </w:tcPr>
          <w:p w14:paraId="09D2F10C" w14:textId="77777777" w:rsidR="0014334F" w:rsidRPr="009A3207" w:rsidRDefault="0014334F" w:rsidP="00050609">
            <w:pPr>
              <w:spacing w:before="0" w:after="0"/>
              <w:ind w:left="0"/>
              <w:rPr>
                <w:b/>
                <w:bCs/>
                <w:color w:val="FFFFFF" w:themeColor="background1"/>
              </w:rPr>
            </w:pPr>
            <w:r w:rsidRPr="009A3207">
              <w:rPr>
                <w:b/>
                <w:bCs/>
                <w:color w:val="FFFFFF" w:themeColor="background1"/>
              </w:rPr>
              <w:t xml:space="preserve">Document Control Information </w:t>
            </w:r>
          </w:p>
        </w:tc>
        <w:tc>
          <w:tcPr>
            <w:tcW w:w="4564" w:type="dxa"/>
            <w:gridSpan w:val="2"/>
          </w:tcPr>
          <w:p w14:paraId="7C76124D" w14:textId="77777777" w:rsidR="0014334F" w:rsidRPr="009A3207" w:rsidRDefault="0014334F" w:rsidP="00050609">
            <w:pPr>
              <w:spacing w:before="0" w:after="0"/>
              <w:ind w:left="0"/>
              <w:rPr>
                <w:b/>
                <w:bCs/>
              </w:rPr>
            </w:pPr>
            <w:r w:rsidRPr="009A3207">
              <w:rPr>
                <w:b/>
                <w:bCs/>
              </w:rPr>
              <w:t>Details</w:t>
            </w:r>
          </w:p>
        </w:tc>
      </w:tr>
      <w:tr w:rsidR="00B303FD" w14:paraId="72522B01" w14:textId="77777777" w:rsidTr="0014334F">
        <w:trPr>
          <w:gridAfter w:val="1"/>
          <w:wAfter w:w="56" w:type="dxa"/>
        </w:trPr>
        <w:tc>
          <w:tcPr>
            <w:tcW w:w="4508" w:type="dxa"/>
            <w:shd w:val="clear" w:color="auto" w:fill="003087" w:themeFill="accent1"/>
          </w:tcPr>
          <w:p w14:paraId="4DB7EF42" w14:textId="29ECC7A5" w:rsidR="00B303FD" w:rsidRDefault="009C2BC5" w:rsidP="00050609">
            <w:pPr>
              <w:spacing w:before="0" w:after="0"/>
              <w:ind w:left="0"/>
            </w:pPr>
            <w:r>
              <w:rPr>
                <w:rFonts w:ascii="Arial" w:eastAsia="Arial" w:hAnsi="Arial"/>
                <w:color w:val="FFFFFF" w:themeColor="background1"/>
              </w:rPr>
              <w:t>Policy Name</w:t>
            </w:r>
          </w:p>
        </w:tc>
        <w:tc>
          <w:tcPr>
            <w:tcW w:w="4508" w:type="dxa"/>
          </w:tcPr>
          <w:p w14:paraId="24628341" w14:textId="6AC80474" w:rsidR="00B303FD" w:rsidRDefault="00284367" w:rsidP="00050609">
            <w:pPr>
              <w:spacing w:before="0" w:after="0"/>
              <w:ind w:left="0"/>
            </w:pPr>
            <w:r>
              <w:t xml:space="preserve">Accounting &amp; Financial Management </w:t>
            </w:r>
            <w:r w:rsidR="00D63DCA">
              <w:t>Policy</w:t>
            </w:r>
          </w:p>
        </w:tc>
      </w:tr>
      <w:tr w:rsidR="00B303FD" w14:paraId="67F85A89" w14:textId="77777777" w:rsidTr="0014334F">
        <w:trPr>
          <w:gridAfter w:val="1"/>
          <w:wAfter w:w="56" w:type="dxa"/>
        </w:trPr>
        <w:tc>
          <w:tcPr>
            <w:tcW w:w="4508" w:type="dxa"/>
            <w:shd w:val="clear" w:color="auto" w:fill="003087" w:themeFill="accent1"/>
          </w:tcPr>
          <w:p w14:paraId="5548AFC3" w14:textId="2FEDD52B" w:rsidR="00B303FD" w:rsidRPr="009C2BC5" w:rsidRDefault="009C2BC5" w:rsidP="00050609">
            <w:pPr>
              <w:spacing w:before="0" w:after="0"/>
              <w:ind w:left="0"/>
              <w:rPr>
                <w:color w:val="FFFFFF" w:themeColor="background1"/>
              </w:rPr>
            </w:pPr>
            <w:r w:rsidRPr="009C2BC5">
              <w:rPr>
                <w:color w:val="FFFFFF" w:themeColor="background1"/>
              </w:rPr>
              <w:t>Policy Number</w:t>
            </w:r>
          </w:p>
        </w:tc>
        <w:tc>
          <w:tcPr>
            <w:tcW w:w="4508" w:type="dxa"/>
          </w:tcPr>
          <w:p w14:paraId="608BA2FB" w14:textId="2DE13D2A" w:rsidR="00B303FD" w:rsidRDefault="003D1A95" w:rsidP="00050609">
            <w:pPr>
              <w:spacing w:before="0" w:after="0"/>
              <w:ind w:left="0"/>
            </w:pPr>
            <w:r>
              <w:t>MSEICB004</w:t>
            </w:r>
          </w:p>
        </w:tc>
      </w:tr>
      <w:tr w:rsidR="00B303FD" w14:paraId="10214A79" w14:textId="77777777" w:rsidTr="0014334F">
        <w:trPr>
          <w:gridAfter w:val="1"/>
          <w:wAfter w:w="56" w:type="dxa"/>
        </w:trPr>
        <w:tc>
          <w:tcPr>
            <w:tcW w:w="4508" w:type="dxa"/>
            <w:shd w:val="clear" w:color="auto" w:fill="003087" w:themeFill="accent1"/>
          </w:tcPr>
          <w:p w14:paraId="3DB6346D" w14:textId="4B8C29ED" w:rsidR="00B303FD" w:rsidRPr="009C2BC5" w:rsidRDefault="00430DC6" w:rsidP="00050609">
            <w:pPr>
              <w:spacing w:before="0" w:after="0"/>
              <w:ind w:left="0"/>
              <w:rPr>
                <w:color w:val="FFFFFF" w:themeColor="background1"/>
              </w:rPr>
            </w:pPr>
            <w:r>
              <w:rPr>
                <w:color w:val="FFFFFF" w:themeColor="background1"/>
              </w:rPr>
              <w:t>Version</w:t>
            </w:r>
          </w:p>
        </w:tc>
        <w:tc>
          <w:tcPr>
            <w:tcW w:w="4508" w:type="dxa"/>
          </w:tcPr>
          <w:p w14:paraId="120620B4" w14:textId="59204053" w:rsidR="00B303FD" w:rsidRDefault="007A5066" w:rsidP="00050609">
            <w:pPr>
              <w:spacing w:before="0" w:after="0"/>
              <w:ind w:left="0"/>
            </w:pPr>
            <w:r>
              <w:t>2.0</w:t>
            </w:r>
          </w:p>
        </w:tc>
      </w:tr>
      <w:tr w:rsidR="00B303FD" w14:paraId="04512574" w14:textId="77777777" w:rsidTr="0014334F">
        <w:trPr>
          <w:gridAfter w:val="1"/>
          <w:wAfter w:w="56" w:type="dxa"/>
        </w:trPr>
        <w:tc>
          <w:tcPr>
            <w:tcW w:w="4508" w:type="dxa"/>
            <w:shd w:val="clear" w:color="auto" w:fill="003087" w:themeFill="accent1"/>
          </w:tcPr>
          <w:p w14:paraId="6832B675" w14:textId="540BF0A4" w:rsidR="00B303FD" w:rsidRPr="009C2BC5" w:rsidRDefault="00834A93" w:rsidP="00050609">
            <w:pPr>
              <w:spacing w:before="0" w:after="0"/>
              <w:ind w:left="0"/>
              <w:rPr>
                <w:color w:val="FFFFFF" w:themeColor="background1"/>
              </w:rPr>
            </w:pPr>
            <w:r>
              <w:rPr>
                <w:color w:val="FFFFFF" w:themeColor="background1"/>
              </w:rPr>
              <w:t>Status</w:t>
            </w:r>
          </w:p>
        </w:tc>
        <w:tc>
          <w:tcPr>
            <w:tcW w:w="4508" w:type="dxa"/>
          </w:tcPr>
          <w:p w14:paraId="7C8E90AD" w14:textId="348FE27B" w:rsidR="00B303FD" w:rsidRDefault="007A5066" w:rsidP="00050609">
            <w:pPr>
              <w:spacing w:before="0" w:after="0"/>
              <w:ind w:left="0"/>
            </w:pPr>
            <w:r>
              <w:t xml:space="preserve">Final </w:t>
            </w:r>
            <w:r w:rsidR="007D3A42">
              <w:t>version</w:t>
            </w:r>
          </w:p>
        </w:tc>
      </w:tr>
      <w:tr w:rsidR="00B303FD" w14:paraId="4245E4FC" w14:textId="77777777" w:rsidTr="0014334F">
        <w:trPr>
          <w:gridAfter w:val="1"/>
          <w:wAfter w:w="56" w:type="dxa"/>
        </w:trPr>
        <w:tc>
          <w:tcPr>
            <w:tcW w:w="4508" w:type="dxa"/>
            <w:shd w:val="clear" w:color="auto" w:fill="003087" w:themeFill="accent1"/>
          </w:tcPr>
          <w:p w14:paraId="38167622" w14:textId="5FFE1BB3" w:rsidR="00B303FD" w:rsidRPr="009C2BC5" w:rsidRDefault="008235E7" w:rsidP="00050609">
            <w:pPr>
              <w:spacing w:before="0" w:after="0"/>
              <w:ind w:left="0"/>
              <w:rPr>
                <w:color w:val="FFFFFF" w:themeColor="background1"/>
              </w:rPr>
            </w:pPr>
            <w:r>
              <w:rPr>
                <w:color w:val="FFFFFF" w:themeColor="background1"/>
              </w:rPr>
              <w:t>Author / Lead</w:t>
            </w:r>
          </w:p>
        </w:tc>
        <w:tc>
          <w:tcPr>
            <w:tcW w:w="4508" w:type="dxa"/>
          </w:tcPr>
          <w:p w14:paraId="50BEC985" w14:textId="28FB1011" w:rsidR="00B303FD" w:rsidRDefault="00F92936" w:rsidP="00050609">
            <w:pPr>
              <w:spacing w:before="0" w:after="0"/>
              <w:ind w:left="0"/>
            </w:pPr>
            <w:r w:rsidRPr="00F92936">
              <w:t>Deputy Director of Finance Primary Care &amp; Financial Services</w:t>
            </w:r>
          </w:p>
        </w:tc>
      </w:tr>
      <w:tr w:rsidR="00B303FD" w14:paraId="3A951DDD" w14:textId="77777777" w:rsidTr="0014334F">
        <w:trPr>
          <w:gridAfter w:val="1"/>
          <w:wAfter w:w="56" w:type="dxa"/>
        </w:trPr>
        <w:tc>
          <w:tcPr>
            <w:tcW w:w="4508" w:type="dxa"/>
            <w:shd w:val="clear" w:color="auto" w:fill="003087" w:themeFill="accent1"/>
          </w:tcPr>
          <w:p w14:paraId="0E6E6015" w14:textId="05DB4D20" w:rsidR="00B303FD" w:rsidRPr="009C2BC5" w:rsidRDefault="00E277DF" w:rsidP="00050609">
            <w:pPr>
              <w:spacing w:before="0" w:after="0"/>
              <w:ind w:left="0"/>
              <w:rPr>
                <w:color w:val="FFFFFF" w:themeColor="background1"/>
              </w:rPr>
            </w:pPr>
            <w:r>
              <w:rPr>
                <w:color w:val="FFFFFF" w:themeColor="background1"/>
              </w:rPr>
              <w:t>Responsible Executive Director</w:t>
            </w:r>
          </w:p>
        </w:tc>
        <w:tc>
          <w:tcPr>
            <w:tcW w:w="4508" w:type="dxa"/>
          </w:tcPr>
          <w:p w14:paraId="3B68B283" w14:textId="31BA6315" w:rsidR="00B303FD" w:rsidRDefault="00C0416F" w:rsidP="00050609">
            <w:pPr>
              <w:spacing w:before="0" w:after="0"/>
              <w:ind w:left="0"/>
            </w:pPr>
            <w:r>
              <w:t xml:space="preserve">Executive Chief Finance Officer </w:t>
            </w:r>
          </w:p>
        </w:tc>
      </w:tr>
      <w:tr w:rsidR="00B303FD" w14:paraId="34E34245" w14:textId="77777777" w:rsidTr="0014334F">
        <w:trPr>
          <w:gridAfter w:val="1"/>
          <w:wAfter w:w="56" w:type="dxa"/>
        </w:trPr>
        <w:tc>
          <w:tcPr>
            <w:tcW w:w="4508" w:type="dxa"/>
            <w:shd w:val="clear" w:color="auto" w:fill="003087" w:themeFill="accent1"/>
          </w:tcPr>
          <w:p w14:paraId="05A76BB3" w14:textId="43ABDE69" w:rsidR="00337A9E" w:rsidRPr="009C2BC5" w:rsidRDefault="00337A9E" w:rsidP="00050609">
            <w:pPr>
              <w:spacing w:before="0" w:after="0"/>
              <w:ind w:left="0"/>
              <w:rPr>
                <w:color w:val="FFFFFF" w:themeColor="background1"/>
              </w:rPr>
            </w:pPr>
            <w:r>
              <w:rPr>
                <w:color w:val="FFFFFF" w:themeColor="background1"/>
              </w:rPr>
              <w:t>Responsible Commi</w:t>
            </w:r>
            <w:r w:rsidR="00374C45">
              <w:rPr>
                <w:color w:val="FFFFFF" w:themeColor="background1"/>
              </w:rPr>
              <w:t>ttee</w:t>
            </w:r>
          </w:p>
        </w:tc>
        <w:tc>
          <w:tcPr>
            <w:tcW w:w="4508" w:type="dxa"/>
          </w:tcPr>
          <w:p w14:paraId="02DB5F4A" w14:textId="69E29635" w:rsidR="00B303FD" w:rsidRDefault="001A129D" w:rsidP="00050609">
            <w:pPr>
              <w:spacing w:before="0" w:after="0"/>
              <w:ind w:left="0"/>
            </w:pPr>
            <w:r>
              <w:t>Audit Committee</w:t>
            </w:r>
          </w:p>
        </w:tc>
      </w:tr>
      <w:tr w:rsidR="00B303FD" w14:paraId="2135B8B0" w14:textId="77777777" w:rsidTr="0014334F">
        <w:trPr>
          <w:gridAfter w:val="1"/>
          <w:wAfter w:w="56" w:type="dxa"/>
        </w:trPr>
        <w:tc>
          <w:tcPr>
            <w:tcW w:w="4508" w:type="dxa"/>
            <w:shd w:val="clear" w:color="auto" w:fill="003087" w:themeFill="accent1"/>
          </w:tcPr>
          <w:p w14:paraId="0D72273D" w14:textId="44B83ADD" w:rsidR="00B303FD" w:rsidRPr="009C2BC5" w:rsidRDefault="007A2B3E" w:rsidP="00050609">
            <w:pPr>
              <w:spacing w:before="0" w:after="0"/>
              <w:ind w:left="0"/>
              <w:rPr>
                <w:color w:val="FFFFFF" w:themeColor="background1"/>
              </w:rPr>
            </w:pPr>
            <w:r>
              <w:rPr>
                <w:color w:val="FFFFFF" w:themeColor="background1"/>
              </w:rPr>
              <w:t>Date Ratified by Responsible Committee</w:t>
            </w:r>
          </w:p>
        </w:tc>
        <w:tc>
          <w:tcPr>
            <w:tcW w:w="4508" w:type="dxa"/>
          </w:tcPr>
          <w:p w14:paraId="6F58154A" w14:textId="7F5F8165" w:rsidR="00B303FD" w:rsidRDefault="001701B8" w:rsidP="00050609">
            <w:pPr>
              <w:spacing w:before="0" w:after="0"/>
              <w:ind w:left="0"/>
            </w:pPr>
            <w:r>
              <w:t>23 July 202</w:t>
            </w:r>
            <w:r w:rsidR="003F35CC">
              <w:t>4</w:t>
            </w:r>
          </w:p>
        </w:tc>
      </w:tr>
      <w:tr w:rsidR="00B303FD" w14:paraId="3ED5EF8B" w14:textId="77777777" w:rsidTr="0014334F">
        <w:trPr>
          <w:gridAfter w:val="1"/>
          <w:wAfter w:w="56" w:type="dxa"/>
        </w:trPr>
        <w:tc>
          <w:tcPr>
            <w:tcW w:w="4508" w:type="dxa"/>
            <w:shd w:val="clear" w:color="auto" w:fill="003087" w:themeFill="accent1"/>
          </w:tcPr>
          <w:p w14:paraId="24FAF4B5" w14:textId="020E86F5" w:rsidR="00B303FD" w:rsidRPr="009C2BC5" w:rsidRDefault="009305D7" w:rsidP="00050609">
            <w:pPr>
              <w:spacing w:before="0" w:after="0"/>
              <w:ind w:left="0"/>
              <w:rPr>
                <w:color w:val="FFFFFF" w:themeColor="background1"/>
              </w:rPr>
            </w:pPr>
            <w:r>
              <w:rPr>
                <w:color w:val="FFFFFF" w:themeColor="background1"/>
              </w:rPr>
              <w:t>Date Approved by Board</w:t>
            </w:r>
          </w:p>
        </w:tc>
        <w:tc>
          <w:tcPr>
            <w:tcW w:w="4508" w:type="dxa"/>
          </w:tcPr>
          <w:p w14:paraId="4A8A8325" w14:textId="32819750" w:rsidR="00B303FD" w:rsidRDefault="007A5066" w:rsidP="00050609">
            <w:pPr>
              <w:spacing w:before="0" w:after="0"/>
              <w:ind w:left="0"/>
            </w:pPr>
            <w:r>
              <w:t xml:space="preserve">September </w:t>
            </w:r>
            <w:r w:rsidR="00867580">
              <w:t>20</w:t>
            </w:r>
            <w:r w:rsidR="00232CD3">
              <w:t>24</w:t>
            </w:r>
          </w:p>
        </w:tc>
      </w:tr>
      <w:tr w:rsidR="00B303FD" w14:paraId="5C1E2689" w14:textId="77777777" w:rsidTr="0014334F">
        <w:trPr>
          <w:gridAfter w:val="1"/>
          <w:wAfter w:w="56" w:type="dxa"/>
        </w:trPr>
        <w:tc>
          <w:tcPr>
            <w:tcW w:w="4508" w:type="dxa"/>
            <w:shd w:val="clear" w:color="auto" w:fill="003087" w:themeFill="accent1"/>
          </w:tcPr>
          <w:p w14:paraId="30537DD1" w14:textId="07A32432" w:rsidR="00B303FD" w:rsidRPr="009C2BC5" w:rsidRDefault="005F32B5" w:rsidP="00050609">
            <w:pPr>
              <w:spacing w:before="0" w:after="0"/>
              <w:ind w:left="0"/>
              <w:rPr>
                <w:color w:val="FFFFFF" w:themeColor="background1"/>
              </w:rPr>
            </w:pPr>
            <w:r>
              <w:rPr>
                <w:color w:val="FFFFFF" w:themeColor="background1"/>
              </w:rPr>
              <w:t>Next Review Date</w:t>
            </w:r>
          </w:p>
        </w:tc>
        <w:tc>
          <w:tcPr>
            <w:tcW w:w="4508" w:type="dxa"/>
          </w:tcPr>
          <w:p w14:paraId="0E0E77FF" w14:textId="4EFBDADB" w:rsidR="00B303FD" w:rsidRDefault="008F6C9B" w:rsidP="00050609">
            <w:pPr>
              <w:spacing w:before="0" w:after="0"/>
              <w:ind w:left="0"/>
            </w:pPr>
            <w:r>
              <w:t>July 202</w:t>
            </w:r>
            <w:r w:rsidR="00F92936">
              <w:t>6</w:t>
            </w:r>
          </w:p>
        </w:tc>
      </w:tr>
      <w:tr w:rsidR="00F95DC7" w14:paraId="0BA71870" w14:textId="77777777" w:rsidTr="0014334F">
        <w:trPr>
          <w:gridAfter w:val="1"/>
          <w:wAfter w:w="56" w:type="dxa"/>
        </w:trPr>
        <w:tc>
          <w:tcPr>
            <w:tcW w:w="4508" w:type="dxa"/>
            <w:shd w:val="clear" w:color="auto" w:fill="003087" w:themeFill="accent1"/>
          </w:tcPr>
          <w:p w14:paraId="7A4153F7" w14:textId="3D5544A7" w:rsidR="00F95DC7" w:rsidRDefault="00241631" w:rsidP="00050609">
            <w:pPr>
              <w:spacing w:before="0" w:after="0"/>
              <w:ind w:left="0"/>
              <w:rPr>
                <w:color w:val="FFFFFF" w:themeColor="background1"/>
              </w:rPr>
            </w:pPr>
            <w:r>
              <w:rPr>
                <w:color w:val="FFFFFF" w:themeColor="background1"/>
              </w:rPr>
              <w:t>Target Audience</w:t>
            </w:r>
          </w:p>
        </w:tc>
        <w:tc>
          <w:tcPr>
            <w:tcW w:w="4508" w:type="dxa"/>
          </w:tcPr>
          <w:p w14:paraId="4F8DF64C" w14:textId="77777777" w:rsidR="00197744" w:rsidRPr="00190D44" w:rsidRDefault="00197744" w:rsidP="00050609">
            <w:pPr>
              <w:pStyle w:val="ListParagraph"/>
              <w:numPr>
                <w:ilvl w:val="0"/>
                <w:numId w:val="32"/>
              </w:numPr>
              <w:spacing w:before="0" w:after="0"/>
              <w:ind w:left="0"/>
            </w:pPr>
            <w:bookmarkStart w:id="2" w:name="_Hlk95224276"/>
            <w:r w:rsidRPr="00190D44">
              <w:t>MSE ICB staff (including temporary/ bank/agency staff)</w:t>
            </w:r>
          </w:p>
          <w:p w14:paraId="142E9708" w14:textId="77777777" w:rsidR="00197744" w:rsidRPr="00190D44" w:rsidRDefault="00197744" w:rsidP="00050609">
            <w:pPr>
              <w:pStyle w:val="ListParagraph"/>
              <w:numPr>
                <w:ilvl w:val="0"/>
                <w:numId w:val="32"/>
              </w:numPr>
              <w:spacing w:before="0" w:after="0"/>
              <w:ind w:left="0"/>
            </w:pPr>
            <w:r w:rsidRPr="00190D44">
              <w:t xml:space="preserve">Contractors engaged by the MSE ICB </w:t>
            </w:r>
          </w:p>
          <w:p w14:paraId="373F1F78" w14:textId="5A64C414" w:rsidR="00F95DC7" w:rsidRDefault="00197744" w:rsidP="00050609">
            <w:pPr>
              <w:spacing w:before="0" w:after="0"/>
              <w:ind w:left="0"/>
            </w:pPr>
            <w:r w:rsidRPr="00190D44">
              <w:t>Staff from other MSE ICS Partnership organisations working on behalf of the ICB</w:t>
            </w:r>
            <w:bookmarkEnd w:id="2"/>
          </w:p>
        </w:tc>
      </w:tr>
      <w:tr w:rsidR="00E22F5F" w14:paraId="277117D8" w14:textId="77777777" w:rsidTr="0014334F">
        <w:trPr>
          <w:gridAfter w:val="1"/>
          <w:wAfter w:w="56" w:type="dxa"/>
        </w:trPr>
        <w:tc>
          <w:tcPr>
            <w:tcW w:w="4508" w:type="dxa"/>
            <w:shd w:val="clear" w:color="auto" w:fill="003087" w:themeFill="accent1"/>
          </w:tcPr>
          <w:p w14:paraId="73046DC4" w14:textId="30D53234" w:rsidR="00E22F5F" w:rsidRDefault="00E22F5F" w:rsidP="00050609">
            <w:pPr>
              <w:spacing w:before="0" w:after="0"/>
              <w:ind w:left="0"/>
              <w:rPr>
                <w:color w:val="FFFFFF" w:themeColor="background1"/>
              </w:rPr>
            </w:pPr>
            <w:r>
              <w:rPr>
                <w:color w:val="FFFFFF" w:themeColor="background1"/>
              </w:rPr>
              <w:t>Stakeholders Engaged in Development of Policy (internal and external)</w:t>
            </w:r>
          </w:p>
        </w:tc>
        <w:tc>
          <w:tcPr>
            <w:tcW w:w="4508" w:type="dxa"/>
          </w:tcPr>
          <w:p w14:paraId="3CD893DD" w14:textId="19D9AE77" w:rsidR="00F92936" w:rsidRDefault="001701B8" w:rsidP="00050609">
            <w:pPr>
              <w:spacing w:before="0" w:after="0"/>
              <w:ind w:left="0"/>
            </w:pPr>
            <w:r w:rsidRPr="00F92936">
              <w:t xml:space="preserve">Director of Finance – </w:t>
            </w:r>
            <w:bookmarkStart w:id="3" w:name="_Hlk170914021"/>
            <w:r w:rsidRPr="00F92936">
              <w:t>Primary Care, Financial Services &amp; Infrastructure</w:t>
            </w:r>
            <w:bookmarkEnd w:id="3"/>
            <w:r>
              <w:t>,</w:t>
            </w:r>
            <w:r w:rsidRPr="00F92936">
              <w:t xml:space="preserve"> </w:t>
            </w:r>
            <w:r w:rsidR="00F92936" w:rsidRPr="00F92936">
              <w:t>Deputy Director of Finance Primary Care &amp; Financial Services</w:t>
            </w:r>
            <w:r w:rsidR="00F119DD">
              <w:t>,</w:t>
            </w:r>
          </w:p>
          <w:p w14:paraId="00B922DB" w14:textId="56C009E8" w:rsidR="00F92936" w:rsidRDefault="00F92936" w:rsidP="00050609">
            <w:pPr>
              <w:spacing w:before="0" w:after="0"/>
              <w:ind w:left="0"/>
            </w:pPr>
            <w:r>
              <w:t xml:space="preserve">Head of </w:t>
            </w:r>
            <w:r w:rsidR="001701B8">
              <w:t>Financial Services</w:t>
            </w:r>
            <w:r w:rsidR="00F119DD">
              <w:t>,</w:t>
            </w:r>
          </w:p>
          <w:p w14:paraId="3F9451E6" w14:textId="4BD1AC60" w:rsidR="00F92936" w:rsidRDefault="00F92936" w:rsidP="00050609">
            <w:pPr>
              <w:spacing w:before="0" w:after="0"/>
              <w:ind w:left="0"/>
            </w:pPr>
            <w:r>
              <w:t>Senior Financial Accountant</w:t>
            </w:r>
            <w:r w:rsidR="00F119DD">
              <w:t>,</w:t>
            </w:r>
          </w:p>
          <w:p w14:paraId="0BF3EA53" w14:textId="6CBEDBFB" w:rsidR="00F92936" w:rsidRDefault="001701B8" w:rsidP="00050609">
            <w:pPr>
              <w:spacing w:before="0" w:after="0"/>
              <w:ind w:left="0"/>
            </w:pPr>
            <w:r>
              <w:t>ICB Audit Committee</w:t>
            </w:r>
          </w:p>
        </w:tc>
      </w:tr>
      <w:tr w:rsidR="00B833D7" w14:paraId="63ABF045" w14:textId="77777777" w:rsidTr="0014334F">
        <w:trPr>
          <w:gridAfter w:val="1"/>
          <w:wAfter w:w="56" w:type="dxa"/>
        </w:trPr>
        <w:tc>
          <w:tcPr>
            <w:tcW w:w="4508" w:type="dxa"/>
            <w:shd w:val="clear" w:color="auto" w:fill="003087" w:themeFill="accent1"/>
          </w:tcPr>
          <w:p w14:paraId="31A21A70" w14:textId="31FD7092" w:rsidR="00B833D7" w:rsidRDefault="00B833D7" w:rsidP="00050609">
            <w:pPr>
              <w:spacing w:before="0" w:after="0"/>
              <w:ind w:left="0"/>
              <w:rPr>
                <w:color w:val="FFFFFF" w:themeColor="background1"/>
              </w:rPr>
            </w:pPr>
            <w:r>
              <w:rPr>
                <w:color w:val="FFFFFF" w:themeColor="background1"/>
              </w:rPr>
              <w:t>Impact Assessments Undertaken</w:t>
            </w:r>
          </w:p>
        </w:tc>
        <w:tc>
          <w:tcPr>
            <w:tcW w:w="4508" w:type="dxa"/>
          </w:tcPr>
          <w:p w14:paraId="32DD023F" w14:textId="03ADB651" w:rsidR="00B833D7" w:rsidRDefault="00B833D7" w:rsidP="00050609">
            <w:pPr>
              <w:spacing w:before="0" w:after="0"/>
              <w:ind w:left="0"/>
            </w:pPr>
            <w:r>
              <w:t>Equality &amp; Health Inequalities Impact Assessment</w:t>
            </w:r>
          </w:p>
        </w:tc>
      </w:tr>
    </w:tbl>
    <w:p w14:paraId="49F0AC0B" w14:textId="77777777" w:rsidR="00FD2B5D" w:rsidRPr="00DA22B6" w:rsidRDefault="00FD2B5D" w:rsidP="00FD2B5D">
      <w:pPr>
        <w:pStyle w:val="Heading1"/>
      </w:pPr>
      <w:bookmarkStart w:id="4" w:name="_Toc88478175"/>
      <w:r w:rsidRPr="00332F7C">
        <w:t>Version History</w:t>
      </w:r>
      <w:bookmarkEnd w:id="4"/>
    </w:p>
    <w:tbl>
      <w:tblPr>
        <w:tblStyle w:val="TableGrid"/>
        <w:tblW w:w="0" w:type="auto"/>
        <w:tblLook w:val="04A0" w:firstRow="1" w:lastRow="0" w:firstColumn="1" w:lastColumn="0" w:noHBand="0" w:noVBand="1"/>
      </w:tblPr>
      <w:tblGrid>
        <w:gridCol w:w="1096"/>
        <w:gridCol w:w="1073"/>
        <w:gridCol w:w="3010"/>
        <w:gridCol w:w="3837"/>
      </w:tblGrid>
      <w:tr w:rsidR="00050609" w:rsidRPr="00050609" w14:paraId="2E17DEEA" w14:textId="77777777" w:rsidTr="00050609">
        <w:trPr>
          <w:trHeight w:val="424"/>
          <w:tblHeader/>
        </w:trPr>
        <w:tc>
          <w:tcPr>
            <w:tcW w:w="1096" w:type="dxa"/>
            <w:shd w:val="clear" w:color="auto" w:fill="003087" w:themeFill="accent1"/>
            <w:vAlign w:val="center"/>
          </w:tcPr>
          <w:p w14:paraId="0200500D" w14:textId="016507D8" w:rsidR="00050609" w:rsidRPr="00050609" w:rsidRDefault="00050609" w:rsidP="00546A28">
            <w:pPr>
              <w:pStyle w:val="NoSpacing"/>
              <w:rPr>
                <w:color w:val="FFFFFF" w:themeColor="background1"/>
              </w:rPr>
            </w:pPr>
            <w:r w:rsidRPr="00050609">
              <w:rPr>
                <w:color w:val="FFFFFF" w:themeColor="background1"/>
              </w:rPr>
              <w:t>Version</w:t>
            </w:r>
          </w:p>
        </w:tc>
        <w:tc>
          <w:tcPr>
            <w:tcW w:w="1073" w:type="dxa"/>
            <w:shd w:val="clear" w:color="auto" w:fill="003087" w:themeFill="accent1"/>
            <w:vAlign w:val="center"/>
          </w:tcPr>
          <w:p w14:paraId="610BABDB" w14:textId="3B3B45DC" w:rsidR="00050609" w:rsidRPr="00050609" w:rsidRDefault="00050609" w:rsidP="00546A28">
            <w:pPr>
              <w:pStyle w:val="NoSpacing"/>
              <w:rPr>
                <w:color w:val="FFFFFF" w:themeColor="background1"/>
              </w:rPr>
            </w:pPr>
            <w:r w:rsidRPr="00050609">
              <w:rPr>
                <w:color w:val="FFFFFF" w:themeColor="background1"/>
              </w:rPr>
              <w:t>Date</w:t>
            </w:r>
          </w:p>
        </w:tc>
        <w:tc>
          <w:tcPr>
            <w:tcW w:w="3010" w:type="dxa"/>
            <w:shd w:val="clear" w:color="auto" w:fill="003087" w:themeFill="accent1"/>
            <w:vAlign w:val="center"/>
          </w:tcPr>
          <w:p w14:paraId="17CCE60D" w14:textId="7AC0EE9A" w:rsidR="00050609" w:rsidRPr="00050609" w:rsidRDefault="00050609" w:rsidP="00546A28">
            <w:pPr>
              <w:pStyle w:val="NoSpacing"/>
              <w:rPr>
                <w:color w:val="FFFFFF" w:themeColor="background1"/>
              </w:rPr>
            </w:pPr>
            <w:r w:rsidRPr="00050609">
              <w:rPr>
                <w:color w:val="FFFFFF" w:themeColor="background1"/>
              </w:rPr>
              <w:t>Author (Name and Title)</w:t>
            </w:r>
          </w:p>
        </w:tc>
        <w:tc>
          <w:tcPr>
            <w:tcW w:w="3837" w:type="dxa"/>
            <w:shd w:val="clear" w:color="auto" w:fill="003087" w:themeFill="accent1"/>
            <w:vAlign w:val="center"/>
          </w:tcPr>
          <w:p w14:paraId="2AA24403" w14:textId="2B5E8A22" w:rsidR="00050609" w:rsidRPr="00050609" w:rsidRDefault="00050609" w:rsidP="00546A28">
            <w:pPr>
              <w:pStyle w:val="NoSpacing"/>
              <w:rPr>
                <w:color w:val="FFFFFF" w:themeColor="background1"/>
              </w:rPr>
            </w:pPr>
            <w:r w:rsidRPr="00050609">
              <w:rPr>
                <w:color w:val="FFFFFF" w:themeColor="background1"/>
              </w:rPr>
              <w:t>Summary of amendments made</w:t>
            </w:r>
          </w:p>
        </w:tc>
      </w:tr>
      <w:tr w:rsidR="00FD2B5D" w14:paraId="3D78C677" w14:textId="77777777" w:rsidTr="00050609">
        <w:trPr>
          <w:trHeight w:val="424"/>
        </w:trPr>
        <w:tc>
          <w:tcPr>
            <w:tcW w:w="1096" w:type="dxa"/>
            <w:vAlign w:val="center"/>
          </w:tcPr>
          <w:p w14:paraId="04931F40" w14:textId="676FBE89" w:rsidR="00FD2B5D" w:rsidRDefault="00C93877" w:rsidP="00546A28">
            <w:pPr>
              <w:pStyle w:val="NoSpacing"/>
            </w:pPr>
            <w:r>
              <w:t>0.1</w:t>
            </w:r>
          </w:p>
        </w:tc>
        <w:tc>
          <w:tcPr>
            <w:tcW w:w="1073" w:type="dxa"/>
            <w:vAlign w:val="center"/>
          </w:tcPr>
          <w:p w14:paraId="1B227E4B" w14:textId="3C309E89" w:rsidR="00FD2B5D" w:rsidRDefault="00BF60B4" w:rsidP="00546A28">
            <w:pPr>
              <w:pStyle w:val="NoSpacing"/>
            </w:pPr>
            <w:r>
              <w:t>21</w:t>
            </w:r>
            <w:r w:rsidR="000D2EF4">
              <w:t>.04.22</w:t>
            </w:r>
          </w:p>
        </w:tc>
        <w:tc>
          <w:tcPr>
            <w:tcW w:w="3010" w:type="dxa"/>
            <w:vAlign w:val="center"/>
          </w:tcPr>
          <w:p w14:paraId="1553C4E3" w14:textId="548730AC" w:rsidR="00FD2B5D" w:rsidRDefault="00646D90" w:rsidP="00546A28">
            <w:pPr>
              <w:pStyle w:val="NoSpacing"/>
            </w:pPr>
            <w:r>
              <w:t>Ruth Blake, Interim Manager – ICB Transition</w:t>
            </w:r>
          </w:p>
        </w:tc>
        <w:tc>
          <w:tcPr>
            <w:tcW w:w="3837" w:type="dxa"/>
            <w:vAlign w:val="center"/>
          </w:tcPr>
          <w:p w14:paraId="49B4F070" w14:textId="41CA6B4E" w:rsidR="00FD2B5D" w:rsidRDefault="00243626" w:rsidP="00546A28">
            <w:pPr>
              <w:pStyle w:val="NoSpacing"/>
            </w:pPr>
            <w:r>
              <w:t>Draft ICB Policy</w:t>
            </w:r>
          </w:p>
        </w:tc>
      </w:tr>
      <w:tr w:rsidR="00FD2B5D" w14:paraId="5743EC0C" w14:textId="77777777" w:rsidTr="00050609">
        <w:trPr>
          <w:trHeight w:val="402"/>
        </w:trPr>
        <w:tc>
          <w:tcPr>
            <w:tcW w:w="1096" w:type="dxa"/>
            <w:vAlign w:val="center"/>
          </w:tcPr>
          <w:p w14:paraId="5D628B89" w14:textId="285860AC" w:rsidR="00FD2B5D" w:rsidRDefault="003976E7" w:rsidP="00546A28">
            <w:pPr>
              <w:pStyle w:val="NoSpacing"/>
            </w:pPr>
            <w:r>
              <w:t>0.2</w:t>
            </w:r>
          </w:p>
        </w:tc>
        <w:tc>
          <w:tcPr>
            <w:tcW w:w="1073" w:type="dxa"/>
            <w:vAlign w:val="center"/>
          </w:tcPr>
          <w:p w14:paraId="288FEB7A" w14:textId="5031B120" w:rsidR="00FD2B5D" w:rsidRDefault="002B237C" w:rsidP="00546A28">
            <w:pPr>
              <w:pStyle w:val="NoSpacing"/>
            </w:pPr>
            <w:r>
              <w:t>10</w:t>
            </w:r>
            <w:r w:rsidR="003976E7">
              <w:t>.05.22</w:t>
            </w:r>
          </w:p>
        </w:tc>
        <w:tc>
          <w:tcPr>
            <w:tcW w:w="3010" w:type="dxa"/>
            <w:vAlign w:val="center"/>
          </w:tcPr>
          <w:p w14:paraId="34495F98" w14:textId="46561C24" w:rsidR="00FD2B5D" w:rsidRDefault="003976E7" w:rsidP="00546A28">
            <w:pPr>
              <w:pStyle w:val="NoSpacing"/>
            </w:pPr>
            <w:r>
              <w:t>Ruth Blake, Interim Manager – ICB Transition</w:t>
            </w:r>
          </w:p>
        </w:tc>
        <w:tc>
          <w:tcPr>
            <w:tcW w:w="3837" w:type="dxa"/>
            <w:vAlign w:val="center"/>
          </w:tcPr>
          <w:p w14:paraId="7DE50D80" w14:textId="09DD1C1E" w:rsidR="00FD2B5D" w:rsidRDefault="00B044AD" w:rsidP="00546A28">
            <w:pPr>
              <w:pStyle w:val="NoSpacing"/>
            </w:pPr>
            <w:r>
              <w:t>RB updates to Policy following discussion with transition group</w:t>
            </w:r>
            <w:r w:rsidR="00E66271">
              <w:t>,</w:t>
            </w:r>
            <w:r>
              <w:t xml:space="preserve"> and further completion of definitions, </w:t>
            </w:r>
            <w:r w:rsidR="00E66271">
              <w:t>compliance,</w:t>
            </w:r>
            <w:r>
              <w:t xml:space="preserve"> and reference sections</w:t>
            </w:r>
            <w:r w:rsidR="006825B0">
              <w:t>. Incorporate comments from initial review by Colin Larby, Internal Audit</w:t>
            </w:r>
          </w:p>
        </w:tc>
      </w:tr>
      <w:tr w:rsidR="00FD2B5D" w14:paraId="2385A697" w14:textId="77777777" w:rsidTr="00050609">
        <w:trPr>
          <w:trHeight w:val="423"/>
        </w:trPr>
        <w:tc>
          <w:tcPr>
            <w:tcW w:w="1096" w:type="dxa"/>
            <w:vAlign w:val="center"/>
          </w:tcPr>
          <w:p w14:paraId="63C36EA2" w14:textId="49BC5876" w:rsidR="00FD2B5D" w:rsidRDefault="00511EA0" w:rsidP="00546A28">
            <w:pPr>
              <w:pStyle w:val="NoSpacing"/>
            </w:pPr>
            <w:r>
              <w:t>0.3</w:t>
            </w:r>
          </w:p>
        </w:tc>
        <w:tc>
          <w:tcPr>
            <w:tcW w:w="1073" w:type="dxa"/>
            <w:vAlign w:val="center"/>
          </w:tcPr>
          <w:p w14:paraId="5B783ABB" w14:textId="6908CF40" w:rsidR="00FD2B5D" w:rsidRDefault="00511EA0" w:rsidP="00546A28">
            <w:pPr>
              <w:pStyle w:val="NoSpacing"/>
            </w:pPr>
            <w:r>
              <w:t>18.05.22</w:t>
            </w:r>
          </w:p>
        </w:tc>
        <w:tc>
          <w:tcPr>
            <w:tcW w:w="3010" w:type="dxa"/>
            <w:vAlign w:val="center"/>
          </w:tcPr>
          <w:p w14:paraId="2E71F7C5" w14:textId="76B3A555" w:rsidR="00FD2B5D" w:rsidRDefault="00511EA0" w:rsidP="00546A28">
            <w:pPr>
              <w:pStyle w:val="NoSpacing"/>
            </w:pPr>
            <w:r>
              <w:t>Ruth Blake, Interim Manager – ICB Transition</w:t>
            </w:r>
          </w:p>
        </w:tc>
        <w:tc>
          <w:tcPr>
            <w:tcW w:w="3837" w:type="dxa"/>
            <w:vAlign w:val="center"/>
          </w:tcPr>
          <w:p w14:paraId="653B0041" w14:textId="2DAF100D" w:rsidR="00FD2B5D" w:rsidRDefault="00511EA0" w:rsidP="00546A28">
            <w:pPr>
              <w:pStyle w:val="NoSpacing"/>
            </w:pPr>
            <w:r>
              <w:t xml:space="preserve">RB updates to Policy following </w:t>
            </w:r>
            <w:r w:rsidR="00646030">
              <w:t xml:space="preserve">input from various finance team members </w:t>
            </w:r>
            <w:r w:rsidR="00646030">
              <w:lastRenderedPageBreak/>
              <w:t>and remove track changes for Audit Committee review</w:t>
            </w:r>
          </w:p>
        </w:tc>
      </w:tr>
      <w:tr w:rsidR="00FD2B5D" w14:paraId="60CB267F" w14:textId="77777777" w:rsidTr="00050609">
        <w:trPr>
          <w:trHeight w:val="423"/>
        </w:trPr>
        <w:tc>
          <w:tcPr>
            <w:tcW w:w="1096" w:type="dxa"/>
            <w:vAlign w:val="center"/>
          </w:tcPr>
          <w:p w14:paraId="5954B4B0" w14:textId="38FD6850" w:rsidR="00FD2B5D" w:rsidRDefault="00050609" w:rsidP="00546A28">
            <w:pPr>
              <w:pStyle w:val="NoSpacing"/>
            </w:pPr>
            <w:r>
              <w:lastRenderedPageBreak/>
              <w:t>0.4</w:t>
            </w:r>
          </w:p>
        </w:tc>
        <w:tc>
          <w:tcPr>
            <w:tcW w:w="1073" w:type="dxa"/>
            <w:vAlign w:val="center"/>
          </w:tcPr>
          <w:p w14:paraId="21A4A8DE" w14:textId="238323F2" w:rsidR="00FD2B5D" w:rsidRDefault="003D1A95" w:rsidP="00546A28">
            <w:pPr>
              <w:pStyle w:val="NoSpacing"/>
            </w:pPr>
            <w:r>
              <w:t>06.07.22</w:t>
            </w:r>
          </w:p>
        </w:tc>
        <w:tc>
          <w:tcPr>
            <w:tcW w:w="3010" w:type="dxa"/>
            <w:vAlign w:val="center"/>
          </w:tcPr>
          <w:p w14:paraId="44EF19D3" w14:textId="64CC2855" w:rsidR="00FD2B5D" w:rsidRDefault="003D1A95" w:rsidP="00546A28">
            <w:pPr>
              <w:pStyle w:val="NoSpacing"/>
            </w:pPr>
            <w:r>
              <w:t>David Triggs, Governance Lead</w:t>
            </w:r>
          </w:p>
        </w:tc>
        <w:tc>
          <w:tcPr>
            <w:tcW w:w="3837" w:type="dxa"/>
            <w:vAlign w:val="center"/>
          </w:tcPr>
          <w:p w14:paraId="23BE90F1" w14:textId="4F829B15" w:rsidR="00FD2B5D" w:rsidRDefault="003D1A95" w:rsidP="00546A28">
            <w:pPr>
              <w:pStyle w:val="NoSpacing"/>
            </w:pPr>
            <w:r>
              <w:t>Final checks</w:t>
            </w:r>
          </w:p>
        </w:tc>
      </w:tr>
      <w:tr w:rsidR="00FD2B5D" w14:paraId="6122946F" w14:textId="77777777" w:rsidTr="00050609">
        <w:trPr>
          <w:trHeight w:val="423"/>
        </w:trPr>
        <w:tc>
          <w:tcPr>
            <w:tcW w:w="1096" w:type="dxa"/>
            <w:vAlign w:val="center"/>
          </w:tcPr>
          <w:p w14:paraId="6C90B1C6" w14:textId="113A0682" w:rsidR="00FD2B5D" w:rsidRDefault="00050609" w:rsidP="00546A28">
            <w:pPr>
              <w:pStyle w:val="NoSpacing"/>
            </w:pPr>
            <w:r>
              <w:t>1.0</w:t>
            </w:r>
          </w:p>
        </w:tc>
        <w:tc>
          <w:tcPr>
            <w:tcW w:w="1073" w:type="dxa"/>
            <w:vAlign w:val="center"/>
          </w:tcPr>
          <w:p w14:paraId="0600D864" w14:textId="4FA179A3" w:rsidR="00FD2B5D" w:rsidRDefault="00050609" w:rsidP="00546A28">
            <w:pPr>
              <w:pStyle w:val="NoSpacing"/>
            </w:pPr>
            <w:r>
              <w:t>12</w:t>
            </w:r>
            <w:r w:rsidR="00E03562">
              <w:t>.</w:t>
            </w:r>
            <w:r>
              <w:t>08</w:t>
            </w:r>
            <w:r w:rsidR="00E03562">
              <w:t>.</w:t>
            </w:r>
            <w:r>
              <w:t>22</w:t>
            </w:r>
          </w:p>
        </w:tc>
        <w:tc>
          <w:tcPr>
            <w:tcW w:w="3010" w:type="dxa"/>
            <w:vAlign w:val="center"/>
          </w:tcPr>
          <w:p w14:paraId="71834E23" w14:textId="77777777" w:rsidR="00E03562" w:rsidRDefault="00050609" w:rsidP="00546A28">
            <w:pPr>
              <w:pStyle w:val="NoSpacing"/>
            </w:pPr>
            <w:r>
              <w:t>Marion Barritt/Sara O’Connor</w:t>
            </w:r>
            <w:r w:rsidR="00E03562">
              <w:t xml:space="preserve"> and </w:t>
            </w:r>
          </w:p>
          <w:p w14:paraId="697A37B0" w14:textId="5ABF21DF" w:rsidR="00FD2B5D" w:rsidRDefault="00E03562" w:rsidP="00546A28">
            <w:pPr>
              <w:pStyle w:val="NoSpacing"/>
            </w:pPr>
            <w:r>
              <w:t>Darren Mellis &amp; John Harris</w:t>
            </w:r>
          </w:p>
        </w:tc>
        <w:tc>
          <w:tcPr>
            <w:tcW w:w="3837" w:type="dxa"/>
            <w:vAlign w:val="center"/>
          </w:tcPr>
          <w:p w14:paraId="10B74018" w14:textId="3085DF30" w:rsidR="00FD2B5D" w:rsidRDefault="00050609" w:rsidP="00546A28">
            <w:pPr>
              <w:pStyle w:val="NoSpacing"/>
            </w:pPr>
            <w:r>
              <w:t xml:space="preserve">Final review against policy checklist. </w:t>
            </w:r>
          </w:p>
        </w:tc>
      </w:tr>
      <w:tr w:rsidR="00FD2B5D" w14:paraId="41393701" w14:textId="77777777" w:rsidTr="00050609">
        <w:trPr>
          <w:trHeight w:val="423"/>
        </w:trPr>
        <w:tc>
          <w:tcPr>
            <w:tcW w:w="1096" w:type="dxa"/>
            <w:vAlign w:val="center"/>
          </w:tcPr>
          <w:p w14:paraId="06A55D9D" w14:textId="524FF2B2" w:rsidR="00FD2B5D" w:rsidRDefault="00F92936" w:rsidP="00546A28">
            <w:pPr>
              <w:pStyle w:val="NoSpacing"/>
            </w:pPr>
            <w:r>
              <w:t>1.1</w:t>
            </w:r>
          </w:p>
        </w:tc>
        <w:tc>
          <w:tcPr>
            <w:tcW w:w="1073" w:type="dxa"/>
            <w:vAlign w:val="center"/>
          </w:tcPr>
          <w:p w14:paraId="11050A1C" w14:textId="658CEF02" w:rsidR="00FD2B5D" w:rsidRDefault="00F92936" w:rsidP="00546A28">
            <w:pPr>
              <w:pStyle w:val="NoSpacing"/>
            </w:pPr>
            <w:r>
              <w:t>03.07.24</w:t>
            </w:r>
          </w:p>
        </w:tc>
        <w:tc>
          <w:tcPr>
            <w:tcW w:w="3010" w:type="dxa"/>
            <w:vAlign w:val="center"/>
          </w:tcPr>
          <w:p w14:paraId="09617EE2" w14:textId="4EEB6818" w:rsidR="00FD2B5D" w:rsidRDefault="00F92936" w:rsidP="00546A28">
            <w:pPr>
              <w:pStyle w:val="NoSpacing"/>
            </w:pPr>
            <w:r>
              <w:t>Natalie Brodie</w:t>
            </w:r>
            <w:r w:rsidR="001701B8">
              <w:t xml:space="preserve">, </w:t>
            </w:r>
            <w:r w:rsidR="001701B8" w:rsidRPr="00F92936">
              <w:t>Deputy Director of Finance Primary Care &amp; Financial Services</w:t>
            </w:r>
          </w:p>
        </w:tc>
        <w:tc>
          <w:tcPr>
            <w:tcW w:w="3837" w:type="dxa"/>
            <w:vAlign w:val="center"/>
          </w:tcPr>
          <w:p w14:paraId="7C4D6C1B" w14:textId="449E30BB" w:rsidR="00FD2B5D" w:rsidRDefault="00F92936" w:rsidP="00546A28">
            <w:pPr>
              <w:pStyle w:val="NoSpacing"/>
            </w:pPr>
            <w:r>
              <w:t>Review and update policy</w:t>
            </w:r>
          </w:p>
        </w:tc>
      </w:tr>
      <w:tr w:rsidR="001E23AB" w14:paraId="3C4FDD2E" w14:textId="77777777" w:rsidTr="00050609">
        <w:trPr>
          <w:trHeight w:val="423"/>
        </w:trPr>
        <w:tc>
          <w:tcPr>
            <w:tcW w:w="1096" w:type="dxa"/>
            <w:vAlign w:val="center"/>
          </w:tcPr>
          <w:p w14:paraId="54204203" w14:textId="64CBAE79" w:rsidR="001E23AB" w:rsidRDefault="001E23AB" w:rsidP="00546A28">
            <w:pPr>
              <w:pStyle w:val="NoSpacing"/>
            </w:pPr>
            <w:r>
              <w:t>1.2</w:t>
            </w:r>
          </w:p>
        </w:tc>
        <w:tc>
          <w:tcPr>
            <w:tcW w:w="1073" w:type="dxa"/>
            <w:vAlign w:val="center"/>
          </w:tcPr>
          <w:p w14:paraId="74915E3B" w14:textId="2950C887" w:rsidR="001E23AB" w:rsidRDefault="001E23AB" w:rsidP="00546A28">
            <w:pPr>
              <w:pStyle w:val="NoSpacing"/>
            </w:pPr>
            <w:r>
              <w:t>09/07/24</w:t>
            </w:r>
          </w:p>
        </w:tc>
        <w:tc>
          <w:tcPr>
            <w:tcW w:w="3010" w:type="dxa"/>
            <w:vAlign w:val="center"/>
          </w:tcPr>
          <w:p w14:paraId="07D8E1EB" w14:textId="5411973E" w:rsidR="001E23AB" w:rsidRDefault="001E23AB" w:rsidP="00546A28">
            <w:pPr>
              <w:pStyle w:val="NoSpacing"/>
            </w:pPr>
            <w:r>
              <w:t>Sara O’Connor, Senior Manager Corporate Services</w:t>
            </w:r>
          </w:p>
        </w:tc>
        <w:tc>
          <w:tcPr>
            <w:tcW w:w="3837" w:type="dxa"/>
            <w:vAlign w:val="center"/>
          </w:tcPr>
          <w:p w14:paraId="265F97D0" w14:textId="737DF87F" w:rsidR="001E23AB" w:rsidRDefault="001E23AB" w:rsidP="00546A28">
            <w:pPr>
              <w:pStyle w:val="NoSpacing"/>
            </w:pPr>
            <w:r>
              <w:t xml:space="preserve">Amended Director of Resources to Chief Finance Officer throughout policy. </w:t>
            </w:r>
          </w:p>
        </w:tc>
      </w:tr>
      <w:tr w:rsidR="007B3AE5" w14:paraId="0120E2D2" w14:textId="77777777" w:rsidTr="00050609">
        <w:trPr>
          <w:trHeight w:val="423"/>
        </w:trPr>
        <w:tc>
          <w:tcPr>
            <w:tcW w:w="1096" w:type="dxa"/>
            <w:vAlign w:val="center"/>
          </w:tcPr>
          <w:p w14:paraId="3FBC059A" w14:textId="1526D145" w:rsidR="007B3AE5" w:rsidRDefault="007B3AE5" w:rsidP="00546A28">
            <w:pPr>
              <w:pStyle w:val="NoSpacing"/>
            </w:pPr>
            <w:r>
              <w:t>2.0</w:t>
            </w:r>
          </w:p>
        </w:tc>
        <w:tc>
          <w:tcPr>
            <w:tcW w:w="1073" w:type="dxa"/>
            <w:vAlign w:val="center"/>
          </w:tcPr>
          <w:p w14:paraId="2B2FC6A7" w14:textId="1E4DD403" w:rsidR="007B3AE5" w:rsidRDefault="007B3AE5" w:rsidP="00546A28">
            <w:pPr>
              <w:pStyle w:val="NoSpacing"/>
            </w:pPr>
            <w:r>
              <w:t>23/07/24</w:t>
            </w:r>
          </w:p>
        </w:tc>
        <w:tc>
          <w:tcPr>
            <w:tcW w:w="3010" w:type="dxa"/>
            <w:vAlign w:val="center"/>
          </w:tcPr>
          <w:p w14:paraId="62E4C91C" w14:textId="29C3DDA9" w:rsidR="007B3AE5" w:rsidRDefault="00D141FC" w:rsidP="00546A28">
            <w:pPr>
              <w:pStyle w:val="NoSpacing"/>
            </w:pPr>
            <w:r>
              <w:t xml:space="preserve">Helen Chasney, Corporate Services &amp; Governance </w:t>
            </w:r>
            <w:r w:rsidR="005D0D92">
              <w:t>Support Officer</w:t>
            </w:r>
          </w:p>
        </w:tc>
        <w:tc>
          <w:tcPr>
            <w:tcW w:w="3837" w:type="dxa"/>
            <w:vAlign w:val="center"/>
          </w:tcPr>
          <w:p w14:paraId="7E042C35" w14:textId="7ABCF8FF" w:rsidR="007B3AE5" w:rsidRDefault="009043E5" w:rsidP="00546A28">
            <w:pPr>
              <w:pStyle w:val="NoSpacing"/>
            </w:pPr>
            <w:r>
              <w:t>Final policy approved by Audit Committee.</w:t>
            </w: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1F8135A4" w14:textId="14C5E71F" w:rsidR="00122E6B" w:rsidRDefault="000665B0">
      <w:pPr>
        <w:pStyle w:val="TOC1"/>
        <w:rPr>
          <w:rFonts w:eastAsiaTheme="minorEastAsia"/>
          <w:b w:val="0"/>
          <w:noProof/>
          <w:color w:val="auto"/>
          <w:kern w:val="2"/>
          <w:sz w:val="22"/>
          <w:szCs w:val="22"/>
          <w:lang w:eastAsia="en-GB"/>
          <w14:ligatures w14:val="standardContextual"/>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71428705" w:history="1">
        <w:r w:rsidR="00122E6B" w:rsidRPr="00F90F2B">
          <w:rPr>
            <w:rStyle w:val="Hyperlink"/>
            <w:noProof/>
          </w:rPr>
          <w:t>1.</w:t>
        </w:r>
        <w:r w:rsidR="00122E6B">
          <w:rPr>
            <w:rFonts w:eastAsiaTheme="minorEastAsia"/>
            <w:b w:val="0"/>
            <w:noProof/>
            <w:color w:val="auto"/>
            <w:kern w:val="2"/>
            <w:sz w:val="22"/>
            <w:szCs w:val="22"/>
            <w:lang w:eastAsia="en-GB"/>
            <w14:ligatures w14:val="standardContextual"/>
          </w:rPr>
          <w:tab/>
        </w:r>
        <w:r w:rsidR="00122E6B" w:rsidRPr="00F90F2B">
          <w:rPr>
            <w:rStyle w:val="Hyperlink"/>
            <w:noProof/>
          </w:rPr>
          <w:t>Introduction</w:t>
        </w:r>
        <w:r w:rsidR="00122E6B">
          <w:rPr>
            <w:noProof/>
            <w:webHidden/>
          </w:rPr>
          <w:tab/>
        </w:r>
        <w:r w:rsidR="00122E6B">
          <w:rPr>
            <w:noProof/>
            <w:webHidden/>
          </w:rPr>
          <w:fldChar w:fldCharType="begin"/>
        </w:r>
        <w:r w:rsidR="00122E6B">
          <w:rPr>
            <w:noProof/>
            <w:webHidden/>
          </w:rPr>
          <w:instrText xml:space="preserve"> PAGEREF _Toc171428705 \h </w:instrText>
        </w:r>
        <w:r w:rsidR="00122E6B">
          <w:rPr>
            <w:noProof/>
            <w:webHidden/>
          </w:rPr>
        </w:r>
        <w:r w:rsidR="00122E6B">
          <w:rPr>
            <w:noProof/>
            <w:webHidden/>
          </w:rPr>
          <w:fldChar w:fldCharType="separate"/>
        </w:r>
        <w:r w:rsidR="00122E6B">
          <w:rPr>
            <w:noProof/>
            <w:webHidden/>
          </w:rPr>
          <w:t>5</w:t>
        </w:r>
        <w:r w:rsidR="00122E6B">
          <w:rPr>
            <w:noProof/>
            <w:webHidden/>
          </w:rPr>
          <w:fldChar w:fldCharType="end"/>
        </w:r>
      </w:hyperlink>
    </w:p>
    <w:p w14:paraId="3AF3A8CC" w14:textId="2DDFEA70" w:rsidR="00122E6B" w:rsidRDefault="00000000">
      <w:pPr>
        <w:pStyle w:val="TOC1"/>
        <w:rPr>
          <w:rFonts w:eastAsiaTheme="minorEastAsia"/>
          <w:b w:val="0"/>
          <w:noProof/>
          <w:color w:val="auto"/>
          <w:kern w:val="2"/>
          <w:sz w:val="22"/>
          <w:szCs w:val="22"/>
          <w:lang w:eastAsia="en-GB"/>
          <w14:ligatures w14:val="standardContextual"/>
        </w:rPr>
      </w:pPr>
      <w:hyperlink w:anchor="_Toc171428706" w:history="1">
        <w:r w:rsidR="00122E6B" w:rsidRPr="00F90F2B">
          <w:rPr>
            <w:rStyle w:val="Hyperlink"/>
            <w:noProof/>
          </w:rPr>
          <w:t>2.</w:t>
        </w:r>
        <w:r w:rsidR="00122E6B">
          <w:rPr>
            <w:rFonts w:eastAsiaTheme="minorEastAsia"/>
            <w:b w:val="0"/>
            <w:noProof/>
            <w:color w:val="auto"/>
            <w:kern w:val="2"/>
            <w:sz w:val="22"/>
            <w:szCs w:val="22"/>
            <w:lang w:eastAsia="en-GB"/>
            <w14:ligatures w14:val="standardContextual"/>
          </w:rPr>
          <w:tab/>
        </w:r>
        <w:r w:rsidR="00122E6B" w:rsidRPr="00F90F2B">
          <w:rPr>
            <w:rStyle w:val="Hyperlink"/>
            <w:noProof/>
          </w:rPr>
          <w:t>Purpose / Policy Statement</w:t>
        </w:r>
        <w:r w:rsidR="00122E6B">
          <w:rPr>
            <w:noProof/>
            <w:webHidden/>
          </w:rPr>
          <w:tab/>
        </w:r>
        <w:r w:rsidR="00122E6B">
          <w:rPr>
            <w:noProof/>
            <w:webHidden/>
          </w:rPr>
          <w:fldChar w:fldCharType="begin"/>
        </w:r>
        <w:r w:rsidR="00122E6B">
          <w:rPr>
            <w:noProof/>
            <w:webHidden/>
          </w:rPr>
          <w:instrText xml:space="preserve"> PAGEREF _Toc171428706 \h </w:instrText>
        </w:r>
        <w:r w:rsidR="00122E6B">
          <w:rPr>
            <w:noProof/>
            <w:webHidden/>
          </w:rPr>
        </w:r>
        <w:r w:rsidR="00122E6B">
          <w:rPr>
            <w:noProof/>
            <w:webHidden/>
          </w:rPr>
          <w:fldChar w:fldCharType="separate"/>
        </w:r>
        <w:r w:rsidR="00122E6B">
          <w:rPr>
            <w:noProof/>
            <w:webHidden/>
          </w:rPr>
          <w:t>5</w:t>
        </w:r>
        <w:r w:rsidR="00122E6B">
          <w:rPr>
            <w:noProof/>
            <w:webHidden/>
          </w:rPr>
          <w:fldChar w:fldCharType="end"/>
        </w:r>
      </w:hyperlink>
    </w:p>
    <w:p w14:paraId="309F7A3E" w14:textId="0DB52A99" w:rsidR="00122E6B" w:rsidRDefault="00000000">
      <w:pPr>
        <w:pStyle w:val="TOC1"/>
        <w:rPr>
          <w:rFonts w:eastAsiaTheme="minorEastAsia"/>
          <w:b w:val="0"/>
          <w:noProof/>
          <w:color w:val="auto"/>
          <w:kern w:val="2"/>
          <w:sz w:val="22"/>
          <w:szCs w:val="22"/>
          <w:lang w:eastAsia="en-GB"/>
          <w14:ligatures w14:val="standardContextual"/>
        </w:rPr>
      </w:pPr>
      <w:hyperlink w:anchor="_Toc171428707" w:history="1">
        <w:r w:rsidR="00122E6B" w:rsidRPr="00F90F2B">
          <w:rPr>
            <w:rStyle w:val="Hyperlink"/>
            <w:noProof/>
          </w:rPr>
          <w:t>3.</w:t>
        </w:r>
        <w:r w:rsidR="00122E6B">
          <w:rPr>
            <w:rFonts w:eastAsiaTheme="minorEastAsia"/>
            <w:b w:val="0"/>
            <w:noProof/>
            <w:color w:val="auto"/>
            <w:kern w:val="2"/>
            <w:sz w:val="22"/>
            <w:szCs w:val="22"/>
            <w:lang w:eastAsia="en-GB"/>
            <w14:ligatures w14:val="standardContextual"/>
          </w:rPr>
          <w:tab/>
        </w:r>
        <w:r w:rsidR="00122E6B" w:rsidRPr="00F90F2B">
          <w:rPr>
            <w:rStyle w:val="Hyperlink"/>
            <w:noProof/>
          </w:rPr>
          <w:t>Remit</w:t>
        </w:r>
        <w:r w:rsidR="00122E6B">
          <w:rPr>
            <w:noProof/>
            <w:webHidden/>
          </w:rPr>
          <w:tab/>
        </w:r>
        <w:r w:rsidR="00122E6B">
          <w:rPr>
            <w:noProof/>
            <w:webHidden/>
          </w:rPr>
          <w:fldChar w:fldCharType="begin"/>
        </w:r>
        <w:r w:rsidR="00122E6B">
          <w:rPr>
            <w:noProof/>
            <w:webHidden/>
          </w:rPr>
          <w:instrText xml:space="preserve"> PAGEREF _Toc171428707 \h </w:instrText>
        </w:r>
        <w:r w:rsidR="00122E6B">
          <w:rPr>
            <w:noProof/>
            <w:webHidden/>
          </w:rPr>
        </w:r>
        <w:r w:rsidR="00122E6B">
          <w:rPr>
            <w:noProof/>
            <w:webHidden/>
          </w:rPr>
          <w:fldChar w:fldCharType="separate"/>
        </w:r>
        <w:r w:rsidR="00122E6B">
          <w:rPr>
            <w:noProof/>
            <w:webHidden/>
          </w:rPr>
          <w:t>5</w:t>
        </w:r>
        <w:r w:rsidR="00122E6B">
          <w:rPr>
            <w:noProof/>
            <w:webHidden/>
          </w:rPr>
          <w:fldChar w:fldCharType="end"/>
        </w:r>
      </w:hyperlink>
    </w:p>
    <w:p w14:paraId="71217815" w14:textId="3B17F5C9" w:rsidR="00122E6B" w:rsidRDefault="00000000">
      <w:pPr>
        <w:pStyle w:val="TOC1"/>
        <w:rPr>
          <w:rFonts w:eastAsiaTheme="minorEastAsia"/>
          <w:b w:val="0"/>
          <w:noProof/>
          <w:color w:val="auto"/>
          <w:kern w:val="2"/>
          <w:sz w:val="22"/>
          <w:szCs w:val="22"/>
          <w:lang w:eastAsia="en-GB"/>
          <w14:ligatures w14:val="standardContextual"/>
        </w:rPr>
      </w:pPr>
      <w:hyperlink w:anchor="_Toc171428708" w:history="1">
        <w:r w:rsidR="00122E6B" w:rsidRPr="00F90F2B">
          <w:rPr>
            <w:rStyle w:val="Hyperlink"/>
            <w:noProof/>
          </w:rPr>
          <w:t>4.</w:t>
        </w:r>
        <w:r w:rsidR="00122E6B">
          <w:rPr>
            <w:rFonts w:eastAsiaTheme="minorEastAsia"/>
            <w:b w:val="0"/>
            <w:noProof/>
            <w:color w:val="auto"/>
            <w:kern w:val="2"/>
            <w:sz w:val="22"/>
            <w:szCs w:val="22"/>
            <w:lang w:eastAsia="en-GB"/>
            <w14:ligatures w14:val="standardContextual"/>
          </w:rPr>
          <w:tab/>
        </w:r>
        <w:r w:rsidR="00122E6B" w:rsidRPr="00F90F2B">
          <w:rPr>
            <w:rStyle w:val="Hyperlink"/>
            <w:noProof/>
          </w:rPr>
          <w:t>Definitions</w:t>
        </w:r>
        <w:r w:rsidR="00122E6B">
          <w:rPr>
            <w:noProof/>
            <w:webHidden/>
          </w:rPr>
          <w:tab/>
        </w:r>
        <w:r w:rsidR="00122E6B">
          <w:rPr>
            <w:noProof/>
            <w:webHidden/>
          </w:rPr>
          <w:fldChar w:fldCharType="begin"/>
        </w:r>
        <w:r w:rsidR="00122E6B">
          <w:rPr>
            <w:noProof/>
            <w:webHidden/>
          </w:rPr>
          <w:instrText xml:space="preserve"> PAGEREF _Toc171428708 \h </w:instrText>
        </w:r>
        <w:r w:rsidR="00122E6B">
          <w:rPr>
            <w:noProof/>
            <w:webHidden/>
          </w:rPr>
        </w:r>
        <w:r w:rsidR="00122E6B">
          <w:rPr>
            <w:noProof/>
            <w:webHidden/>
          </w:rPr>
          <w:fldChar w:fldCharType="separate"/>
        </w:r>
        <w:r w:rsidR="00122E6B">
          <w:rPr>
            <w:noProof/>
            <w:webHidden/>
          </w:rPr>
          <w:t>5</w:t>
        </w:r>
        <w:r w:rsidR="00122E6B">
          <w:rPr>
            <w:noProof/>
            <w:webHidden/>
          </w:rPr>
          <w:fldChar w:fldCharType="end"/>
        </w:r>
      </w:hyperlink>
    </w:p>
    <w:p w14:paraId="2C08BC7C" w14:textId="55FA749E" w:rsidR="00122E6B" w:rsidRDefault="00000000">
      <w:pPr>
        <w:pStyle w:val="TOC1"/>
        <w:rPr>
          <w:rFonts w:eastAsiaTheme="minorEastAsia"/>
          <w:b w:val="0"/>
          <w:noProof/>
          <w:color w:val="auto"/>
          <w:kern w:val="2"/>
          <w:sz w:val="22"/>
          <w:szCs w:val="22"/>
          <w:lang w:eastAsia="en-GB"/>
          <w14:ligatures w14:val="standardContextual"/>
        </w:rPr>
      </w:pPr>
      <w:hyperlink w:anchor="_Toc171428709" w:history="1">
        <w:r w:rsidR="00122E6B" w:rsidRPr="00F90F2B">
          <w:rPr>
            <w:rStyle w:val="Hyperlink"/>
            <w:noProof/>
          </w:rPr>
          <w:t>5.</w:t>
        </w:r>
        <w:r w:rsidR="00122E6B">
          <w:rPr>
            <w:rFonts w:eastAsiaTheme="minorEastAsia"/>
            <w:b w:val="0"/>
            <w:noProof/>
            <w:color w:val="auto"/>
            <w:kern w:val="2"/>
            <w:sz w:val="22"/>
            <w:szCs w:val="22"/>
            <w:lang w:eastAsia="en-GB"/>
            <w14:ligatures w14:val="standardContextual"/>
          </w:rPr>
          <w:tab/>
        </w:r>
        <w:r w:rsidR="00122E6B" w:rsidRPr="00F90F2B">
          <w:rPr>
            <w:rStyle w:val="Hyperlink"/>
            <w:noProof/>
          </w:rPr>
          <w:t>Roles and Responsibilities</w:t>
        </w:r>
        <w:r w:rsidR="00122E6B">
          <w:rPr>
            <w:noProof/>
            <w:webHidden/>
          </w:rPr>
          <w:tab/>
        </w:r>
        <w:r w:rsidR="00122E6B">
          <w:rPr>
            <w:noProof/>
            <w:webHidden/>
          </w:rPr>
          <w:fldChar w:fldCharType="begin"/>
        </w:r>
        <w:r w:rsidR="00122E6B">
          <w:rPr>
            <w:noProof/>
            <w:webHidden/>
          </w:rPr>
          <w:instrText xml:space="preserve"> PAGEREF _Toc171428709 \h </w:instrText>
        </w:r>
        <w:r w:rsidR="00122E6B">
          <w:rPr>
            <w:noProof/>
            <w:webHidden/>
          </w:rPr>
        </w:r>
        <w:r w:rsidR="00122E6B">
          <w:rPr>
            <w:noProof/>
            <w:webHidden/>
          </w:rPr>
          <w:fldChar w:fldCharType="separate"/>
        </w:r>
        <w:r w:rsidR="00122E6B">
          <w:rPr>
            <w:noProof/>
            <w:webHidden/>
          </w:rPr>
          <w:t>7</w:t>
        </w:r>
        <w:r w:rsidR="00122E6B">
          <w:rPr>
            <w:noProof/>
            <w:webHidden/>
          </w:rPr>
          <w:fldChar w:fldCharType="end"/>
        </w:r>
      </w:hyperlink>
    </w:p>
    <w:p w14:paraId="6633A874" w14:textId="58BB01CC" w:rsidR="00122E6B" w:rsidRDefault="00000000" w:rsidP="00525FFF">
      <w:pPr>
        <w:pStyle w:val="TOC2"/>
        <w:rPr>
          <w:rFonts w:eastAsiaTheme="minorEastAsia"/>
          <w:noProof/>
          <w:color w:val="auto"/>
          <w:kern w:val="2"/>
          <w:sz w:val="22"/>
          <w:szCs w:val="22"/>
          <w:lang w:eastAsia="en-GB"/>
          <w14:ligatures w14:val="standardContextual"/>
        </w:rPr>
      </w:pPr>
      <w:hyperlink w:anchor="_Toc171428710" w:history="1">
        <w:r w:rsidR="00122E6B" w:rsidRPr="00F90F2B">
          <w:rPr>
            <w:rStyle w:val="Hyperlink"/>
            <w:bCs/>
            <w:noProof/>
          </w:rPr>
          <w:t>5.1.</w:t>
        </w:r>
        <w:r w:rsidR="00122E6B">
          <w:rPr>
            <w:rFonts w:eastAsiaTheme="minorEastAsia"/>
            <w:noProof/>
            <w:color w:val="auto"/>
            <w:kern w:val="2"/>
            <w:sz w:val="22"/>
            <w:szCs w:val="22"/>
            <w:lang w:eastAsia="en-GB"/>
            <w14:ligatures w14:val="standardContextual"/>
          </w:rPr>
          <w:tab/>
        </w:r>
        <w:r w:rsidR="00122E6B" w:rsidRPr="00F90F2B">
          <w:rPr>
            <w:rStyle w:val="Hyperlink"/>
            <w:noProof/>
          </w:rPr>
          <w:t xml:space="preserve">Executive Chief Finance Officer </w:t>
        </w:r>
        <w:r w:rsidR="00122E6B">
          <w:rPr>
            <w:noProof/>
            <w:webHidden/>
          </w:rPr>
          <w:tab/>
        </w:r>
        <w:r w:rsidR="00122E6B">
          <w:rPr>
            <w:noProof/>
            <w:webHidden/>
          </w:rPr>
          <w:fldChar w:fldCharType="begin"/>
        </w:r>
        <w:r w:rsidR="00122E6B">
          <w:rPr>
            <w:noProof/>
            <w:webHidden/>
          </w:rPr>
          <w:instrText xml:space="preserve"> PAGEREF _Toc171428710 \h </w:instrText>
        </w:r>
        <w:r w:rsidR="00122E6B">
          <w:rPr>
            <w:noProof/>
            <w:webHidden/>
          </w:rPr>
        </w:r>
        <w:r w:rsidR="00122E6B">
          <w:rPr>
            <w:noProof/>
            <w:webHidden/>
          </w:rPr>
          <w:fldChar w:fldCharType="separate"/>
        </w:r>
        <w:r w:rsidR="00122E6B">
          <w:rPr>
            <w:noProof/>
            <w:webHidden/>
          </w:rPr>
          <w:t>7</w:t>
        </w:r>
        <w:r w:rsidR="00122E6B">
          <w:rPr>
            <w:noProof/>
            <w:webHidden/>
          </w:rPr>
          <w:fldChar w:fldCharType="end"/>
        </w:r>
      </w:hyperlink>
    </w:p>
    <w:p w14:paraId="66D247F3" w14:textId="52DAFD8C" w:rsidR="00122E6B" w:rsidRDefault="00000000" w:rsidP="00525FFF">
      <w:pPr>
        <w:pStyle w:val="TOC2"/>
        <w:rPr>
          <w:rFonts w:eastAsiaTheme="minorEastAsia"/>
          <w:noProof/>
          <w:color w:val="auto"/>
          <w:kern w:val="2"/>
          <w:sz w:val="22"/>
          <w:szCs w:val="22"/>
          <w:lang w:eastAsia="en-GB"/>
          <w14:ligatures w14:val="standardContextual"/>
        </w:rPr>
      </w:pPr>
      <w:hyperlink w:anchor="_Toc171428711" w:history="1">
        <w:r w:rsidR="00122E6B" w:rsidRPr="00F90F2B">
          <w:rPr>
            <w:rStyle w:val="Hyperlink"/>
            <w:bCs/>
            <w:noProof/>
          </w:rPr>
          <w:t>5.2.</w:t>
        </w:r>
        <w:r w:rsidR="00122E6B">
          <w:rPr>
            <w:rFonts w:eastAsiaTheme="minorEastAsia"/>
            <w:noProof/>
            <w:color w:val="auto"/>
            <w:kern w:val="2"/>
            <w:sz w:val="22"/>
            <w:szCs w:val="22"/>
            <w:lang w:eastAsia="en-GB"/>
            <w14:ligatures w14:val="standardContextual"/>
          </w:rPr>
          <w:tab/>
        </w:r>
        <w:r w:rsidR="00122E6B" w:rsidRPr="00F90F2B">
          <w:rPr>
            <w:rStyle w:val="Hyperlink"/>
            <w:noProof/>
          </w:rPr>
          <w:t xml:space="preserve">Finance &amp; </w:t>
        </w:r>
        <w:r w:rsidR="00525FFF">
          <w:rPr>
            <w:rStyle w:val="Hyperlink"/>
            <w:noProof/>
          </w:rPr>
          <w:t>Performance</w:t>
        </w:r>
        <w:r w:rsidR="00122E6B" w:rsidRPr="00F90F2B">
          <w:rPr>
            <w:rStyle w:val="Hyperlink"/>
            <w:noProof/>
          </w:rPr>
          <w:t xml:space="preserve"> Committee</w:t>
        </w:r>
        <w:r w:rsidR="00122E6B">
          <w:rPr>
            <w:noProof/>
            <w:webHidden/>
          </w:rPr>
          <w:tab/>
        </w:r>
        <w:r w:rsidR="00122E6B">
          <w:rPr>
            <w:noProof/>
            <w:webHidden/>
          </w:rPr>
          <w:fldChar w:fldCharType="begin"/>
        </w:r>
        <w:r w:rsidR="00122E6B">
          <w:rPr>
            <w:noProof/>
            <w:webHidden/>
          </w:rPr>
          <w:instrText xml:space="preserve"> PAGEREF _Toc171428711 \h </w:instrText>
        </w:r>
        <w:r w:rsidR="00122E6B">
          <w:rPr>
            <w:noProof/>
            <w:webHidden/>
          </w:rPr>
        </w:r>
        <w:r w:rsidR="00122E6B">
          <w:rPr>
            <w:noProof/>
            <w:webHidden/>
          </w:rPr>
          <w:fldChar w:fldCharType="separate"/>
        </w:r>
        <w:r w:rsidR="00122E6B">
          <w:rPr>
            <w:noProof/>
            <w:webHidden/>
          </w:rPr>
          <w:t>7</w:t>
        </w:r>
        <w:r w:rsidR="00122E6B">
          <w:rPr>
            <w:noProof/>
            <w:webHidden/>
          </w:rPr>
          <w:fldChar w:fldCharType="end"/>
        </w:r>
      </w:hyperlink>
    </w:p>
    <w:p w14:paraId="2C1F1F01" w14:textId="04CDA317" w:rsidR="00122E6B" w:rsidRDefault="00000000" w:rsidP="00525FFF">
      <w:pPr>
        <w:pStyle w:val="TOC2"/>
        <w:rPr>
          <w:rFonts w:eastAsiaTheme="minorEastAsia"/>
          <w:noProof/>
          <w:color w:val="auto"/>
          <w:kern w:val="2"/>
          <w:sz w:val="22"/>
          <w:szCs w:val="22"/>
          <w:lang w:eastAsia="en-GB"/>
          <w14:ligatures w14:val="standardContextual"/>
        </w:rPr>
      </w:pPr>
      <w:hyperlink w:anchor="_Toc171428712" w:history="1">
        <w:r w:rsidR="00122E6B" w:rsidRPr="00F90F2B">
          <w:rPr>
            <w:rStyle w:val="Hyperlink"/>
            <w:bCs/>
            <w:noProof/>
          </w:rPr>
          <w:t>5.3.</w:t>
        </w:r>
        <w:r w:rsidR="00122E6B">
          <w:rPr>
            <w:rFonts w:eastAsiaTheme="minorEastAsia"/>
            <w:noProof/>
            <w:color w:val="auto"/>
            <w:kern w:val="2"/>
            <w:sz w:val="22"/>
            <w:szCs w:val="22"/>
            <w:lang w:eastAsia="en-GB"/>
            <w14:ligatures w14:val="standardContextual"/>
          </w:rPr>
          <w:tab/>
        </w:r>
        <w:r w:rsidR="00122E6B" w:rsidRPr="00F90F2B">
          <w:rPr>
            <w:rStyle w:val="Hyperlink"/>
            <w:noProof/>
          </w:rPr>
          <w:t>Audit Committee</w:t>
        </w:r>
        <w:r w:rsidR="00122E6B">
          <w:rPr>
            <w:noProof/>
            <w:webHidden/>
          </w:rPr>
          <w:tab/>
        </w:r>
        <w:r w:rsidR="00122E6B">
          <w:rPr>
            <w:noProof/>
            <w:webHidden/>
          </w:rPr>
          <w:fldChar w:fldCharType="begin"/>
        </w:r>
        <w:r w:rsidR="00122E6B">
          <w:rPr>
            <w:noProof/>
            <w:webHidden/>
          </w:rPr>
          <w:instrText xml:space="preserve"> PAGEREF _Toc171428712 \h </w:instrText>
        </w:r>
        <w:r w:rsidR="00122E6B">
          <w:rPr>
            <w:noProof/>
            <w:webHidden/>
          </w:rPr>
        </w:r>
        <w:r w:rsidR="00122E6B">
          <w:rPr>
            <w:noProof/>
            <w:webHidden/>
          </w:rPr>
          <w:fldChar w:fldCharType="separate"/>
        </w:r>
        <w:r w:rsidR="00122E6B">
          <w:rPr>
            <w:noProof/>
            <w:webHidden/>
          </w:rPr>
          <w:t>8</w:t>
        </w:r>
        <w:r w:rsidR="00122E6B">
          <w:rPr>
            <w:noProof/>
            <w:webHidden/>
          </w:rPr>
          <w:fldChar w:fldCharType="end"/>
        </w:r>
      </w:hyperlink>
    </w:p>
    <w:p w14:paraId="40F52827" w14:textId="472D9777" w:rsidR="00122E6B" w:rsidRDefault="00000000" w:rsidP="00525FFF">
      <w:pPr>
        <w:pStyle w:val="TOC2"/>
        <w:rPr>
          <w:rFonts w:eastAsiaTheme="minorEastAsia"/>
          <w:noProof/>
          <w:color w:val="auto"/>
          <w:kern w:val="2"/>
          <w:sz w:val="22"/>
          <w:szCs w:val="22"/>
          <w:lang w:eastAsia="en-GB"/>
          <w14:ligatures w14:val="standardContextual"/>
        </w:rPr>
      </w:pPr>
      <w:hyperlink w:anchor="_Toc171428713" w:history="1">
        <w:r w:rsidR="00122E6B" w:rsidRPr="00F90F2B">
          <w:rPr>
            <w:rStyle w:val="Hyperlink"/>
            <w:bCs/>
            <w:noProof/>
          </w:rPr>
          <w:t>5.4.</w:t>
        </w:r>
        <w:r w:rsidR="00122E6B">
          <w:rPr>
            <w:rFonts w:eastAsiaTheme="minorEastAsia"/>
            <w:noProof/>
            <w:color w:val="auto"/>
            <w:kern w:val="2"/>
            <w:sz w:val="22"/>
            <w:szCs w:val="22"/>
            <w:lang w:eastAsia="en-GB"/>
            <w14:ligatures w14:val="standardContextual"/>
          </w:rPr>
          <w:tab/>
        </w:r>
        <w:r w:rsidR="00122E6B" w:rsidRPr="00F90F2B">
          <w:rPr>
            <w:rStyle w:val="Hyperlink"/>
            <w:noProof/>
          </w:rPr>
          <w:t>Executive Directors</w:t>
        </w:r>
        <w:r w:rsidR="00122E6B">
          <w:rPr>
            <w:noProof/>
            <w:webHidden/>
          </w:rPr>
          <w:tab/>
        </w:r>
        <w:r w:rsidR="00122E6B">
          <w:rPr>
            <w:noProof/>
            <w:webHidden/>
          </w:rPr>
          <w:fldChar w:fldCharType="begin"/>
        </w:r>
        <w:r w:rsidR="00122E6B">
          <w:rPr>
            <w:noProof/>
            <w:webHidden/>
          </w:rPr>
          <w:instrText xml:space="preserve"> PAGEREF _Toc171428713 \h </w:instrText>
        </w:r>
        <w:r w:rsidR="00122E6B">
          <w:rPr>
            <w:noProof/>
            <w:webHidden/>
          </w:rPr>
        </w:r>
        <w:r w:rsidR="00122E6B">
          <w:rPr>
            <w:noProof/>
            <w:webHidden/>
          </w:rPr>
          <w:fldChar w:fldCharType="separate"/>
        </w:r>
        <w:r w:rsidR="00122E6B">
          <w:rPr>
            <w:noProof/>
            <w:webHidden/>
          </w:rPr>
          <w:t>8</w:t>
        </w:r>
        <w:r w:rsidR="00122E6B">
          <w:rPr>
            <w:noProof/>
            <w:webHidden/>
          </w:rPr>
          <w:fldChar w:fldCharType="end"/>
        </w:r>
      </w:hyperlink>
    </w:p>
    <w:p w14:paraId="18124240" w14:textId="4D7A11AC" w:rsidR="00122E6B" w:rsidRDefault="00000000" w:rsidP="00525FFF">
      <w:pPr>
        <w:pStyle w:val="TOC2"/>
        <w:rPr>
          <w:rFonts w:eastAsiaTheme="minorEastAsia"/>
          <w:noProof/>
          <w:color w:val="auto"/>
          <w:kern w:val="2"/>
          <w:sz w:val="22"/>
          <w:szCs w:val="22"/>
          <w:lang w:eastAsia="en-GB"/>
          <w14:ligatures w14:val="standardContextual"/>
        </w:rPr>
      </w:pPr>
      <w:hyperlink w:anchor="_Toc171428714" w:history="1">
        <w:r w:rsidR="00122E6B" w:rsidRPr="00F90F2B">
          <w:rPr>
            <w:rStyle w:val="Hyperlink"/>
            <w:bCs/>
            <w:noProof/>
          </w:rPr>
          <w:t>5.5.</w:t>
        </w:r>
        <w:r w:rsidR="00122E6B">
          <w:rPr>
            <w:rFonts w:eastAsiaTheme="minorEastAsia"/>
            <w:noProof/>
            <w:color w:val="auto"/>
            <w:kern w:val="2"/>
            <w:sz w:val="22"/>
            <w:szCs w:val="22"/>
            <w:lang w:eastAsia="en-GB"/>
            <w14:ligatures w14:val="standardContextual"/>
          </w:rPr>
          <w:tab/>
        </w:r>
        <w:r w:rsidR="00122E6B" w:rsidRPr="00F90F2B">
          <w:rPr>
            <w:rStyle w:val="Hyperlink"/>
            <w:noProof/>
          </w:rPr>
          <w:t>Budget Holders</w:t>
        </w:r>
        <w:r w:rsidR="00122E6B">
          <w:rPr>
            <w:noProof/>
            <w:webHidden/>
          </w:rPr>
          <w:tab/>
        </w:r>
        <w:r w:rsidR="00122E6B">
          <w:rPr>
            <w:noProof/>
            <w:webHidden/>
          </w:rPr>
          <w:fldChar w:fldCharType="begin"/>
        </w:r>
        <w:r w:rsidR="00122E6B">
          <w:rPr>
            <w:noProof/>
            <w:webHidden/>
          </w:rPr>
          <w:instrText xml:space="preserve"> PAGEREF _Toc171428714 \h </w:instrText>
        </w:r>
        <w:r w:rsidR="00122E6B">
          <w:rPr>
            <w:noProof/>
            <w:webHidden/>
          </w:rPr>
        </w:r>
        <w:r w:rsidR="00122E6B">
          <w:rPr>
            <w:noProof/>
            <w:webHidden/>
          </w:rPr>
          <w:fldChar w:fldCharType="separate"/>
        </w:r>
        <w:r w:rsidR="00122E6B">
          <w:rPr>
            <w:noProof/>
            <w:webHidden/>
          </w:rPr>
          <w:t>9</w:t>
        </w:r>
        <w:r w:rsidR="00122E6B">
          <w:rPr>
            <w:noProof/>
            <w:webHidden/>
          </w:rPr>
          <w:fldChar w:fldCharType="end"/>
        </w:r>
      </w:hyperlink>
    </w:p>
    <w:p w14:paraId="0F84622D" w14:textId="0F359A5B" w:rsidR="00122E6B" w:rsidRDefault="00000000" w:rsidP="00525FFF">
      <w:pPr>
        <w:pStyle w:val="TOC2"/>
        <w:rPr>
          <w:rFonts w:eastAsiaTheme="minorEastAsia"/>
          <w:noProof/>
          <w:color w:val="auto"/>
          <w:kern w:val="2"/>
          <w:sz w:val="22"/>
          <w:szCs w:val="22"/>
          <w:lang w:eastAsia="en-GB"/>
          <w14:ligatures w14:val="standardContextual"/>
        </w:rPr>
      </w:pPr>
      <w:hyperlink w:anchor="_Toc171428715" w:history="1">
        <w:r w:rsidR="00122E6B" w:rsidRPr="00F90F2B">
          <w:rPr>
            <w:rStyle w:val="Hyperlink"/>
            <w:bCs/>
            <w:noProof/>
          </w:rPr>
          <w:t>5.6.</w:t>
        </w:r>
        <w:r w:rsidR="00122E6B">
          <w:rPr>
            <w:rFonts w:eastAsiaTheme="minorEastAsia"/>
            <w:noProof/>
            <w:color w:val="auto"/>
            <w:kern w:val="2"/>
            <w:sz w:val="22"/>
            <w:szCs w:val="22"/>
            <w:lang w:eastAsia="en-GB"/>
            <w14:ligatures w14:val="standardContextual"/>
          </w:rPr>
          <w:tab/>
        </w:r>
        <w:r w:rsidR="00122E6B" w:rsidRPr="00F90F2B">
          <w:rPr>
            <w:rStyle w:val="Hyperlink"/>
            <w:noProof/>
          </w:rPr>
          <w:t>Financial Services Team</w:t>
        </w:r>
        <w:r w:rsidR="00122E6B">
          <w:rPr>
            <w:noProof/>
            <w:webHidden/>
          </w:rPr>
          <w:tab/>
        </w:r>
        <w:r w:rsidR="00122E6B">
          <w:rPr>
            <w:noProof/>
            <w:webHidden/>
          </w:rPr>
          <w:fldChar w:fldCharType="begin"/>
        </w:r>
        <w:r w:rsidR="00122E6B">
          <w:rPr>
            <w:noProof/>
            <w:webHidden/>
          </w:rPr>
          <w:instrText xml:space="preserve"> PAGEREF _Toc171428715 \h </w:instrText>
        </w:r>
        <w:r w:rsidR="00122E6B">
          <w:rPr>
            <w:noProof/>
            <w:webHidden/>
          </w:rPr>
        </w:r>
        <w:r w:rsidR="00122E6B">
          <w:rPr>
            <w:noProof/>
            <w:webHidden/>
          </w:rPr>
          <w:fldChar w:fldCharType="separate"/>
        </w:r>
        <w:r w:rsidR="00122E6B">
          <w:rPr>
            <w:noProof/>
            <w:webHidden/>
          </w:rPr>
          <w:t>9</w:t>
        </w:r>
        <w:r w:rsidR="00122E6B">
          <w:rPr>
            <w:noProof/>
            <w:webHidden/>
          </w:rPr>
          <w:fldChar w:fldCharType="end"/>
        </w:r>
      </w:hyperlink>
    </w:p>
    <w:p w14:paraId="64B7126A" w14:textId="7EA521F4" w:rsidR="00122E6B" w:rsidRDefault="00000000" w:rsidP="00525FFF">
      <w:pPr>
        <w:pStyle w:val="TOC2"/>
        <w:rPr>
          <w:rFonts w:eastAsiaTheme="minorEastAsia"/>
          <w:noProof/>
          <w:color w:val="auto"/>
          <w:kern w:val="2"/>
          <w:sz w:val="22"/>
          <w:szCs w:val="22"/>
          <w:lang w:eastAsia="en-GB"/>
          <w14:ligatures w14:val="standardContextual"/>
        </w:rPr>
      </w:pPr>
      <w:hyperlink w:anchor="_Toc171428716" w:history="1">
        <w:r w:rsidR="00122E6B" w:rsidRPr="00F90F2B">
          <w:rPr>
            <w:rStyle w:val="Hyperlink"/>
            <w:bCs/>
            <w:noProof/>
          </w:rPr>
          <w:t>5.7.</w:t>
        </w:r>
        <w:r w:rsidR="00122E6B">
          <w:rPr>
            <w:rFonts w:eastAsiaTheme="minorEastAsia"/>
            <w:noProof/>
            <w:color w:val="auto"/>
            <w:kern w:val="2"/>
            <w:sz w:val="22"/>
            <w:szCs w:val="22"/>
            <w:lang w:eastAsia="en-GB"/>
            <w14:ligatures w14:val="standardContextual"/>
          </w:rPr>
          <w:tab/>
        </w:r>
        <w:r w:rsidR="00122E6B" w:rsidRPr="00F90F2B">
          <w:rPr>
            <w:rStyle w:val="Hyperlink"/>
            <w:noProof/>
          </w:rPr>
          <w:t>Finance Business Partners</w:t>
        </w:r>
        <w:r w:rsidR="00122E6B">
          <w:rPr>
            <w:noProof/>
            <w:webHidden/>
          </w:rPr>
          <w:tab/>
        </w:r>
        <w:r w:rsidR="00122E6B">
          <w:rPr>
            <w:noProof/>
            <w:webHidden/>
          </w:rPr>
          <w:fldChar w:fldCharType="begin"/>
        </w:r>
        <w:r w:rsidR="00122E6B">
          <w:rPr>
            <w:noProof/>
            <w:webHidden/>
          </w:rPr>
          <w:instrText xml:space="preserve"> PAGEREF _Toc171428716 \h </w:instrText>
        </w:r>
        <w:r w:rsidR="00122E6B">
          <w:rPr>
            <w:noProof/>
            <w:webHidden/>
          </w:rPr>
        </w:r>
        <w:r w:rsidR="00122E6B">
          <w:rPr>
            <w:noProof/>
            <w:webHidden/>
          </w:rPr>
          <w:fldChar w:fldCharType="separate"/>
        </w:r>
        <w:r w:rsidR="00122E6B">
          <w:rPr>
            <w:noProof/>
            <w:webHidden/>
          </w:rPr>
          <w:t>10</w:t>
        </w:r>
        <w:r w:rsidR="00122E6B">
          <w:rPr>
            <w:noProof/>
            <w:webHidden/>
          </w:rPr>
          <w:fldChar w:fldCharType="end"/>
        </w:r>
      </w:hyperlink>
    </w:p>
    <w:p w14:paraId="5E4A63F1" w14:textId="709794DB" w:rsidR="00122E6B" w:rsidRDefault="00000000" w:rsidP="00525FFF">
      <w:pPr>
        <w:pStyle w:val="TOC2"/>
        <w:rPr>
          <w:rFonts w:eastAsiaTheme="minorEastAsia"/>
          <w:noProof/>
          <w:color w:val="auto"/>
          <w:kern w:val="2"/>
          <w:sz w:val="22"/>
          <w:szCs w:val="22"/>
          <w:lang w:eastAsia="en-GB"/>
          <w14:ligatures w14:val="standardContextual"/>
        </w:rPr>
      </w:pPr>
      <w:hyperlink w:anchor="_Toc171428717" w:history="1">
        <w:r w:rsidR="00122E6B" w:rsidRPr="00F90F2B">
          <w:rPr>
            <w:rStyle w:val="Hyperlink"/>
            <w:bCs/>
            <w:noProof/>
          </w:rPr>
          <w:t>5.8.</w:t>
        </w:r>
        <w:r w:rsidR="00122E6B">
          <w:rPr>
            <w:rFonts w:eastAsiaTheme="minorEastAsia"/>
            <w:noProof/>
            <w:color w:val="auto"/>
            <w:kern w:val="2"/>
            <w:sz w:val="22"/>
            <w:szCs w:val="22"/>
            <w:lang w:eastAsia="en-GB"/>
            <w14:ligatures w14:val="standardContextual"/>
          </w:rPr>
          <w:tab/>
        </w:r>
        <w:r w:rsidR="00122E6B" w:rsidRPr="00F90F2B">
          <w:rPr>
            <w:rStyle w:val="Hyperlink"/>
            <w:noProof/>
          </w:rPr>
          <w:t>Shared Business Services</w:t>
        </w:r>
        <w:r w:rsidR="00122E6B">
          <w:rPr>
            <w:noProof/>
            <w:webHidden/>
          </w:rPr>
          <w:tab/>
        </w:r>
        <w:r w:rsidR="00122E6B">
          <w:rPr>
            <w:noProof/>
            <w:webHidden/>
          </w:rPr>
          <w:fldChar w:fldCharType="begin"/>
        </w:r>
        <w:r w:rsidR="00122E6B">
          <w:rPr>
            <w:noProof/>
            <w:webHidden/>
          </w:rPr>
          <w:instrText xml:space="preserve"> PAGEREF _Toc171428717 \h </w:instrText>
        </w:r>
        <w:r w:rsidR="00122E6B">
          <w:rPr>
            <w:noProof/>
            <w:webHidden/>
          </w:rPr>
        </w:r>
        <w:r w:rsidR="00122E6B">
          <w:rPr>
            <w:noProof/>
            <w:webHidden/>
          </w:rPr>
          <w:fldChar w:fldCharType="separate"/>
        </w:r>
        <w:r w:rsidR="00122E6B">
          <w:rPr>
            <w:noProof/>
            <w:webHidden/>
          </w:rPr>
          <w:t>11</w:t>
        </w:r>
        <w:r w:rsidR="00122E6B">
          <w:rPr>
            <w:noProof/>
            <w:webHidden/>
          </w:rPr>
          <w:fldChar w:fldCharType="end"/>
        </w:r>
      </w:hyperlink>
    </w:p>
    <w:p w14:paraId="66E902EB" w14:textId="14270C7B" w:rsidR="00122E6B" w:rsidRDefault="00000000">
      <w:pPr>
        <w:pStyle w:val="TOC1"/>
        <w:rPr>
          <w:rFonts w:eastAsiaTheme="minorEastAsia"/>
          <w:b w:val="0"/>
          <w:noProof/>
          <w:color w:val="auto"/>
          <w:kern w:val="2"/>
          <w:sz w:val="22"/>
          <w:szCs w:val="22"/>
          <w:lang w:eastAsia="en-GB"/>
          <w14:ligatures w14:val="standardContextual"/>
        </w:rPr>
      </w:pPr>
      <w:hyperlink w:anchor="_Toc171428718" w:history="1">
        <w:r w:rsidR="00122E6B" w:rsidRPr="00F90F2B">
          <w:rPr>
            <w:rStyle w:val="Hyperlink"/>
            <w:noProof/>
          </w:rPr>
          <w:t>6.</w:t>
        </w:r>
        <w:r w:rsidR="00122E6B">
          <w:rPr>
            <w:rFonts w:eastAsiaTheme="minorEastAsia"/>
            <w:b w:val="0"/>
            <w:noProof/>
            <w:color w:val="auto"/>
            <w:kern w:val="2"/>
            <w:sz w:val="22"/>
            <w:szCs w:val="22"/>
            <w:lang w:eastAsia="en-GB"/>
            <w14:ligatures w14:val="standardContextual"/>
          </w:rPr>
          <w:tab/>
        </w:r>
        <w:r w:rsidR="00122E6B" w:rsidRPr="00F90F2B">
          <w:rPr>
            <w:rStyle w:val="Hyperlink"/>
            <w:noProof/>
          </w:rPr>
          <w:t>Policy Detail</w:t>
        </w:r>
        <w:r w:rsidR="00122E6B">
          <w:rPr>
            <w:noProof/>
            <w:webHidden/>
          </w:rPr>
          <w:tab/>
        </w:r>
        <w:r w:rsidR="00122E6B">
          <w:rPr>
            <w:noProof/>
            <w:webHidden/>
          </w:rPr>
          <w:fldChar w:fldCharType="begin"/>
        </w:r>
        <w:r w:rsidR="00122E6B">
          <w:rPr>
            <w:noProof/>
            <w:webHidden/>
          </w:rPr>
          <w:instrText xml:space="preserve"> PAGEREF _Toc171428718 \h </w:instrText>
        </w:r>
        <w:r w:rsidR="00122E6B">
          <w:rPr>
            <w:noProof/>
            <w:webHidden/>
          </w:rPr>
        </w:r>
        <w:r w:rsidR="00122E6B">
          <w:rPr>
            <w:noProof/>
            <w:webHidden/>
          </w:rPr>
          <w:fldChar w:fldCharType="separate"/>
        </w:r>
        <w:r w:rsidR="00122E6B">
          <w:rPr>
            <w:noProof/>
            <w:webHidden/>
          </w:rPr>
          <w:t>11</w:t>
        </w:r>
        <w:r w:rsidR="00122E6B">
          <w:rPr>
            <w:noProof/>
            <w:webHidden/>
          </w:rPr>
          <w:fldChar w:fldCharType="end"/>
        </w:r>
      </w:hyperlink>
    </w:p>
    <w:p w14:paraId="1421E091" w14:textId="420123EF" w:rsidR="00122E6B" w:rsidRDefault="00000000" w:rsidP="00525FFF">
      <w:pPr>
        <w:pStyle w:val="TOC2"/>
        <w:rPr>
          <w:rFonts w:eastAsiaTheme="minorEastAsia"/>
          <w:noProof/>
          <w:color w:val="auto"/>
          <w:kern w:val="2"/>
          <w:sz w:val="22"/>
          <w:szCs w:val="22"/>
          <w:lang w:eastAsia="en-GB"/>
          <w14:ligatures w14:val="standardContextual"/>
        </w:rPr>
      </w:pPr>
      <w:hyperlink w:anchor="_Toc171428719" w:history="1">
        <w:r w:rsidR="00122E6B" w:rsidRPr="00F90F2B">
          <w:rPr>
            <w:rStyle w:val="Hyperlink"/>
            <w:bCs/>
            <w:noProof/>
          </w:rPr>
          <w:t>6.1.</w:t>
        </w:r>
        <w:r w:rsidR="00122E6B">
          <w:rPr>
            <w:rFonts w:eastAsiaTheme="minorEastAsia"/>
            <w:noProof/>
            <w:color w:val="auto"/>
            <w:kern w:val="2"/>
            <w:sz w:val="22"/>
            <w:szCs w:val="22"/>
            <w:lang w:eastAsia="en-GB"/>
            <w14:ligatures w14:val="standardContextual"/>
          </w:rPr>
          <w:tab/>
        </w:r>
        <w:r w:rsidR="00122E6B" w:rsidRPr="00F90F2B">
          <w:rPr>
            <w:rStyle w:val="Hyperlink"/>
            <w:noProof/>
          </w:rPr>
          <w:t>Allocations</w:t>
        </w:r>
        <w:r w:rsidR="00122E6B">
          <w:rPr>
            <w:noProof/>
            <w:webHidden/>
          </w:rPr>
          <w:tab/>
        </w:r>
        <w:r w:rsidR="00122E6B">
          <w:rPr>
            <w:noProof/>
            <w:webHidden/>
          </w:rPr>
          <w:fldChar w:fldCharType="begin"/>
        </w:r>
        <w:r w:rsidR="00122E6B">
          <w:rPr>
            <w:noProof/>
            <w:webHidden/>
          </w:rPr>
          <w:instrText xml:space="preserve"> PAGEREF _Toc171428719 \h </w:instrText>
        </w:r>
        <w:r w:rsidR="00122E6B">
          <w:rPr>
            <w:noProof/>
            <w:webHidden/>
          </w:rPr>
        </w:r>
        <w:r w:rsidR="00122E6B">
          <w:rPr>
            <w:noProof/>
            <w:webHidden/>
          </w:rPr>
          <w:fldChar w:fldCharType="separate"/>
        </w:r>
        <w:r w:rsidR="00122E6B">
          <w:rPr>
            <w:noProof/>
            <w:webHidden/>
          </w:rPr>
          <w:t>11</w:t>
        </w:r>
        <w:r w:rsidR="00122E6B">
          <w:rPr>
            <w:noProof/>
            <w:webHidden/>
          </w:rPr>
          <w:fldChar w:fldCharType="end"/>
        </w:r>
      </w:hyperlink>
    </w:p>
    <w:p w14:paraId="72B0E36E" w14:textId="1E936F58" w:rsidR="00122E6B" w:rsidRDefault="00000000" w:rsidP="00525FFF">
      <w:pPr>
        <w:pStyle w:val="TOC2"/>
        <w:rPr>
          <w:rFonts w:eastAsiaTheme="minorEastAsia"/>
          <w:noProof/>
          <w:color w:val="auto"/>
          <w:kern w:val="2"/>
          <w:sz w:val="22"/>
          <w:szCs w:val="22"/>
          <w:lang w:eastAsia="en-GB"/>
          <w14:ligatures w14:val="standardContextual"/>
        </w:rPr>
      </w:pPr>
      <w:hyperlink w:anchor="_Toc171428720" w:history="1">
        <w:r w:rsidR="00122E6B" w:rsidRPr="00F90F2B">
          <w:rPr>
            <w:rStyle w:val="Hyperlink"/>
            <w:bCs/>
            <w:noProof/>
          </w:rPr>
          <w:t>6.2.</w:t>
        </w:r>
        <w:r w:rsidR="00122E6B">
          <w:rPr>
            <w:rFonts w:eastAsiaTheme="minorEastAsia"/>
            <w:noProof/>
            <w:color w:val="auto"/>
            <w:kern w:val="2"/>
            <w:sz w:val="22"/>
            <w:szCs w:val="22"/>
            <w:lang w:eastAsia="en-GB"/>
            <w14:ligatures w14:val="standardContextual"/>
          </w:rPr>
          <w:tab/>
        </w:r>
        <w:r w:rsidR="00122E6B" w:rsidRPr="00F90F2B">
          <w:rPr>
            <w:rStyle w:val="Hyperlink"/>
            <w:noProof/>
          </w:rPr>
          <w:t>Budgets &amp; Budget Monitoring</w:t>
        </w:r>
        <w:r w:rsidR="00122E6B">
          <w:rPr>
            <w:noProof/>
            <w:webHidden/>
          </w:rPr>
          <w:tab/>
        </w:r>
        <w:r w:rsidR="00122E6B">
          <w:rPr>
            <w:noProof/>
            <w:webHidden/>
          </w:rPr>
          <w:fldChar w:fldCharType="begin"/>
        </w:r>
        <w:r w:rsidR="00122E6B">
          <w:rPr>
            <w:noProof/>
            <w:webHidden/>
          </w:rPr>
          <w:instrText xml:space="preserve"> PAGEREF _Toc171428720 \h </w:instrText>
        </w:r>
        <w:r w:rsidR="00122E6B">
          <w:rPr>
            <w:noProof/>
            <w:webHidden/>
          </w:rPr>
        </w:r>
        <w:r w:rsidR="00122E6B">
          <w:rPr>
            <w:noProof/>
            <w:webHidden/>
          </w:rPr>
          <w:fldChar w:fldCharType="separate"/>
        </w:r>
        <w:r w:rsidR="00122E6B">
          <w:rPr>
            <w:noProof/>
            <w:webHidden/>
          </w:rPr>
          <w:t>11</w:t>
        </w:r>
        <w:r w:rsidR="00122E6B">
          <w:rPr>
            <w:noProof/>
            <w:webHidden/>
          </w:rPr>
          <w:fldChar w:fldCharType="end"/>
        </w:r>
      </w:hyperlink>
    </w:p>
    <w:p w14:paraId="0711DB1D" w14:textId="3EF10B44" w:rsidR="00122E6B" w:rsidRDefault="00000000" w:rsidP="00525FFF">
      <w:pPr>
        <w:pStyle w:val="TOC2"/>
        <w:rPr>
          <w:rFonts w:eastAsiaTheme="minorEastAsia"/>
          <w:noProof/>
          <w:color w:val="auto"/>
          <w:kern w:val="2"/>
          <w:sz w:val="22"/>
          <w:szCs w:val="22"/>
          <w:lang w:eastAsia="en-GB"/>
          <w14:ligatures w14:val="standardContextual"/>
        </w:rPr>
      </w:pPr>
      <w:hyperlink w:anchor="_Toc171428721" w:history="1">
        <w:r w:rsidR="00122E6B" w:rsidRPr="00F90F2B">
          <w:rPr>
            <w:rStyle w:val="Hyperlink"/>
            <w:bCs/>
            <w:noProof/>
          </w:rPr>
          <w:t>6.3.</w:t>
        </w:r>
        <w:r w:rsidR="00122E6B">
          <w:rPr>
            <w:rFonts w:eastAsiaTheme="minorEastAsia"/>
            <w:noProof/>
            <w:color w:val="auto"/>
            <w:kern w:val="2"/>
            <w:sz w:val="22"/>
            <w:szCs w:val="22"/>
            <w:lang w:eastAsia="en-GB"/>
            <w14:ligatures w14:val="standardContextual"/>
          </w:rPr>
          <w:tab/>
        </w:r>
        <w:r w:rsidR="00122E6B" w:rsidRPr="00F90F2B">
          <w:rPr>
            <w:rStyle w:val="Hyperlink"/>
            <w:noProof/>
          </w:rPr>
          <w:t>Budget Virements</w:t>
        </w:r>
        <w:r w:rsidR="00122E6B">
          <w:rPr>
            <w:noProof/>
            <w:webHidden/>
          </w:rPr>
          <w:tab/>
        </w:r>
        <w:r w:rsidR="00122E6B">
          <w:rPr>
            <w:noProof/>
            <w:webHidden/>
          </w:rPr>
          <w:fldChar w:fldCharType="begin"/>
        </w:r>
        <w:r w:rsidR="00122E6B">
          <w:rPr>
            <w:noProof/>
            <w:webHidden/>
          </w:rPr>
          <w:instrText xml:space="preserve"> PAGEREF _Toc171428721 \h </w:instrText>
        </w:r>
        <w:r w:rsidR="00122E6B">
          <w:rPr>
            <w:noProof/>
            <w:webHidden/>
          </w:rPr>
        </w:r>
        <w:r w:rsidR="00122E6B">
          <w:rPr>
            <w:noProof/>
            <w:webHidden/>
          </w:rPr>
          <w:fldChar w:fldCharType="separate"/>
        </w:r>
        <w:r w:rsidR="00122E6B">
          <w:rPr>
            <w:noProof/>
            <w:webHidden/>
          </w:rPr>
          <w:t>12</w:t>
        </w:r>
        <w:r w:rsidR="00122E6B">
          <w:rPr>
            <w:noProof/>
            <w:webHidden/>
          </w:rPr>
          <w:fldChar w:fldCharType="end"/>
        </w:r>
      </w:hyperlink>
    </w:p>
    <w:p w14:paraId="530FAD98" w14:textId="03C44F3C" w:rsidR="00122E6B" w:rsidRDefault="00000000" w:rsidP="00525FFF">
      <w:pPr>
        <w:pStyle w:val="TOC2"/>
        <w:rPr>
          <w:rFonts w:eastAsiaTheme="minorEastAsia"/>
          <w:noProof/>
          <w:color w:val="auto"/>
          <w:kern w:val="2"/>
          <w:sz w:val="22"/>
          <w:szCs w:val="22"/>
          <w:lang w:eastAsia="en-GB"/>
          <w14:ligatures w14:val="standardContextual"/>
        </w:rPr>
      </w:pPr>
      <w:hyperlink w:anchor="_Toc171428722" w:history="1">
        <w:r w:rsidR="00122E6B" w:rsidRPr="00F90F2B">
          <w:rPr>
            <w:rStyle w:val="Hyperlink"/>
            <w:bCs/>
            <w:noProof/>
          </w:rPr>
          <w:t>6.4.</w:t>
        </w:r>
        <w:r w:rsidR="00122E6B">
          <w:rPr>
            <w:rFonts w:eastAsiaTheme="minorEastAsia"/>
            <w:noProof/>
            <w:color w:val="auto"/>
            <w:kern w:val="2"/>
            <w:sz w:val="22"/>
            <w:szCs w:val="22"/>
            <w:lang w:eastAsia="en-GB"/>
            <w14:ligatures w14:val="standardContextual"/>
          </w:rPr>
          <w:tab/>
        </w:r>
        <w:r w:rsidR="00122E6B" w:rsidRPr="00F90F2B">
          <w:rPr>
            <w:rStyle w:val="Hyperlink"/>
            <w:noProof/>
          </w:rPr>
          <w:t>Journal Good Practice</w:t>
        </w:r>
        <w:r w:rsidR="00122E6B">
          <w:rPr>
            <w:noProof/>
            <w:webHidden/>
          </w:rPr>
          <w:tab/>
        </w:r>
        <w:r w:rsidR="00122E6B">
          <w:rPr>
            <w:noProof/>
            <w:webHidden/>
          </w:rPr>
          <w:fldChar w:fldCharType="begin"/>
        </w:r>
        <w:r w:rsidR="00122E6B">
          <w:rPr>
            <w:noProof/>
            <w:webHidden/>
          </w:rPr>
          <w:instrText xml:space="preserve"> PAGEREF _Toc171428722 \h </w:instrText>
        </w:r>
        <w:r w:rsidR="00122E6B">
          <w:rPr>
            <w:noProof/>
            <w:webHidden/>
          </w:rPr>
        </w:r>
        <w:r w:rsidR="00122E6B">
          <w:rPr>
            <w:noProof/>
            <w:webHidden/>
          </w:rPr>
          <w:fldChar w:fldCharType="separate"/>
        </w:r>
        <w:r w:rsidR="00122E6B">
          <w:rPr>
            <w:noProof/>
            <w:webHidden/>
          </w:rPr>
          <w:t>13</w:t>
        </w:r>
        <w:r w:rsidR="00122E6B">
          <w:rPr>
            <w:noProof/>
            <w:webHidden/>
          </w:rPr>
          <w:fldChar w:fldCharType="end"/>
        </w:r>
      </w:hyperlink>
    </w:p>
    <w:p w14:paraId="1B8373B1" w14:textId="7F6D7CC6" w:rsidR="00122E6B" w:rsidRDefault="00000000" w:rsidP="00525FFF">
      <w:pPr>
        <w:pStyle w:val="TOC2"/>
        <w:rPr>
          <w:rFonts w:eastAsiaTheme="minorEastAsia"/>
          <w:noProof/>
          <w:color w:val="auto"/>
          <w:kern w:val="2"/>
          <w:sz w:val="22"/>
          <w:szCs w:val="22"/>
          <w:lang w:eastAsia="en-GB"/>
          <w14:ligatures w14:val="standardContextual"/>
        </w:rPr>
      </w:pPr>
      <w:hyperlink w:anchor="_Toc171428723" w:history="1">
        <w:r w:rsidR="00122E6B" w:rsidRPr="00F90F2B">
          <w:rPr>
            <w:rStyle w:val="Hyperlink"/>
            <w:bCs/>
            <w:noProof/>
          </w:rPr>
          <w:t>6.5.</w:t>
        </w:r>
        <w:r w:rsidR="00122E6B">
          <w:rPr>
            <w:rFonts w:eastAsiaTheme="minorEastAsia"/>
            <w:noProof/>
            <w:color w:val="auto"/>
            <w:kern w:val="2"/>
            <w:sz w:val="22"/>
            <w:szCs w:val="22"/>
            <w:lang w:eastAsia="en-GB"/>
            <w14:ligatures w14:val="standardContextual"/>
          </w:rPr>
          <w:tab/>
        </w:r>
        <w:r w:rsidR="00122E6B" w:rsidRPr="00F90F2B">
          <w:rPr>
            <w:rStyle w:val="Hyperlink"/>
            <w:noProof/>
          </w:rPr>
          <w:t>Delegation of Authority</w:t>
        </w:r>
        <w:r w:rsidR="00122E6B">
          <w:rPr>
            <w:noProof/>
            <w:webHidden/>
          </w:rPr>
          <w:tab/>
        </w:r>
        <w:r w:rsidR="00122E6B">
          <w:rPr>
            <w:noProof/>
            <w:webHidden/>
          </w:rPr>
          <w:fldChar w:fldCharType="begin"/>
        </w:r>
        <w:r w:rsidR="00122E6B">
          <w:rPr>
            <w:noProof/>
            <w:webHidden/>
          </w:rPr>
          <w:instrText xml:space="preserve"> PAGEREF _Toc171428723 \h </w:instrText>
        </w:r>
        <w:r w:rsidR="00122E6B">
          <w:rPr>
            <w:noProof/>
            <w:webHidden/>
          </w:rPr>
        </w:r>
        <w:r w:rsidR="00122E6B">
          <w:rPr>
            <w:noProof/>
            <w:webHidden/>
          </w:rPr>
          <w:fldChar w:fldCharType="separate"/>
        </w:r>
        <w:r w:rsidR="00122E6B">
          <w:rPr>
            <w:noProof/>
            <w:webHidden/>
          </w:rPr>
          <w:t>14</w:t>
        </w:r>
        <w:r w:rsidR="00122E6B">
          <w:rPr>
            <w:noProof/>
            <w:webHidden/>
          </w:rPr>
          <w:fldChar w:fldCharType="end"/>
        </w:r>
      </w:hyperlink>
    </w:p>
    <w:p w14:paraId="1CFA0E1E" w14:textId="2B9BA34D" w:rsidR="00122E6B" w:rsidRDefault="00000000" w:rsidP="00525FFF">
      <w:pPr>
        <w:pStyle w:val="TOC2"/>
        <w:rPr>
          <w:rFonts w:eastAsiaTheme="minorEastAsia"/>
          <w:noProof/>
          <w:color w:val="auto"/>
          <w:kern w:val="2"/>
          <w:sz w:val="22"/>
          <w:szCs w:val="22"/>
          <w:lang w:eastAsia="en-GB"/>
          <w14:ligatures w14:val="standardContextual"/>
        </w:rPr>
      </w:pPr>
      <w:hyperlink w:anchor="_Toc171428724" w:history="1">
        <w:r w:rsidR="00122E6B" w:rsidRPr="00F90F2B">
          <w:rPr>
            <w:rStyle w:val="Hyperlink"/>
            <w:bCs/>
            <w:noProof/>
          </w:rPr>
          <w:t>6.6.</w:t>
        </w:r>
        <w:r w:rsidR="00122E6B">
          <w:rPr>
            <w:rFonts w:eastAsiaTheme="minorEastAsia"/>
            <w:noProof/>
            <w:color w:val="auto"/>
            <w:kern w:val="2"/>
            <w:sz w:val="22"/>
            <w:szCs w:val="22"/>
            <w:lang w:eastAsia="en-GB"/>
            <w14:ligatures w14:val="standardContextual"/>
          </w:rPr>
          <w:tab/>
        </w:r>
        <w:r w:rsidR="00122E6B" w:rsidRPr="00F90F2B">
          <w:rPr>
            <w:rStyle w:val="Hyperlink"/>
            <w:noProof/>
          </w:rPr>
          <w:t>Control Accounts</w:t>
        </w:r>
        <w:r w:rsidR="00122E6B">
          <w:rPr>
            <w:noProof/>
            <w:webHidden/>
          </w:rPr>
          <w:tab/>
        </w:r>
        <w:r w:rsidR="00122E6B">
          <w:rPr>
            <w:noProof/>
            <w:webHidden/>
          </w:rPr>
          <w:fldChar w:fldCharType="begin"/>
        </w:r>
        <w:r w:rsidR="00122E6B">
          <w:rPr>
            <w:noProof/>
            <w:webHidden/>
          </w:rPr>
          <w:instrText xml:space="preserve"> PAGEREF _Toc171428724 \h </w:instrText>
        </w:r>
        <w:r w:rsidR="00122E6B">
          <w:rPr>
            <w:noProof/>
            <w:webHidden/>
          </w:rPr>
        </w:r>
        <w:r w:rsidR="00122E6B">
          <w:rPr>
            <w:noProof/>
            <w:webHidden/>
          </w:rPr>
          <w:fldChar w:fldCharType="separate"/>
        </w:r>
        <w:r w:rsidR="00122E6B">
          <w:rPr>
            <w:noProof/>
            <w:webHidden/>
          </w:rPr>
          <w:t>15</w:t>
        </w:r>
        <w:r w:rsidR="00122E6B">
          <w:rPr>
            <w:noProof/>
            <w:webHidden/>
          </w:rPr>
          <w:fldChar w:fldCharType="end"/>
        </w:r>
      </w:hyperlink>
    </w:p>
    <w:p w14:paraId="3FFC4CF2" w14:textId="3FB87BBC" w:rsidR="00122E6B" w:rsidRDefault="00000000" w:rsidP="00525FFF">
      <w:pPr>
        <w:pStyle w:val="TOC2"/>
        <w:rPr>
          <w:rFonts w:eastAsiaTheme="minorEastAsia"/>
          <w:noProof/>
          <w:color w:val="auto"/>
          <w:kern w:val="2"/>
          <w:sz w:val="22"/>
          <w:szCs w:val="22"/>
          <w:lang w:eastAsia="en-GB"/>
          <w14:ligatures w14:val="standardContextual"/>
        </w:rPr>
      </w:pPr>
      <w:hyperlink w:anchor="_Toc171428725" w:history="1">
        <w:r w:rsidR="00122E6B" w:rsidRPr="00F90F2B">
          <w:rPr>
            <w:rStyle w:val="Hyperlink"/>
            <w:bCs/>
            <w:noProof/>
          </w:rPr>
          <w:t>6.7.</w:t>
        </w:r>
        <w:r w:rsidR="00122E6B">
          <w:rPr>
            <w:rFonts w:eastAsiaTheme="minorEastAsia"/>
            <w:noProof/>
            <w:color w:val="auto"/>
            <w:kern w:val="2"/>
            <w:sz w:val="22"/>
            <w:szCs w:val="22"/>
            <w:lang w:eastAsia="en-GB"/>
            <w14:ligatures w14:val="standardContextual"/>
          </w:rPr>
          <w:tab/>
        </w:r>
        <w:r w:rsidR="00122E6B" w:rsidRPr="00F90F2B">
          <w:rPr>
            <w:rStyle w:val="Hyperlink"/>
            <w:noProof/>
          </w:rPr>
          <w:t>Closing Old Year and Opening New Year Balances</w:t>
        </w:r>
        <w:r w:rsidR="00122E6B">
          <w:rPr>
            <w:noProof/>
            <w:webHidden/>
          </w:rPr>
          <w:tab/>
        </w:r>
        <w:r w:rsidR="00122E6B">
          <w:rPr>
            <w:noProof/>
            <w:webHidden/>
          </w:rPr>
          <w:fldChar w:fldCharType="begin"/>
        </w:r>
        <w:r w:rsidR="00122E6B">
          <w:rPr>
            <w:noProof/>
            <w:webHidden/>
          </w:rPr>
          <w:instrText xml:space="preserve"> PAGEREF _Toc171428725 \h </w:instrText>
        </w:r>
        <w:r w:rsidR="00122E6B">
          <w:rPr>
            <w:noProof/>
            <w:webHidden/>
          </w:rPr>
        </w:r>
        <w:r w:rsidR="00122E6B">
          <w:rPr>
            <w:noProof/>
            <w:webHidden/>
          </w:rPr>
          <w:fldChar w:fldCharType="separate"/>
        </w:r>
        <w:r w:rsidR="00122E6B">
          <w:rPr>
            <w:noProof/>
            <w:webHidden/>
          </w:rPr>
          <w:t>16</w:t>
        </w:r>
        <w:r w:rsidR="00122E6B">
          <w:rPr>
            <w:noProof/>
            <w:webHidden/>
          </w:rPr>
          <w:fldChar w:fldCharType="end"/>
        </w:r>
      </w:hyperlink>
    </w:p>
    <w:p w14:paraId="4D20B4A8" w14:textId="7174B71E" w:rsidR="00122E6B" w:rsidRDefault="00000000" w:rsidP="00525FFF">
      <w:pPr>
        <w:pStyle w:val="TOC2"/>
        <w:rPr>
          <w:rFonts w:eastAsiaTheme="minorEastAsia"/>
          <w:noProof/>
          <w:color w:val="auto"/>
          <w:kern w:val="2"/>
          <w:sz w:val="22"/>
          <w:szCs w:val="22"/>
          <w:lang w:eastAsia="en-GB"/>
          <w14:ligatures w14:val="standardContextual"/>
        </w:rPr>
      </w:pPr>
      <w:hyperlink w:anchor="_Toc171428726" w:history="1">
        <w:r w:rsidR="00122E6B" w:rsidRPr="00F90F2B">
          <w:rPr>
            <w:rStyle w:val="Hyperlink"/>
            <w:bCs/>
            <w:noProof/>
          </w:rPr>
          <w:t>6.8.</w:t>
        </w:r>
        <w:r w:rsidR="00122E6B">
          <w:rPr>
            <w:rFonts w:eastAsiaTheme="minorEastAsia"/>
            <w:noProof/>
            <w:color w:val="auto"/>
            <w:kern w:val="2"/>
            <w:sz w:val="22"/>
            <w:szCs w:val="22"/>
            <w:lang w:eastAsia="en-GB"/>
            <w14:ligatures w14:val="standardContextual"/>
          </w:rPr>
          <w:tab/>
        </w:r>
        <w:r w:rsidR="00122E6B" w:rsidRPr="00F90F2B">
          <w:rPr>
            <w:rStyle w:val="Hyperlink"/>
            <w:noProof/>
          </w:rPr>
          <w:t>Losses and Special Payments</w:t>
        </w:r>
        <w:r w:rsidR="00122E6B">
          <w:rPr>
            <w:noProof/>
            <w:webHidden/>
          </w:rPr>
          <w:tab/>
        </w:r>
        <w:r w:rsidR="00122E6B">
          <w:rPr>
            <w:noProof/>
            <w:webHidden/>
          </w:rPr>
          <w:fldChar w:fldCharType="begin"/>
        </w:r>
        <w:r w:rsidR="00122E6B">
          <w:rPr>
            <w:noProof/>
            <w:webHidden/>
          </w:rPr>
          <w:instrText xml:space="preserve"> PAGEREF _Toc171428726 \h </w:instrText>
        </w:r>
        <w:r w:rsidR="00122E6B">
          <w:rPr>
            <w:noProof/>
            <w:webHidden/>
          </w:rPr>
        </w:r>
        <w:r w:rsidR="00122E6B">
          <w:rPr>
            <w:noProof/>
            <w:webHidden/>
          </w:rPr>
          <w:fldChar w:fldCharType="separate"/>
        </w:r>
        <w:r w:rsidR="00122E6B">
          <w:rPr>
            <w:noProof/>
            <w:webHidden/>
          </w:rPr>
          <w:t>16</w:t>
        </w:r>
        <w:r w:rsidR="00122E6B">
          <w:rPr>
            <w:noProof/>
            <w:webHidden/>
          </w:rPr>
          <w:fldChar w:fldCharType="end"/>
        </w:r>
      </w:hyperlink>
    </w:p>
    <w:p w14:paraId="7ABF7B93" w14:textId="3ACD65EF" w:rsidR="00122E6B" w:rsidRDefault="00000000" w:rsidP="00525FFF">
      <w:pPr>
        <w:pStyle w:val="TOC2"/>
        <w:rPr>
          <w:rFonts w:eastAsiaTheme="minorEastAsia"/>
          <w:noProof/>
          <w:color w:val="auto"/>
          <w:kern w:val="2"/>
          <w:sz w:val="22"/>
          <w:szCs w:val="22"/>
          <w:lang w:eastAsia="en-GB"/>
          <w14:ligatures w14:val="standardContextual"/>
        </w:rPr>
      </w:pPr>
      <w:hyperlink w:anchor="_Toc171428727" w:history="1">
        <w:r w:rsidR="00122E6B" w:rsidRPr="00F90F2B">
          <w:rPr>
            <w:rStyle w:val="Hyperlink"/>
            <w:bCs/>
            <w:noProof/>
          </w:rPr>
          <w:t>6.9.</w:t>
        </w:r>
        <w:r w:rsidR="00122E6B">
          <w:rPr>
            <w:rFonts w:eastAsiaTheme="minorEastAsia"/>
            <w:noProof/>
            <w:color w:val="auto"/>
            <w:kern w:val="2"/>
            <w:sz w:val="22"/>
            <w:szCs w:val="22"/>
            <w:lang w:eastAsia="en-GB"/>
            <w14:ligatures w14:val="standardContextual"/>
          </w:rPr>
          <w:tab/>
        </w:r>
        <w:r w:rsidR="00122E6B" w:rsidRPr="00F90F2B">
          <w:rPr>
            <w:rStyle w:val="Hyperlink"/>
            <w:noProof/>
          </w:rPr>
          <w:t>Freedom of Information Requests</w:t>
        </w:r>
        <w:r w:rsidR="00122E6B">
          <w:rPr>
            <w:noProof/>
            <w:webHidden/>
          </w:rPr>
          <w:tab/>
        </w:r>
        <w:r w:rsidR="00122E6B">
          <w:rPr>
            <w:noProof/>
            <w:webHidden/>
          </w:rPr>
          <w:fldChar w:fldCharType="begin"/>
        </w:r>
        <w:r w:rsidR="00122E6B">
          <w:rPr>
            <w:noProof/>
            <w:webHidden/>
          </w:rPr>
          <w:instrText xml:space="preserve"> PAGEREF _Toc171428727 \h </w:instrText>
        </w:r>
        <w:r w:rsidR="00122E6B">
          <w:rPr>
            <w:noProof/>
            <w:webHidden/>
          </w:rPr>
        </w:r>
        <w:r w:rsidR="00122E6B">
          <w:rPr>
            <w:noProof/>
            <w:webHidden/>
          </w:rPr>
          <w:fldChar w:fldCharType="separate"/>
        </w:r>
        <w:r w:rsidR="00122E6B">
          <w:rPr>
            <w:noProof/>
            <w:webHidden/>
          </w:rPr>
          <w:t>17</w:t>
        </w:r>
        <w:r w:rsidR="00122E6B">
          <w:rPr>
            <w:noProof/>
            <w:webHidden/>
          </w:rPr>
          <w:fldChar w:fldCharType="end"/>
        </w:r>
      </w:hyperlink>
    </w:p>
    <w:p w14:paraId="1EF4C1D9" w14:textId="0A62C660" w:rsidR="00122E6B" w:rsidRDefault="00000000">
      <w:pPr>
        <w:pStyle w:val="TOC1"/>
        <w:rPr>
          <w:rFonts w:eastAsiaTheme="minorEastAsia"/>
          <w:b w:val="0"/>
          <w:noProof/>
          <w:color w:val="auto"/>
          <w:kern w:val="2"/>
          <w:sz w:val="22"/>
          <w:szCs w:val="22"/>
          <w:lang w:eastAsia="en-GB"/>
          <w14:ligatures w14:val="standardContextual"/>
        </w:rPr>
      </w:pPr>
      <w:hyperlink w:anchor="_Toc171428728" w:history="1">
        <w:r w:rsidR="00122E6B" w:rsidRPr="00F90F2B">
          <w:rPr>
            <w:rStyle w:val="Hyperlink"/>
            <w:noProof/>
          </w:rPr>
          <w:t>7.</w:t>
        </w:r>
        <w:r w:rsidR="00122E6B">
          <w:rPr>
            <w:rFonts w:eastAsiaTheme="minorEastAsia"/>
            <w:b w:val="0"/>
            <w:noProof/>
            <w:color w:val="auto"/>
            <w:kern w:val="2"/>
            <w:sz w:val="22"/>
            <w:szCs w:val="22"/>
            <w:lang w:eastAsia="en-GB"/>
            <w14:ligatures w14:val="standardContextual"/>
          </w:rPr>
          <w:tab/>
        </w:r>
        <w:r w:rsidR="00122E6B" w:rsidRPr="00F90F2B">
          <w:rPr>
            <w:rStyle w:val="Hyperlink"/>
            <w:noProof/>
          </w:rPr>
          <w:t>Monitoring Compliance</w:t>
        </w:r>
        <w:r w:rsidR="00122E6B">
          <w:rPr>
            <w:noProof/>
            <w:webHidden/>
          </w:rPr>
          <w:tab/>
        </w:r>
        <w:r w:rsidR="00122E6B">
          <w:rPr>
            <w:noProof/>
            <w:webHidden/>
          </w:rPr>
          <w:fldChar w:fldCharType="begin"/>
        </w:r>
        <w:r w:rsidR="00122E6B">
          <w:rPr>
            <w:noProof/>
            <w:webHidden/>
          </w:rPr>
          <w:instrText xml:space="preserve"> PAGEREF _Toc171428728 \h </w:instrText>
        </w:r>
        <w:r w:rsidR="00122E6B">
          <w:rPr>
            <w:noProof/>
            <w:webHidden/>
          </w:rPr>
        </w:r>
        <w:r w:rsidR="00122E6B">
          <w:rPr>
            <w:noProof/>
            <w:webHidden/>
          </w:rPr>
          <w:fldChar w:fldCharType="separate"/>
        </w:r>
        <w:r w:rsidR="00122E6B">
          <w:rPr>
            <w:noProof/>
            <w:webHidden/>
          </w:rPr>
          <w:t>17</w:t>
        </w:r>
        <w:r w:rsidR="00122E6B">
          <w:rPr>
            <w:noProof/>
            <w:webHidden/>
          </w:rPr>
          <w:fldChar w:fldCharType="end"/>
        </w:r>
      </w:hyperlink>
    </w:p>
    <w:p w14:paraId="2EBD56A8" w14:textId="19AEBE85" w:rsidR="00122E6B" w:rsidRDefault="00000000">
      <w:pPr>
        <w:pStyle w:val="TOC1"/>
        <w:rPr>
          <w:rFonts w:eastAsiaTheme="minorEastAsia"/>
          <w:b w:val="0"/>
          <w:noProof/>
          <w:color w:val="auto"/>
          <w:kern w:val="2"/>
          <w:sz w:val="22"/>
          <w:szCs w:val="22"/>
          <w:lang w:eastAsia="en-GB"/>
          <w14:ligatures w14:val="standardContextual"/>
        </w:rPr>
      </w:pPr>
      <w:hyperlink w:anchor="_Toc171428729" w:history="1">
        <w:r w:rsidR="00122E6B" w:rsidRPr="00F90F2B">
          <w:rPr>
            <w:rStyle w:val="Hyperlink"/>
            <w:noProof/>
          </w:rPr>
          <w:t>8.</w:t>
        </w:r>
        <w:r w:rsidR="00122E6B">
          <w:rPr>
            <w:rFonts w:eastAsiaTheme="minorEastAsia"/>
            <w:b w:val="0"/>
            <w:noProof/>
            <w:color w:val="auto"/>
            <w:kern w:val="2"/>
            <w:sz w:val="22"/>
            <w:szCs w:val="22"/>
            <w:lang w:eastAsia="en-GB"/>
            <w14:ligatures w14:val="standardContextual"/>
          </w:rPr>
          <w:tab/>
        </w:r>
        <w:r w:rsidR="00122E6B" w:rsidRPr="00F90F2B">
          <w:rPr>
            <w:rStyle w:val="Hyperlink"/>
            <w:noProof/>
          </w:rPr>
          <w:t>Staff Training</w:t>
        </w:r>
        <w:r w:rsidR="00122E6B">
          <w:rPr>
            <w:noProof/>
            <w:webHidden/>
          </w:rPr>
          <w:tab/>
        </w:r>
        <w:r w:rsidR="00122E6B">
          <w:rPr>
            <w:noProof/>
            <w:webHidden/>
          </w:rPr>
          <w:fldChar w:fldCharType="begin"/>
        </w:r>
        <w:r w:rsidR="00122E6B">
          <w:rPr>
            <w:noProof/>
            <w:webHidden/>
          </w:rPr>
          <w:instrText xml:space="preserve"> PAGEREF _Toc171428729 \h </w:instrText>
        </w:r>
        <w:r w:rsidR="00122E6B">
          <w:rPr>
            <w:noProof/>
            <w:webHidden/>
          </w:rPr>
        </w:r>
        <w:r w:rsidR="00122E6B">
          <w:rPr>
            <w:noProof/>
            <w:webHidden/>
          </w:rPr>
          <w:fldChar w:fldCharType="separate"/>
        </w:r>
        <w:r w:rsidR="00122E6B">
          <w:rPr>
            <w:noProof/>
            <w:webHidden/>
          </w:rPr>
          <w:t>17</w:t>
        </w:r>
        <w:r w:rsidR="00122E6B">
          <w:rPr>
            <w:noProof/>
            <w:webHidden/>
          </w:rPr>
          <w:fldChar w:fldCharType="end"/>
        </w:r>
      </w:hyperlink>
    </w:p>
    <w:p w14:paraId="30B2470B" w14:textId="48D14624" w:rsidR="00122E6B" w:rsidRDefault="00000000">
      <w:pPr>
        <w:pStyle w:val="TOC1"/>
        <w:rPr>
          <w:rFonts w:eastAsiaTheme="minorEastAsia"/>
          <w:b w:val="0"/>
          <w:noProof/>
          <w:color w:val="auto"/>
          <w:kern w:val="2"/>
          <w:sz w:val="22"/>
          <w:szCs w:val="22"/>
          <w:lang w:eastAsia="en-GB"/>
          <w14:ligatures w14:val="standardContextual"/>
        </w:rPr>
      </w:pPr>
      <w:hyperlink w:anchor="_Toc171428730" w:history="1">
        <w:r w:rsidR="00122E6B" w:rsidRPr="00F90F2B">
          <w:rPr>
            <w:rStyle w:val="Hyperlink"/>
            <w:noProof/>
          </w:rPr>
          <w:t>9.</w:t>
        </w:r>
        <w:r w:rsidR="00122E6B">
          <w:rPr>
            <w:rFonts w:eastAsiaTheme="minorEastAsia"/>
            <w:b w:val="0"/>
            <w:noProof/>
            <w:color w:val="auto"/>
            <w:kern w:val="2"/>
            <w:sz w:val="22"/>
            <w:szCs w:val="22"/>
            <w:lang w:eastAsia="en-GB"/>
            <w14:ligatures w14:val="standardContextual"/>
          </w:rPr>
          <w:tab/>
        </w:r>
        <w:r w:rsidR="00122E6B" w:rsidRPr="00F90F2B">
          <w:rPr>
            <w:rStyle w:val="Hyperlink"/>
            <w:noProof/>
          </w:rPr>
          <w:t>Arrangements for Review</w:t>
        </w:r>
        <w:r w:rsidR="00122E6B">
          <w:rPr>
            <w:noProof/>
            <w:webHidden/>
          </w:rPr>
          <w:tab/>
        </w:r>
        <w:r w:rsidR="00122E6B">
          <w:rPr>
            <w:noProof/>
            <w:webHidden/>
          </w:rPr>
          <w:fldChar w:fldCharType="begin"/>
        </w:r>
        <w:r w:rsidR="00122E6B">
          <w:rPr>
            <w:noProof/>
            <w:webHidden/>
          </w:rPr>
          <w:instrText xml:space="preserve"> PAGEREF _Toc171428730 \h </w:instrText>
        </w:r>
        <w:r w:rsidR="00122E6B">
          <w:rPr>
            <w:noProof/>
            <w:webHidden/>
          </w:rPr>
        </w:r>
        <w:r w:rsidR="00122E6B">
          <w:rPr>
            <w:noProof/>
            <w:webHidden/>
          </w:rPr>
          <w:fldChar w:fldCharType="separate"/>
        </w:r>
        <w:r w:rsidR="00122E6B">
          <w:rPr>
            <w:noProof/>
            <w:webHidden/>
          </w:rPr>
          <w:t>18</w:t>
        </w:r>
        <w:r w:rsidR="00122E6B">
          <w:rPr>
            <w:noProof/>
            <w:webHidden/>
          </w:rPr>
          <w:fldChar w:fldCharType="end"/>
        </w:r>
      </w:hyperlink>
    </w:p>
    <w:p w14:paraId="425C4CEF" w14:textId="304D76B9" w:rsidR="00122E6B" w:rsidRDefault="00000000">
      <w:pPr>
        <w:pStyle w:val="TOC1"/>
        <w:rPr>
          <w:rFonts w:eastAsiaTheme="minorEastAsia"/>
          <w:b w:val="0"/>
          <w:noProof/>
          <w:color w:val="auto"/>
          <w:kern w:val="2"/>
          <w:sz w:val="22"/>
          <w:szCs w:val="22"/>
          <w:lang w:eastAsia="en-GB"/>
          <w14:ligatures w14:val="standardContextual"/>
        </w:rPr>
      </w:pPr>
      <w:hyperlink w:anchor="_Toc171428731" w:history="1">
        <w:r w:rsidR="00122E6B" w:rsidRPr="00F90F2B">
          <w:rPr>
            <w:rStyle w:val="Hyperlink"/>
            <w:noProof/>
          </w:rPr>
          <w:t>10.</w:t>
        </w:r>
        <w:r w:rsidR="00122E6B">
          <w:rPr>
            <w:rFonts w:eastAsiaTheme="minorEastAsia"/>
            <w:b w:val="0"/>
            <w:noProof/>
            <w:color w:val="auto"/>
            <w:kern w:val="2"/>
            <w:sz w:val="22"/>
            <w:szCs w:val="22"/>
            <w:lang w:eastAsia="en-GB"/>
            <w14:ligatures w14:val="standardContextual"/>
          </w:rPr>
          <w:tab/>
        </w:r>
        <w:r w:rsidR="00122E6B" w:rsidRPr="00F90F2B">
          <w:rPr>
            <w:rStyle w:val="Hyperlink"/>
            <w:noProof/>
          </w:rPr>
          <w:t>Associated Policies, Guidance and Documents</w:t>
        </w:r>
        <w:r w:rsidR="00122E6B">
          <w:rPr>
            <w:noProof/>
            <w:webHidden/>
          </w:rPr>
          <w:tab/>
        </w:r>
        <w:r w:rsidR="00122E6B">
          <w:rPr>
            <w:noProof/>
            <w:webHidden/>
          </w:rPr>
          <w:fldChar w:fldCharType="begin"/>
        </w:r>
        <w:r w:rsidR="00122E6B">
          <w:rPr>
            <w:noProof/>
            <w:webHidden/>
          </w:rPr>
          <w:instrText xml:space="preserve"> PAGEREF _Toc171428731 \h </w:instrText>
        </w:r>
        <w:r w:rsidR="00122E6B">
          <w:rPr>
            <w:noProof/>
            <w:webHidden/>
          </w:rPr>
        </w:r>
        <w:r w:rsidR="00122E6B">
          <w:rPr>
            <w:noProof/>
            <w:webHidden/>
          </w:rPr>
          <w:fldChar w:fldCharType="separate"/>
        </w:r>
        <w:r w:rsidR="00122E6B">
          <w:rPr>
            <w:noProof/>
            <w:webHidden/>
          </w:rPr>
          <w:t>18</w:t>
        </w:r>
        <w:r w:rsidR="00122E6B">
          <w:rPr>
            <w:noProof/>
            <w:webHidden/>
          </w:rPr>
          <w:fldChar w:fldCharType="end"/>
        </w:r>
      </w:hyperlink>
    </w:p>
    <w:p w14:paraId="6A0041CA" w14:textId="528EBDE4" w:rsidR="00122E6B" w:rsidRDefault="00000000">
      <w:pPr>
        <w:pStyle w:val="TOC1"/>
        <w:rPr>
          <w:rFonts w:eastAsiaTheme="minorEastAsia"/>
          <w:b w:val="0"/>
          <w:noProof/>
          <w:color w:val="auto"/>
          <w:kern w:val="2"/>
          <w:sz w:val="22"/>
          <w:szCs w:val="22"/>
          <w:lang w:eastAsia="en-GB"/>
          <w14:ligatures w14:val="standardContextual"/>
        </w:rPr>
      </w:pPr>
      <w:hyperlink w:anchor="_Toc171428732" w:history="1">
        <w:r w:rsidR="00122E6B" w:rsidRPr="00F90F2B">
          <w:rPr>
            <w:rStyle w:val="Hyperlink"/>
            <w:noProof/>
          </w:rPr>
          <w:t>11.</w:t>
        </w:r>
        <w:r w:rsidR="00122E6B">
          <w:rPr>
            <w:rFonts w:eastAsiaTheme="minorEastAsia"/>
            <w:b w:val="0"/>
            <w:noProof/>
            <w:color w:val="auto"/>
            <w:kern w:val="2"/>
            <w:sz w:val="22"/>
            <w:szCs w:val="22"/>
            <w:lang w:eastAsia="en-GB"/>
            <w14:ligatures w14:val="standardContextual"/>
          </w:rPr>
          <w:tab/>
        </w:r>
        <w:r w:rsidR="00122E6B" w:rsidRPr="00F90F2B">
          <w:rPr>
            <w:rStyle w:val="Hyperlink"/>
            <w:noProof/>
          </w:rPr>
          <w:t>References</w:t>
        </w:r>
        <w:r w:rsidR="00122E6B">
          <w:rPr>
            <w:noProof/>
            <w:webHidden/>
          </w:rPr>
          <w:tab/>
        </w:r>
        <w:r w:rsidR="00122E6B">
          <w:rPr>
            <w:noProof/>
            <w:webHidden/>
          </w:rPr>
          <w:fldChar w:fldCharType="begin"/>
        </w:r>
        <w:r w:rsidR="00122E6B">
          <w:rPr>
            <w:noProof/>
            <w:webHidden/>
          </w:rPr>
          <w:instrText xml:space="preserve"> PAGEREF _Toc171428732 \h </w:instrText>
        </w:r>
        <w:r w:rsidR="00122E6B">
          <w:rPr>
            <w:noProof/>
            <w:webHidden/>
          </w:rPr>
        </w:r>
        <w:r w:rsidR="00122E6B">
          <w:rPr>
            <w:noProof/>
            <w:webHidden/>
          </w:rPr>
          <w:fldChar w:fldCharType="separate"/>
        </w:r>
        <w:r w:rsidR="00122E6B">
          <w:rPr>
            <w:noProof/>
            <w:webHidden/>
          </w:rPr>
          <w:t>18</w:t>
        </w:r>
        <w:r w:rsidR="00122E6B">
          <w:rPr>
            <w:noProof/>
            <w:webHidden/>
          </w:rPr>
          <w:fldChar w:fldCharType="end"/>
        </w:r>
      </w:hyperlink>
    </w:p>
    <w:p w14:paraId="26E8E1D6" w14:textId="13DBE712" w:rsidR="00122E6B" w:rsidRDefault="00000000">
      <w:pPr>
        <w:pStyle w:val="TOC1"/>
        <w:rPr>
          <w:rFonts w:eastAsiaTheme="minorEastAsia"/>
          <w:b w:val="0"/>
          <w:noProof/>
          <w:color w:val="auto"/>
          <w:kern w:val="2"/>
          <w:sz w:val="22"/>
          <w:szCs w:val="22"/>
          <w:lang w:eastAsia="en-GB"/>
          <w14:ligatures w14:val="standardContextual"/>
        </w:rPr>
      </w:pPr>
      <w:hyperlink w:anchor="_Toc171428733" w:history="1">
        <w:r w:rsidR="00122E6B" w:rsidRPr="00F90F2B">
          <w:rPr>
            <w:rStyle w:val="Hyperlink"/>
            <w:noProof/>
          </w:rPr>
          <w:t>12.</w:t>
        </w:r>
        <w:r w:rsidR="00122E6B">
          <w:rPr>
            <w:rFonts w:eastAsiaTheme="minorEastAsia"/>
            <w:b w:val="0"/>
            <w:noProof/>
            <w:color w:val="auto"/>
            <w:kern w:val="2"/>
            <w:sz w:val="22"/>
            <w:szCs w:val="22"/>
            <w:lang w:eastAsia="en-GB"/>
            <w14:ligatures w14:val="standardContextual"/>
          </w:rPr>
          <w:tab/>
        </w:r>
        <w:r w:rsidR="00122E6B" w:rsidRPr="00F90F2B">
          <w:rPr>
            <w:rStyle w:val="Hyperlink"/>
            <w:noProof/>
          </w:rPr>
          <w:t>Equality Impact Assessment</w:t>
        </w:r>
        <w:r w:rsidR="00122E6B">
          <w:rPr>
            <w:noProof/>
            <w:webHidden/>
          </w:rPr>
          <w:tab/>
        </w:r>
        <w:r w:rsidR="00122E6B">
          <w:rPr>
            <w:noProof/>
            <w:webHidden/>
          </w:rPr>
          <w:fldChar w:fldCharType="begin"/>
        </w:r>
        <w:r w:rsidR="00122E6B">
          <w:rPr>
            <w:noProof/>
            <w:webHidden/>
          </w:rPr>
          <w:instrText xml:space="preserve"> PAGEREF _Toc171428733 \h </w:instrText>
        </w:r>
        <w:r w:rsidR="00122E6B">
          <w:rPr>
            <w:noProof/>
            <w:webHidden/>
          </w:rPr>
        </w:r>
        <w:r w:rsidR="00122E6B">
          <w:rPr>
            <w:noProof/>
            <w:webHidden/>
          </w:rPr>
          <w:fldChar w:fldCharType="separate"/>
        </w:r>
        <w:r w:rsidR="00122E6B">
          <w:rPr>
            <w:noProof/>
            <w:webHidden/>
          </w:rPr>
          <w:t>18</w:t>
        </w:r>
        <w:r w:rsidR="00122E6B">
          <w:rPr>
            <w:noProof/>
            <w:webHidden/>
          </w:rPr>
          <w:fldChar w:fldCharType="end"/>
        </w:r>
      </w:hyperlink>
    </w:p>
    <w:p w14:paraId="4F2CA775" w14:textId="26E52FBC" w:rsidR="00122E6B" w:rsidRDefault="00000000">
      <w:pPr>
        <w:pStyle w:val="TOC1"/>
        <w:rPr>
          <w:rFonts w:eastAsiaTheme="minorEastAsia"/>
          <w:b w:val="0"/>
          <w:noProof/>
          <w:color w:val="auto"/>
          <w:kern w:val="2"/>
          <w:sz w:val="22"/>
          <w:szCs w:val="22"/>
          <w:lang w:eastAsia="en-GB"/>
          <w14:ligatures w14:val="standardContextual"/>
        </w:rPr>
      </w:pPr>
      <w:hyperlink w:anchor="_Toc171428734" w:history="1">
        <w:r w:rsidR="00122E6B" w:rsidRPr="00F90F2B">
          <w:rPr>
            <w:rStyle w:val="Hyperlink"/>
            <w:noProof/>
          </w:rPr>
          <w:t>Appendix A - Equality Impact Assessment</w:t>
        </w:r>
        <w:r w:rsidR="00122E6B">
          <w:rPr>
            <w:noProof/>
            <w:webHidden/>
          </w:rPr>
          <w:tab/>
        </w:r>
        <w:r w:rsidR="00122E6B">
          <w:rPr>
            <w:noProof/>
            <w:webHidden/>
          </w:rPr>
          <w:fldChar w:fldCharType="begin"/>
        </w:r>
        <w:r w:rsidR="00122E6B">
          <w:rPr>
            <w:noProof/>
            <w:webHidden/>
          </w:rPr>
          <w:instrText xml:space="preserve"> PAGEREF _Toc171428734 \h </w:instrText>
        </w:r>
        <w:r w:rsidR="00122E6B">
          <w:rPr>
            <w:noProof/>
            <w:webHidden/>
          </w:rPr>
        </w:r>
        <w:r w:rsidR="00122E6B">
          <w:rPr>
            <w:noProof/>
            <w:webHidden/>
          </w:rPr>
          <w:fldChar w:fldCharType="separate"/>
        </w:r>
        <w:r w:rsidR="00122E6B">
          <w:rPr>
            <w:noProof/>
            <w:webHidden/>
          </w:rPr>
          <w:t>19</w:t>
        </w:r>
        <w:r w:rsidR="00122E6B">
          <w:rPr>
            <w:noProof/>
            <w:webHidden/>
          </w:rPr>
          <w:fldChar w:fldCharType="end"/>
        </w:r>
      </w:hyperlink>
    </w:p>
    <w:p w14:paraId="79AC109D" w14:textId="77777777"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09092E0D" w14:textId="116CA611" w:rsidR="00E82995" w:rsidRPr="00381D46" w:rsidRDefault="00F913CD" w:rsidP="00246DAE">
      <w:pPr>
        <w:pStyle w:val="Heading2"/>
        <w:rPr>
          <w:b w:val="0"/>
          <w:color w:val="231F20" w:themeColor="text1"/>
          <w:sz w:val="24"/>
          <w:szCs w:val="24"/>
        </w:rPr>
      </w:pPr>
      <w:bookmarkStart w:id="5" w:name="_Toc84611043"/>
      <w:bookmarkStart w:id="6" w:name="_Toc89326544"/>
      <w:bookmarkStart w:id="7" w:name="_Toc171428705"/>
      <w:r w:rsidRPr="0015255F">
        <w:lastRenderedPageBreak/>
        <w:t>Introduction</w:t>
      </w:r>
      <w:bookmarkEnd w:id="5"/>
      <w:bookmarkEnd w:id="6"/>
      <w:bookmarkEnd w:id="7"/>
    </w:p>
    <w:p w14:paraId="102B86C3" w14:textId="1C92ACFC" w:rsidR="007B4BDD" w:rsidRPr="00444746" w:rsidRDefault="00E0628A" w:rsidP="00444746">
      <w:pPr>
        <w:pStyle w:val="Style1"/>
        <w:rPr>
          <w:rFonts w:eastAsia="Arial"/>
        </w:rPr>
      </w:pPr>
      <w:r w:rsidRPr="00444746">
        <w:rPr>
          <w:rFonts w:eastAsia="Arial"/>
        </w:rPr>
        <w:t>The I</w:t>
      </w:r>
      <w:r w:rsidR="00B21761" w:rsidRPr="00444746">
        <w:rPr>
          <w:rFonts w:eastAsia="Arial"/>
        </w:rPr>
        <w:t xml:space="preserve">ntegrated </w:t>
      </w:r>
      <w:r w:rsidRPr="00444746">
        <w:rPr>
          <w:rFonts w:eastAsia="Arial"/>
        </w:rPr>
        <w:t>C</w:t>
      </w:r>
      <w:r w:rsidR="00B21761" w:rsidRPr="00444746">
        <w:rPr>
          <w:rFonts w:eastAsia="Arial"/>
        </w:rPr>
        <w:t xml:space="preserve">are </w:t>
      </w:r>
      <w:r w:rsidRPr="00444746">
        <w:rPr>
          <w:rFonts w:eastAsia="Arial"/>
        </w:rPr>
        <w:t>B</w:t>
      </w:r>
      <w:r w:rsidR="00B21761" w:rsidRPr="00444746">
        <w:rPr>
          <w:rFonts w:eastAsia="Arial"/>
        </w:rPr>
        <w:t>oard (ICB)</w:t>
      </w:r>
      <w:r w:rsidRPr="00444746">
        <w:rPr>
          <w:rFonts w:eastAsia="Arial"/>
        </w:rPr>
        <w:t xml:space="preserve"> Chief Executive is personally accountable to NHS</w:t>
      </w:r>
      <w:r w:rsidR="000A6701" w:rsidRPr="00444746">
        <w:rPr>
          <w:rFonts w:eastAsia="Arial"/>
        </w:rPr>
        <w:t xml:space="preserve"> England (NHSE)</w:t>
      </w:r>
      <w:r w:rsidR="00A92D1D" w:rsidRPr="00444746">
        <w:rPr>
          <w:rFonts w:eastAsia="Arial"/>
        </w:rPr>
        <w:t xml:space="preserve"> for stewardship of the ICB’s allocated resources</w:t>
      </w:r>
      <w:r w:rsidR="000A6701" w:rsidRPr="00444746">
        <w:rPr>
          <w:rFonts w:eastAsia="Arial"/>
        </w:rPr>
        <w:t xml:space="preserve">. </w:t>
      </w:r>
      <w:r w:rsidR="000024EC" w:rsidRPr="00444746">
        <w:rPr>
          <w:rFonts w:eastAsia="Arial"/>
        </w:rPr>
        <w:t xml:space="preserve">Section 3.2 of the </w:t>
      </w:r>
      <w:r w:rsidR="000A6701" w:rsidRPr="00444746">
        <w:rPr>
          <w:rFonts w:eastAsia="Arial"/>
        </w:rPr>
        <w:t xml:space="preserve">ICB’s </w:t>
      </w:r>
      <w:r w:rsidR="000024EC" w:rsidRPr="00444746">
        <w:rPr>
          <w:rFonts w:eastAsia="Arial"/>
        </w:rPr>
        <w:t xml:space="preserve">Standing Financial Instructions </w:t>
      </w:r>
      <w:r w:rsidR="000A6701" w:rsidRPr="00444746">
        <w:rPr>
          <w:rFonts w:eastAsia="Arial"/>
        </w:rPr>
        <w:t xml:space="preserve">(SFIs) </w:t>
      </w:r>
      <w:r w:rsidR="000024EC" w:rsidRPr="00444746">
        <w:rPr>
          <w:rFonts w:eastAsia="Arial"/>
        </w:rPr>
        <w:t>sets out</w:t>
      </w:r>
      <w:r w:rsidR="00BA085B" w:rsidRPr="00444746">
        <w:rPr>
          <w:rFonts w:eastAsia="Arial"/>
        </w:rPr>
        <w:t xml:space="preserve"> </w:t>
      </w:r>
      <w:r w:rsidR="00EE06DF" w:rsidRPr="00444746">
        <w:rPr>
          <w:rFonts w:eastAsia="Arial"/>
        </w:rPr>
        <w:t xml:space="preserve">the </w:t>
      </w:r>
      <w:r w:rsidR="00BA085B" w:rsidRPr="00444746">
        <w:rPr>
          <w:rFonts w:eastAsia="Arial"/>
        </w:rPr>
        <w:t xml:space="preserve">roles </w:t>
      </w:r>
      <w:r w:rsidR="00EE06DF" w:rsidRPr="00444746">
        <w:rPr>
          <w:rFonts w:eastAsia="Arial"/>
        </w:rPr>
        <w:t xml:space="preserve">the Chief Executive </w:t>
      </w:r>
      <w:r w:rsidR="00BA085B" w:rsidRPr="00444746">
        <w:rPr>
          <w:rFonts w:eastAsia="Arial"/>
        </w:rPr>
        <w:t>delegate</w:t>
      </w:r>
      <w:r w:rsidR="00EE06DF" w:rsidRPr="00444746">
        <w:rPr>
          <w:rFonts w:eastAsia="Arial"/>
        </w:rPr>
        <w:t>s</w:t>
      </w:r>
      <w:r w:rsidR="00BA085B" w:rsidRPr="00444746">
        <w:rPr>
          <w:rFonts w:eastAsia="Arial"/>
        </w:rPr>
        <w:t xml:space="preserve"> to the </w:t>
      </w:r>
      <w:r w:rsidR="004E0CAE">
        <w:rPr>
          <w:rFonts w:eastAsia="Arial"/>
        </w:rPr>
        <w:t>Executive Chief Finance Officer</w:t>
      </w:r>
      <w:r w:rsidR="00BA085B" w:rsidRPr="00444746">
        <w:rPr>
          <w:rFonts w:eastAsia="Arial"/>
        </w:rPr>
        <w:t xml:space="preserve">. </w:t>
      </w:r>
      <w:r w:rsidR="00C54F13" w:rsidRPr="00444746">
        <w:rPr>
          <w:rFonts w:eastAsia="Arial"/>
        </w:rPr>
        <w:t xml:space="preserve">This includes that the </w:t>
      </w:r>
      <w:r w:rsidR="004E0CAE">
        <w:rPr>
          <w:rFonts w:eastAsia="Arial"/>
        </w:rPr>
        <w:t>Executive Chief Finance Officer</w:t>
      </w:r>
      <w:r w:rsidR="00C54F13" w:rsidRPr="00444746">
        <w:rPr>
          <w:rFonts w:eastAsia="Arial"/>
        </w:rPr>
        <w:t xml:space="preserve"> is responsible for ensuring there is an effective financial control framework in place to support accurate financial reporting, safeguard</w:t>
      </w:r>
      <w:r w:rsidR="00B21761" w:rsidRPr="00444746">
        <w:rPr>
          <w:rFonts w:eastAsia="Arial"/>
        </w:rPr>
        <w:t xml:space="preserve"> assets and minimise risk of financial loss.</w:t>
      </w:r>
      <w:r w:rsidR="005C73CA" w:rsidRPr="00444746">
        <w:rPr>
          <w:rFonts w:eastAsia="Arial"/>
        </w:rPr>
        <w:t xml:space="preserve"> </w:t>
      </w:r>
    </w:p>
    <w:p w14:paraId="152B72F2" w14:textId="11AD1584" w:rsidR="00BC6324" w:rsidRDefault="00F913CD" w:rsidP="00BC6324">
      <w:pPr>
        <w:pStyle w:val="Heading2"/>
      </w:pPr>
      <w:bookmarkStart w:id="8" w:name="_Toc89326545"/>
      <w:bookmarkStart w:id="9" w:name="_Toc171428706"/>
      <w:r w:rsidRPr="0015255F">
        <w:t xml:space="preserve">Purpose / Policy </w:t>
      </w:r>
      <w:r w:rsidRPr="00F913CD">
        <w:t>Statement</w:t>
      </w:r>
      <w:bookmarkEnd w:id="8"/>
      <w:bookmarkEnd w:id="9"/>
    </w:p>
    <w:p w14:paraId="3331D5BA" w14:textId="3092E254" w:rsidR="001516D8" w:rsidRPr="008E4A2A" w:rsidRDefault="002B26AF" w:rsidP="008C447C">
      <w:pPr>
        <w:pStyle w:val="Style1"/>
        <w:rPr>
          <w:rFonts w:eastAsia="Arial"/>
          <w:b/>
        </w:rPr>
      </w:pPr>
      <w:r w:rsidRPr="002B26AF">
        <w:rPr>
          <w:rFonts w:eastAsia="Arial"/>
        </w:rPr>
        <w:t>Th</w:t>
      </w:r>
      <w:r>
        <w:rPr>
          <w:rFonts w:eastAsia="Arial"/>
        </w:rPr>
        <w:t>is</w:t>
      </w:r>
      <w:r w:rsidRPr="002B26AF">
        <w:rPr>
          <w:rFonts w:eastAsia="Arial"/>
        </w:rPr>
        <w:t xml:space="preserve"> policy</w:t>
      </w:r>
      <w:r>
        <w:rPr>
          <w:rFonts w:eastAsia="Arial"/>
        </w:rPr>
        <w:t xml:space="preserve"> is </w:t>
      </w:r>
      <w:r w:rsidR="006071D1">
        <w:rPr>
          <w:rFonts w:eastAsia="Arial"/>
        </w:rPr>
        <w:t>part</w:t>
      </w:r>
      <w:r>
        <w:rPr>
          <w:rFonts w:eastAsia="Arial"/>
        </w:rPr>
        <w:t xml:space="preserve"> of the ICB’s internal control environment </w:t>
      </w:r>
      <w:r w:rsidR="00E6505D">
        <w:rPr>
          <w:rFonts w:eastAsia="Arial"/>
        </w:rPr>
        <w:t xml:space="preserve">and describes </w:t>
      </w:r>
      <w:r w:rsidR="00A67A16">
        <w:rPr>
          <w:rFonts w:eastAsia="Arial"/>
        </w:rPr>
        <w:t xml:space="preserve">the </w:t>
      </w:r>
      <w:r w:rsidR="006071D1">
        <w:rPr>
          <w:rFonts w:eastAsia="Arial"/>
        </w:rPr>
        <w:t xml:space="preserve">key elements of the </w:t>
      </w:r>
      <w:r w:rsidR="002759C7">
        <w:rPr>
          <w:rFonts w:eastAsia="Arial"/>
        </w:rPr>
        <w:t>financial control environment</w:t>
      </w:r>
      <w:r w:rsidR="005C081A">
        <w:rPr>
          <w:rFonts w:eastAsia="Arial"/>
        </w:rPr>
        <w:t xml:space="preserve"> that are required to </w:t>
      </w:r>
      <w:r w:rsidR="008E4A2A">
        <w:rPr>
          <w:rFonts w:eastAsia="Arial"/>
        </w:rPr>
        <w:t>ensure good stewardship of the ICB’s allocated resources.</w:t>
      </w:r>
    </w:p>
    <w:p w14:paraId="33D9D5BD" w14:textId="0C259C24" w:rsidR="00F913CD" w:rsidRDefault="00544FA6" w:rsidP="008E4397">
      <w:pPr>
        <w:pStyle w:val="Heading2"/>
      </w:pPr>
      <w:bookmarkStart w:id="10" w:name="_Toc89326546"/>
      <w:bookmarkStart w:id="11" w:name="_Toc171428707"/>
      <w:r>
        <w:t>Remit</w:t>
      </w:r>
      <w:bookmarkEnd w:id="10"/>
      <w:bookmarkEnd w:id="11"/>
    </w:p>
    <w:p w14:paraId="5CDDC3E1" w14:textId="6E657A34" w:rsidR="004D66D3" w:rsidRPr="00DE6F8E" w:rsidRDefault="004D66D3" w:rsidP="00557B0D">
      <w:pPr>
        <w:pStyle w:val="Style1"/>
      </w:pPr>
      <w:bookmarkStart w:id="12" w:name="_Hlk100577103"/>
      <w:r w:rsidRPr="00DE6F8E">
        <w:rPr>
          <w:rFonts w:eastAsia="Arial"/>
        </w:rPr>
        <w:t>This policy applies to all ICB staff (including temporary/ bank/agency staff), contractors engaged by the ICB and staff from other MSE ICS Partnership organisations working on behalf of the ICB</w:t>
      </w:r>
      <w:r w:rsidR="00A740FC">
        <w:rPr>
          <w:rFonts w:eastAsia="Arial"/>
        </w:rPr>
        <w:t>.</w:t>
      </w:r>
    </w:p>
    <w:p w14:paraId="719ACBDA" w14:textId="03D8B860" w:rsidR="00544FA6" w:rsidRPr="00544FA6" w:rsidRDefault="00557B0D" w:rsidP="00544FA6">
      <w:pPr>
        <w:pStyle w:val="Heading2"/>
      </w:pPr>
      <w:bookmarkStart w:id="13" w:name="_Toc171428708"/>
      <w:bookmarkEnd w:id="12"/>
      <w:r>
        <w:t>D</w:t>
      </w:r>
      <w:r w:rsidR="00544FA6" w:rsidRPr="0015255F">
        <w:t>efinitions</w:t>
      </w:r>
      <w:bookmarkEnd w:id="13"/>
    </w:p>
    <w:p w14:paraId="31E7AC68" w14:textId="56B95957" w:rsidR="000E1926" w:rsidRDefault="000E1926" w:rsidP="00FB3C48">
      <w:pPr>
        <w:pStyle w:val="ListParagraph"/>
      </w:pPr>
      <w:r>
        <w:rPr>
          <w:b/>
          <w:bCs/>
        </w:rPr>
        <w:t>Accrual</w:t>
      </w:r>
      <w:r w:rsidR="00773951">
        <w:t xml:space="preserve"> </w:t>
      </w:r>
      <w:r w:rsidR="007729BD">
        <w:t>–</w:t>
      </w:r>
      <w:r w:rsidR="00773951">
        <w:t xml:space="preserve"> </w:t>
      </w:r>
      <w:r w:rsidR="007729BD">
        <w:t>A charge for a service</w:t>
      </w:r>
      <w:r w:rsidR="0022470E">
        <w:t xml:space="preserve"> already provided or for goods already received that have not yet been invoiced</w:t>
      </w:r>
      <w:r w:rsidR="00D80EDE">
        <w:t>,</w:t>
      </w:r>
      <w:r w:rsidR="0022470E">
        <w:t xml:space="preserve"> </w:t>
      </w:r>
      <w:r w:rsidR="00EF403B">
        <w:t>so</w:t>
      </w:r>
      <w:r w:rsidR="0022470E">
        <w:t xml:space="preserve"> a</w:t>
      </w:r>
      <w:r w:rsidR="00D80EDE">
        <w:t xml:space="preserve">n entry </w:t>
      </w:r>
      <w:r w:rsidR="0022470E">
        <w:t>is made at the end of the accounting period</w:t>
      </w:r>
      <w:r w:rsidR="00D80EDE">
        <w:t xml:space="preserve"> include the cost</w:t>
      </w:r>
      <w:r w:rsidR="00F42886">
        <w:t>.</w:t>
      </w:r>
    </w:p>
    <w:p w14:paraId="0500F931" w14:textId="091749E4" w:rsidR="0064645B" w:rsidRDefault="0064645B" w:rsidP="00FB3C48">
      <w:pPr>
        <w:pStyle w:val="ListParagraph"/>
      </w:pPr>
      <w:r>
        <w:rPr>
          <w:b/>
          <w:bCs/>
        </w:rPr>
        <w:t>Allocations</w:t>
      </w:r>
      <w:r>
        <w:t xml:space="preserve"> – NHSE </w:t>
      </w:r>
      <w:r w:rsidR="009E3A07">
        <w:t xml:space="preserve">transfers the ICB’s funding for the year </w:t>
      </w:r>
      <w:r w:rsidR="00046196">
        <w:t>as baseline allocations (</w:t>
      </w:r>
      <w:r w:rsidR="001E2785">
        <w:t>based on a formula which aims to make geographic</w:t>
      </w:r>
      <w:r w:rsidR="00986AD7">
        <w:t xml:space="preserve"> distribution fair and objective and reflective o</w:t>
      </w:r>
      <w:r w:rsidR="00CC6BDC">
        <w:t>f</w:t>
      </w:r>
      <w:r w:rsidR="00986AD7">
        <w:t xml:space="preserve"> local healthcare needs). During the year </w:t>
      </w:r>
      <w:r w:rsidR="00665756">
        <w:t>additional revenue funds are made available usually for specific ring-fenced projects or initiatives.</w:t>
      </w:r>
    </w:p>
    <w:p w14:paraId="58AA0BC0" w14:textId="3837E1B5" w:rsidR="003F26BA" w:rsidRPr="0015255F" w:rsidRDefault="003F26BA" w:rsidP="00FB3C48">
      <w:pPr>
        <w:pStyle w:val="ListParagraph"/>
      </w:pPr>
      <w:r>
        <w:rPr>
          <w:b/>
          <w:bCs/>
        </w:rPr>
        <w:t>Business Information (BI)</w:t>
      </w:r>
      <w:r>
        <w:t xml:space="preserve"> – module on ISFE </w:t>
      </w:r>
      <w:r w:rsidR="00A7704E">
        <w:t>providing range of ledger reports</w:t>
      </w:r>
      <w:r w:rsidR="00495F06">
        <w:t>.</w:t>
      </w:r>
    </w:p>
    <w:p w14:paraId="4841CDC9" w14:textId="3385CA38" w:rsidR="00310849" w:rsidRPr="00D13ACF" w:rsidRDefault="00BB1651" w:rsidP="00BB1651">
      <w:pPr>
        <w:pStyle w:val="ListParagraph"/>
        <w:rPr>
          <w:b/>
          <w:bCs/>
        </w:rPr>
      </w:pPr>
      <w:r>
        <w:rPr>
          <w:b/>
          <w:bCs/>
        </w:rPr>
        <w:t xml:space="preserve">Budget </w:t>
      </w:r>
      <w:r w:rsidR="008F1984">
        <w:t>–</w:t>
      </w:r>
      <w:r>
        <w:t xml:space="preserve"> </w:t>
      </w:r>
      <w:r w:rsidR="008F1984">
        <w:t>a plan expressed in financial terms</w:t>
      </w:r>
      <w:r w:rsidR="003021FD">
        <w:t xml:space="preserve"> which is prepared and approved prior to</w:t>
      </w:r>
      <w:r w:rsidR="00AE5624">
        <w:t xml:space="preserve"> the start of the </w:t>
      </w:r>
      <w:r w:rsidR="0072544F">
        <w:t>period (usually one year).</w:t>
      </w:r>
    </w:p>
    <w:p w14:paraId="34922AB1" w14:textId="3691F73D" w:rsidR="00145E54" w:rsidRPr="00D04A41" w:rsidRDefault="00D13ACF" w:rsidP="00FB3C48">
      <w:pPr>
        <w:pStyle w:val="ListParagraph"/>
        <w:rPr>
          <w:b/>
          <w:bCs/>
        </w:rPr>
      </w:pPr>
      <w:r w:rsidRPr="00D13ACF">
        <w:rPr>
          <w:b/>
          <w:bCs/>
        </w:rPr>
        <w:t>Budgetary Control</w:t>
      </w:r>
      <w:r>
        <w:rPr>
          <w:b/>
          <w:bCs/>
        </w:rPr>
        <w:t xml:space="preserve"> </w:t>
      </w:r>
      <w:r w:rsidR="00230F4A">
        <w:t>–</w:t>
      </w:r>
      <w:r>
        <w:t xml:space="preserve"> </w:t>
      </w:r>
      <w:r w:rsidR="00230F4A">
        <w:t>the management of approved budgets which involves regularly comparing actual spend with planned spend</w:t>
      </w:r>
      <w:r w:rsidR="00D04A41">
        <w:t xml:space="preserve"> to identify whether corrective action is required</w:t>
      </w:r>
      <w:r w:rsidR="00F42886">
        <w:t>.</w:t>
      </w:r>
    </w:p>
    <w:p w14:paraId="7154BA03" w14:textId="4213F71F" w:rsidR="00D04A41" w:rsidRPr="00284367" w:rsidRDefault="004953DE" w:rsidP="00FB3C48">
      <w:pPr>
        <w:pStyle w:val="ListParagraph"/>
        <w:rPr>
          <w:b/>
          <w:bCs/>
        </w:rPr>
      </w:pPr>
      <w:r>
        <w:rPr>
          <w:b/>
          <w:bCs/>
        </w:rPr>
        <w:t>Budget Holder</w:t>
      </w:r>
      <w:r w:rsidR="006338E0">
        <w:t xml:space="preserve"> – a Director or </w:t>
      </w:r>
      <w:r w:rsidR="00650BD6">
        <w:t>other senior employee</w:t>
      </w:r>
      <w:r w:rsidR="00DF48FA">
        <w:t xml:space="preserve"> with delegated authority to manage finances in a specified area of the organisation</w:t>
      </w:r>
      <w:r w:rsidR="00C1230E">
        <w:t>.</w:t>
      </w:r>
    </w:p>
    <w:p w14:paraId="12FC45DE" w14:textId="7F69CBEB" w:rsidR="00E676F7" w:rsidRPr="00284367" w:rsidRDefault="00E676F7" w:rsidP="00E676F7">
      <w:pPr>
        <w:pStyle w:val="ListParagraph"/>
        <w:rPr>
          <w:b/>
          <w:bCs/>
        </w:rPr>
      </w:pPr>
      <w:r>
        <w:rPr>
          <w:b/>
          <w:bCs/>
        </w:rPr>
        <w:lastRenderedPageBreak/>
        <w:t>Capital Expenditure</w:t>
      </w:r>
      <w:r>
        <w:t xml:space="preserve"> - spend on an asset (or group of functionally interdependent assets) with a useful life of more than one year and a cost of £5,000 or more. This could include buildings, equipment, and software.</w:t>
      </w:r>
    </w:p>
    <w:p w14:paraId="2D938255" w14:textId="4FD77932" w:rsidR="00947840" w:rsidRPr="00F66581" w:rsidRDefault="006B669B" w:rsidP="00F66581">
      <w:pPr>
        <w:pStyle w:val="ListParagraph"/>
        <w:rPr>
          <w:b/>
          <w:bCs/>
        </w:rPr>
      </w:pPr>
      <w:r>
        <w:rPr>
          <w:b/>
          <w:bCs/>
        </w:rPr>
        <w:t>Control Total</w:t>
      </w:r>
      <w:r>
        <w:t xml:space="preserve"> </w:t>
      </w:r>
      <w:r w:rsidR="000972A0">
        <w:t>–</w:t>
      </w:r>
      <w:r>
        <w:t xml:space="preserve"> </w:t>
      </w:r>
      <w:r w:rsidR="000972A0">
        <w:t xml:space="preserve">agreed </w:t>
      </w:r>
      <w:r w:rsidR="007835DF">
        <w:t>surplus or deficit position for an NHS system for the year</w:t>
      </w:r>
      <w:r w:rsidR="00F66581">
        <w:t>.</w:t>
      </w:r>
    </w:p>
    <w:p w14:paraId="3C8148C3" w14:textId="11955FF1" w:rsidR="00785524" w:rsidRDefault="00785524" w:rsidP="009B6056">
      <w:pPr>
        <w:pStyle w:val="ListParagraph"/>
      </w:pPr>
      <w:r>
        <w:rPr>
          <w:b/>
          <w:bCs/>
        </w:rPr>
        <w:t>ICS</w:t>
      </w:r>
      <w:r>
        <w:t xml:space="preserve"> – Integrated Care System - </w:t>
      </w:r>
      <w:r w:rsidR="009B6056">
        <w:t xml:space="preserve">the partners of Mid and South Essex Integrated Care System are Mid and South Essex </w:t>
      </w:r>
      <w:r w:rsidR="00C1708F">
        <w:t xml:space="preserve">NHS </w:t>
      </w:r>
      <w:r w:rsidR="009B6056">
        <w:t xml:space="preserve">Foundation Trust, Mid and South Essex Integrated Care Board, Essex Partnership </w:t>
      </w:r>
      <w:r w:rsidR="00B003BE">
        <w:t xml:space="preserve">University NHS </w:t>
      </w:r>
      <w:r w:rsidR="009B6056">
        <w:t>Foundation</w:t>
      </w:r>
      <w:r w:rsidR="00B003BE">
        <w:t xml:space="preserve"> </w:t>
      </w:r>
      <w:r w:rsidR="009B6056">
        <w:t>Trust, North East London NHS Foundation Trust, Essex County Council, Southend Borough Council, Thurrock Borough Council and Provide Community Interest Company.</w:t>
      </w:r>
    </w:p>
    <w:p w14:paraId="55A1AF24" w14:textId="4941DD07" w:rsidR="00B53EAB" w:rsidRPr="009B6056" w:rsidRDefault="00B53EAB" w:rsidP="00B53EAB">
      <w:pPr>
        <w:pStyle w:val="ListParagraph"/>
      </w:pPr>
      <w:r>
        <w:rPr>
          <w:b/>
          <w:bCs/>
        </w:rPr>
        <w:t>ISFE</w:t>
      </w:r>
      <w:r>
        <w:t xml:space="preserve">- Integrated Single Financial Environment – uses standard NHS Oracle Release </w:t>
      </w:r>
      <w:r w:rsidRPr="00F92763">
        <w:t>12</w:t>
      </w:r>
      <w:r>
        <w:t xml:space="preserve"> platform to provide a common accounting system with a single Chart of Accounts and standardised processes and reporting to all ICBs.</w:t>
      </w:r>
    </w:p>
    <w:p w14:paraId="4BEF694B" w14:textId="5AADC215" w:rsidR="00947840" w:rsidRPr="00947840" w:rsidRDefault="00947840" w:rsidP="00947840">
      <w:pPr>
        <w:pStyle w:val="ListParagraph"/>
        <w:rPr>
          <w:b/>
          <w:bCs/>
        </w:rPr>
      </w:pPr>
      <w:r>
        <w:rPr>
          <w:b/>
          <w:bCs/>
        </w:rPr>
        <w:t>Local Counter Fraud Specialist (LCFS)</w:t>
      </w:r>
      <w:r>
        <w:t xml:space="preserve"> </w:t>
      </w:r>
      <w:r w:rsidR="00CB26F6">
        <w:t>–</w:t>
      </w:r>
      <w:r>
        <w:t xml:space="preserve"> </w:t>
      </w:r>
      <w:r w:rsidR="00CB26F6">
        <w:t xml:space="preserve">Independent </w:t>
      </w:r>
      <w:r w:rsidR="005F01AA">
        <w:t>senior manager ap</w:t>
      </w:r>
      <w:r w:rsidR="003C4B56">
        <w:t xml:space="preserve">pointed </w:t>
      </w:r>
      <w:r w:rsidR="005F01AA">
        <w:t>to undertake work on behalf of NHS organisations with the key objective of combating fraud in the NHS.</w:t>
      </w:r>
    </w:p>
    <w:p w14:paraId="206B8D74" w14:textId="221B9D20" w:rsidR="00440AE1" w:rsidRPr="00284367" w:rsidRDefault="00440AE1" w:rsidP="00FB3C48">
      <w:pPr>
        <w:pStyle w:val="ListParagraph"/>
        <w:rPr>
          <w:b/>
          <w:bCs/>
        </w:rPr>
      </w:pPr>
      <w:r>
        <w:rPr>
          <w:b/>
          <w:bCs/>
        </w:rPr>
        <w:t>NHSE</w:t>
      </w:r>
      <w:r>
        <w:t xml:space="preserve"> – NHS England</w:t>
      </w:r>
      <w:r w:rsidR="00203D55">
        <w:t>.</w:t>
      </w:r>
    </w:p>
    <w:p w14:paraId="6A13C746" w14:textId="18678CE6" w:rsidR="00917EB0" w:rsidRPr="00395EBC" w:rsidRDefault="00917EB0" w:rsidP="00FB3C48">
      <w:pPr>
        <w:pStyle w:val="ListParagraph"/>
        <w:rPr>
          <w:b/>
          <w:bCs/>
        </w:rPr>
      </w:pPr>
      <w:r>
        <w:rPr>
          <w:b/>
          <w:bCs/>
        </w:rPr>
        <w:t>NHS SBS</w:t>
      </w:r>
      <w:r>
        <w:t xml:space="preserve"> – NHS Shared Business Services - NHSE mandated provider of ledger system and transactional financial services provider</w:t>
      </w:r>
      <w:r w:rsidR="00203D55">
        <w:t>.</w:t>
      </w:r>
    </w:p>
    <w:p w14:paraId="16BFB710" w14:textId="5D80B9CE" w:rsidR="00A43795" w:rsidRPr="00284367" w:rsidRDefault="00A43795" w:rsidP="00FB3C48">
      <w:pPr>
        <w:pStyle w:val="ListParagraph"/>
        <w:rPr>
          <w:b/>
          <w:bCs/>
        </w:rPr>
      </w:pPr>
      <w:r>
        <w:rPr>
          <w:b/>
          <w:bCs/>
        </w:rPr>
        <w:t>Resource limit</w:t>
      </w:r>
      <w:r>
        <w:t xml:space="preserve"> – the amount </w:t>
      </w:r>
      <w:r w:rsidR="008105E0">
        <w:t xml:space="preserve">that the ICB can spend in any given year – the ICB will be given a revenue </w:t>
      </w:r>
      <w:r w:rsidR="009E091A">
        <w:t xml:space="preserve">resource limit </w:t>
      </w:r>
      <w:r w:rsidR="008105E0">
        <w:t>and a capital resource limit.</w:t>
      </w:r>
    </w:p>
    <w:p w14:paraId="2E650ECB" w14:textId="3E97190B" w:rsidR="00203D99" w:rsidRPr="00284367" w:rsidRDefault="00203D99" w:rsidP="00203D99">
      <w:pPr>
        <w:pStyle w:val="ListParagraph"/>
        <w:rPr>
          <w:b/>
          <w:bCs/>
        </w:rPr>
      </w:pPr>
      <w:r>
        <w:rPr>
          <w:b/>
          <w:bCs/>
        </w:rPr>
        <w:t>Revenue expenditure</w:t>
      </w:r>
      <w:r>
        <w:t xml:space="preserve"> - spend on day-to-day costs including healthcare and non-healthcare contracts and the running costs of the organisation.</w:t>
      </w:r>
    </w:p>
    <w:p w14:paraId="4E8BE400" w14:textId="03611FE9" w:rsidR="00696F1F" w:rsidRPr="00284367" w:rsidRDefault="00696F1F" w:rsidP="00FB3C48">
      <w:pPr>
        <w:pStyle w:val="ListParagraph"/>
        <w:rPr>
          <w:b/>
          <w:bCs/>
        </w:rPr>
      </w:pPr>
      <w:r>
        <w:rPr>
          <w:b/>
          <w:bCs/>
        </w:rPr>
        <w:t>Sche</w:t>
      </w:r>
      <w:r w:rsidR="00E972AA">
        <w:rPr>
          <w:b/>
          <w:bCs/>
        </w:rPr>
        <w:t>dul</w:t>
      </w:r>
      <w:r>
        <w:rPr>
          <w:b/>
          <w:bCs/>
        </w:rPr>
        <w:t xml:space="preserve">e of </w:t>
      </w:r>
      <w:r w:rsidR="00E972AA">
        <w:rPr>
          <w:b/>
          <w:bCs/>
        </w:rPr>
        <w:t xml:space="preserve">detailed </w:t>
      </w:r>
      <w:r>
        <w:rPr>
          <w:b/>
          <w:bCs/>
        </w:rPr>
        <w:t>delegat</w:t>
      </w:r>
      <w:r w:rsidR="00E972AA">
        <w:rPr>
          <w:b/>
          <w:bCs/>
        </w:rPr>
        <w:t>ed financial limits</w:t>
      </w:r>
      <w:r>
        <w:t xml:space="preserve"> – document which </w:t>
      </w:r>
      <w:r w:rsidR="00916AB9">
        <w:t>shows what authority the Board has delegated to committees or s</w:t>
      </w:r>
      <w:r w:rsidR="00655FCF">
        <w:t xml:space="preserve">taff under the powers of the Constitution. </w:t>
      </w:r>
      <w:r w:rsidR="00E972AA">
        <w:t xml:space="preserve">This is </w:t>
      </w:r>
      <w:r w:rsidR="007C47B1">
        <w:t xml:space="preserve">a schedule within the Scheme of Reservation and Delegation (SoRD) within the Constitution. </w:t>
      </w:r>
    </w:p>
    <w:p w14:paraId="1D283D36" w14:textId="3593E90A" w:rsidR="00B34483" w:rsidRPr="00284367" w:rsidRDefault="00B34483" w:rsidP="00FB3C48">
      <w:pPr>
        <w:pStyle w:val="ListParagraph"/>
        <w:rPr>
          <w:b/>
          <w:bCs/>
        </w:rPr>
      </w:pPr>
      <w:r>
        <w:rPr>
          <w:b/>
          <w:bCs/>
        </w:rPr>
        <w:t>Senior Financial Services Officer</w:t>
      </w:r>
      <w:r>
        <w:t xml:space="preserve"> – Refers to </w:t>
      </w:r>
      <w:bookmarkStart w:id="14" w:name="_Hlk170913166"/>
      <w:r w:rsidR="00A1536F" w:rsidRPr="001701B8">
        <w:t xml:space="preserve">members of the </w:t>
      </w:r>
      <w:r w:rsidR="001701B8" w:rsidRPr="00FC3903">
        <w:t>f</w:t>
      </w:r>
      <w:r w:rsidR="00A1536F" w:rsidRPr="001701B8">
        <w:t xml:space="preserve">inancial </w:t>
      </w:r>
      <w:r w:rsidR="001701B8" w:rsidRPr="00FC3903">
        <w:t>s</w:t>
      </w:r>
      <w:r w:rsidR="00A1536F" w:rsidRPr="001701B8">
        <w:t xml:space="preserve">ervices </w:t>
      </w:r>
      <w:r w:rsidR="001701B8" w:rsidRPr="00FC3903">
        <w:t>t</w:t>
      </w:r>
      <w:r w:rsidR="00A1536F" w:rsidRPr="001701B8">
        <w:t>eam, grade 8B and above</w:t>
      </w:r>
      <w:bookmarkEnd w:id="14"/>
      <w:r w:rsidR="001146E3">
        <w:t>.</w:t>
      </w:r>
    </w:p>
    <w:p w14:paraId="3C6601F5" w14:textId="53ADDF93" w:rsidR="00DD63B3" w:rsidRPr="00660D93" w:rsidRDefault="00DD63B3" w:rsidP="00FB3C48">
      <w:pPr>
        <w:pStyle w:val="ListParagraph"/>
        <w:rPr>
          <w:b/>
          <w:bCs/>
        </w:rPr>
      </w:pPr>
      <w:r>
        <w:rPr>
          <w:b/>
          <w:bCs/>
        </w:rPr>
        <w:t>Service Auditor Reports</w:t>
      </w:r>
      <w:r>
        <w:t xml:space="preserve"> </w:t>
      </w:r>
      <w:r w:rsidR="00A3390E">
        <w:t>–</w:t>
      </w:r>
      <w:r>
        <w:t xml:space="preserve"> </w:t>
      </w:r>
      <w:r w:rsidR="00A3390E">
        <w:t>provide assurance around the control environment and key controls designed by the service provider to govern its critical systems</w:t>
      </w:r>
      <w:r w:rsidR="00DA5F07">
        <w:t>.</w:t>
      </w:r>
    </w:p>
    <w:p w14:paraId="349C77A8" w14:textId="5066F014" w:rsidR="00660D93" w:rsidRPr="00141D3F" w:rsidRDefault="00660D93" w:rsidP="00FB3C48">
      <w:pPr>
        <w:pStyle w:val="ListParagraph"/>
        <w:rPr>
          <w:b/>
          <w:bCs/>
        </w:rPr>
      </w:pPr>
      <w:r>
        <w:rPr>
          <w:b/>
          <w:bCs/>
        </w:rPr>
        <w:t>Statement of Financial Position</w:t>
      </w:r>
      <w:r>
        <w:t xml:space="preserve"> – bala</w:t>
      </w:r>
      <w:r w:rsidR="00A355AC">
        <w:t>nce sheet for the ICB</w:t>
      </w:r>
      <w:r w:rsidR="00DA5F07">
        <w:t>.</w:t>
      </w:r>
    </w:p>
    <w:p w14:paraId="6D30B88B" w14:textId="65072003" w:rsidR="00141D3F" w:rsidRPr="00AB76C4" w:rsidRDefault="00141D3F" w:rsidP="00FB3C48">
      <w:pPr>
        <w:pStyle w:val="ListParagraph"/>
        <w:rPr>
          <w:b/>
          <w:bCs/>
        </w:rPr>
      </w:pPr>
      <w:r>
        <w:rPr>
          <w:b/>
          <w:bCs/>
        </w:rPr>
        <w:t>Tender waiver</w:t>
      </w:r>
      <w:r>
        <w:t xml:space="preserve"> </w:t>
      </w:r>
      <w:r w:rsidR="007E5A70">
        <w:t>–</w:t>
      </w:r>
      <w:r>
        <w:t xml:space="preserve"> </w:t>
      </w:r>
      <w:r w:rsidR="007E5A70">
        <w:t>document that confirms</w:t>
      </w:r>
      <w:r w:rsidR="00B94DDD">
        <w:t xml:space="preserve"> the organisation’s approval for bypassing the competitive procurement process</w:t>
      </w:r>
      <w:r w:rsidR="00640D18">
        <w:t xml:space="preserve"> in specific, </w:t>
      </w:r>
      <w:r w:rsidR="00DA5F07">
        <w:t xml:space="preserve">exceptional and </w:t>
      </w:r>
      <w:r w:rsidR="00640D18">
        <w:t>limited circumstances.</w:t>
      </w:r>
    </w:p>
    <w:p w14:paraId="4E879B02" w14:textId="3DE4E572" w:rsidR="00AB76C4" w:rsidRPr="00172BC1" w:rsidRDefault="002C0258" w:rsidP="00FB3C48">
      <w:pPr>
        <w:pStyle w:val="ListParagraph"/>
        <w:rPr>
          <w:b/>
          <w:bCs/>
        </w:rPr>
      </w:pPr>
      <w:r>
        <w:rPr>
          <w:b/>
          <w:bCs/>
        </w:rPr>
        <w:t>Virement</w:t>
      </w:r>
      <w:r>
        <w:t xml:space="preserve"> – process of movin</w:t>
      </w:r>
      <w:r w:rsidR="003D5B97">
        <w:t>g</w:t>
      </w:r>
      <w:r w:rsidR="000715F2">
        <w:t xml:space="preserve"> </w:t>
      </w:r>
      <w:r>
        <w:t>a revenue budget</w:t>
      </w:r>
      <w:r w:rsidR="00AB5530">
        <w:t xml:space="preserve"> to a different budget heading with the approval of the budget holder or senior finance professional</w:t>
      </w:r>
      <w:r w:rsidR="00010F79">
        <w:t xml:space="preserve"> and subject to strict criteria. It can be used to amend </w:t>
      </w:r>
      <w:r w:rsidR="008D4EA0">
        <w:t xml:space="preserve">approved </w:t>
      </w:r>
      <w:r w:rsidR="00010F79">
        <w:t xml:space="preserve">budgets </w:t>
      </w:r>
      <w:r w:rsidR="003C24AA">
        <w:t xml:space="preserve">to reflect past events or changes in </w:t>
      </w:r>
      <w:r w:rsidR="003D5B97">
        <w:t>future income or expenditure</w:t>
      </w:r>
      <w:r w:rsidR="008D4EA0">
        <w:t>.</w:t>
      </w:r>
    </w:p>
    <w:p w14:paraId="11431ED5" w14:textId="7A0D1F7A" w:rsidR="00172BC1" w:rsidRPr="00D13ACF" w:rsidRDefault="00E66271" w:rsidP="00FB3C48">
      <w:pPr>
        <w:pStyle w:val="ListParagraph"/>
        <w:rPr>
          <w:b/>
          <w:bCs/>
        </w:rPr>
      </w:pPr>
      <w:r>
        <w:rPr>
          <w:b/>
          <w:bCs/>
        </w:rPr>
        <w:lastRenderedPageBreak/>
        <w:t>Web ADI</w:t>
      </w:r>
      <w:r w:rsidR="00172BC1">
        <w:t xml:space="preserve"> </w:t>
      </w:r>
      <w:r w:rsidR="0008121B">
        <w:t>–</w:t>
      </w:r>
      <w:r w:rsidR="00172BC1">
        <w:t xml:space="preserve"> </w:t>
      </w:r>
      <w:r w:rsidR="0008121B">
        <w:t xml:space="preserve">Web Applications Desktop Integrator – web-based Oracle </w:t>
      </w:r>
      <w:r w:rsidR="002B5647">
        <w:t>tool</w:t>
      </w:r>
      <w:r w:rsidR="0008121B">
        <w:t xml:space="preserve"> bringing</w:t>
      </w:r>
      <w:r w:rsidR="002B5647">
        <w:t xml:space="preserve"> E-business suite functionality to a spreadsheet</w:t>
      </w:r>
      <w:r w:rsidR="003D1A95">
        <w:t>.</w:t>
      </w:r>
    </w:p>
    <w:p w14:paraId="2AF5510B" w14:textId="3AE4489B" w:rsidR="00F913CD" w:rsidRPr="00AD3A30" w:rsidRDefault="00F913CD" w:rsidP="00AD3A30">
      <w:pPr>
        <w:pStyle w:val="Heading2"/>
      </w:pPr>
      <w:bookmarkStart w:id="15" w:name="_Toc89326547"/>
      <w:bookmarkStart w:id="16" w:name="_Toc171428709"/>
      <w:r w:rsidRPr="0015255F">
        <w:t>Roles and Responsibiliti</w:t>
      </w:r>
      <w:bookmarkEnd w:id="15"/>
      <w:r w:rsidR="009E091A">
        <w:t>es</w:t>
      </w:r>
      <w:bookmarkEnd w:id="16"/>
    </w:p>
    <w:p w14:paraId="2032CA85" w14:textId="561C516D" w:rsidR="00F913CD" w:rsidRDefault="00E96181" w:rsidP="00732AFE">
      <w:pPr>
        <w:pStyle w:val="Heading3"/>
      </w:pPr>
      <w:bookmarkStart w:id="17" w:name="_Toc171428710"/>
      <w:r>
        <w:t xml:space="preserve">Executive Chief Finance Officer </w:t>
      </w:r>
      <w:bookmarkEnd w:id="17"/>
    </w:p>
    <w:p w14:paraId="6F60332B" w14:textId="55939F03" w:rsidR="00EE30CD" w:rsidRDefault="009412A4" w:rsidP="00F902DE">
      <w:pPr>
        <w:pStyle w:val="Style2"/>
      </w:pPr>
      <w:r>
        <w:t xml:space="preserve">The </w:t>
      </w:r>
      <w:r w:rsidR="00E96181">
        <w:t xml:space="preserve">Executive Chief Finance Officer </w:t>
      </w:r>
      <w:r w:rsidR="00354DF5">
        <w:t xml:space="preserve">is responsible for supporting a strong culture of public accountability, </w:t>
      </w:r>
      <w:r w:rsidR="00C21147">
        <w:t>probity,</w:t>
      </w:r>
      <w:r w:rsidR="00354DF5">
        <w:t xml:space="preserve"> and governance, ensuring that appropriate </w:t>
      </w:r>
      <w:r w:rsidR="005A20F8">
        <w:t xml:space="preserve">and compliant structures, </w:t>
      </w:r>
      <w:r w:rsidR="00D1333E">
        <w:t>systems,</w:t>
      </w:r>
      <w:r w:rsidR="005A20F8">
        <w:t xml:space="preserve"> and processes are in place to minimise risk.</w:t>
      </w:r>
      <w:r w:rsidR="00CF4E30">
        <w:t xml:space="preserve"> This includes </w:t>
      </w:r>
      <w:r w:rsidR="00283467">
        <w:t xml:space="preserve">ensuring that there </w:t>
      </w:r>
      <w:r w:rsidR="00994917">
        <w:t>is appropriate internal audit provision</w:t>
      </w:r>
      <w:r w:rsidR="005959F0">
        <w:t xml:space="preserve"> and liaising with external auditors</w:t>
      </w:r>
      <w:r w:rsidR="00696B08">
        <w:t xml:space="preserve"> to ensure timely delivery of </w:t>
      </w:r>
      <w:r w:rsidR="00BB0ABB">
        <w:t>financial statements for audit and publication in line with regulations.</w:t>
      </w:r>
    </w:p>
    <w:p w14:paraId="40BD357D" w14:textId="77777777" w:rsidR="006018A1" w:rsidRDefault="006018A1" w:rsidP="006018A1">
      <w:pPr>
        <w:pStyle w:val="Style2"/>
        <w:numPr>
          <w:ilvl w:val="0"/>
          <w:numId w:val="0"/>
        </w:numPr>
        <w:ind w:left="1134"/>
      </w:pPr>
    </w:p>
    <w:p w14:paraId="00975F01" w14:textId="1A83DC6B" w:rsidR="007D5498" w:rsidRDefault="006018A1" w:rsidP="00CC71AE">
      <w:pPr>
        <w:pStyle w:val="Style2"/>
      </w:pPr>
      <w:r>
        <w:t xml:space="preserve">The </w:t>
      </w:r>
      <w:r w:rsidR="00E96181">
        <w:t xml:space="preserve">Executive Chief Finance Officer </w:t>
      </w:r>
      <w:r>
        <w:t xml:space="preserve">is responsible </w:t>
      </w:r>
      <w:r w:rsidR="00ED33E3">
        <w:t>for ensuring that allocated annual revenue and capital resource limits are not exceeded</w:t>
      </w:r>
      <w:r w:rsidR="003D77F5">
        <w:t>,</w:t>
      </w:r>
      <w:r w:rsidR="00ED33E3">
        <w:t xml:space="preserve"> jointly, with system partners</w:t>
      </w:r>
      <w:r w:rsidR="00906618">
        <w:t xml:space="preserve"> and that the system meets financial targets set by NHSE.</w:t>
      </w:r>
    </w:p>
    <w:p w14:paraId="4AD1A79D" w14:textId="77777777" w:rsidR="007D5498" w:rsidRDefault="007D5498" w:rsidP="007D5498">
      <w:pPr>
        <w:pStyle w:val="Style2"/>
        <w:numPr>
          <w:ilvl w:val="0"/>
          <w:numId w:val="0"/>
        </w:numPr>
      </w:pPr>
    </w:p>
    <w:p w14:paraId="78943E40" w14:textId="47EA87AC" w:rsidR="00C16A24" w:rsidRDefault="00F27514" w:rsidP="00EE0034">
      <w:pPr>
        <w:pStyle w:val="Style2"/>
      </w:pPr>
      <w:r>
        <w:t xml:space="preserve">Prior to the start of each financial year </w:t>
      </w:r>
      <w:r w:rsidR="00371B1A">
        <w:t xml:space="preserve">the </w:t>
      </w:r>
      <w:r w:rsidR="00E96181">
        <w:t xml:space="preserve">Executive Chief Finance Officer </w:t>
      </w:r>
      <w:r w:rsidR="00371B1A">
        <w:t xml:space="preserve">will </w:t>
      </w:r>
      <w:r>
        <w:t>submit to the</w:t>
      </w:r>
      <w:r w:rsidR="00371B1A">
        <w:t xml:space="preserve"> ICB</w:t>
      </w:r>
      <w:r>
        <w:t xml:space="preserve"> </w:t>
      </w:r>
      <w:r w:rsidR="00371B1A">
        <w:t>Board</w:t>
      </w:r>
      <w:r w:rsidR="00D91C55">
        <w:t>,</w:t>
      </w:r>
      <w:r>
        <w:t xml:space="preserve"> for approval, a report showing the total allocations received and their proposed distribution including any sums to be held in</w:t>
      </w:r>
      <w:r w:rsidR="00A91548">
        <w:t xml:space="preserve"> </w:t>
      </w:r>
      <w:r>
        <w:t>reserve.</w:t>
      </w:r>
      <w:r w:rsidR="00D0219C">
        <w:t xml:space="preserve"> </w:t>
      </w:r>
      <w:r w:rsidR="00A91548">
        <w:t xml:space="preserve">During the year the Board will be notified regularly of any updates to </w:t>
      </w:r>
      <w:r w:rsidR="0067772D">
        <w:t>allocations and the purpose for which they have been received.</w:t>
      </w:r>
      <w:r w:rsidR="002400B0">
        <w:t xml:space="preserve"> The </w:t>
      </w:r>
      <w:r w:rsidR="00E96181">
        <w:t xml:space="preserve">Executive Chief Finance Officer </w:t>
      </w:r>
      <w:r w:rsidR="002400B0">
        <w:t xml:space="preserve">is responsible for </w:t>
      </w:r>
      <w:r w:rsidR="002A6EE4">
        <w:t xml:space="preserve">ensuring that </w:t>
      </w:r>
      <w:r w:rsidR="00281CCC">
        <w:t xml:space="preserve">both the year to date and forecast financial position are clearly </w:t>
      </w:r>
      <w:r w:rsidR="007B437E">
        <w:t>articulated internally and externally as required</w:t>
      </w:r>
      <w:r w:rsidR="00EE0034">
        <w:t>.</w:t>
      </w:r>
    </w:p>
    <w:p w14:paraId="45C19DB8" w14:textId="77777777" w:rsidR="00EE0034" w:rsidRDefault="00EE0034" w:rsidP="00EE0034">
      <w:pPr>
        <w:pStyle w:val="Style2"/>
        <w:numPr>
          <w:ilvl w:val="0"/>
          <w:numId w:val="0"/>
        </w:numPr>
        <w:ind w:left="1134"/>
      </w:pPr>
    </w:p>
    <w:p w14:paraId="37832D6C" w14:textId="04E52C30" w:rsidR="00EE0034" w:rsidRPr="00F902DE" w:rsidRDefault="00EE0034" w:rsidP="00EE0034">
      <w:pPr>
        <w:pStyle w:val="Style2"/>
      </w:pPr>
      <w:r>
        <w:t xml:space="preserve">The </w:t>
      </w:r>
      <w:r w:rsidR="00E96181">
        <w:t xml:space="preserve">Executive Chief Finance Officer </w:t>
      </w:r>
      <w:r>
        <w:t xml:space="preserve">is responsible for ensuring that </w:t>
      </w:r>
      <w:r w:rsidR="00F37A09">
        <w:t xml:space="preserve">a </w:t>
      </w:r>
      <w:r w:rsidR="009B07BF">
        <w:t xml:space="preserve">budget holder assurance certification </w:t>
      </w:r>
      <w:r w:rsidR="006C4EEE">
        <w:t xml:space="preserve">process is designed and kept up to date. All budget holders should obtain this certification before </w:t>
      </w:r>
      <w:r w:rsidR="00C247DF">
        <w:t>receiving delega</w:t>
      </w:r>
      <w:r w:rsidR="00F35FA4">
        <w:t>tion</w:t>
      </w:r>
      <w:r w:rsidR="00C247DF">
        <w:t>.</w:t>
      </w:r>
      <w:r w:rsidR="00DF5B77">
        <w:t xml:space="preserve"> </w:t>
      </w:r>
    </w:p>
    <w:p w14:paraId="4E5B0CF9" w14:textId="26F163E7" w:rsidR="00F913CD" w:rsidRPr="00F51564" w:rsidRDefault="00D0044A" w:rsidP="00732AFE">
      <w:pPr>
        <w:pStyle w:val="Heading3"/>
      </w:pPr>
      <w:bookmarkStart w:id="18" w:name="_Toc171428711"/>
      <w:r w:rsidRPr="00F51564">
        <w:t xml:space="preserve">Finance &amp; </w:t>
      </w:r>
      <w:r w:rsidR="00F51564">
        <w:t>Performance</w:t>
      </w:r>
      <w:r w:rsidRPr="00F51564">
        <w:t xml:space="preserve"> Committee</w:t>
      </w:r>
      <w:bookmarkEnd w:id="18"/>
    </w:p>
    <w:p w14:paraId="07875DC5" w14:textId="2C9B1743" w:rsidR="004A6BDA" w:rsidRDefault="004A6BDA" w:rsidP="004A6BDA">
      <w:pPr>
        <w:pStyle w:val="Style2"/>
        <w:rPr>
          <w:color w:val="auto"/>
        </w:rPr>
      </w:pPr>
      <w:r w:rsidRPr="00F51564">
        <w:t xml:space="preserve">The Finance &amp; </w:t>
      </w:r>
      <w:r w:rsidR="00F51564">
        <w:t>Performance</w:t>
      </w:r>
      <w:r w:rsidRPr="00F51564">
        <w:t xml:space="preserve"> Committee </w:t>
      </w:r>
      <w:r w:rsidR="006410E2" w:rsidRPr="00F51564">
        <w:t>is</w:t>
      </w:r>
      <w:r w:rsidRPr="00F51564">
        <w:t xml:space="preserve"> responsible for </w:t>
      </w:r>
      <w:r w:rsidR="00122A70" w:rsidRPr="00F51564">
        <w:t xml:space="preserve">ensuring financial information systems and processes are established to make recommendations to the Board on financial planning in line with the </w:t>
      </w:r>
      <w:r w:rsidR="005D763F" w:rsidRPr="00F51564">
        <w:t xml:space="preserve">strategy and national guidance (Finance and </w:t>
      </w:r>
      <w:r w:rsidR="00F51564">
        <w:t>Performance</w:t>
      </w:r>
      <w:r w:rsidR="005D763F" w:rsidRPr="00F51564">
        <w:t xml:space="preserve"> Committee</w:t>
      </w:r>
      <w:r w:rsidR="005D763F">
        <w:t xml:space="preserve"> Terms of Reference). </w:t>
      </w:r>
    </w:p>
    <w:p w14:paraId="453BC0DD" w14:textId="77777777" w:rsidR="008D0711" w:rsidRPr="001967E7" w:rsidRDefault="008D0711" w:rsidP="008D0711">
      <w:pPr>
        <w:pStyle w:val="Style2"/>
        <w:numPr>
          <w:ilvl w:val="0"/>
          <w:numId w:val="0"/>
        </w:numPr>
        <w:ind w:left="1134"/>
        <w:rPr>
          <w:color w:val="auto"/>
        </w:rPr>
      </w:pPr>
    </w:p>
    <w:p w14:paraId="2BAF6A55" w14:textId="3AAC82C9" w:rsidR="009D5605" w:rsidRPr="00D0044A" w:rsidRDefault="00352243" w:rsidP="004A6BDA">
      <w:pPr>
        <w:pStyle w:val="Style2"/>
      </w:pPr>
      <w:r>
        <w:rPr>
          <w:color w:val="auto"/>
        </w:rPr>
        <w:t>This Committee is also responsible for assuring the Board in relation to the ICB’s procurement and contracting processes</w:t>
      </w:r>
      <w:r w:rsidR="00D30FF5">
        <w:rPr>
          <w:color w:val="auto"/>
        </w:rPr>
        <w:t xml:space="preserve"> </w:t>
      </w:r>
      <w:r w:rsidR="00FD6589">
        <w:rPr>
          <w:color w:val="auto"/>
        </w:rPr>
        <w:t>and will approve investments and procurements within its delegated limits.</w:t>
      </w:r>
    </w:p>
    <w:p w14:paraId="300190D4" w14:textId="5D7A5634" w:rsidR="006071C1" w:rsidRDefault="00073146" w:rsidP="006071C1">
      <w:pPr>
        <w:pStyle w:val="Heading3"/>
      </w:pPr>
      <w:bookmarkStart w:id="19" w:name="_Toc171428712"/>
      <w:r>
        <w:lastRenderedPageBreak/>
        <w:t>Audit Committee</w:t>
      </w:r>
      <w:bookmarkEnd w:id="19"/>
    </w:p>
    <w:p w14:paraId="3949F0AB" w14:textId="198AF678" w:rsidR="00181135" w:rsidRDefault="00181135" w:rsidP="00181135">
      <w:pPr>
        <w:pStyle w:val="Style2"/>
      </w:pPr>
      <w:r>
        <w:t xml:space="preserve">The Audit Committee is responsible for </w:t>
      </w:r>
      <w:r w:rsidR="00773C97">
        <w:t xml:space="preserve">the activity and results of both Internal and External auditors including reviewing the </w:t>
      </w:r>
      <w:r w:rsidR="009C495D">
        <w:t>Annual Report &amp; Accounts</w:t>
      </w:r>
      <w:r w:rsidR="00773C97">
        <w:t xml:space="preserve">, </w:t>
      </w:r>
      <w:r w:rsidR="00055A03">
        <w:t>reviewing</w:t>
      </w:r>
      <w:r w:rsidR="009C495D">
        <w:t xml:space="preserve"> the </w:t>
      </w:r>
      <w:r w:rsidR="00055A03">
        <w:t xml:space="preserve">audited </w:t>
      </w:r>
      <w:r w:rsidR="009C495D">
        <w:t>Annual Report &amp; Accounts</w:t>
      </w:r>
      <w:r w:rsidR="00EA1C60">
        <w:t xml:space="preserve"> for s</w:t>
      </w:r>
      <w:r w:rsidR="00055A03">
        <w:t>ubmission to the Board</w:t>
      </w:r>
      <w:r w:rsidR="002D2BBD">
        <w:t xml:space="preserve">, </w:t>
      </w:r>
      <w:r w:rsidR="00676FB5">
        <w:t>review</w:t>
      </w:r>
      <w:r w:rsidR="005A19A3">
        <w:t xml:space="preserve">ing </w:t>
      </w:r>
      <w:r w:rsidR="002D2BBD">
        <w:t>the ICB’s annual management letter of representations</w:t>
      </w:r>
      <w:r w:rsidR="005A19A3">
        <w:t xml:space="preserve"> and the ICB’s accounting policies.</w:t>
      </w:r>
      <w:r w:rsidR="0022168C">
        <w:t xml:space="preserve"> The Audit Committee is also responsible for the work of the </w:t>
      </w:r>
      <w:r w:rsidR="00306576">
        <w:t>Local Counter Fraud Specialist</w:t>
      </w:r>
      <w:r w:rsidR="00EB5CD5">
        <w:t xml:space="preserve"> and for ensuring that any internal or external audit recommendations are implemented as appropriate.</w:t>
      </w:r>
    </w:p>
    <w:p w14:paraId="273C482C" w14:textId="77777777" w:rsidR="00D769BE" w:rsidRDefault="00D769BE" w:rsidP="00D769BE">
      <w:pPr>
        <w:pStyle w:val="Style2"/>
        <w:numPr>
          <w:ilvl w:val="0"/>
          <w:numId w:val="0"/>
        </w:numPr>
        <w:ind w:left="1134"/>
      </w:pPr>
    </w:p>
    <w:p w14:paraId="43B30322" w14:textId="54BC86E1" w:rsidR="00F85EEF" w:rsidRDefault="005A3998" w:rsidP="00F85EEF">
      <w:pPr>
        <w:pStyle w:val="Style2"/>
      </w:pPr>
      <w:r>
        <w:t xml:space="preserve">All tender waiver documentation is taken to Audit Committee along with any losses and special payments that </w:t>
      </w:r>
      <w:r w:rsidR="00CC034E">
        <w:t xml:space="preserve">are incurred. Authorisation of these is in accordance with the </w:t>
      </w:r>
      <w:r w:rsidR="007B0B3D">
        <w:t xml:space="preserve">schedule of </w:t>
      </w:r>
      <w:r w:rsidR="00CC034E" w:rsidRPr="00284367">
        <w:t xml:space="preserve">detailed </w:t>
      </w:r>
      <w:r w:rsidR="007D0D00">
        <w:t>delegated</w:t>
      </w:r>
      <w:r w:rsidR="007D0D00" w:rsidRPr="00284367">
        <w:t xml:space="preserve"> </w:t>
      </w:r>
      <w:r w:rsidR="007D0D00">
        <w:t>financial</w:t>
      </w:r>
      <w:r w:rsidR="007B0B3D">
        <w:t xml:space="preserve"> limits</w:t>
      </w:r>
      <w:r w:rsidR="003D7DE1">
        <w:t>.</w:t>
      </w:r>
    </w:p>
    <w:p w14:paraId="52AFF767" w14:textId="77777777" w:rsidR="00F85EEF" w:rsidRDefault="00F85EEF" w:rsidP="00F85EEF">
      <w:pPr>
        <w:pStyle w:val="Style2"/>
        <w:numPr>
          <w:ilvl w:val="0"/>
          <w:numId w:val="0"/>
        </w:numPr>
        <w:ind w:left="1134"/>
      </w:pPr>
    </w:p>
    <w:p w14:paraId="16900AC5" w14:textId="6C9493BD" w:rsidR="00F85EEF" w:rsidRPr="00181135" w:rsidRDefault="009C101A" w:rsidP="00181135">
      <w:pPr>
        <w:pStyle w:val="Style2"/>
      </w:pPr>
      <w:r>
        <w:t xml:space="preserve">On an annual basis the </w:t>
      </w:r>
      <w:r w:rsidR="00A1536F">
        <w:t xml:space="preserve">Finance Business Partners and Budget Holders </w:t>
      </w:r>
      <w:r>
        <w:t>will review the list of authorised signatories</w:t>
      </w:r>
      <w:r w:rsidR="00BA7012">
        <w:t xml:space="preserve"> provided by the </w:t>
      </w:r>
      <w:r w:rsidR="003D7DE1">
        <w:t>financial services team</w:t>
      </w:r>
      <w:r w:rsidR="000C5BF6">
        <w:t xml:space="preserve"> for appropriateness.</w:t>
      </w:r>
    </w:p>
    <w:p w14:paraId="1C28462F" w14:textId="5C6F0810" w:rsidR="00F913CD" w:rsidRDefault="00400E06" w:rsidP="009B07B3">
      <w:pPr>
        <w:pStyle w:val="Heading3"/>
      </w:pPr>
      <w:bookmarkStart w:id="20" w:name="_Toc171428713"/>
      <w:r>
        <w:t>Executive Directors</w:t>
      </w:r>
      <w:bookmarkEnd w:id="20"/>
    </w:p>
    <w:p w14:paraId="2A954673" w14:textId="36498A8A" w:rsidR="00400E06" w:rsidRPr="00FE23B5" w:rsidRDefault="0002717C" w:rsidP="00400E06">
      <w:pPr>
        <w:pStyle w:val="Style2"/>
      </w:pPr>
      <w:r>
        <w:t xml:space="preserve">Directors will work with the </w:t>
      </w:r>
      <w:r w:rsidR="00E96181">
        <w:t xml:space="preserve">Executive Chief Finance Officer </w:t>
      </w:r>
      <w:r>
        <w:t xml:space="preserve">to </w:t>
      </w:r>
      <w:r w:rsidR="00C16756">
        <w:t xml:space="preserve">compile budgets for their delegated areas of responsibility. </w:t>
      </w:r>
      <w:r w:rsidR="001C399A">
        <w:t xml:space="preserve">In turn Directors can delegate budgets </w:t>
      </w:r>
      <w:r w:rsidR="00763F72">
        <w:t xml:space="preserve">under their control </w:t>
      </w:r>
      <w:r w:rsidR="001C399A">
        <w:t>to</w:t>
      </w:r>
      <w:r w:rsidR="00763F72">
        <w:t xml:space="preserve"> </w:t>
      </w:r>
      <w:r w:rsidR="003902FF">
        <w:t xml:space="preserve">staff members who are responsible for </w:t>
      </w:r>
      <w:r w:rsidR="009C248E">
        <w:t xml:space="preserve">specific areas of the ICB’s </w:t>
      </w:r>
      <w:r w:rsidR="00D61AFA">
        <w:t xml:space="preserve">operations. Directors are responsible for ensuring that delegations are at appropriate levels </w:t>
      </w:r>
      <w:r w:rsidR="00177611">
        <w:t xml:space="preserve">for the type of expenditure and the experience of the staff member and that Delegation of Authority forms are appropriately completed and signed off </w:t>
      </w:r>
      <w:r w:rsidR="0022528F">
        <w:t xml:space="preserve">and submitted to the </w:t>
      </w:r>
      <w:r w:rsidR="00745C61">
        <w:t>f</w:t>
      </w:r>
      <w:r w:rsidR="0022528F">
        <w:t xml:space="preserve">inancial </w:t>
      </w:r>
      <w:r w:rsidR="00FE23B5">
        <w:t>services team</w:t>
      </w:r>
      <w:r w:rsidR="0022528F">
        <w:t xml:space="preserve">. No delegation amount can exceed the limits set out in the </w:t>
      </w:r>
      <w:r w:rsidR="00FE23B5">
        <w:t>schedule of d</w:t>
      </w:r>
      <w:r w:rsidR="0022528F" w:rsidRPr="00284367">
        <w:t xml:space="preserve">etailed </w:t>
      </w:r>
      <w:r w:rsidR="00FE23B5">
        <w:t xml:space="preserve">delegated financial limits. </w:t>
      </w:r>
      <w:r w:rsidR="001C399A" w:rsidRPr="00FE23B5">
        <w:t xml:space="preserve"> </w:t>
      </w:r>
    </w:p>
    <w:p w14:paraId="708F6B7E" w14:textId="77777777" w:rsidR="0022528F" w:rsidRDefault="0022528F" w:rsidP="0022528F">
      <w:pPr>
        <w:pStyle w:val="Style2"/>
        <w:numPr>
          <w:ilvl w:val="0"/>
          <w:numId w:val="0"/>
        </w:numPr>
        <w:ind w:left="1134"/>
      </w:pPr>
    </w:p>
    <w:p w14:paraId="0544D876" w14:textId="79382A25" w:rsidR="00AC34A9" w:rsidRPr="00400E06" w:rsidRDefault="00CC1EC3" w:rsidP="00AC34A9">
      <w:pPr>
        <w:pStyle w:val="Style2"/>
      </w:pPr>
      <w:r>
        <w:t>Directors are responsible for ensuring</w:t>
      </w:r>
      <w:r w:rsidR="006A001B">
        <w:t xml:space="preserve"> </w:t>
      </w:r>
      <w:r>
        <w:t xml:space="preserve">they </w:t>
      </w:r>
      <w:r w:rsidR="00CF6776">
        <w:t xml:space="preserve">approve monthly forecasts of expenditure for key material </w:t>
      </w:r>
      <w:r w:rsidR="00441321">
        <w:t xml:space="preserve">areas under their responsibility through working with their budget holders and designated </w:t>
      </w:r>
      <w:r w:rsidR="00796A0C">
        <w:t>f</w:t>
      </w:r>
      <w:r w:rsidR="004329C9">
        <w:t xml:space="preserve">inance </w:t>
      </w:r>
      <w:r w:rsidR="00796A0C">
        <w:t>b</w:t>
      </w:r>
      <w:r w:rsidR="004329C9">
        <w:t xml:space="preserve">usiness </w:t>
      </w:r>
      <w:r w:rsidR="00796A0C">
        <w:t>p</w:t>
      </w:r>
      <w:r w:rsidR="004329C9">
        <w:t>artners.</w:t>
      </w:r>
      <w:r w:rsidR="00AC34A9">
        <w:t xml:space="preserve"> Directors will </w:t>
      </w:r>
      <w:r w:rsidR="00FF6637">
        <w:t>promote a culture where they and their budget holders consult finance business partners</w:t>
      </w:r>
      <w:r w:rsidR="00706774">
        <w:t xml:space="preserve"> or other senior finance personnel as appropriate in key strategic decisions that have a financial impact.</w:t>
      </w:r>
    </w:p>
    <w:p w14:paraId="5F8853CC" w14:textId="18EC5D05" w:rsidR="00F913CD" w:rsidRDefault="00706774" w:rsidP="00732AFE">
      <w:pPr>
        <w:pStyle w:val="Heading3"/>
      </w:pPr>
      <w:bookmarkStart w:id="21" w:name="_Toc171428714"/>
      <w:r>
        <w:t>Budget Holders</w:t>
      </w:r>
      <w:bookmarkEnd w:id="21"/>
    </w:p>
    <w:p w14:paraId="3EB95518" w14:textId="72395C9A" w:rsidR="00706774" w:rsidRDefault="00B54013" w:rsidP="00706774">
      <w:pPr>
        <w:pStyle w:val="Style2"/>
      </w:pPr>
      <w:r>
        <w:t xml:space="preserve">Budget holders are responsible for </w:t>
      </w:r>
      <w:r w:rsidR="00F86D3D">
        <w:t xml:space="preserve">working with finance business partners and other senior finance staff as appropriate to determine budget requirements for the new financial year. </w:t>
      </w:r>
    </w:p>
    <w:p w14:paraId="1DA272F6" w14:textId="77777777" w:rsidR="00F920C6" w:rsidRDefault="00F920C6" w:rsidP="00F920C6">
      <w:pPr>
        <w:pStyle w:val="Style2"/>
        <w:numPr>
          <w:ilvl w:val="0"/>
          <w:numId w:val="0"/>
        </w:numPr>
        <w:ind w:left="1134"/>
      </w:pPr>
    </w:p>
    <w:p w14:paraId="33778F22" w14:textId="779A7E19" w:rsidR="004D49F5" w:rsidRDefault="004D49F5" w:rsidP="00706774">
      <w:pPr>
        <w:pStyle w:val="Style2"/>
      </w:pPr>
      <w:r>
        <w:lastRenderedPageBreak/>
        <w:t>On a monthly basis</w:t>
      </w:r>
      <w:r w:rsidR="00F920C6">
        <w:t>,</w:t>
      </w:r>
      <w:r>
        <w:t xml:space="preserve"> budget holders </w:t>
      </w:r>
      <w:r w:rsidR="00E12D51">
        <w:t>liaise with their finance business partners to highlight</w:t>
      </w:r>
      <w:r w:rsidR="0017483A">
        <w:t xml:space="preserve"> unusual spend profiles, determine </w:t>
      </w:r>
      <w:r w:rsidR="00F73112">
        <w:t xml:space="preserve">updated </w:t>
      </w:r>
      <w:r w:rsidR="0017483A">
        <w:t xml:space="preserve">forecast outturns, </w:t>
      </w:r>
      <w:r w:rsidR="00DB7C62">
        <w:t xml:space="preserve">review </w:t>
      </w:r>
      <w:r w:rsidR="007629B1">
        <w:t xml:space="preserve">expenditure </w:t>
      </w:r>
      <w:r w:rsidR="00FC2D8B">
        <w:t>variances,</w:t>
      </w:r>
      <w:r w:rsidR="007629B1">
        <w:t xml:space="preserve"> and </w:t>
      </w:r>
      <w:r w:rsidR="006A33EB">
        <w:t>give assurance that budgets will not be overspent at year end. Where potential overspends are identified actions are agreed to bring the expenditure back in line with budget</w:t>
      </w:r>
      <w:r w:rsidR="00EB6C0C">
        <w:t>.</w:t>
      </w:r>
      <w:r w:rsidR="00D306C0">
        <w:t xml:space="preserve"> Any significant overspends that are unlikely to be mitigated by year end are brought to the Board’s attention through the </w:t>
      </w:r>
      <w:r w:rsidR="00D306C0" w:rsidRPr="00FA0AB6">
        <w:t>Finance Report</w:t>
      </w:r>
      <w:r w:rsidR="00792A7E" w:rsidRPr="00FA0AB6">
        <w:t xml:space="preserve"> and as such must be escalated to the budget holder’s Director and to the</w:t>
      </w:r>
      <w:r w:rsidR="00792A7E">
        <w:t xml:space="preserve"> finance business partner.</w:t>
      </w:r>
    </w:p>
    <w:p w14:paraId="54BB1070" w14:textId="77777777" w:rsidR="004D49F5" w:rsidRDefault="004D49F5" w:rsidP="00E12D51">
      <w:pPr>
        <w:pStyle w:val="Style2"/>
        <w:numPr>
          <w:ilvl w:val="0"/>
          <w:numId w:val="0"/>
        </w:numPr>
        <w:ind w:left="1134"/>
      </w:pPr>
    </w:p>
    <w:p w14:paraId="3A72D3A3" w14:textId="0BEA9045" w:rsidR="003F534A" w:rsidRDefault="00BE1230" w:rsidP="003F534A">
      <w:pPr>
        <w:pStyle w:val="Style2"/>
      </w:pPr>
      <w:r>
        <w:t xml:space="preserve">Budget holders are delegated a </w:t>
      </w:r>
      <w:r w:rsidR="005E2010">
        <w:t xml:space="preserve">financial </w:t>
      </w:r>
      <w:r>
        <w:t xml:space="preserve">limit via </w:t>
      </w:r>
      <w:r w:rsidR="005E2010">
        <w:t xml:space="preserve">a Delegation of Authority form which is authorised by their Director. Budget holders must not exceed this limit </w:t>
      </w:r>
      <w:r w:rsidR="00AF2329">
        <w:t xml:space="preserve">which will have been </w:t>
      </w:r>
      <w:r w:rsidR="0028278B">
        <w:t>determined as appropriate for the type and extent of expenditure in the service area delegated to them</w:t>
      </w:r>
      <w:r w:rsidR="003C0EE2">
        <w:t xml:space="preserve"> and will be </w:t>
      </w:r>
      <w:r w:rsidR="005211CA">
        <w:t xml:space="preserve">no higher than </w:t>
      </w:r>
      <w:r w:rsidR="00B625AA">
        <w:t xml:space="preserve">permitted in </w:t>
      </w:r>
      <w:r w:rsidR="005211CA">
        <w:t xml:space="preserve">the </w:t>
      </w:r>
      <w:r w:rsidR="00573AC4">
        <w:t>schedule of d</w:t>
      </w:r>
      <w:r w:rsidR="005211CA" w:rsidRPr="00284367">
        <w:t xml:space="preserve">etailed </w:t>
      </w:r>
      <w:r w:rsidR="00573AC4">
        <w:t>delegated financial limits</w:t>
      </w:r>
      <w:r w:rsidR="00E346B7">
        <w:t>.</w:t>
      </w:r>
      <w:r w:rsidR="00213F80">
        <w:t xml:space="preserve"> The limit </w:t>
      </w:r>
      <w:r w:rsidR="009848BC">
        <w:t xml:space="preserve">usually applies to the level of </w:t>
      </w:r>
      <w:r w:rsidR="00030E46">
        <w:t xml:space="preserve">purchase order or invoice that the budget holder can sign off on specified cost centres and the Delegation of Authority form will confirm </w:t>
      </w:r>
      <w:r w:rsidR="009C73CA">
        <w:t xml:space="preserve">the extent of this authority. Budget holders are responsible for informing the </w:t>
      </w:r>
      <w:r w:rsidR="00745C61">
        <w:t>f</w:t>
      </w:r>
      <w:r w:rsidR="009C73CA">
        <w:t xml:space="preserve">inancial </w:t>
      </w:r>
      <w:r w:rsidR="00E346B7">
        <w:t>services team</w:t>
      </w:r>
      <w:r w:rsidR="002A58B0">
        <w:t xml:space="preserve"> or finance business partner</w:t>
      </w:r>
      <w:r w:rsidR="009C73CA">
        <w:t xml:space="preserve"> where their responsibilities change including where </w:t>
      </w:r>
      <w:r w:rsidR="00F579EC">
        <w:t>they take on or hand over management responsibility for a new contract or area of spend.</w:t>
      </w:r>
    </w:p>
    <w:p w14:paraId="1D1A188E" w14:textId="36E0AAE2" w:rsidR="003F534A" w:rsidRDefault="003F534A" w:rsidP="003F534A">
      <w:pPr>
        <w:pStyle w:val="Style2"/>
        <w:numPr>
          <w:ilvl w:val="0"/>
          <w:numId w:val="0"/>
        </w:numPr>
      </w:pPr>
    </w:p>
    <w:p w14:paraId="64087C1D" w14:textId="413D04DA" w:rsidR="003F534A" w:rsidRDefault="001538C4" w:rsidP="003F534A">
      <w:pPr>
        <w:pStyle w:val="Style2"/>
      </w:pPr>
      <w:r>
        <w:t xml:space="preserve">Budget holders are responsible for following the </w:t>
      </w:r>
      <w:hyperlink r:id="rId11" w:history="1">
        <w:r w:rsidR="0090266C">
          <w:rPr>
            <w:rStyle w:val="Hyperlink"/>
          </w:rPr>
          <w:t>Procurement and Contracting Policy</w:t>
        </w:r>
      </w:hyperlink>
      <w:r w:rsidR="00F9170C">
        <w:t xml:space="preserve"> </w:t>
      </w:r>
      <w:r w:rsidR="004E0FB3">
        <w:t xml:space="preserve">and </w:t>
      </w:r>
      <w:hyperlink r:id="rId12" w:history="1">
        <w:r w:rsidR="004E0FB3" w:rsidRPr="0090266C">
          <w:rPr>
            <w:rStyle w:val="Hyperlink"/>
          </w:rPr>
          <w:t>Creditor</w:t>
        </w:r>
        <w:r w:rsidR="0090266C" w:rsidRPr="0090266C">
          <w:rPr>
            <w:rStyle w:val="Hyperlink"/>
          </w:rPr>
          <w:t>s</w:t>
        </w:r>
        <w:r w:rsidR="004E0FB3" w:rsidRPr="0090266C">
          <w:rPr>
            <w:rStyle w:val="Hyperlink"/>
          </w:rPr>
          <w:t xml:space="preserve"> and </w:t>
        </w:r>
        <w:r w:rsidR="00C72B24" w:rsidRPr="0090266C">
          <w:rPr>
            <w:rStyle w:val="Hyperlink"/>
          </w:rPr>
          <w:t>Purchase</w:t>
        </w:r>
        <w:r w:rsidR="004E0FB3" w:rsidRPr="0090266C">
          <w:rPr>
            <w:rStyle w:val="Hyperlink"/>
          </w:rPr>
          <w:t xml:space="preserve"> </w:t>
        </w:r>
        <w:r w:rsidR="0090266C" w:rsidRPr="0090266C">
          <w:rPr>
            <w:rStyle w:val="Hyperlink"/>
          </w:rPr>
          <w:t>P</w:t>
        </w:r>
        <w:r w:rsidR="004E0FB3" w:rsidRPr="0090266C">
          <w:rPr>
            <w:rStyle w:val="Hyperlink"/>
          </w:rPr>
          <w:t>olicy</w:t>
        </w:r>
      </w:hyperlink>
      <w:r w:rsidR="004E0FB3">
        <w:t xml:space="preserve"> to ensure that controls are followed and value for money is a key consideration </w:t>
      </w:r>
      <w:r w:rsidR="005334E4">
        <w:t>in all purchases.</w:t>
      </w:r>
    </w:p>
    <w:p w14:paraId="1BD92DEE" w14:textId="285D22D3" w:rsidR="00B04478" w:rsidRDefault="00B04478" w:rsidP="00B04478">
      <w:pPr>
        <w:pStyle w:val="Heading3"/>
      </w:pPr>
      <w:bookmarkStart w:id="22" w:name="_Toc171428715"/>
      <w:r>
        <w:t xml:space="preserve">Financial </w:t>
      </w:r>
      <w:r w:rsidR="002A58B0">
        <w:t>Services Team</w:t>
      </w:r>
      <w:bookmarkEnd w:id="22"/>
    </w:p>
    <w:p w14:paraId="6AF0C5C4" w14:textId="184048EB" w:rsidR="007B7AA8" w:rsidRDefault="007B7AA8" w:rsidP="007B7AA8">
      <w:pPr>
        <w:pStyle w:val="Style2"/>
      </w:pPr>
      <w:r>
        <w:t xml:space="preserve">The financial </w:t>
      </w:r>
      <w:r w:rsidR="002A58B0">
        <w:t>services team</w:t>
      </w:r>
      <w:r>
        <w:t xml:space="preserve"> is responsible for ensuring that </w:t>
      </w:r>
      <w:r w:rsidR="000971D5">
        <w:t xml:space="preserve">up to date Delegation of Authority forms are received, appropriately authorised, </w:t>
      </w:r>
      <w:r w:rsidR="00561815">
        <w:t>and</w:t>
      </w:r>
      <w:r w:rsidR="000971D5">
        <w:t xml:space="preserve"> are in-line with </w:t>
      </w:r>
      <w:r w:rsidR="00B52EAD">
        <w:t>limits set out in the</w:t>
      </w:r>
      <w:r w:rsidR="000971D5">
        <w:t xml:space="preserve"> </w:t>
      </w:r>
      <w:r w:rsidR="007B2842">
        <w:t>schedule of d</w:t>
      </w:r>
      <w:r w:rsidR="000971D5" w:rsidRPr="00284367">
        <w:t xml:space="preserve">etailed </w:t>
      </w:r>
      <w:r w:rsidR="007B2842">
        <w:t>delegated financial limits</w:t>
      </w:r>
      <w:r w:rsidR="000971D5">
        <w:t xml:space="preserve">. </w:t>
      </w:r>
      <w:r w:rsidR="00A90339">
        <w:t xml:space="preserve">They will maintain a list of all authorised signatories which is reviewed by </w:t>
      </w:r>
      <w:r w:rsidR="00A1536F">
        <w:t xml:space="preserve">Finance Business Partners and Budget Holders </w:t>
      </w:r>
      <w:r w:rsidR="00A90339">
        <w:t>on an annual basis.</w:t>
      </w:r>
    </w:p>
    <w:p w14:paraId="2CBAD905" w14:textId="77777777" w:rsidR="0029605A" w:rsidRDefault="0029605A" w:rsidP="0029605A">
      <w:pPr>
        <w:pStyle w:val="Style2"/>
        <w:numPr>
          <w:ilvl w:val="0"/>
          <w:numId w:val="0"/>
        </w:numPr>
        <w:ind w:left="1134"/>
      </w:pPr>
    </w:p>
    <w:p w14:paraId="4CC14661" w14:textId="3DB5963F" w:rsidR="003D2EB4" w:rsidRDefault="0029605A" w:rsidP="003D2EB4">
      <w:pPr>
        <w:pStyle w:val="Style2"/>
      </w:pPr>
      <w:r>
        <w:t xml:space="preserve">The financial </w:t>
      </w:r>
      <w:r w:rsidR="00FF6EB8">
        <w:t>services team</w:t>
      </w:r>
      <w:r>
        <w:t xml:space="preserve"> is responsible for </w:t>
      </w:r>
      <w:r w:rsidR="00C13C71">
        <w:t>managing access controls to the Integrated Single Financial Environment (ISFE)</w:t>
      </w:r>
      <w:r w:rsidR="003051CC">
        <w:t xml:space="preserve"> for both finance staff and Directors and budget holders to enable </w:t>
      </w:r>
      <w:r w:rsidR="00F918BD">
        <w:t xml:space="preserve">access to </w:t>
      </w:r>
      <w:r w:rsidR="002A5211">
        <w:t xml:space="preserve">generate, </w:t>
      </w:r>
      <w:r w:rsidR="006E555C">
        <w:t>code,</w:t>
      </w:r>
      <w:r w:rsidR="002A5211">
        <w:t xml:space="preserve"> and authorise purchases and invoices as well as review Business Information </w:t>
      </w:r>
      <w:r w:rsidR="00FB73A5">
        <w:t xml:space="preserve">(BI) </w:t>
      </w:r>
      <w:r w:rsidR="002A5211">
        <w:t xml:space="preserve">reports as appropriate. </w:t>
      </w:r>
      <w:r w:rsidR="00AF2842">
        <w:t xml:space="preserve">It is essential that access rights given to any one individual </w:t>
      </w:r>
      <w:r w:rsidR="00350A9D">
        <w:t xml:space="preserve">follow principles of segregation of duties so that no one individual has sole responsibility </w:t>
      </w:r>
      <w:r w:rsidR="002F7CFC">
        <w:t>for any single transaction.</w:t>
      </w:r>
      <w:r w:rsidR="006C3917">
        <w:t xml:space="preserve"> Access is confirmed on standard documentation and authorised </w:t>
      </w:r>
      <w:r w:rsidR="0093794F">
        <w:t xml:space="preserve">by </w:t>
      </w:r>
      <w:r w:rsidR="003D2EB4">
        <w:t>the staff member’s Director</w:t>
      </w:r>
      <w:r w:rsidR="0093794F">
        <w:t xml:space="preserve"> and all access is reviewed on at least an annual basis.</w:t>
      </w:r>
    </w:p>
    <w:p w14:paraId="1420E36B" w14:textId="77777777" w:rsidR="003D2EB4" w:rsidRDefault="003D2EB4" w:rsidP="003D2EB4">
      <w:pPr>
        <w:pStyle w:val="Style2"/>
        <w:numPr>
          <w:ilvl w:val="0"/>
          <w:numId w:val="0"/>
        </w:numPr>
        <w:ind w:left="1134"/>
      </w:pPr>
    </w:p>
    <w:p w14:paraId="1160CF82" w14:textId="7A51B22B" w:rsidR="0084146B" w:rsidRDefault="004A50F7" w:rsidP="0084146B">
      <w:pPr>
        <w:pStyle w:val="Style2"/>
      </w:pPr>
      <w:r>
        <w:t xml:space="preserve">The financial </w:t>
      </w:r>
      <w:r w:rsidR="00A07FE6">
        <w:t>services team</w:t>
      </w:r>
      <w:r>
        <w:t xml:space="preserve"> is responsible for ensuring that transactions are recorded as soon and as accurately as possible. </w:t>
      </w:r>
      <w:r w:rsidR="006D29A5">
        <w:t xml:space="preserve">All transactions should be accurately coded to align with </w:t>
      </w:r>
      <w:r w:rsidR="0084146B">
        <w:t>all guidance provided by NHSE.</w:t>
      </w:r>
    </w:p>
    <w:p w14:paraId="211DDAD5" w14:textId="77777777" w:rsidR="0084146B" w:rsidRDefault="0084146B" w:rsidP="0084146B">
      <w:pPr>
        <w:pStyle w:val="Style2"/>
        <w:numPr>
          <w:ilvl w:val="0"/>
          <w:numId w:val="0"/>
        </w:numPr>
        <w:ind w:left="1134"/>
      </w:pPr>
    </w:p>
    <w:p w14:paraId="63E99017" w14:textId="2B2D202C" w:rsidR="00E33121" w:rsidRDefault="00C11345" w:rsidP="00E33121">
      <w:pPr>
        <w:pStyle w:val="Style2"/>
      </w:pPr>
      <w:r>
        <w:t xml:space="preserve">The financial </w:t>
      </w:r>
      <w:r w:rsidR="00066B9E">
        <w:t>services team</w:t>
      </w:r>
      <w:r>
        <w:t xml:space="preserve"> is responsible for ensuring that reconciliations of key control accounts are undertaken and separately authorised by </w:t>
      </w:r>
      <w:r w:rsidR="00774FD2">
        <w:t>another senior member of the finance team</w:t>
      </w:r>
      <w:r w:rsidR="00E33121">
        <w:t xml:space="preserve"> </w:t>
      </w:r>
      <w:r w:rsidR="002D1D65">
        <w:t>monthly</w:t>
      </w:r>
      <w:r w:rsidR="00E33121">
        <w:t>.</w:t>
      </w:r>
    </w:p>
    <w:p w14:paraId="5C91E420" w14:textId="77777777" w:rsidR="00E33121" w:rsidRDefault="00E33121" w:rsidP="00E33121">
      <w:pPr>
        <w:pStyle w:val="Style2"/>
        <w:numPr>
          <w:ilvl w:val="0"/>
          <w:numId w:val="0"/>
        </w:numPr>
        <w:ind w:left="1134"/>
      </w:pPr>
    </w:p>
    <w:p w14:paraId="0DAF9FF4" w14:textId="7D37F7E5" w:rsidR="001B3395" w:rsidRDefault="00E33121" w:rsidP="001B3395">
      <w:pPr>
        <w:pStyle w:val="Style2"/>
      </w:pPr>
      <w:r>
        <w:t xml:space="preserve">The financial </w:t>
      </w:r>
      <w:r w:rsidR="00066B9E">
        <w:t>services team</w:t>
      </w:r>
      <w:r>
        <w:t xml:space="preserve"> is responsible for </w:t>
      </w:r>
      <w:r w:rsidR="00CF2AD6">
        <w:t>preparing the financial statements, statutory accounts and financial aspects of the Annual Report including the remuneration report</w:t>
      </w:r>
      <w:r w:rsidR="00FB257D">
        <w:t xml:space="preserve"> on a timely basis in accordance with the published timetable from NHSE.</w:t>
      </w:r>
    </w:p>
    <w:p w14:paraId="18E4697D" w14:textId="77777777" w:rsidR="001B3395" w:rsidRDefault="001B3395" w:rsidP="001B3395">
      <w:pPr>
        <w:pStyle w:val="Style2"/>
        <w:numPr>
          <w:ilvl w:val="0"/>
          <w:numId w:val="0"/>
        </w:numPr>
        <w:ind w:left="1134"/>
      </w:pPr>
    </w:p>
    <w:p w14:paraId="4F4760D1" w14:textId="753A1B3C" w:rsidR="000E02B1" w:rsidRDefault="00F9446F" w:rsidP="000E02B1">
      <w:pPr>
        <w:pStyle w:val="Style2"/>
      </w:pPr>
      <w:r>
        <w:t xml:space="preserve">The financial </w:t>
      </w:r>
      <w:r w:rsidR="009729B0">
        <w:t>services team</w:t>
      </w:r>
      <w:r>
        <w:t xml:space="preserve"> will ensure that monthly reports </w:t>
      </w:r>
      <w:r w:rsidR="00716B2A">
        <w:t xml:space="preserve">are provided for the Finance Report as </w:t>
      </w:r>
      <w:r w:rsidR="00794E70">
        <w:t xml:space="preserve">determined by the </w:t>
      </w:r>
      <w:r w:rsidR="00E96181">
        <w:t>Executive Chief Finance Officer</w:t>
      </w:r>
      <w:r w:rsidR="00794E70">
        <w:t xml:space="preserve">. This will include </w:t>
      </w:r>
      <w:r w:rsidR="00BA75F8">
        <w:t>S</w:t>
      </w:r>
      <w:r w:rsidR="00794E70">
        <w:t xml:space="preserve">ummary </w:t>
      </w:r>
      <w:r w:rsidR="00BA75F8">
        <w:t>C</w:t>
      </w:r>
      <w:r w:rsidR="00794E70">
        <w:t xml:space="preserve">ashflow, </w:t>
      </w:r>
      <w:r w:rsidR="00852D3B">
        <w:t>Statement of Financial Position</w:t>
      </w:r>
      <w:r w:rsidR="00794E70">
        <w:t xml:space="preserve">, </w:t>
      </w:r>
      <w:r w:rsidR="00BA75F8">
        <w:t>A</w:t>
      </w:r>
      <w:r w:rsidR="00794E70">
        <w:t xml:space="preserve">ged </w:t>
      </w:r>
      <w:r w:rsidR="00BA75F8">
        <w:t>C</w:t>
      </w:r>
      <w:r w:rsidR="00794E70">
        <w:t xml:space="preserve">reditors and </w:t>
      </w:r>
      <w:r w:rsidR="00BA75F8">
        <w:t>D</w:t>
      </w:r>
      <w:r w:rsidR="00794E70">
        <w:t xml:space="preserve">ebtors and </w:t>
      </w:r>
      <w:r w:rsidR="00521C3A">
        <w:t>performance against the Better Payments Practice Code.</w:t>
      </w:r>
    </w:p>
    <w:p w14:paraId="75C986DA" w14:textId="77777777" w:rsidR="000E02B1" w:rsidRDefault="000E02B1" w:rsidP="000E02B1">
      <w:pPr>
        <w:pStyle w:val="Style2"/>
        <w:numPr>
          <w:ilvl w:val="0"/>
          <w:numId w:val="0"/>
        </w:numPr>
        <w:ind w:left="1134"/>
      </w:pPr>
    </w:p>
    <w:p w14:paraId="7C81CD4C" w14:textId="0BC47F8A" w:rsidR="000E02B1" w:rsidRDefault="000E02B1" w:rsidP="00EA1B0E">
      <w:pPr>
        <w:pStyle w:val="Style2"/>
      </w:pPr>
      <w:r>
        <w:t xml:space="preserve">The financial </w:t>
      </w:r>
      <w:r w:rsidR="00E020E0">
        <w:t>services team</w:t>
      </w:r>
      <w:r>
        <w:t xml:space="preserve"> is responsible for ensuring that VAT is accounted for appropriately and in </w:t>
      </w:r>
      <w:r w:rsidR="006B4A7B">
        <w:t>accordance with current legislation.</w:t>
      </w:r>
      <w:r w:rsidR="00E7021F">
        <w:t xml:space="preserve"> They are also responsible for seeking advice on VAT treatment of </w:t>
      </w:r>
      <w:r w:rsidR="00EB0EDB">
        <w:t xml:space="preserve">specific items of revenue and capital expenditure from the specialists at SBS or </w:t>
      </w:r>
      <w:r w:rsidR="0056408F">
        <w:t>the ICB’s retained VAT advisors</w:t>
      </w:r>
      <w:r w:rsidR="00C63E08">
        <w:t>.</w:t>
      </w:r>
    </w:p>
    <w:p w14:paraId="067C663C" w14:textId="1479C7F8" w:rsidR="00EA1B0E" w:rsidRDefault="000B7512" w:rsidP="00EA1B0E">
      <w:pPr>
        <w:pStyle w:val="Heading3"/>
      </w:pPr>
      <w:bookmarkStart w:id="23" w:name="_Toc171428716"/>
      <w:r>
        <w:t>Finance Business Partners</w:t>
      </w:r>
      <w:bookmarkEnd w:id="23"/>
    </w:p>
    <w:p w14:paraId="01EB5A17" w14:textId="4D94BB75" w:rsidR="000B7512" w:rsidRDefault="000B7512" w:rsidP="000B7512">
      <w:pPr>
        <w:pStyle w:val="Style2"/>
      </w:pPr>
      <w:r>
        <w:t xml:space="preserve">Finance business partners </w:t>
      </w:r>
      <w:r w:rsidR="00E020E0">
        <w:t>and their team</w:t>
      </w:r>
      <w:r w:rsidR="00E636AA">
        <w:t xml:space="preserve">s </w:t>
      </w:r>
      <w:r>
        <w:t xml:space="preserve">are responsible for ensuring that budget holders understand their budgets and are equipped to advise and agree forecast outturns </w:t>
      </w:r>
      <w:r w:rsidR="009342EE">
        <w:t>monthly</w:t>
      </w:r>
      <w:r>
        <w:t xml:space="preserve">. </w:t>
      </w:r>
      <w:r w:rsidR="009342EE">
        <w:t xml:space="preserve">They are responsible for identifying budget holder training needs and </w:t>
      </w:r>
      <w:r w:rsidR="00E636AA">
        <w:t>ensuring</w:t>
      </w:r>
      <w:r w:rsidR="009342EE">
        <w:t xml:space="preserve"> that training </w:t>
      </w:r>
      <w:r w:rsidR="00E636AA">
        <w:t xml:space="preserve">is delivered </w:t>
      </w:r>
      <w:r w:rsidR="009342EE">
        <w:t>either on a one-to-one or more formal basis.</w:t>
      </w:r>
    </w:p>
    <w:p w14:paraId="6A31DA98" w14:textId="77777777" w:rsidR="00F14EA5" w:rsidRDefault="00F14EA5" w:rsidP="00F14EA5">
      <w:pPr>
        <w:pStyle w:val="Style2"/>
        <w:numPr>
          <w:ilvl w:val="0"/>
          <w:numId w:val="0"/>
        </w:numPr>
        <w:ind w:left="1134"/>
      </w:pPr>
    </w:p>
    <w:p w14:paraId="246AE056" w14:textId="34F2A9BA" w:rsidR="000B0F99" w:rsidRDefault="00F14EA5" w:rsidP="000B0F99">
      <w:pPr>
        <w:pStyle w:val="Style2"/>
      </w:pPr>
      <w:r>
        <w:t xml:space="preserve">Finance business partners </w:t>
      </w:r>
      <w:r w:rsidR="009A1688">
        <w:t xml:space="preserve">and their teams </w:t>
      </w:r>
      <w:r>
        <w:t xml:space="preserve">are required to support budget holders and directors </w:t>
      </w:r>
      <w:r w:rsidR="005518CB">
        <w:t xml:space="preserve">in all budgeting, </w:t>
      </w:r>
      <w:r w:rsidR="00184E2D">
        <w:t>coding,</w:t>
      </w:r>
      <w:r w:rsidR="005518CB">
        <w:t xml:space="preserve"> and forecasting issues</w:t>
      </w:r>
      <w:r w:rsidR="00F439BF">
        <w:t xml:space="preserve"> and to identify </w:t>
      </w:r>
      <w:r w:rsidR="00CF7037">
        <w:t>phasing issues which impact on cashflow management and report them to</w:t>
      </w:r>
      <w:r w:rsidR="005518CB">
        <w:t xml:space="preserve"> the financial </w:t>
      </w:r>
      <w:r w:rsidR="008F2266">
        <w:t>services team</w:t>
      </w:r>
      <w:r w:rsidR="005518CB">
        <w:t xml:space="preserve">. They are also responsible for </w:t>
      </w:r>
      <w:r w:rsidR="00BB215F">
        <w:t>ensuring that their budget holder responsibilities are correctly recorded on Delegat</w:t>
      </w:r>
      <w:r w:rsidR="00982CCF">
        <w:t>ion of Authority forms and that the financial</w:t>
      </w:r>
      <w:r w:rsidR="008F2266">
        <w:t xml:space="preserve"> services team</w:t>
      </w:r>
      <w:r w:rsidR="00982CCF">
        <w:t xml:space="preserve"> is notified when responsibilities change.</w:t>
      </w:r>
      <w:r w:rsidR="00E37FB0">
        <w:t xml:space="preserve"> </w:t>
      </w:r>
    </w:p>
    <w:p w14:paraId="560F4FEF" w14:textId="2326862B" w:rsidR="000B0F99" w:rsidRDefault="000B0F99" w:rsidP="000B0F99">
      <w:pPr>
        <w:pStyle w:val="Heading3"/>
        <w:rPr>
          <w:b w:val="0"/>
          <w:bCs/>
        </w:rPr>
      </w:pPr>
      <w:bookmarkStart w:id="24" w:name="_Toc171428717"/>
      <w:r>
        <w:t>Shared Business Services</w:t>
      </w:r>
      <w:bookmarkEnd w:id="24"/>
    </w:p>
    <w:p w14:paraId="17F5E708" w14:textId="00F075E2" w:rsidR="00CA4AB7" w:rsidRPr="00CA4AB7" w:rsidRDefault="00CA4AB7" w:rsidP="00CA4AB7">
      <w:pPr>
        <w:pStyle w:val="Style2"/>
      </w:pPr>
      <w:r>
        <w:t xml:space="preserve">Shared Business Services (SBS) are the mandated provider of transactional </w:t>
      </w:r>
      <w:r w:rsidR="000879CE">
        <w:t xml:space="preserve">financial services for all ICBs under a national contract managed by NHSE. SBS are responsible for managing the </w:t>
      </w:r>
      <w:r w:rsidR="00613567">
        <w:t xml:space="preserve">ISFE Oracle </w:t>
      </w:r>
      <w:r w:rsidR="00613567">
        <w:lastRenderedPageBreak/>
        <w:t xml:space="preserve">based system </w:t>
      </w:r>
      <w:r w:rsidR="006F560E">
        <w:t xml:space="preserve">and provide many financial controls required – for example </w:t>
      </w:r>
      <w:r w:rsidR="000706F1">
        <w:t xml:space="preserve">checks on new suppliers, payment of invoices, </w:t>
      </w:r>
      <w:r w:rsidR="00046E8A">
        <w:t xml:space="preserve">posting cash receipts. It is important that the ICB finance team </w:t>
      </w:r>
      <w:r w:rsidR="00001F22">
        <w:t>use the standard documentation</w:t>
      </w:r>
      <w:r w:rsidR="00F86ED4">
        <w:t>, guidance</w:t>
      </w:r>
      <w:r w:rsidR="00001F22">
        <w:t xml:space="preserve"> and processes that are in place and liaise with the relevant teams in SBS. </w:t>
      </w:r>
      <w:r w:rsidR="00163D4F">
        <w:t>Service Auditor Reports (</w:t>
      </w:r>
      <w:r w:rsidR="00AB31A9">
        <w:t>ISAE 3402) are an important part of the external auditors’ assurance at year end.</w:t>
      </w:r>
    </w:p>
    <w:p w14:paraId="0079C255" w14:textId="77777777" w:rsidR="00F913CD" w:rsidRPr="0015255F" w:rsidRDefault="00F913CD" w:rsidP="00250FB0">
      <w:pPr>
        <w:pStyle w:val="Heading2"/>
      </w:pPr>
      <w:bookmarkStart w:id="25" w:name="_Toc84611056"/>
      <w:bookmarkStart w:id="26" w:name="_Toc89326548"/>
      <w:bookmarkStart w:id="27" w:name="_Toc171428718"/>
      <w:r w:rsidRPr="0015255F">
        <w:t>Policy Detail</w:t>
      </w:r>
      <w:bookmarkEnd w:id="25"/>
      <w:bookmarkEnd w:id="26"/>
      <w:bookmarkEnd w:id="27"/>
    </w:p>
    <w:p w14:paraId="5A20E99B" w14:textId="206B5D41" w:rsidR="00F913CD" w:rsidRDefault="00775400" w:rsidP="00C4088C">
      <w:pPr>
        <w:pStyle w:val="Heading3"/>
      </w:pPr>
      <w:bookmarkStart w:id="28" w:name="_Toc171428719"/>
      <w:r>
        <w:t>Allocations</w:t>
      </w:r>
      <w:bookmarkEnd w:id="28"/>
    </w:p>
    <w:p w14:paraId="51E55B6E" w14:textId="36149C58" w:rsidR="00775400" w:rsidRPr="00775400" w:rsidRDefault="00775400" w:rsidP="00775400">
      <w:pPr>
        <w:pStyle w:val="Style2"/>
      </w:pPr>
      <w:r>
        <w:t xml:space="preserve">The NHSE allocations process uses a formula to make geographic distribution fair </w:t>
      </w:r>
      <w:r w:rsidR="007B1D00">
        <w:t xml:space="preserve">and objective to reflect local healthcare needs. </w:t>
      </w:r>
    </w:p>
    <w:p w14:paraId="4D16C649" w14:textId="3A2EAAAE" w:rsidR="00124D95" w:rsidRDefault="0014308E" w:rsidP="00124D95">
      <w:pPr>
        <w:pStyle w:val="Heading3"/>
      </w:pPr>
      <w:bookmarkStart w:id="29" w:name="_Toc171428720"/>
      <w:r>
        <w:t>Budgets &amp; Budget Monitoring</w:t>
      </w:r>
      <w:bookmarkEnd w:id="29"/>
    </w:p>
    <w:p w14:paraId="3C907639" w14:textId="39893DA7" w:rsidR="00E73FAA" w:rsidRDefault="00710B12" w:rsidP="008C7819">
      <w:pPr>
        <w:pStyle w:val="Style2"/>
      </w:pPr>
      <w:r>
        <w:t xml:space="preserve">On an annual basis the </w:t>
      </w:r>
      <w:r w:rsidR="00E96181">
        <w:t xml:space="preserve">Executive Chief Finance Officer </w:t>
      </w:r>
      <w:r>
        <w:t>will compile a financial plan</w:t>
      </w:r>
      <w:r w:rsidR="00F07A91">
        <w:t xml:space="preserve"> which will include the </w:t>
      </w:r>
      <w:r w:rsidR="00E73FAA">
        <w:t>high-level</w:t>
      </w:r>
      <w:r w:rsidR="00F07A91">
        <w:t xml:space="preserve"> financial performance framework, </w:t>
      </w:r>
      <w:r w:rsidR="002A6790">
        <w:t xml:space="preserve">summary budgets and the level of savings which are required to </w:t>
      </w:r>
      <w:r w:rsidR="00063420">
        <w:t xml:space="preserve">meet </w:t>
      </w:r>
      <w:r w:rsidR="00E73FAA">
        <w:t xml:space="preserve">the </w:t>
      </w:r>
      <w:r w:rsidR="00F55FAB">
        <w:t xml:space="preserve">ICB’s share of the system </w:t>
      </w:r>
      <w:r w:rsidR="007835DF">
        <w:t>c</w:t>
      </w:r>
      <w:r w:rsidR="00E73FAA">
        <w:t xml:space="preserve">ontrol </w:t>
      </w:r>
      <w:r w:rsidR="007835DF">
        <w:t>t</w:t>
      </w:r>
      <w:r w:rsidR="00E73FAA">
        <w:t>otal mandated by NHSE.</w:t>
      </w:r>
    </w:p>
    <w:p w14:paraId="5BB758A3" w14:textId="77777777" w:rsidR="00E73FAA" w:rsidRDefault="00E73FAA" w:rsidP="00E73FAA">
      <w:pPr>
        <w:pStyle w:val="Style2"/>
        <w:numPr>
          <w:ilvl w:val="0"/>
          <w:numId w:val="0"/>
        </w:numPr>
        <w:ind w:left="1134"/>
      </w:pPr>
    </w:p>
    <w:p w14:paraId="5476F1B4" w14:textId="2C2AEDB8" w:rsidR="00460E7A" w:rsidRDefault="00E73FAA" w:rsidP="00165CF2">
      <w:pPr>
        <w:pStyle w:val="Style2"/>
      </w:pPr>
      <w:r>
        <w:t xml:space="preserve">The plan will include </w:t>
      </w:r>
      <w:r w:rsidR="00B20455">
        <w:t xml:space="preserve">significant </w:t>
      </w:r>
      <w:r>
        <w:t>assumptions made,</w:t>
      </w:r>
      <w:r w:rsidR="00B20455">
        <w:t xml:space="preserve"> details of major changes to services, resources or workforce </w:t>
      </w:r>
      <w:r w:rsidR="007F04FF">
        <w:t xml:space="preserve">required, </w:t>
      </w:r>
      <w:r w:rsidR="00460E7A">
        <w:t>an evaluation</w:t>
      </w:r>
      <w:r w:rsidR="007F04FF">
        <w:t xml:space="preserve"> of financial risks and the level of reserves required. </w:t>
      </w:r>
      <w:r w:rsidR="00752B9A">
        <w:t xml:space="preserve">The plan will report the </w:t>
      </w:r>
      <w:r w:rsidR="00766091">
        <w:t>budget for running costs separatel</w:t>
      </w:r>
      <w:r w:rsidR="00460E7A">
        <w:t>y.</w:t>
      </w:r>
    </w:p>
    <w:p w14:paraId="4F3F8FA8" w14:textId="77777777" w:rsidR="00460E7A" w:rsidRDefault="00460E7A" w:rsidP="00165CF2">
      <w:pPr>
        <w:pStyle w:val="Style2"/>
        <w:numPr>
          <w:ilvl w:val="0"/>
          <w:numId w:val="0"/>
        </w:numPr>
        <w:ind w:left="1134"/>
      </w:pPr>
    </w:p>
    <w:p w14:paraId="01803C90" w14:textId="194B6DA2" w:rsidR="00A727D3" w:rsidRDefault="00954445" w:rsidP="00A727D3">
      <w:pPr>
        <w:pStyle w:val="Style2"/>
      </w:pPr>
      <w:r>
        <w:t xml:space="preserve">Prior to the beginning of the financial year the </w:t>
      </w:r>
      <w:r w:rsidR="00E96181">
        <w:t xml:space="preserve">Executive Chief Finance Officer </w:t>
      </w:r>
      <w:r>
        <w:t xml:space="preserve">will take the financial plan and </w:t>
      </w:r>
      <w:r w:rsidR="00E96F32">
        <w:t>budgets to the ICB Board for approval. The budgets will be in accordance with the aims and objectives of the financial plan</w:t>
      </w:r>
      <w:r w:rsidR="00A353C8">
        <w:t xml:space="preserve"> and will have been prepared in discussions with the budget holders and within the available financial resource limit.</w:t>
      </w:r>
    </w:p>
    <w:p w14:paraId="5C248E9E" w14:textId="77777777" w:rsidR="00A727D3" w:rsidRDefault="00A727D3" w:rsidP="00A727D3">
      <w:pPr>
        <w:pStyle w:val="Style2"/>
        <w:numPr>
          <w:ilvl w:val="0"/>
          <w:numId w:val="0"/>
        </w:numPr>
        <w:ind w:left="1134"/>
      </w:pPr>
    </w:p>
    <w:p w14:paraId="2F8781CC" w14:textId="78001E80" w:rsidR="007228E9" w:rsidRDefault="00EF08F4" w:rsidP="00B51336">
      <w:pPr>
        <w:pStyle w:val="Style2"/>
      </w:pPr>
      <w:r>
        <w:t xml:space="preserve">Financial performance is monitored monthly and updated forecast outturns are input into the finance system </w:t>
      </w:r>
      <w:r w:rsidR="005B66A3">
        <w:t>considering</w:t>
      </w:r>
      <w:r w:rsidR="00353211">
        <w:t xml:space="preserve"> </w:t>
      </w:r>
      <w:r w:rsidR="00875C4D">
        <w:t xml:space="preserve">additional resource allocations notified by NHSE </w:t>
      </w:r>
      <w:r w:rsidR="00B23EDC">
        <w:t xml:space="preserve">during the financial year </w:t>
      </w:r>
      <w:r w:rsidR="00875C4D">
        <w:t>and changes to expected expenditure trends.</w:t>
      </w:r>
      <w:r w:rsidR="00943200">
        <w:t xml:space="preserve"> Monthly financial reporting will include </w:t>
      </w:r>
      <w:r w:rsidR="00A25D1D">
        <w:t>expected delivery against financial targets</w:t>
      </w:r>
      <w:r w:rsidR="00114A3A">
        <w:t xml:space="preserve"> including capital spend</w:t>
      </w:r>
      <w:r w:rsidR="00A25D1D">
        <w:t xml:space="preserve">, Statement of Financial Position including details of aged creditors and debtors and progress against the Better Payments Practice Code, </w:t>
      </w:r>
      <w:r w:rsidR="006226B7">
        <w:t xml:space="preserve">delivery against savings targets, </w:t>
      </w:r>
      <w:r w:rsidR="00114A3A">
        <w:t xml:space="preserve">explanations of key variances and mitigating actions and </w:t>
      </w:r>
      <w:r w:rsidR="00DC59C7">
        <w:t>the level of financial risk in the forecasts.</w:t>
      </w:r>
    </w:p>
    <w:p w14:paraId="36D1F3EC" w14:textId="77777777" w:rsidR="007228E9" w:rsidRDefault="007228E9" w:rsidP="007228E9">
      <w:pPr>
        <w:pStyle w:val="Style2"/>
        <w:numPr>
          <w:ilvl w:val="0"/>
          <w:numId w:val="0"/>
        </w:numPr>
        <w:ind w:left="1134"/>
      </w:pPr>
    </w:p>
    <w:p w14:paraId="4D7B07B7" w14:textId="6FA707F8" w:rsidR="007228E9" w:rsidRDefault="00B51336" w:rsidP="00C348F1">
      <w:pPr>
        <w:pStyle w:val="Style2"/>
      </w:pPr>
      <w:r>
        <w:t xml:space="preserve">Month end processes followed by the finance team are set out in the </w:t>
      </w:r>
      <w:r w:rsidR="00C63E08">
        <w:t>Budget Holder Guidance.</w:t>
      </w:r>
    </w:p>
    <w:p w14:paraId="2F602D4B" w14:textId="77777777" w:rsidR="007228E9" w:rsidRDefault="007228E9" w:rsidP="00C348F1">
      <w:pPr>
        <w:pStyle w:val="Style2"/>
        <w:numPr>
          <w:ilvl w:val="0"/>
          <w:numId w:val="0"/>
        </w:numPr>
        <w:ind w:left="1134"/>
      </w:pPr>
    </w:p>
    <w:p w14:paraId="079C5FB1" w14:textId="5B95707C" w:rsidR="001170EA" w:rsidRDefault="00C348F1" w:rsidP="001170EA">
      <w:pPr>
        <w:pStyle w:val="Style2"/>
      </w:pPr>
      <w:r>
        <w:lastRenderedPageBreak/>
        <w:t>Monthly reports are prepared for budget holders that show year to date and forecast outturn spend against budget</w:t>
      </w:r>
      <w:r w:rsidR="00F459CC">
        <w:t>. F</w:t>
      </w:r>
      <w:r w:rsidR="00CD091A">
        <w:t xml:space="preserve">inance business partners </w:t>
      </w:r>
      <w:r w:rsidR="00555C80">
        <w:t xml:space="preserve">and their teams </w:t>
      </w:r>
      <w:r w:rsidR="008E6543">
        <w:t>will meet regularly with budget holders (proportionate to the size and risk in individual budget holder portfolios)</w:t>
      </w:r>
      <w:r w:rsidR="00C87967">
        <w:t xml:space="preserve"> to explain the statements and assist the budget holder to identify variances and formulate actions to mitigate any overspends.</w:t>
      </w:r>
      <w:r w:rsidR="00CC55A4">
        <w:t xml:space="preserve"> These meetings or other forms of communication will also </w:t>
      </w:r>
      <w:r w:rsidR="000407B3">
        <w:t xml:space="preserve">be an opportunity for budget holders to contribute to formulating the latest forecast outturns as well as dealing with any administrative issues such as </w:t>
      </w:r>
      <w:r w:rsidR="00E71B58">
        <w:t xml:space="preserve">staff changes, </w:t>
      </w:r>
      <w:r w:rsidR="00FC7298">
        <w:t xml:space="preserve">invoicing or purchase order </w:t>
      </w:r>
      <w:r w:rsidR="0091583B">
        <w:t xml:space="preserve">queries and </w:t>
      </w:r>
      <w:r w:rsidR="00FB25C5">
        <w:t>any changes to spend profile</w:t>
      </w:r>
      <w:r w:rsidR="00FC7298">
        <w:t xml:space="preserve"> and budget holder responsibilities as well as dealing with any </w:t>
      </w:r>
      <w:r w:rsidR="00F459CC">
        <w:t xml:space="preserve">budget holder </w:t>
      </w:r>
      <w:r w:rsidR="00FC7298">
        <w:t>training issues.</w:t>
      </w:r>
    </w:p>
    <w:p w14:paraId="67E998EB" w14:textId="77777777" w:rsidR="001170EA" w:rsidRDefault="001170EA" w:rsidP="001170EA">
      <w:pPr>
        <w:pStyle w:val="Style2"/>
        <w:numPr>
          <w:ilvl w:val="0"/>
          <w:numId w:val="0"/>
        </w:numPr>
        <w:ind w:left="1134"/>
      </w:pPr>
    </w:p>
    <w:p w14:paraId="7764C7D6" w14:textId="08C74813" w:rsidR="00FD3A69" w:rsidRDefault="001170EA" w:rsidP="00FD3A69">
      <w:pPr>
        <w:pStyle w:val="Style2"/>
      </w:pPr>
      <w:r>
        <w:t xml:space="preserve">Depending on the financial situation for the </w:t>
      </w:r>
      <w:r w:rsidR="007C1F78">
        <w:t xml:space="preserve">whole ICB or system a budget holder may be required to underspend at year end as a contribution to </w:t>
      </w:r>
      <w:r w:rsidR="005806EF">
        <w:t xml:space="preserve">meeting the required </w:t>
      </w:r>
      <w:r w:rsidR="008A6C91">
        <w:t xml:space="preserve">ICB </w:t>
      </w:r>
      <w:r w:rsidR="003C2EAA">
        <w:t xml:space="preserve">targets </w:t>
      </w:r>
      <w:r w:rsidR="008A6C91">
        <w:t xml:space="preserve">or </w:t>
      </w:r>
      <w:r w:rsidR="003C2EAA">
        <w:t xml:space="preserve">the </w:t>
      </w:r>
      <w:r w:rsidR="008A6C91">
        <w:t>system c</w:t>
      </w:r>
      <w:r w:rsidR="005806EF">
        <w:t xml:space="preserve">ontrol </w:t>
      </w:r>
      <w:r w:rsidR="008A6C91">
        <w:t>t</w:t>
      </w:r>
      <w:r w:rsidR="005806EF">
        <w:t xml:space="preserve">otal. </w:t>
      </w:r>
      <w:r w:rsidR="000900E2">
        <w:t>Budget holders will be responsible for delivering savings identified from within their delegated budgets</w:t>
      </w:r>
      <w:r w:rsidR="00FD3A69">
        <w:t xml:space="preserve">. </w:t>
      </w:r>
    </w:p>
    <w:p w14:paraId="54E52FBA" w14:textId="77777777" w:rsidR="00FD3A69" w:rsidRDefault="00FD3A69" w:rsidP="00FD3A69">
      <w:pPr>
        <w:pStyle w:val="Style2"/>
        <w:numPr>
          <w:ilvl w:val="0"/>
          <w:numId w:val="0"/>
        </w:numPr>
        <w:ind w:left="1134"/>
      </w:pPr>
    </w:p>
    <w:p w14:paraId="3D38FAFF" w14:textId="72FEA9F3" w:rsidR="00FD3A69" w:rsidRDefault="00FD3A69" w:rsidP="007C6167">
      <w:pPr>
        <w:pStyle w:val="Style2"/>
      </w:pPr>
      <w:r>
        <w:t xml:space="preserve">Brief notes of the key </w:t>
      </w:r>
      <w:r w:rsidR="00B546D8">
        <w:t>items discussed and agreed between finance business partner and budget holder should be recorded and accepted by the budget holder</w:t>
      </w:r>
      <w:r w:rsidR="007C6167">
        <w:t xml:space="preserve"> by email or physical sign off</w:t>
      </w:r>
      <w:r w:rsidR="00B546D8">
        <w:t>. These notes are to be</w:t>
      </w:r>
      <w:r w:rsidR="007C6167">
        <w:t xml:space="preserve"> retained as audit evidence.</w:t>
      </w:r>
      <w:r w:rsidR="00B546D8">
        <w:t xml:space="preserve"> </w:t>
      </w:r>
    </w:p>
    <w:p w14:paraId="5B45AD8F" w14:textId="77777777" w:rsidR="00297119" w:rsidRDefault="00297119" w:rsidP="00297119">
      <w:pPr>
        <w:pStyle w:val="Style2"/>
        <w:numPr>
          <w:ilvl w:val="0"/>
          <w:numId w:val="0"/>
        </w:numPr>
        <w:ind w:left="1134"/>
      </w:pPr>
    </w:p>
    <w:p w14:paraId="06ED5D9D" w14:textId="713C6A26" w:rsidR="001A107D" w:rsidRDefault="00457CFD" w:rsidP="001A107D">
      <w:pPr>
        <w:pStyle w:val="Style2"/>
      </w:pPr>
      <w:r>
        <w:t xml:space="preserve">Alliance Directors will be delegated budgets </w:t>
      </w:r>
      <w:r w:rsidR="00BE6EAD">
        <w:t xml:space="preserve">to deliver agreed local objectives. </w:t>
      </w:r>
      <w:r w:rsidR="006A6AAE">
        <w:t>Place based budget holders and budgets are subject to the same requirements as set out in this policy.</w:t>
      </w:r>
    </w:p>
    <w:p w14:paraId="1E38DFC5" w14:textId="617DF9C3" w:rsidR="001A107D" w:rsidRDefault="001A107D" w:rsidP="001A107D">
      <w:pPr>
        <w:pStyle w:val="Heading3"/>
      </w:pPr>
      <w:bookmarkStart w:id="30" w:name="_Toc171428721"/>
      <w:r>
        <w:t>Budget Virements</w:t>
      </w:r>
      <w:bookmarkEnd w:id="30"/>
    </w:p>
    <w:p w14:paraId="419E0F59" w14:textId="056038EE" w:rsidR="001B4A0D" w:rsidRDefault="00102684" w:rsidP="001B4A0D">
      <w:pPr>
        <w:pStyle w:val="Style2"/>
      </w:pPr>
      <w:r>
        <w:t xml:space="preserve">Budget virements are permitted </w:t>
      </w:r>
      <w:r w:rsidR="00E3604D">
        <w:t>to deal with additional allocations received during the financial year, to move budgets to better match spend</w:t>
      </w:r>
      <w:r w:rsidR="002E4AF6">
        <w:t xml:space="preserve">, coding classifications or budget holder responsibilities or where service changes mean that </w:t>
      </w:r>
      <w:r w:rsidR="001B4A0D">
        <w:t>a budget is reallocated to a different category of spend. They are also used to move funding out of reserves as it is required for investment or to meet cost pressures.</w:t>
      </w:r>
    </w:p>
    <w:p w14:paraId="5774BE54" w14:textId="77777777" w:rsidR="001B4A0D" w:rsidRDefault="001B4A0D" w:rsidP="001B4A0D">
      <w:pPr>
        <w:pStyle w:val="Style2"/>
        <w:numPr>
          <w:ilvl w:val="0"/>
          <w:numId w:val="0"/>
        </w:numPr>
        <w:ind w:left="1134"/>
      </w:pPr>
    </w:p>
    <w:p w14:paraId="05CC16D4" w14:textId="5F51E5E1" w:rsidR="00812A62" w:rsidRDefault="008D0B48" w:rsidP="00812A62">
      <w:pPr>
        <w:pStyle w:val="Style2"/>
      </w:pPr>
      <w:r>
        <w:t>Virements can be between two areas of a single budget holder’s responsibility</w:t>
      </w:r>
      <w:r w:rsidR="00565E47">
        <w:t xml:space="preserve"> or between two separate budget holders providing both budget holders agree. Virements can also be </w:t>
      </w:r>
      <w:r w:rsidR="003A4D99">
        <w:t xml:space="preserve">made on the instruction of the </w:t>
      </w:r>
      <w:r w:rsidR="00E96181">
        <w:t>Executive Chief Finance Officer</w:t>
      </w:r>
      <w:r w:rsidR="003A4D99">
        <w:t xml:space="preserve">. The reasons for, and agreement to, virements should be recorded </w:t>
      </w:r>
      <w:r w:rsidR="00812A62">
        <w:t>and virements must be identified as recurrent or non-recurrent.</w:t>
      </w:r>
    </w:p>
    <w:p w14:paraId="2BB62592" w14:textId="77777777" w:rsidR="00812A62" w:rsidRDefault="00812A62" w:rsidP="00812A62">
      <w:pPr>
        <w:pStyle w:val="Style2"/>
        <w:numPr>
          <w:ilvl w:val="0"/>
          <w:numId w:val="0"/>
        </w:numPr>
        <w:ind w:left="1134"/>
      </w:pPr>
    </w:p>
    <w:p w14:paraId="7C592AAB" w14:textId="2CDCE5A4" w:rsidR="00CA0BD6" w:rsidRDefault="00812A62" w:rsidP="00CA0BD6">
      <w:pPr>
        <w:pStyle w:val="Style2"/>
      </w:pPr>
      <w:r>
        <w:t xml:space="preserve">Non recurrent savings should not be vired to </w:t>
      </w:r>
      <w:r w:rsidR="0011749E">
        <w:t xml:space="preserve">meet recurrent expenditure as that commits the ICB to unfunded expenditure in future </w:t>
      </w:r>
      <w:r w:rsidR="007C6167">
        <w:t>years unless</w:t>
      </w:r>
      <w:r w:rsidR="0011749E">
        <w:t xml:space="preserve"> the </w:t>
      </w:r>
      <w:r w:rsidR="00E96181">
        <w:t xml:space="preserve">Executive Chief Finance Officer </w:t>
      </w:r>
      <w:r w:rsidR="0011749E">
        <w:t>authorises such action.</w:t>
      </w:r>
    </w:p>
    <w:p w14:paraId="6FCF3CB7" w14:textId="702ABC3B" w:rsidR="00CA0BD6" w:rsidRDefault="00CA0BD6" w:rsidP="00CA0BD6">
      <w:pPr>
        <w:pStyle w:val="Heading3"/>
        <w:rPr>
          <w:b w:val="0"/>
          <w:bCs/>
        </w:rPr>
      </w:pPr>
      <w:bookmarkStart w:id="31" w:name="_Toc171428722"/>
      <w:r>
        <w:lastRenderedPageBreak/>
        <w:t>Journal Good Practice</w:t>
      </w:r>
      <w:bookmarkEnd w:id="31"/>
    </w:p>
    <w:p w14:paraId="32841986" w14:textId="09916C4C" w:rsidR="00CA0BD6" w:rsidRDefault="005D1763" w:rsidP="00CA0BD6">
      <w:pPr>
        <w:pStyle w:val="Style2"/>
      </w:pPr>
      <w:r>
        <w:t xml:space="preserve">Journals should be prepared and input via the </w:t>
      </w:r>
      <w:r w:rsidR="00E66271">
        <w:t>Web ADI</w:t>
      </w:r>
      <w:r>
        <w:t xml:space="preserve"> functionality and </w:t>
      </w:r>
      <w:r w:rsidR="0023310B">
        <w:t xml:space="preserve">a </w:t>
      </w:r>
      <w:r>
        <w:t>list of sequential journal numbers retained.</w:t>
      </w:r>
      <w:r w:rsidR="00F35639">
        <w:t xml:space="preserve"> All journals </w:t>
      </w:r>
      <w:r w:rsidR="0023310B">
        <w:t>will</w:t>
      </w:r>
      <w:r w:rsidR="00F35639">
        <w:t xml:space="preserve"> be saved in a central finance location together with the workings and evidence for all journal entries</w:t>
      </w:r>
      <w:r w:rsidR="00A71CD0">
        <w:t>. The workings must tie up to the journal figures with readily identifiable links to the journal entries and evidence of the calculation method</w:t>
      </w:r>
      <w:r w:rsidR="003C45CF">
        <w:t>. All back up and evidence must be capable of standing up to audit scrutiny.</w:t>
      </w:r>
    </w:p>
    <w:p w14:paraId="3E90F54E" w14:textId="77777777" w:rsidR="003C45CF" w:rsidRDefault="003C45CF" w:rsidP="003C45CF">
      <w:pPr>
        <w:pStyle w:val="Style2"/>
        <w:numPr>
          <w:ilvl w:val="0"/>
          <w:numId w:val="0"/>
        </w:numPr>
        <w:ind w:left="1134"/>
      </w:pPr>
    </w:p>
    <w:p w14:paraId="680C8C58" w14:textId="26A8CDF6" w:rsidR="003C45CF" w:rsidRDefault="00397567" w:rsidP="00CA0BD6">
      <w:pPr>
        <w:pStyle w:val="Style2"/>
      </w:pPr>
      <w:r>
        <w:t>All journals should use the following naming convention:</w:t>
      </w:r>
    </w:p>
    <w:p w14:paraId="34F22472" w14:textId="1F53CED4" w:rsidR="00397567" w:rsidRDefault="004F2DBC" w:rsidP="00397567">
      <w:pPr>
        <w:pStyle w:val="ListParagraph"/>
      </w:pPr>
      <w:r>
        <w:t>Organisation code/Initials of journal owner/journal type/posting period</w:t>
      </w:r>
      <w:r w:rsidR="00514102">
        <w:t>.</w:t>
      </w:r>
    </w:p>
    <w:p w14:paraId="1774D69E" w14:textId="7B5F322B" w:rsidR="002110C0" w:rsidRDefault="002110C0" w:rsidP="002110C0">
      <w:pPr>
        <w:pStyle w:val="Style2"/>
      </w:pPr>
      <w:r>
        <w:t xml:space="preserve">All </w:t>
      </w:r>
      <w:r w:rsidR="007051AA">
        <w:t xml:space="preserve">accrual </w:t>
      </w:r>
      <w:r>
        <w:t>journals should use the following narrative convention.</w:t>
      </w:r>
    </w:p>
    <w:p w14:paraId="1251F275" w14:textId="0E1491DC" w:rsidR="002110C0" w:rsidRDefault="006D5E86" w:rsidP="006D5E86">
      <w:pPr>
        <w:pStyle w:val="ListParagraph"/>
      </w:pPr>
      <w:r>
        <w:t>Organisation code/Initials of journal owner/</w:t>
      </w:r>
      <w:r w:rsidR="009D63BC">
        <w:t>posting period/customer or supplier name/period of accrual/Invoice number if available/brief description</w:t>
      </w:r>
      <w:r w:rsidR="00514102">
        <w:t>.</w:t>
      </w:r>
    </w:p>
    <w:p w14:paraId="462C70AD" w14:textId="1F0753C0" w:rsidR="007051AA" w:rsidRDefault="007051AA" w:rsidP="007051AA">
      <w:pPr>
        <w:pStyle w:val="Style2"/>
      </w:pPr>
      <w:r>
        <w:t>All virement and adjustment journals should follow the above narrative convention as far as practical.</w:t>
      </w:r>
    </w:p>
    <w:p w14:paraId="7724AEAF" w14:textId="77777777" w:rsidR="00D11189" w:rsidRDefault="00D11189" w:rsidP="00D11189">
      <w:pPr>
        <w:pStyle w:val="Style2"/>
        <w:numPr>
          <w:ilvl w:val="0"/>
          <w:numId w:val="0"/>
        </w:numPr>
        <w:ind w:left="1134"/>
      </w:pPr>
    </w:p>
    <w:p w14:paraId="48F96041" w14:textId="1DBC7F74" w:rsidR="00F04506" w:rsidRDefault="00D11189" w:rsidP="00F04506">
      <w:pPr>
        <w:pStyle w:val="Style2"/>
      </w:pPr>
      <w:r>
        <w:t>All accrual journals should be reversed following each month end and new accruals input for the following month end.</w:t>
      </w:r>
    </w:p>
    <w:p w14:paraId="3DC851DD" w14:textId="77777777" w:rsidR="00F04506" w:rsidRDefault="00F04506" w:rsidP="00F04506">
      <w:pPr>
        <w:pStyle w:val="Style2"/>
        <w:numPr>
          <w:ilvl w:val="0"/>
          <w:numId w:val="0"/>
        </w:numPr>
        <w:ind w:left="1134"/>
      </w:pPr>
    </w:p>
    <w:p w14:paraId="62455A20" w14:textId="1D48AE85" w:rsidR="002F21DC" w:rsidRDefault="005E4016" w:rsidP="002F21DC">
      <w:pPr>
        <w:pStyle w:val="Style2"/>
      </w:pPr>
      <w:r>
        <w:t xml:space="preserve">Estimates of accruals and prepayments should be based on </w:t>
      </w:r>
      <w:r w:rsidR="007C05EA">
        <w:t>available information</w:t>
      </w:r>
      <w:r>
        <w:t xml:space="preserve"> wherever possible. Where </w:t>
      </w:r>
      <w:r w:rsidR="007C05EA">
        <w:t xml:space="preserve">an invoice or purchase order is not available to inform the amount of the accrual or prepayment then estimates should be </w:t>
      </w:r>
      <w:r w:rsidR="00667322">
        <w:t xml:space="preserve">based on conversations with the relevant budget holder, </w:t>
      </w:r>
      <w:r w:rsidR="005E7CD2">
        <w:t xml:space="preserve">on trends of expenditure or income in the year to date and by reviewing the forecast outturn from the previous financial year. It is important that accruals are not </w:t>
      </w:r>
      <w:r w:rsidR="00930D98">
        <w:t xml:space="preserve">rolled forward without consideration of any changes </w:t>
      </w:r>
      <w:r w:rsidR="00E057B6">
        <w:t xml:space="preserve">in the service and that careful review of </w:t>
      </w:r>
      <w:r w:rsidR="00783A55">
        <w:t xml:space="preserve">possible coding errors has been </w:t>
      </w:r>
      <w:r w:rsidR="009E79EF">
        <w:t>considered</w:t>
      </w:r>
      <w:r w:rsidR="00783A55">
        <w:t xml:space="preserve"> to assess if </w:t>
      </w:r>
      <w:r w:rsidR="009E29BA">
        <w:t>costs have already been accounted for elsewhere in the ledger.</w:t>
      </w:r>
    </w:p>
    <w:p w14:paraId="2BF7F381" w14:textId="77777777" w:rsidR="002F21DC" w:rsidRDefault="002F21DC" w:rsidP="002F21DC">
      <w:pPr>
        <w:pStyle w:val="Style2"/>
        <w:numPr>
          <w:ilvl w:val="0"/>
          <w:numId w:val="0"/>
        </w:numPr>
        <w:ind w:left="1134"/>
      </w:pPr>
    </w:p>
    <w:p w14:paraId="22BA9A9B" w14:textId="75C38799" w:rsidR="00BE2933" w:rsidRDefault="002F21DC" w:rsidP="00BE2933">
      <w:pPr>
        <w:pStyle w:val="Style2"/>
      </w:pPr>
      <w:r>
        <w:t xml:space="preserve">All estimates and judgements must be fully supported by working papers </w:t>
      </w:r>
      <w:r w:rsidR="00B104B0">
        <w:t>which include the basis and assumptions made</w:t>
      </w:r>
      <w:r w:rsidR="00851AD1">
        <w:t xml:space="preserve"> which are in-line with the ICB’s accounting policies. </w:t>
      </w:r>
      <w:r w:rsidR="00B11C39">
        <w:t xml:space="preserve">Third party </w:t>
      </w:r>
      <w:r w:rsidR="00CE7426">
        <w:t>confirmation</w:t>
      </w:r>
      <w:r w:rsidR="00B11C39">
        <w:t xml:space="preserve"> is the best form of</w:t>
      </w:r>
      <w:r w:rsidR="00CE7426">
        <w:t xml:space="preserve"> evidence but if this is not available then the working paper should state the </w:t>
      </w:r>
      <w:r w:rsidR="00DA35F6">
        <w:t>assumptions and basis of calculation and</w:t>
      </w:r>
      <w:r w:rsidR="00E44B22">
        <w:t>/or</w:t>
      </w:r>
      <w:r w:rsidR="00DA35F6">
        <w:t xml:space="preserve"> the name of the budget holder who has informed the </w:t>
      </w:r>
      <w:r w:rsidR="00E44B22">
        <w:t>decision.</w:t>
      </w:r>
    </w:p>
    <w:p w14:paraId="3F11A382" w14:textId="77777777" w:rsidR="00BE2933" w:rsidRDefault="00BE2933" w:rsidP="00BE2933">
      <w:pPr>
        <w:pStyle w:val="Style2"/>
        <w:numPr>
          <w:ilvl w:val="0"/>
          <w:numId w:val="0"/>
        </w:numPr>
        <w:ind w:left="1134"/>
      </w:pPr>
    </w:p>
    <w:p w14:paraId="72B5FD5E" w14:textId="1F4DBA7E" w:rsidR="008B4888" w:rsidRDefault="00C5227E" w:rsidP="008B4888">
      <w:pPr>
        <w:pStyle w:val="Style2"/>
      </w:pPr>
      <w:r>
        <w:t>I</w:t>
      </w:r>
      <w:r w:rsidR="00BE2933">
        <w:t>ncome should only be</w:t>
      </w:r>
      <w:r>
        <w:t xml:space="preserve"> deferred where there is documentary evidence that </w:t>
      </w:r>
      <w:r w:rsidR="00F0106D">
        <w:t>cash has been received that relates to goods or services that will be receive</w:t>
      </w:r>
      <w:r w:rsidR="00A6641E">
        <w:t>d</w:t>
      </w:r>
      <w:r w:rsidR="00F0106D">
        <w:t xml:space="preserve"> in a future period.</w:t>
      </w:r>
      <w:r w:rsidR="009F5B63">
        <w:t xml:space="preserve"> Outstanding sales invoices that relate to a future period should be journaled to debtors and not to deferred income.</w:t>
      </w:r>
    </w:p>
    <w:p w14:paraId="047AB673" w14:textId="77777777" w:rsidR="008B4888" w:rsidRDefault="008B4888" w:rsidP="008B4888">
      <w:pPr>
        <w:pStyle w:val="Style2"/>
        <w:numPr>
          <w:ilvl w:val="0"/>
          <w:numId w:val="0"/>
        </w:numPr>
        <w:ind w:left="1134"/>
      </w:pPr>
    </w:p>
    <w:p w14:paraId="50418BA3" w14:textId="3D8D385D" w:rsidR="00711731" w:rsidRDefault="00C40CCD" w:rsidP="00711731">
      <w:pPr>
        <w:pStyle w:val="Style2"/>
      </w:pPr>
      <w:r>
        <w:t xml:space="preserve">A payment should only be accounted for as a prepayment where there is documentary evidence </w:t>
      </w:r>
      <w:r w:rsidR="00AB29D4">
        <w:t xml:space="preserve">that the payment has been made in advance of goods or services being received. If an invoice has been accrued but not paid </w:t>
      </w:r>
      <w:r w:rsidR="00E73DB7">
        <w:t>the accrual should be reversed.</w:t>
      </w:r>
    </w:p>
    <w:p w14:paraId="6DB81C4D" w14:textId="77777777" w:rsidR="000A14BA" w:rsidRDefault="000A14BA" w:rsidP="000A14BA">
      <w:pPr>
        <w:pStyle w:val="Style2"/>
        <w:numPr>
          <w:ilvl w:val="0"/>
          <w:numId w:val="0"/>
        </w:numPr>
        <w:ind w:left="1134"/>
      </w:pPr>
    </w:p>
    <w:p w14:paraId="1473E7B8" w14:textId="2020281A" w:rsidR="000A14BA" w:rsidRDefault="00C97540" w:rsidP="00711731">
      <w:pPr>
        <w:pStyle w:val="Style2"/>
      </w:pPr>
      <w:r>
        <w:t>Provisions are recognised in line with the requirements of I</w:t>
      </w:r>
      <w:r w:rsidR="0003303F">
        <w:t xml:space="preserve">nternational </w:t>
      </w:r>
      <w:r>
        <w:t>A</w:t>
      </w:r>
      <w:r w:rsidR="0003303F">
        <w:t xml:space="preserve">ccounting </w:t>
      </w:r>
      <w:r>
        <w:t>S</w:t>
      </w:r>
      <w:r w:rsidR="0003303F">
        <w:t xml:space="preserve">tandard (IAS) </w:t>
      </w:r>
      <w:r>
        <w:t>37</w:t>
      </w:r>
      <w:r w:rsidR="00927F01">
        <w:t xml:space="preserve"> and represent the best estimate of expenditure required to settle a present obligation. A provision should only be recognised if a present obligation has arisen </w:t>
      </w:r>
      <w:r w:rsidR="00772D5F">
        <w:t>because of</w:t>
      </w:r>
      <w:r w:rsidR="00927F01">
        <w:t xml:space="preserve"> a past event, payment is probable (more likely than not</w:t>
      </w:r>
      <w:r w:rsidR="007B26CD">
        <w:t>),</w:t>
      </w:r>
      <w:r w:rsidR="00927F01">
        <w:t xml:space="preserve"> and the amount can be estimated reliably. Working papers for provisions must set out the justification against these three criteria </w:t>
      </w:r>
      <w:r w:rsidR="00772D5F">
        <w:t>for external audit review.</w:t>
      </w:r>
    </w:p>
    <w:p w14:paraId="194AF88E" w14:textId="30A0B4BE" w:rsidR="00B72F0B" w:rsidRDefault="00BE2933" w:rsidP="00B72F0B">
      <w:pPr>
        <w:pStyle w:val="Style2"/>
        <w:numPr>
          <w:ilvl w:val="0"/>
          <w:numId w:val="0"/>
        </w:numPr>
        <w:ind w:left="1134"/>
      </w:pPr>
      <w:r>
        <w:t xml:space="preserve"> </w:t>
      </w:r>
    </w:p>
    <w:p w14:paraId="767DC442" w14:textId="2E8CC75D" w:rsidR="00D20FB4" w:rsidRDefault="00B72F0B" w:rsidP="00565ACD">
      <w:pPr>
        <w:pStyle w:val="Style2"/>
      </w:pPr>
      <w:r>
        <w:t xml:space="preserve">To maintain segregation of duties it is important that a single individual does not authorise and prepare the same journal. </w:t>
      </w:r>
      <w:r w:rsidR="00CF0BB3">
        <w:t xml:space="preserve">There is no inherent control in ISFE to prevent this happening so access controls should be set up to ensure that </w:t>
      </w:r>
      <w:r w:rsidR="00242951">
        <w:t xml:space="preserve">individuals who prepare journals do not have rights to authorise journals. If this cannot be </w:t>
      </w:r>
      <w:r w:rsidR="00AD7F1A">
        <w:t>achieved,</w:t>
      </w:r>
      <w:r w:rsidR="00242951">
        <w:t xml:space="preserve"> then </w:t>
      </w:r>
      <w:r w:rsidR="00853391">
        <w:t>journal preparers must forward their journals electronically to a separate authoriser.</w:t>
      </w:r>
    </w:p>
    <w:p w14:paraId="25D864E2" w14:textId="183F89F0" w:rsidR="00565ACD" w:rsidRDefault="007C196D" w:rsidP="00565ACD">
      <w:pPr>
        <w:pStyle w:val="Heading3"/>
      </w:pPr>
      <w:bookmarkStart w:id="32" w:name="_Toc171428723"/>
      <w:r>
        <w:t>Delegation of Authority</w:t>
      </w:r>
      <w:bookmarkEnd w:id="32"/>
    </w:p>
    <w:p w14:paraId="589B8B16" w14:textId="6A1B0017" w:rsidR="007C196D" w:rsidRDefault="007C196D" w:rsidP="007C196D">
      <w:pPr>
        <w:pStyle w:val="Style2"/>
      </w:pPr>
      <w:r>
        <w:t xml:space="preserve">An important aspect of </w:t>
      </w:r>
      <w:r w:rsidR="008B6EC9">
        <w:t xml:space="preserve">internal financial control is ensuring that </w:t>
      </w:r>
      <w:r w:rsidR="009049D6">
        <w:t>ther</w:t>
      </w:r>
      <w:r w:rsidR="001C20FF">
        <w:t xml:space="preserve">e are sufficient controls in place to assure the Board that all expenditure is appropriately authorised. </w:t>
      </w:r>
      <w:r w:rsidR="0096584F">
        <w:t xml:space="preserve">Delegation of Authority forms are </w:t>
      </w:r>
      <w:r w:rsidR="00B85FC4">
        <w:t>completed</w:t>
      </w:r>
      <w:r w:rsidR="0096584F">
        <w:t xml:space="preserve"> which record the amount of expenditure </w:t>
      </w:r>
      <w:r w:rsidR="00B85FC4">
        <w:t xml:space="preserve">that an individual can commit the organisation to </w:t>
      </w:r>
      <w:r w:rsidR="00295EA6">
        <w:t xml:space="preserve">within their areas of responsibility and within their available budget. </w:t>
      </w:r>
    </w:p>
    <w:p w14:paraId="28DF5BB5" w14:textId="77777777" w:rsidR="007331B5" w:rsidRDefault="007331B5" w:rsidP="007331B5">
      <w:pPr>
        <w:pStyle w:val="Style2"/>
        <w:numPr>
          <w:ilvl w:val="0"/>
          <w:numId w:val="0"/>
        </w:numPr>
        <w:ind w:left="1134"/>
      </w:pPr>
    </w:p>
    <w:p w14:paraId="07408D33" w14:textId="276CACB4" w:rsidR="0063085D" w:rsidRDefault="007331B5" w:rsidP="0063085D">
      <w:pPr>
        <w:pStyle w:val="Style2"/>
      </w:pPr>
      <w:r>
        <w:t xml:space="preserve">The </w:t>
      </w:r>
      <w:r w:rsidR="006B2118">
        <w:t>schedule of d</w:t>
      </w:r>
      <w:r>
        <w:t xml:space="preserve">etailed </w:t>
      </w:r>
      <w:r w:rsidR="006B2118">
        <w:t>delegated financial limits</w:t>
      </w:r>
      <w:r>
        <w:t xml:space="preserve"> sets out the maximum limits that </w:t>
      </w:r>
      <w:r w:rsidR="00926BF1">
        <w:t xml:space="preserve">Directors and </w:t>
      </w:r>
      <w:r w:rsidR="00686429">
        <w:t>b</w:t>
      </w:r>
      <w:r w:rsidR="00926BF1">
        <w:t xml:space="preserve">udget </w:t>
      </w:r>
      <w:r w:rsidR="00686429">
        <w:t>h</w:t>
      </w:r>
      <w:r w:rsidR="00926BF1">
        <w:t>olders can be delegated depending on their level of seniority</w:t>
      </w:r>
      <w:r w:rsidR="00EF447A">
        <w:t xml:space="preserve">. However delegated limits should only be as high as the type and value of an individual budget holder’s </w:t>
      </w:r>
      <w:r w:rsidR="0063085D">
        <w:t>expenditure requires and should be reviewed on at least an annual basis.</w:t>
      </w:r>
    </w:p>
    <w:p w14:paraId="3575E78B" w14:textId="77777777" w:rsidR="0063085D" w:rsidRDefault="0063085D" w:rsidP="0063085D">
      <w:pPr>
        <w:pStyle w:val="Style2"/>
        <w:numPr>
          <w:ilvl w:val="0"/>
          <w:numId w:val="0"/>
        </w:numPr>
        <w:ind w:left="1134"/>
      </w:pPr>
    </w:p>
    <w:p w14:paraId="3EE03C2E" w14:textId="53A9195F" w:rsidR="0064352A" w:rsidRDefault="00384731" w:rsidP="0064352A">
      <w:pPr>
        <w:pStyle w:val="Style2"/>
      </w:pPr>
      <w:r>
        <w:t xml:space="preserve">The ISFE system does not allow for an individual’s authorisation limit to be </w:t>
      </w:r>
      <w:r w:rsidR="00650212">
        <w:t>restric</w:t>
      </w:r>
      <w:r>
        <w:t>ted to relevant cost centres or expenditure codes.</w:t>
      </w:r>
      <w:r w:rsidR="00650212">
        <w:t xml:space="preserve"> These codes will be detailed on the Delegation of Authority form and it is important that budget holders do not </w:t>
      </w:r>
      <w:r w:rsidR="005B6FA2">
        <w:t>authorise expenditure either above their financial limit or against codes that are not listed on their Delegation of Authority form.</w:t>
      </w:r>
      <w:r w:rsidR="0025112B">
        <w:t xml:space="preserve"> Budget holders must also </w:t>
      </w:r>
      <w:r w:rsidR="004F46FC">
        <w:t xml:space="preserve">understand their delegation limit for different types of expenditure </w:t>
      </w:r>
      <w:r w:rsidR="001F0F28">
        <w:t xml:space="preserve">as set out on the Delegation of Authority form </w:t>
      </w:r>
      <w:r w:rsidR="00DA69EF">
        <w:t xml:space="preserve">(for example they may have a higher limit for signing purchase orders or invoices for contractual values than for goods or services </w:t>
      </w:r>
      <w:r w:rsidR="001F0F28">
        <w:t>that are not supported by signed contracts)</w:t>
      </w:r>
      <w:r w:rsidR="0064352A">
        <w:t xml:space="preserve"> and ensure that they do not exceed any of these values.</w:t>
      </w:r>
    </w:p>
    <w:p w14:paraId="1B02360C" w14:textId="77777777" w:rsidR="0064352A" w:rsidRDefault="0064352A" w:rsidP="0064352A">
      <w:pPr>
        <w:pStyle w:val="Style2"/>
        <w:numPr>
          <w:ilvl w:val="0"/>
          <w:numId w:val="0"/>
        </w:numPr>
        <w:ind w:left="1134"/>
      </w:pPr>
    </w:p>
    <w:p w14:paraId="421729F8" w14:textId="6442A6B5" w:rsidR="00C358D0" w:rsidRDefault="0064352A" w:rsidP="00C358D0">
      <w:pPr>
        <w:pStyle w:val="Style2"/>
      </w:pPr>
      <w:r>
        <w:t xml:space="preserve">Delegation of Authority forms are </w:t>
      </w:r>
      <w:r w:rsidR="00C80F43">
        <w:t xml:space="preserve">authorised by an individual’s Director </w:t>
      </w:r>
      <w:r w:rsidR="0011796C">
        <w:t xml:space="preserve">and the financial </w:t>
      </w:r>
      <w:r w:rsidR="00766C88">
        <w:t>services team</w:t>
      </w:r>
      <w:r w:rsidR="0011796C">
        <w:t xml:space="preserve"> will update the details on Oracle. The signed form is </w:t>
      </w:r>
      <w:r w:rsidR="00415057">
        <w:t xml:space="preserve">stored within the finance drives and copies are forwarded to the </w:t>
      </w:r>
      <w:r w:rsidR="00BE4BEB">
        <w:t>procurement department, the HR department and the payroll provider as required.</w:t>
      </w:r>
    </w:p>
    <w:p w14:paraId="447CD18D" w14:textId="77777777" w:rsidR="00C358D0" w:rsidRDefault="00C358D0" w:rsidP="00C358D0">
      <w:pPr>
        <w:pStyle w:val="Style2"/>
        <w:numPr>
          <w:ilvl w:val="0"/>
          <w:numId w:val="0"/>
        </w:numPr>
      </w:pPr>
    </w:p>
    <w:p w14:paraId="2CFCC4EE" w14:textId="17844092" w:rsidR="00C76ACB" w:rsidRDefault="00C358D0" w:rsidP="00C76ACB">
      <w:pPr>
        <w:pStyle w:val="Style2"/>
      </w:pPr>
      <w:r>
        <w:t xml:space="preserve">Budget holders and their line managers are responsible for notifying the finance department </w:t>
      </w:r>
      <w:r w:rsidR="008556FD">
        <w:t>of leavers or changes in budget holder responsibilities</w:t>
      </w:r>
      <w:r w:rsidR="009431B0">
        <w:t>. N</w:t>
      </w:r>
      <w:r w:rsidR="008556FD">
        <w:t xml:space="preserve">ew Delegation of Authority forms should be completed unless changes are minor </w:t>
      </w:r>
      <w:r w:rsidR="00AA5A57">
        <w:t xml:space="preserve">and signed by </w:t>
      </w:r>
      <w:r w:rsidR="00896FF0">
        <w:t>a senior financial services officer</w:t>
      </w:r>
      <w:r w:rsidR="00AA5A57">
        <w:t xml:space="preserve">. </w:t>
      </w:r>
      <w:r w:rsidR="009431B0">
        <w:t>Care</w:t>
      </w:r>
      <w:r w:rsidR="00AA5A57">
        <w:t xml:space="preserve"> should be taken to delete access for budget holders who leave the organisation or cease to have responsibility for budget areas.</w:t>
      </w:r>
      <w:r w:rsidR="002715C0">
        <w:t xml:space="preserve"> The authorised signatory lists and limits on Oracle are regularly reviewed by the financ</w:t>
      </w:r>
      <w:r w:rsidR="00896FF0">
        <w:t>ial services</w:t>
      </w:r>
      <w:r w:rsidR="002715C0">
        <w:t xml:space="preserve"> team (at least quarterly) and formally reviewed by </w:t>
      </w:r>
      <w:r w:rsidR="00A1536F">
        <w:t xml:space="preserve">Finance Business Partners and Budget Holders </w:t>
      </w:r>
      <w:r w:rsidR="003A5B3B">
        <w:t>on an annual basis.</w:t>
      </w:r>
    </w:p>
    <w:p w14:paraId="3B259CCA" w14:textId="77777777" w:rsidR="00C76ACB" w:rsidRDefault="00C76ACB" w:rsidP="00C76ACB">
      <w:pPr>
        <w:pStyle w:val="Style2"/>
        <w:numPr>
          <w:ilvl w:val="0"/>
          <w:numId w:val="0"/>
        </w:numPr>
        <w:ind w:left="1134"/>
      </w:pPr>
    </w:p>
    <w:p w14:paraId="4F35DC43" w14:textId="6B2FA174" w:rsidR="008745D0" w:rsidRPr="00284367" w:rsidRDefault="00C76ACB" w:rsidP="008745D0">
      <w:pPr>
        <w:pStyle w:val="Style2"/>
      </w:pPr>
      <w:r w:rsidRPr="005440EA">
        <w:t>S</w:t>
      </w:r>
      <w:r>
        <w:t xml:space="preserve">ubmitting a falsified payment is a potential offence under the Fraud Act (2006). If a staff member believes or suspects that a fraudulent payment has been </w:t>
      </w:r>
      <w:r w:rsidR="00A07A5E">
        <w:t>processed,</w:t>
      </w:r>
      <w:r>
        <w:t xml:space="preserve"> he/she should con</w:t>
      </w:r>
      <w:r w:rsidR="009140A9">
        <w:t>sult the ICB Counter Fraud</w:t>
      </w:r>
      <w:r w:rsidR="008E7B3E">
        <w:t>, Bribery</w:t>
      </w:r>
      <w:r w:rsidR="005E7AE0">
        <w:t xml:space="preserve"> and Corruption</w:t>
      </w:r>
      <w:r w:rsidR="009140A9">
        <w:t xml:space="preserve"> Policy and contact</w:t>
      </w:r>
      <w:r w:rsidR="00A07A5E">
        <w:t xml:space="preserve"> </w:t>
      </w:r>
      <w:r w:rsidRPr="00284367">
        <w:t xml:space="preserve">the </w:t>
      </w:r>
      <w:r w:rsidR="00874756">
        <w:t>ICB</w:t>
      </w:r>
      <w:r w:rsidRPr="00284367">
        <w:t>’s Local Counter Fraud Specialist (</w:t>
      </w:r>
      <w:bookmarkStart w:id="33" w:name="_Hlk170914203"/>
      <w:bookmarkStart w:id="34" w:name="_Hlk170914802"/>
      <w:r w:rsidR="00A1536F" w:rsidRPr="00A1536F">
        <w:t>Hannah Wenlock</w:t>
      </w:r>
      <w:r w:rsidR="00A1536F">
        <w:t xml:space="preserve"> - </w:t>
      </w:r>
      <w:r w:rsidR="00A1536F" w:rsidRPr="00A1536F">
        <w:t>hannah.wenlock@</w:t>
      </w:r>
      <w:r w:rsidR="00A1536F">
        <w:t>nhs.net</w:t>
      </w:r>
      <w:bookmarkEnd w:id="33"/>
      <w:r w:rsidR="00A07A5E">
        <w:t>)</w:t>
      </w:r>
      <w:r w:rsidRPr="00284367">
        <w:t xml:space="preserve">. </w:t>
      </w:r>
      <w:bookmarkEnd w:id="34"/>
      <w:r w:rsidRPr="00284367">
        <w:t xml:space="preserve">The </w:t>
      </w:r>
      <w:r w:rsidR="005E7AE0" w:rsidRPr="00284367">
        <w:t>ICB</w:t>
      </w:r>
      <w:r w:rsidRPr="00284367">
        <w:t xml:space="preserve">’s </w:t>
      </w:r>
      <w:r w:rsidR="005E7AE0" w:rsidRPr="00284367">
        <w:t>Counter</w:t>
      </w:r>
      <w:r w:rsidR="009B696C">
        <w:t xml:space="preserve"> </w:t>
      </w:r>
      <w:r w:rsidRPr="00284367">
        <w:t>Fraud, Bribery &amp; Corruption Policy provides more guidance on what to do if fraud is suspected and offers alternative contacts for reporting concerns.</w:t>
      </w:r>
      <w:r w:rsidR="00D05302" w:rsidRPr="00284367">
        <w:t xml:space="preserve"> </w:t>
      </w:r>
    </w:p>
    <w:p w14:paraId="255BD638" w14:textId="77777777" w:rsidR="008745D0" w:rsidRPr="008745D0" w:rsidRDefault="008745D0" w:rsidP="008745D0">
      <w:pPr>
        <w:pStyle w:val="Style2"/>
        <w:numPr>
          <w:ilvl w:val="0"/>
          <w:numId w:val="0"/>
        </w:numPr>
        <w:ind w:left="1134"/>
      </w:pPr>
    </w:p>
    <w:p w14:paraId="266A3E1F" w14:textId="6C8B48CF" w:rsidR="000B2A56" w:rsidRDefault="009D0CDA" w:rsidP="000B2A56">
      <w:pPr>
        <w:pStyle w:val="Style2"/>
      </w:pPr>
      <w:r>
        <w:t xml:space="preserve">Authorised signatories do not have the authority to delegate the use of their authority. Therefore, personal </w:t>
      </w:r>
      <w:r w:rsidR="0088684E">
        <w:t xml:space="preserve">or executive </w:t>
      </w:r>
      <w:r>
        <w:t xml:space="preserve">assistants or colleagues cannot be delegated to apply the authorised signature. If a personal assistant or colleague applies the authorised signatory’s signature on their behalf, documentary evidence of the request by the authorised signatory </w:t>
      </w:r>
      <w:r w:rsidR="005758B7">
        <w:t xml:space="preserve">for the specific transaction </w:t>
      </w:r>
      <w:r>
        <w:t>must be retained for audit purposes.</w:t>
      </w:r>
    </w:p>
    <w:p w14:paraId="596C2F95" w14:textId="2D2F2412" w:rsidR="000B2A56" w:rsidRDefault="00373D42" w:rsidP="000B2A56">
      <w:pPr>
        <w:pStyle w:val="Heading3"/>
      </w:pPr>
      <w:bookmarkStart w:id="35" w:name="_Toc171428724"/>
      <w:r>
        <w:t>Control Accounts</w:t>
      </w:r>
      <w:bookmarkEnd w:id="35"/>
    </w:p>
    <w:p w14:paraId="70024122" w14:textId="690343F0" w:rsidR="00373D42" w:rsidRPr="007262CB" w:rsidRDefault="00E37EC1" w:rsidP="00D47237">
      <w:pPr>
        <w:pStyle w:val="Style2"/>
      </w:pPr>
      <w:r w:rsidRPr="007262CB">
        <w:t>The financ</w:t>
      </w:r>
      <w:r w:rsidR="00796A28" w:rsidRPr="007262CB">
        <w:t>ial services</w:t>
      </w:r>
      <w:r w:rsidRPr="007262CB">
        <w:t xml:space="preserve"> team will reconcile and clear all control</w:t>
      </w:r>
      <w:r w:rsidR="00C63E08">
        <w:t>/suspense</w:t>
      </w:r>
      <w:r w:rsidRPr="007262CB">
        <w:t xml:space="preserve"> accounts</w:t>
      </w:r>
      <w:r w:rsidR="00382A89" w:rsidRPr="007262CB">
        <w:t>, u</w:t>
      </w:r>
      <w:r w:rsidR="00382A89">
        <w:t>sually</w:t>
      </w:r>
      <w:r>
        <w:t xml:space="preserve"> </w:t>
      </w:r>
      <w:r w:rsidR="00382A89">
        <w:t>monthly,</w:t>
      </w:r>
      <w:r>
        <w:t xml:space="preserve"> and </w:t>
      </w:r>
      <w:r w:rsidR="006B58F1">
        <w:t xml:space="preserve">reconciliations should be authorised by a senior </w:t>
      </w:r>
      <w:r w:rsidR="00CF77C2">
        <w:t>financial services officer</w:t>
      </w:r>
      <w:r w:rsidR="006B58F1">
        <w:t>. Evidence of authorisation must be retained for audit purposes.</w:t>
      </w:r>
      <w:r w:rsidR="006B5107">
        <w:t xml:space="preserve"> </w:t>
      </w:r>
      <w:r w:rsidR="006B5107" w:rsidRPr="007262CB">
        <w:t>A list of</w:t>
      </w:r>
      <w:r w:rsidR="00382A89" w:rsidRPr="007262CB">
        <w:t xml:space="preserve"> </w:t>
      </w:r>
      <w:r w:rsidR="006B5107" w:rsidRPr="007262CB">
        <w:t xml:space="preserve">control accounts </w:t>
      </w:r>
      <w:r w:rsidR="00382A89" w:rsidRPr="007262CB">
        <w:t>and the frequency of reconciliation is retained and maintained by the</w:t>
      </w:r>
      <w:r w:rsidR="00A1536F">
        <w:t xml:space="preserve"> Senior Financial Accountant</w:t>
      </w:r>
      <w:r w:rsidR="00C63E08">
        <w:t>.</w:t>
      </w:r>
    </w:p>
    <w:p w14:paraId="5D4F81E5" w14:textId="7B15DE6F" w:rsidR="00A54E8D" w:rsidRPr="00284367" w:rsidRDefault="00796A28" w:rsidP="00796A28">
      <w:pPr>
        <w:pStyle w:val="Heading3"/>
      </w:pPr>
      <w:bookmarkStart w:id="36" w:name="_Toc171428725"/>
      <w:r w:rsidRPr="00284367">
        <w:t>Closing Old Year and Opening New Year Balances</w:t>
      </w:r>
      <w:bookmarkEnd w:id="36"/>
    </w:p>
    <w:p w14:paraId="11034B3A" w14:textId="39E7E669" w:rsidR="00796A28" w:rsidRPr="0033682D" w:rsidRDefault="00C91BF8" w:rsidP="00512AE2">
      <w:pPr>
        <w:pStyle w:val="Style2"/>
      </w:pPr>
      <w:r w:rsidRPr="00284367">
        <w:t xml:space="preserve">The financial services team will check that </w:t>
      </w:r>
      <w:r w:rsidR="00CA4933" w:rsidRPr="00284367">
        <w:t xml:space="preserve">all opening balances accurately reflect the final </w:t>
      </w:r>
      <w:r w:rsidR="00C51DD7">
        <w:t xml:space="preserve">audited </w:t>
      </w:r>
      <w:r w:rsidR="00CA4933" w:rsidRPr="00284367">
        <w:t>closing balances</w:t>
      </w:r>
      <w:r w:rsidR="00B25B7D" w:rsidRPr="00284367">
        <w:t xml:space="preserve"> from the previous year.</w:t>
      </w:r>
    </w:p>
    <w:p w14:paraId="07090CBF" w14:textId="0516D9AE" w:rsidR="00452C4C" w:rsidRDefault="00452C4C" w:rsidP="00452C4C">
      <w:pPr>
        <w:pStyle w:val="Heading3"/>
      </w:pPr>
      <w:bookmarkStart w:id="37" w:name="_Toc171428726"/>
      <w:r>
        <w:lastRenderedPageBreak/>
        <w:t>Losses and Special Payments</w:t>
      </w:r>
      <w:bookmarkEnd w:id="37"/>
    </w:p>
    <w:p w14:paraId="58A98AFA" w14:textId="2DEA044D" w:rsidR="004731D5" w:rsidRDefault="004731D5" w:rsidP="004731D5">
      <w:pPr>
        <w:pStyle w:val="Style2"/>
      </w:pPr>
      <w:r>
        <w:t xml:space="preserve">Losses and special payments are items of expenditure that </w:t>
      </w:r>
      <w:r w:rsidR="00BB362F">
        <w:t xml:space="preserve">Parliament would not have contemplated when it agreed funding for the NHS. </w:t>
      </w:r>
      <w:r w:rsidR="00AA4367">
        <w:t>By their nature they are items that ideally should not arise.</w:t>
      </w:r>
      <w:r w:rsidR="009E69FE">
        <w:t xml:space="preserve"> Section 10 of the Standing Financial Instructions </w:t>
      </w:r>
      <w:r w:rsidR="00E4579E">
        <w:t>define</w:t>
      </w:r>
      <w:r w:rsidR="00411091">
        <w:t>s</w:t>
      </w:r>
      <w:r w:rsidR="00E4579E">
        <w:t xml:space="preserve"> the framework within which the ICB deals with these issues.</w:t>
      </w:r>
    </w:p>
    <w:p w14:paraId="5DF88FBA" w14:textId="77777777" w:rsidR="0094014E" w:rsidRDefault="0094014E" w:rsidP="0094014E">
      <w:pPr>
        <w:pStyle w:val="Style2"/>
        <w:numPr>
          <w:ilvl w:val="0"/>
          <w:numId w:val="0"/>
        </w:numPr>
        <w:ind w:left="1134"/>
      </w:pPr>
    </w:p>
    <w:p w14:paraId="255B51A0" w14:textId="55888E84" w:rsidR="007F3C92" w:rsidRDefault="0094014E" w:rsidP="007F3C92">
      <w:pPr>
        <w:pStyle w:val="Style2"/>
      </w:pPr>
      <w:r>
        <w:t xml:space="preserve">HM Treasury approval is required </w:t>
      </w:r>
      <w:r w:rsidR="00EE75C8">
        <w:t xml:space="preserve">if the transaction exceeds delegated limits or if the nature of the transaction </w:t>
      </w:r>
      <w:r w:rsidR="004E10F8">
        <w:t xml:space="preserve">will set a precedent, </w:t>
      </w:r>
      <w:r w:rsidR="00EE75C8">
        <w:t xml:space="preserve">is novel, </w:t>
      </w:r>
      <w:r w:rsidR="00DF408F">
        <w:t>contentious,</w:t>
      </w:r>
      <w:r w:rsidR="00EE75C8">
        <w:t xml:space="preserve"> </w:t>
      </w:r>
      <w:r w:rsidR="004E10F8">
        <w:t>or likely to have rep</w:t>
      </w:r>
      <w:r w:rsidR="00105569">
        <w:t>er</w:t>
      </w:r>
      <w:r w:rsidR="004E10F8">
        <w:t>cu</w:t>
      </w:r>
      <w:r w:rsidR="00105569">
        <w:t>ssions elsewhere in the public sector.</w:t>
      </w:r>
    </w:p>
    <w:p w14:paraId="42969191" w14:textId="77777777" w:rsidR="007F3C92" w:rsidRDefault="007F3C92" w:rsidP="007F3C92">
      <w:pPr>
        <w:pStyle w:val="Style2"/>
        <w:numPr>
          <w:ilvl w:val="0"/>
          <w:numId w:val="0"/>
        </w:numPr>
        <w:ind w:left="1134"/>
      </w:pPr>
    </w:p>
    <w:p w14:paraId="76CA97AE" w14:textId="707D68BB" w:rsidR="00DB733D" w:rsidRDefault="007F3C92" w:rsidP="00DB733D">
      <w:pPr>
        <w:pStyle w:val="Style2"/>
      </w:pPr>
      <w:r>
        <w:t xml:space="preserve">‘Managing Public Money’ – Annex 4.10 </w:t>
      </w:r>
      <w:r w:rsidR="00984471">
        <w:t>Losses &amp; Write</w:t>
      </w:r>
      <w:r w:rsidR="00FC09ED">
        <w:t xml:space="preserve"> Offs and Annex 4.13 – Special Payments </w:t>
      </w:r>
      <w:r>
        <w:t>(</w:t>
      </w:r>
      <w:r w:rsidR="00786285">
        <w:t xml:space="preserve">May </w:t>
      </w:r>
      <w:r w:rsidR="00FC09ED">
        <w:t>2021</w:t>
      </w:r>
      <w:r>
        <w:t>) contains detailed guidance on Losses and Special Payments. It divides them into different categories and sets out the action to be taken on discovering a loss or receiving</w:t>
      </w:r>
      <w:r w:rsidR="00A87C2D">
        <w:t xml:space="preserve"> or </w:t>
      </w:r>
      <w:r>
        <w:t>considering a claim for compensation</w:t>
      </w:r>
      <w:r w:rsidR="00FC09ED">
        <w:t xml:space="preserve"> as well as where Treasury approval is required.</w:t>
      </w:r>
    </w:p>
    <w:p w14:paraId="7EF0CBE2" w14:textId="77777777" w:rsidR="00DB733D" w:rsidRDefault="00DB733D" w:rsidP="00DB733D">
      <w:pPr>
        <w:pStyle w:val="Style2"/>
        <w:numPr>
          <w:ilvl w:val="0"/>
          <w:numId w:val="0"/>
        </w:numPr>
        <w:ind w:left="1134"/>
      </w:pPr>
    </w:p>
    <w:p w14:paraId="522A322B" w14:textId="54E7CF04" w:rsidR="004B6F99" w:rsidRDefault="00B24CE3" w:rsidP="004B6F99">
      <w:pPr>
        <w:pStyle w:val="Style2"/>
      </w:pPr>
      <w:r>
        <w:t>In considering Losses and Special Payments, it is important to look beyond whether the proposed write-off or payment represents value for money. The need for corrective action must also be assessed to minimise the number and cost of any future cases.</w:t>
      </w:r>
      <w:r w:rsidR="00F36578">
        <w:t xml:space="preserve"> The budget holder must notify the </w:t>
      </w:r>
      <w:r w:rsidR="00E96181">
        <w:t xml:space="preserve">Executive Chief Finance Officer </w:t>
      </w:r>
      <w:r w:rsidR="00F36578">
        <w:t xml:space="preserve">in writing recording the event, the cause </w:t>
      </w:r>
      <w:r w:rsidR="0055581B">
        <w:t xml:space="preserve">and any action taken using the ICB’s standard documentation. </w:t>
      </w:r>
    </w:p>
    <w:p w14:paraId="205AB04D" w14:textId="77777777" w:rsidR="004B6F99" w:rsidRDefault="004B6F99" w:rsidP="004B6F99">
      <w:pPr>
        <w:pStyle w:val="Style2"/>
        <w:numPr>
          <w:ilvl w:val="0"/>
          <w:numId w:val="0"/>
        </w:numPr>
        <w:ind w:left="1134"/>
      </w:pPr>
    </w:p>
    <w:p w14:paraId="1B69FB7F" w14:textId="4ECACE61" w:rsidR="00C23616" w:rsidRDefault="004B6F99" w:rsidP="00C23616">
      <w:pPr>
        <w:pStyle w:val="Style2"/>
      </w:pPr>
      <w:r>
        <w:t xml:space="preserve">When a loss occurs the budget holder will </w:t>
      </w:r>
      <w:r w:rsidR="00CC2531">
        <w:t>attempt to recover it</w:t>
      </w:r>
      <w:r w:rsidR="00E70722">
        <w:t xml:space="preserve"> and </w:t>
      </w:r>
      <w:r w:rsidR="00CC2531">
        <w:t xml:space="preserve">find out the cause and take any corrective action to ensure that it will not recur (including </w:t>
      </w:r>
      <w:r w:rsidR="00E70722">
        <w:t>identifying and correcting any weaknesses in controls or supervision)</w:t>
      </w:r>
      <w:r w:rsidR="00286AA7">
        <w:t xml:space="preserve">. </w:t>
      </w:r>
    </w:p>
    <w:p w14:paraId="78F2F33A" w14:textId="77777777" w:rsidR="00C23616" w:rsidRDefault="00C23616" w:rsidP="00C23616">
      <w:pPr>
        <w:pStyle w:val="Style2"/>
        <w:numPr>
          <w:ilvl w:val="0"/>
          <w:numId w:val="0"/>
        </w:numPr>
        <w:ind w:left="1134"/>
      </w:pPr>
    </w:p>
    <w:p w14:paraId="1B9FABDE" w14:textId="1B6961EF" w:rsidR="004B6F99" w:rsidRPr="005B5FCF" w:rsidRDefault="00091A51" w:rsidP="00FB1C20">
      <w:pPr>
        <w:pStyle w:val="Style2"/>
      </w:pPr>
      <w:r>
        <w:t xml:space="preserve">If arson or theft is suspected the </w:t>
      </w:r>
      <w:r w:rsidR="00E96181">
        <w:t xml:space="preserve">Executive Chief Finance Officer </w:t>
      </w:r>
      <w:r>
        <w:t xml:space="preserve">must notify the police. If fraud is suspected the </w:t>
      </w:r>
      <w:r w:rsidR="00E96181">
        <w:t>Executive Chief Finance Officer</w:t>
      </w:r>
      <w:r w:rsidR="00E96181" w:rsidDel="00E96181">
        <w:t xml:space="preserve"> </w:t>
      </w:r>
      <w:r>
        <w:t xml:space="preserve">must notify the </w:t>
      </w:r>
      <w:r w:rsidRPr="005B5FCF">
        <w:t>Local Counter Fraud Specialist.</w:t>
      </w:r>
    </w:p>
    <w:p w14:paraId="0FD1A2B7" w14:textId="77777777" w:rsidR="00FB1C20" w:rsidRPr="005B5FCF" w:rsidRDefault="00FB1C20" w:rsidP="00FB1C20">
      <w:pPr>
        <w:pStyle w:val="Style2"/>
        <w:numPr>
          <w:ilvl w:val="0"/>
          <w:numId w:val="0"/>
        </w:numPr>
        <w:ind w:left="1134"/>
      </w:pPr>
    </w:p>
    <w:p w14:paraId="3E7D6A28" w14:textId="108FE665" w:rsidR="005F6E15" w:rsidRPr="005B5FCF" w:rsidRDefault="00FB1C20" w:rsidP="005F6E15">
      <w:pPr>
        <w:pStyle w:val="Style2"/>
      </w:pPr>
      <w:r w:rsidRPr="005B5FCF">
        <w:t xml:space="preserve">The </w:t>
      </w:r>
      <w:r w:rsidR="00C14F65">
        <w:t>Executive Chief Finance Officer</w:t>
      </w:r>
      <w:r w:rsidR="00C14F65" w:rsidRPr="005B5FCF">
        <w:t xml:space="preserve"> </w:t>
      </w:r>
      <w:r w:rsidRPr="005B5FCF">
        <w:t xml:space="preserve">is responsible for maintaining a Losses and Special Payments </w:t>
      </w:r>
      <w:r w:rsidR="00A1299D" w:rsidRPr="005B5FCF">
        <w:t>r</w:t>
      </w:r>
      <w:r w:rsidRPr="005B5FCF">
        <w:t xml:space="preserve">egister and for ensuring that the appropriate detail is disclosed. The </w:t>
      </w:r>
      <w:r w:rsidR="00C14F65">
        <w:t>Executive Chief Finance Officer</w:t>
      </w:r>
      <w:r w:rsidR="00C14F65" w:rsidRPr="005B5FCF">
        <w:t xml:space="preserve"> </w:t>
      </w:r>
      <w:r w:rsidRPr="005B5FCF">
        <w:t xml:space="preserve">will report any entries made into the Losses and Special Payments </w:t>
      </w:r>
      <w:r w:rsidR="00A1299D" w:rsidRPr="005B5FCF">
        <w:t>r</w:t>
      </w:r>
      <w:r w:rsidRPr="005B5FCF">
        <w:t>egister, to the first available Audit Committee for approval, in accordance with the</w:t>
      </w:r>
      <w:r w:rsidR="00F6564E" w:rsidRPr="005B5FCF">
        <w:t xml:space="preserve"> ICB</w:t>
      </w:r>
      <w:r w:rsidRPr="005B5FCF">
        <w:t xml:space="preserve">’s </w:t>
      </w:r>
      <w:r w:rsidR="00430532" w:rsidRPr="005B5FCF">
        <w:t>schedule of d</w:t>
      </w:r>
      <w:r w:rsidR="00F6564E" w:rsidRPr="005B5FCF">
        <w:t xml:space="preserve">etailed </w:t>
      </w:r>
      <w:r w:rsidR="00430532" w:rsidRPr="005B5FCF">
        <w:t>delegated financial limits</w:t>
      </w:r>
      <w:r w:rsidRPr="005B5FCF">
        <w:t xml:space="preserve"> to write off losses and make special payments</w:t>
      </w:r>
      <w:r w:rsidR="007D3A42">
        <w:t>.</w:t>
      </w:r>
    </w:p>
    <w:p w14:paraId="2E84FA27" w14:textId="77777777" w:rsidR="005F6E15" w:rsidRDefault="005F6E15" w:rsidP="005F6E15">
      <w:pPr>
        <w:pStyle w:val="Style2"/>
        <w:numPr>
          <w:ilvl w:val="0"/>
          <w:numId w:val="0"/>
        </w:numPr>
        <w:ind w:left="1134"/>
      </w:pPr>
    </w:p>
    <w:p w14:paraId="03D919A3" w14:textId="3ECE5930" w:rsidR="00673D32" w:rsidRDefault="00276066" w:rsidP="00427A24">
      <w:pPr>
        <w:pStyle w:val="Style2"/>
      </w:pPr>
      <w:r>
        <w:t xml:space="preserve">As part of new compliance and control procedures ICBs must submit an annual assurance statement confirming details of </w:t>
      </w:r>
      <w:r w:rsidR="002E049E">
        <w:t>all exit packages</w:t>
      </w:r>
      <w:r w:rsidR="00AD176A">
        <w:t xml:space="preserve"> and special severance payments that have been made or agreed during the year</w:t>
      </w:r>
      <w:r w:rsidR="007F519C">
        <w:t xml:space="preserve">. HM Treasury approval must be received before offers </w:t>
      </w:r>
      <w:r w:rsidR="00FE57D5">
        <w:t>are made</w:t>
      </w:r>
      <w:r w:rsidR="00547F68">
        <w:t xml:space="preserve"> and </w:t>
      </w:r>
      <w:r w:rsidR="00547F68">
        <w:lastRenderedPageBreak/>
        <w:t>special severance payments must be in accordance with NHSE</w:t>
      </w:r>
      <w:r w:rsidR="005F6E15">
        <w:t xml:space="preserve"> published guidance.</w:t>
      </w:r>
    </w:p>
    <w:p w14:paraId="72C4D2D5" w14:textId="5794E11A" w:rsidR="00673D32" w:rsidRDefault="00427A24" w:rsidP="00427A24">
      <w:pPr>
        <w:pStyle w:val="Heading3"/>
      </w:pPr>
      <w:bookmarkStart w:id="38" w:name="_Toc171428727"/>
      <w:r>
        <w:t xml:space="preserve">Freedom of Information </w:t>
      </w:r>
      <w:r w:rsidR="00E13D35">
        <w:t>Requests</w:t>
      </w:r>
      <w:bookmarkEnd w:id="38"/>
    </w:p>
    <w:p w14:paraId="058C7851" w14:textId="13A212BD" w:rsidR="001A2883" w:rsidRDefault="001A2883" w:rsidP="001A2883">
      <w:pPr>
        <w:pStyle w:val="Style2"/>
      </w:pPr>
      <w:r>
        <w:t>The Information Governance team manage all requests for information</w:t>
      </w:r>
      <w:r w:rsidR="00740726">
        <w:t xml:space="preserve"> and reference should be made </w:t>
      </w:r>
      <w:r w:rsidR="0090266C">
        <w:t xml:space="preserve">in line with the </w:t>
      </w:r>
      <w:hyperlink r:id="rId13" w:history="1">
        <w:r w:rsidR="0090266C" w:rsidRPr="0090266C">
          <w:rPr>
            <w:rStyle w:val="Hyperlink"/>
          </w:rPr>
          <w:t>Access to Information Policy</w:t>
        </w:r>
      </w:hyperlink>
      <w:r w:rsidR="00740726">
        <w:t>. Due to the wide range of information requests that include a financial element</w:t>
      </w:r>
      <w:r w:rsidR="00795D04">
        <w:t>,</w:t>
      </w:r>
      <w:r w:rsidR="00740726">
        <w:t xml:space="preserve"> all </w:t>
      </w:r>
      <w:r w:rsidR="00DA2242">
        <w:t xml:space="preserve">incoming requests </w:t>
      </w:r>
      <w:r w:rsidR="00713845">
        <w:t>will come into the finance team via a nominated officer</w:t>
      </w:r>
      <w:r w:rsidR="00CD7B63">
        <w:t xml:space="preserve"> who will coordinate forwarding to the relevant member of the finance team</w:t>
      </w:r>
      <w:r w:rsidR="0004725E">
        <w:t xml:space="preserve">, monitor time frames and </w:t>
      </w:r>
      <w:r w:rsidR="001869F2">
        <w:t xml:space="preserve">sign off responses before they are forwarded back to the Information Governance team for oversight and </w:t>
      </w:r>
      <w:r w:rsidR="00B33D4E">
        <w:t>return to the enquirer.</w:t>
      </w:r>
    </w:p>
    <w:p w14:paraId="38D6A5E2" w14:textId="1C5E3CC0" w:rsidR="00F913CD" w:rsidRDefault="00F913CD" w:rsidP="009F0C16">
      <w:pPr>
        <w:pStyle w:val="Heading2"/>
      </w:pPr>
      <w:bookmarkStart w:id="39" w:name="_Toc84611059"/>
      <w:bookmarkStart w:id="40" w:name="_Toc89326549"/>
      <w:bookmarkStart w:id="41" w:name="_Toc171428728"/>
      <w:r w:rsidRPr="0015255F">
        <w:t xml:space="preserve">Monitoring </w:t>
      </w:r>
      <w:r w:rsidRPr="006B3E9C">
        <w:t>Compliance</w:t>
      </w:r>
      <w:bookmarkEnd w:id="39"/>
      <w:bookmarkEnd w:id="40"/>
      <w:bookmarkEnd w:id="41"/>
    </w:p>
    <w:p w14:paraId="5820AD79" w14:textId="42317659" w:rsidR="00976355" w:rsidRPr="0015255F" w:rsidRDefault="00C16C06" w:rsidP="008C447C">
      <w:pPr>
        <w:pStyle w:val="Style1"/>
      </w:pPr>
      <w:r>
        <w:t>NHS SBS produce monthly ISFE metrics which monitor performance against best practice in all major areas. These metrics are shown by category of financial processes and as an overall</w:t>
      </w:r>
      <w:r w:rsidR="00976355" w:rsidRPr="00976355">
        <w:t xml:space="preserve"> </w:t>
      </w:r>
      <w:r w:rsidR="00976355">
        <w:t>ranking compared with other ICBs.</w:t>
      </w:r>
    </w:p>
    <w:p w14:paraId="694A8FD9" w14:textId="456F629F" w:rsidR="00DA1C30" w:rsidRDefault="00DA1C30" w:rsidP="008C447C">
      <w:pPr>
        <w:pStyle w:val="Style1"/>
      </w:pPr>
      <w:r>
        <w:t xml:space="preserve">The </w:t>
      </w:r>
      <w:r w:rsidR="00DD218B">
        <w:t>f</w:t>
      </w:r>
      <w:r>
        <w:t xml:space="preserve">inancial </w:t>
      </w:r>
      <w:r w:rsidR="00195AF3">
        <w:t>service</w:t>
      </w:r>
      <w:r>
        <w:t xml:space="preserve">s team will include high level progress on ISFE metrics in financial reporting to </w:t>
      </w:r>
      <w:r w:rsidR="004B7E60">
        <w:t xml:space="preserve">each meeting of </w:t>
      </w:r>
      <w:r>
        <w:t xml:space="preserve">the Finance and </w:t>
      </w:r>
      <w:r w:rsidR="000C77CE">
        <w:t>Performance</w:t>
      </w:r>
      <w:r>
        <w:t xml:space="preserve"> Committee along with </w:t>
      </w:r>
      <w:r w:rsidR="00FB5D60">
        <w:t>key</w:t>
      </w:r>
      <w:r w:rsidR="00A55E34">
        <w:t xml:space="preserve"> indicators such as aged creditor and aged debtor reports</w:t>
      </w:r>
      <w:r>
        <w:t>.</w:t>
      </w:r>
    </w:p>
    <w:p w14:paraId="664D58DB" w14:textId="025C539F" w:rsidR="00767DCB" w:rsidRDefault="00A55E34" w:rsidP="008C447C">
      <w:pPr>
        <w:pStyle w:val="Style1"/>
        <w:rPr>
          <w:b/>
          <w:bCs/>
        </w:rPr>
      </w:pPr>
      <w:r>
        <w:rPr>
          <w:bCs/>
        </w:rPr>
        <w:t xml:space="preserve">The </w:t>
      </w:r>
      <w:r w:rsidR="007E437E">
        <w:rPr>
          <w:bCs/>
        </w:rPr>
        <w:t xml:space="preserve">ICB’s </w:t>
      </w:r>
      <w:r>
        <w:rPr>
          <w:bCs/>
        </w:rPr>
        <w:t xml:space="preserve">Internal Auditors undertake an annual </w:t>
      </w:r>
      <w:r w:rsidR="003154ED">
        <w:rPr>
          <w:bCs/>
        </w:rPr>
        <w:t>review and testing of internal financial controls</w:t>
      </w:r>
      <w:r w:rsidR="007E437E">
        <w:rPr>
          <w:bCs/>
        </w:rPr>
        <w:t xml:space="preserve"> </w:t>
      </w:r>
      <w:r w:rsidR="00DE331B">
        <w:rPr>
          <w:bCs/>
        </w:rPr>
        <w:t>and report their findings in a report to the ICB Audit Committee together with recommend</w:t>
      </w:r>
      <w:r w:rsidR="00F94746">
        <w:rPr>
          <w:bCs/>
        </w:rPr>
        <w:t xml:space="preserve">ed actions to </w:t>
      </w:r>
      <w:r w:rsidR="00DB43EE">
        <w:rPr>
          <w:bCs/>
        </w:rPr>
        <w:t>mitigate</w:t>
      </w:r>
      <w:r w:rsidR="0034188A">
        <w:rPr>
          <w:bCs/>
        </w:rPr>
        <w:t xml:space="preserve"> any control weaknesses identified</w:t>
      </w:r>
      <w:r w:rsidR="00DB43EE">
        <w:rPr>
          <w:bCs/>
        </w:rPr>
        <w:t>.</w:t>
      </w:r>
    </w:p>
    <w:p w14:paraId="63CB1C0A" w14:textId="4EA57DA8" w:rsidR="00DD218B" w:rsidRPr="00DD218B" w:rsidRDefault="002C3FD1" w:rsidP="008C447C">
      <w:pPr>
        <w:pStyle w:val="Style1"/>
      </w:pPr>
      <w:r>
        <w:rPr>
          <w:bCs/>
        </w:rPr>
        <w:t xml:space="preserve">The ICB’s External Auditors </w:t>
      </w:r>
      <w:r w:rsidR="00A06152">
        <w:rPr>
          <w:bCs/>
        </w:rPr>
        <w:t xml:space="preserve">provide an independent opinion on the </w:t>
      </w:r>
      <w:r w:rsidR="00B0583D">
        <w:rPr>
          <w:bCs/>
        </w:rPr>
        <w:t xml:space="preserve">annual financial statements and the </w:t>
      </w:r>
      <w:r w:rsidR="00A12BCD">
        <w:rPr>
          <w:bCs/>
        </w:rPr>
        <w:t xml:space="preserve">organisation’s </w:t>
      </w:r>
      <w:r w:rsidR="00B0583D">
        <w:rPr>
          <w:bCs/>
        </w:rPr>
        <w:t>value for money arrangements</w:t>
      </w:r>
      <w:r w:rsidR="00A12BCD">
        <w:rPr>
          <w:bCs/>
        </w:rPr>
        <w:t xml:space="preserve"> in their audit opinion </w:t>
      </w:r>
      <w:r w:rsidR="00232539">
        <w:rPr>
          <w:bCs/>
        </w:rPr>
        <w:t>and</w:t>
      </w:r>
      <w:r w:rsidR="00A12BCD">
        <w:rPr>
          <w:bCs/>
        </w:rPr>
        <w:t xml:space="preserve"> outline key findings and issues that need to be highlighted </w:t>
      </w:r>
      <w:r w:rsidR="00B17B4E">
        <w:rPr>
          <w:bCs/>
        </w:rPr>
        <w:t xml:space="preserve">to stakeholders and the public in their annual </w:t>
      </w:r>
      <w:r w:rsidR="006A7EE3">
        <w:rPr>
          <w:bCs/>
        </w:rPr>
        <w:t>audit report</w:t>
      </w:r>
      <w:r w:rsidR="00232539">
        <w:rPr>
          <w:bCs/>
        </w:rPr>
        <w:t xml:space="preserve">. </w:t>
      </w:r>
      <w:r w:rsidR="00B0583D">
        <w:rPr>
          <w:bCs/>
        </w:rPr>
        <w:t xml:space="preserve"> </w:t>
      </w:r>
    </w:p>
    <w:p w14:paraId="03671137" w14:textId="77777777" w:rsidR="00F913CD" w:rsidRPr="0015255F" w:rsidRDefault="00F913CD" w:rsidP="006B3E9C">
      <w:pPr>
        <w:pStyle w:val="Heading2"/>
      </w:pPr>
      <w:bookmarkStart w:id="42" w:name="_Toc84611060"/>
      <w:bookmarkStart w:id="43" w:name="_Toc89326550"/>
      <w:bookmarkStart w:id="44" w:name="_Toc171428729"/>
      <w:r w:rsidRPr="0015255F">
        <w:t xml:space="preserve">Staff </w:t>
      </w:r>
      <w:r w:rsidRPr="006B3E9C">
        <w:t>Training</w:t>
      </w:r>
      <w:bookmarkEnd w:id="42"/>
      <w:bookmarkEnd w:id="43"/>
      <w:bookmarkEnd w:id="44"/>
    </w:p>
    <w:p w14:paraId="240C110C" w14:textId="5860470E" w:rsidR="00F913CD" w:rsidRDefault="00A8252D" w:rsidP="006B3E9C">
      <w:pPr>
        <w:pStyle w:val="Style1"/>
      </w:pPr>
      <w:r>
        <w:t xml:space="preserve">Line managers must ensure that all relevant staff are </w:t>
      </w:r>
      <w:r w:rsidR="00435CC4">
        <w:t>aware of the contents of this policy document and the process</w:t>
      </w:r>
      <w:r w:rsidR="003B7052">
        <w:t>es required to comply.</w:t>
      </w:r>
    </w:p>
    <w:p w14:paraId="192E30C5" w14:textId="304E7A0D" w:rsidR="0060121B" w:rsidRPr="0015255F" w:rsidRDefault="0060121B" w:rsidP="006B3E9C">
      <w:pPr>
        <w:pStyle w:val="Style1"/>
      </w:pPr>
      <w:r>
        <w:t xml:space="preserve">The </w:t>
      </w:r>
      <w:r w:rsidR="00C14F65">
        <w:t>Executive Chief Finance Officer</w:t>
      </w:r>
      <w:r w:rsidR="00C14F65" w:rsidDel="00C14F65">
        <w:t xml:space="preserve"> </w:t>
      </w:r>
      <w:r>
        <w:t xml:space="preserve">is responsible for ensuring that appropriate training is given to </w:t>
      </w:r>
      <w:r w:rsidR="00A86484">
        <w:t xml:space="preserve">finance staff and </w:t>
      </w:r>
      <w:r>
        <w:t xml:space="preserve">budget holders </w:t>
      </w:r>
      <w:r w:rsidR="00802922">
        <w:t>in order that they can fulfil their responsibilities outlined in this policy document.</w:t>
      </w:r>
    </w:p>
    <w:p w14:paraId="7DF6B752" w14:textId="4E0FCEB5" w:rsidR="00F913CD" w:rsidRPr="0015255F" w:rsidRDefault="00F913CD" w:rsidP="006B3E9C">
      <w:pPr>
        <w:pStyle w:val="Heading2"/>
      </w:pPr>
      <w:bookmarkStart w:id="45" w:name="_Toc84611061"/>
      <w:bookmarkStart w:id="46" w:name="_Toc89326551"/>
      <w:bookmarkStart w:id="47" w:name="_Toc171428730"/>
      <w:r w:rsidRPr="0015255F">
        <w:lastRenderedPageBreak/>
        <w:t xml:space="preserve">Arrangements </w:t>
      </w:r>
      <w:r w:rsidR="00165261" w:rsidRPr="0015255F">
        <w:t>for</w:t>
      </w:r>
      <w:r w:rsidRPr="0015255F">
        <w:t xml:space="preserve"> Review</w:t>
      </w:r>
      <w:bookmarkEnd w:id="45"/>
      <w:bookmarkEnd w:id="46"/>
      <w:bookmarkEnd w:id="47"/>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0E7EAECE" w:rsidR="00F913CD" w:rsidRPr="0015255F" w:rsidRDefault="00F913CD" w:rsidP="006B3E9C">
      <w:pPr>
        <w:pStyle w:val="Style1"/>
      </w:pPr>
      <w:r w:rsidRPr="0015255F">
        <w:t>If only minor changes are required, the sponsoring Committee has authority to make these changes without referral to the I</w:t>
      </w:r>
      <w:r w:rsidR="00A86484">
        <w:t>CB Boa</w:t>
      </w:r>
      <w:r w:rsidR="00E7082D">
        <w:t>rd</w:t>
      </w:r>
      <w:r w:rsidRPr="0015255F">
        <w:t>. If more significant or substantial changes are required, the policy will need to be ratified by the relevant committee before final approval by the I</w:t>
      </w:r>
      <w:r w:rsidR="00E7082D">
        <w:t>CB Board</w:t>
      </w:r>
      <w:r w:rsidRPr="0015255F">
        <w:t>.</w:t>
      </w:r>
      <w:bookmarkStart w:id="48" w:name="_Toc84611062"/>
    </w:p>
    <w:p w14:paraId="4D2967FC" w14:textId="1128F45B" w:rsidR="00F913CD" w:rsidRPr="0015255F" w:rsidRDefault="00F913CD" w:rsidP="006B3E9C">
      <w:pPr>
        <w:pStyle w:val="Heading2"/>
      </w:pPr>
      <w:bookmarkStart w:id="49" w:name="_Toc89326552"/>
      <w:bookmarkStart w:id="50" w:name="_Toc171428731"/>
      <w:bookmarkEnd w:id="48"/>
      <w:r w:rsidRPr="0015255F">
        <w:t xml:space="preserve">Associated Policies, Guidance </w:t>
      </w:r>
      <w:r w:rsidR="00165261" w:rsidRPr="0015255F">
        <w:t>and</w:t>
      </w:r>
      <w:r w:rsidRPr="0015255F">
        <w:t xml:space="preserve"> Documents</w:t>
      </w:r>
      <w:bookmarkEnd w:id="49"/>
      <w:bookmarkEnd w:id="50"/>
    </w:p>
    <w:p w14:paraId="7DE6C051" w14:textId="283F601F" w:rsidR="00F913CD" w:rsidRPr="000F560D" w:rsidRDefault="00000000" w:rsidP="00201DAA">
      <w:pPr>
        <w:pStyle w:val="Heading4"/>
        <w:ind w:left="1134"/>
      </w:pPr>
      <w:hyperlink r:id="rId14" w:history="1">
        <w:r w:rsidR="00F913CD" w:rsidRPr="0090266C">
          <w:rPr>
            <w:rStyle w:val="Hyperlink"/>
          </w:rPr>
          <w:t>Associated Policies</w:t>
        </w:r>
      </w:hyperlink>
    </w:p>
    <w:p w14:paraId="186CDDB6" w14:textId="562E4F46" w:rsidR="00F913CD" w:rsidRDefault="00165261" w:rsidP="006B3E9C">
      <w:pPr>
        <w:pStyle w:val="ListParagraph"/>
      </w:pPr>
      <w:r>
        <w:t>ICB Procurement &amp; Contracting Policy</w:t>
      </w:r>
    </w:p>
    <w:p w14:paraId="49A4217F" w14:textId="3732D438" w:rsidR="00D23A9A" w:rsidRDefault="00C65691" w:rsidP="006B3E9C">
      <w:pPr>
        <w:pStyle w:val="ListParagraph"/>
      </w:pPr>
      <w:r>
        <w:t>ICB Allocations &amp; Financial Reporting Policy</w:t>
      </w:r>
    </w:p>
    <w:p w14:paraId="7ECC6C32" w14:textId="3BFED1E7" w:rsidR="00C65691" w:rsidRDefault="006B17DF" w:rsidP="006B3E9C">
      <w:pPr>
        <w:pStyle w:val="ListParagraph"/>
      </w:pPr>
      <w:r>
        <w:t>ICB Information Governance Policy</w:t>
      </w:r>
    </w:p>
    <w:p w14:paraId="39C7F16E" w14:textId="1E965049" w:rsidR="003E5744" w:rsidRDefault="005A720B" w:rsidP="003E5744">
      <w:pPr>
        <w:pStyle w:val="ListParagraph"/>
      </w:pPr>
      <w:r>
        <w:t>ICB Creditor &amp; Purchase Policy</w:t>
      </w:r>
    </w:p>
    <w:p w14:paraId="0792D26C" w14:textId="5E5A3DB1" w:rsidR="00340A9A" w:rsidRPr="0015255F" w:rsidRDefault="00340A9A" w:rsidP="003E5744">
      <w:pPr>
        <w:pStyle w:val="ListParagraph"/>
      </w:pPr>
      <w:r>
        <w:t>ICB Counter Fraud, B</w:t>
      </w:r>
      <w:r w:rsidR="00E76C1A">
        <w:t>ribery and Corruption Policy</w:t>
      </w:r>
    </w:p>
    <w:p w14:paraId="23825361" w14:textId="77777777" w:rsidR="00F913CD" w:rsidRPr="0015255F" w:rsidRDefault="00F913CD" w:rsidP="006B3E9C">
      <w:pPr>
        <w:pStyle w:val="Heading2"/>
      </w:pPr>
      <w:bookmarkStart w:id="51" w:name="_Toc89326553"/>
      <w:bookmarkStart w:id="52" w:name="_Toc171428732"/>
      <w:r w:rsidRPr="0015255F">
        <w:t>References</w:t>
      </w:r>
      <w:bookmarkEnd w:id="51"/>
      <w:bookmarkEnd w:id="52"/>
    </w:p>
    <w:p w14:paraId="59C575EC" w14:textId="6BF646E8" w:rsidR="00F913CD" w:rsidRDefault="002426C1" w:rsidP="006B3E9C">
      <w:pPr>
        <w:pStyle w:val="ListParagraph"/>
      </w:pPr>
      <w:r>
        <w:t xml:space="preserve">NHSEI/NHS Shared Business Services </w:t>
      </w:r>
      <w:r w:rsidR="00E7455D">
        <w:t>–</w:t>
      </w:r>
      <w:r>
        <w:t xml:space="preserve"> </w:t>
      </w:r>
      <w:r w:rsidR="00E7455D">
        <w:t xml:space="preserve">“Business Process Best Practice in the ISFE Environment” </w:t>
      </w:r>
      <w:r w:rsidR="00750C8C">
        <w:t>–</w:t>
      </w:r>
      <w:r w:rsidR="00E7455D">
        <w:t xml:space="preserve"> </w:t>
      </w:r>
      <w:r w:rsidR="00750C8C">
        <w:t>Version 2.0 (March 2022)</w:t>
      </w:r>
    </w:p>
    <w:p w14:paraId="620B1D80" w14:textId="03BAF64A" w:rsidR="00BF285B" w:rsidRDefault="00A603F0" w:rsidP="006B3E9C">
      <w:pPr>
        <w:pStyle w:val="ListParagraph"/>
      </w:pPr>
      <w:r>
        <w:t>HM Treasury – “Managing Public Money” – May 2021</w:t>
      </w:r>
    </w:p>
    <w:p w14:paraId="5C99D0F3" w14:textId="2367D82A" w:rsidR="00EF4F09" w:rsidRDefault="00F677B7" w:rsidP="004238B3">
      <w:pPr>
        <w:pStyle w:val="ListParagraph"/>
      </w:pPr>
      <w:r>
        <w:t xml:space="preserve">International Accounting Standards Board </w:t>
      </w:r>
      <w:r w:rsidR="00296EBE">
        <w:t>–</w:t>
      </w:r>
      <w:r>
        <w:t xml:space="preserve"> </w:t>
      </w:r>
      <w:r w:rsidR="00296EBE">
        <w:t>“IAS37 Provisions, Contingent Liabilities and Contingent Assets”</w:t>
      </w:r>
      <w:r w:rsidR="0099597C">
        <w:t xml:space="preserve"> </w:t>
      </w:r>
    </w:p>
    <w:p w14:paraId="61DC869E" w14:textId="71627C5E" w:rsidR="0027404A" w:rsidRDefault="0027404A" w:rsidP="004238B3">
      <w:pPr>
        <w:pStyle w:val="ListParagraph"/>
      </w:pPr>
      <w:r>
        <w:t>ICB Scheme of Reservation and Delegation</w:t>
      </w:r>
    </w:p>
    <w:p w14:paraId="6A4A16F6" w14:textId="690AA19F" w:rsidR="0027404A" w:rsidRDefault="0027404A" w:rsidP="004238B3">
      <w:pPr>
        <w:pStyle w:val="ListParagraph"/>
      </w:pPr>
      <w:r>
        <w:t>ICB Standing Financial Instructions</w:t>
      </w:r>
    </w:p>
    <w:p w14:paraId="0749B5BB" w14:textId="77777777" w:rsidR="00F913CD" w:rsidRPr="0015255F" w:rsidRDefault="00F913CD" w:rsidP="006B3E9C">
      <w:pPr>
        <w:pStyle w:val="Heading2"/>
      </w:pPr>
      <w:bookmarkStart w:id="53" w:name="_Toc89326554"/>
      <w:bookmarkStart w:id="54" w:name="_Toc171428733"/>
      <w:r w:rsidRPr="0015255F">
        <w:t>Equality Impact Assessment</w:t>
      </w:r>
      <w:bookmarkEnd w:id="53"/>
      <w:bookmarkEnd w:id="54"/>
    </w:p>
    <w:p w14:paraId="31CD75FD" w14:textId="59E2FE89" w:rsidR="00F913CD" w:rsidRPr="0015255F" w:rsidRDefault="00106E35" w:rsidP="006B3E9C">
      <w:pPr>
        <w:pStyle w:val="Style1"/>
      </w:pPr>
      <w:r>
        <w:t>T</w:t>
      </w:r>
      <w:r w:rsidR="00F913CD" w:rsidRPr="0015255F">
        <w:t xml:space="preserve">he EIA has identified no equality issues with this policy. </w:t>
      </w:r>
    </w:p>
    <w:p w14:paraId="32344773" w14:textId="77777777" w:rsidR="008344D6" w:rsidRDefault="00F913CD" w:rsidP="008344D6">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55" w:name="_Toc419388298"/>
      <w:bookmarkStart w:id="56" w:name="_Toc47357161"/>
      <w:bookmarkStart w:id="57" w:name="_Toc84611065"/>
      <w:bookmarkStart w:id="58" w:name="_Toc89326555"/>
      <w:bookmarkStart w:id="59" w:name="_Toc171428734"/>
      <w:r w:rsidRPr="006606C1">
        <w:lastRenderedPageBreak/>
        <w:t>Appendix</w:t>
      </w:r>
      <w:r>
        <w:t xml:space="preserve"> A</w:t>
      </w:r>
      <w:bookmarkEnd w:id="55"/>
      <w:bookmarkEnd w:id="56"/>
      <w:bookmarkEnd w:id="57"/>
      <w:bookmarkEnd w:id="58"/>
      <w:r>
        <w:t xml:space="preserve"> </w:t>
      </w:r>
      <w:bookmarkStart w:id="60" w:name="_Toc84611066"/>
      <w:bookmarkStart w:id="61" w:name="_Toc89326556"/>
      <w:r w:rsidR="003A663C">
        <w:t xml:space="preserve">- </w:t>
      </w:r>
      <w:r w:rsidRPr="00FC7C60">
        <w:t>Equality Impact Assessment</w:t>
      </w:r>
      <w:bookmarkEnd w:id="59"/>
      <w:bookmarkEnd w:id="60"/>
      <w:bookmarkEnd w:id="61"/>
    </w:p>
    <w:p w14:paraId="47E3DAA6" w14:textId="6E8EF9BB" w:rsidR="008344D6" w:rsidRDefault="008344D6" w:rsidP="0014334F">
      <w:pPr>
        <w:pStyle w:val="Heading4"/>
        <w:spacing w:before="240" w:after="0"/>
      </w:pPr>
      <w:bookmarkStart w:id="62" w:name="_Toc89326557"/>
      <w:r>
        <w:t>Assessor’s Name:</w:t>
      </w:r>
      <w:r w:rsidR="00106E35">
        <w:t xml:space="preserve"> </w:t>
      </w:r>
      <w:r w:rsidR="00A1536F">
        <w:rPr>
          <w:b w:val="0"/>
          <w:bCs/>
        </w:rPr>
        <w:t xml:space="preserve"> </w:t>
      </w:r>
      <w:bookmarkStart w:id="63" w:name="_Hlk170913282"/>
      <w:r w:rsidR="00A1536F">
        <w:rPr>
          <w:b w:val="0"/>
          <w:bCs/>
        </w:rPr>
        <w:t>Natalie Brodie</w:t>
      </w:r>
      <w:bookmarkEnd w:id="63"/>
    </w:p>
    <w:p w14:paraId="0B47F8BC" w14:textId="7E0F6E65" w:rsidR="008344D6" w:rsidRDefault="008344D6" w:rsidP="0014334F">
      <w:pPr>
        <w:pStyle w:val="Heading4"/>
        <w:spacing w:before="240" w:after="0"/>
      </w:pPr>
      <w:r>
        <w:t>Assessor’s Job Title:</w:t>
      </w:r>
      <w:r w:rsidR="00106E35">
        <w:t xml:space="preserve"> </w:t>
      </w:r>
      <w:r w:rsidR="00A1536F">
        <w:rPr>
          <w:b w:val="0"/>
          <w:bCs/>
        </w:rPr>
        <w:t xml:space="preserve"> </w:t>
      </w:r>
      <w:bookmarkStart w:id="64" w:name="_Hlk170913296"/>
      <w:r w:rsidR="00A1536F" w:rsidRPr="00A1536F">
        <w:rPr>
          <w:b w:val="0"/>
          <w:bCs/>
        </w:rPr>
        <w:t>Deputy Director of Finance Primary Care &amp; Financial Services</w:t>
      </w:r>
    </w:p>
    <w:bookmarkEnd w:id="64"/>
    <w:p w14:paraId="631E0362" w14:textId="44230293" w:rsidR="008344D6" w:rsidRDefault="008344D6" w:rsidP="0014334F">
      <w:pPr>
        <w:pStyle w:val="Heading4"/>
        <w:spacing w:before="240" w:after="0"/>
      </w:pPr>
      <w:r>
        <w:t>Date:</w:t>
      </w:r>
      <w:r w:rsidR="00106E35">
        <w:t xml:space="preserve"> </w:t>
      </w:r>
      <w:r w:rsidR="00A1536F">
        <w:rPr>
          <w:b w:val="0"/>
          <w:bCs/>
        </w:rPr>
        <w:t xml:space="preserve"> 03 July 2024</w:t>
      </w:r>
    </w:p>
    <w:p w14:paraId="1174C48F" w14:textId="77777777" w:rsidR="006606C1" w:rsidRPr="00295019" w:rsidRDefault="006606C1" w:rsidP="00201DAA">
      <w:pPr>
        <w:pStyle w:val="Heading4"/>
      </w:pPr>
      <w:r w:rsidRPr="00295019">
        <w:t>Outcomes</w:t>
      </w:r>
      <w:bookmarkEnd w:id="62"/>
      <w:r w:rsidRPr="00295019">
        <w:t xml:space="preserve"> </w:t>
      </w:r>
    </w:p>
    <w:p w14:paraId="47A56263" w14:textId="77777777" w:rsidR="006606C1" w:rsidRPr="006A1B5B" w:rsidRDefault="006606C1" w:rsidP="00324D0B">
      <w:pPr>
        <w:rPr>
          <w:b/>
          <w:bCs/>
        </w:rPr>
      </w:pPr>
      <w:r w:rsidRPr="006A1B5B">
        <w:rPr>
          <w:b/>
          <w:bCs/>
        </w:rPr>
        <w:t>Briefly describe the aim of the policy and state the intended outcomes for staff</w:t>
      </w:r>
    </w:p>
    <w:p w14:paraId="2EBC51E6" w14:textId="00B4F382" w:rsidR="00B80EAE" w:rsidRPr="00B80EAE" w:rsidRDefault="000720C8" w:rsidP="00E90CB2">
      <w:r>
        <w:t xml:space="preserve">The aim of the policy is to set out the </w:t>
      </w:r>
      <w:r w:rsidR="00C6391E">
        <w:t>requirements fo</w:t>
      </w:r>
      <w:r w:rsidR="00CD5A3F">
        <w:t xml:space="preserve">r </w:t>
      </w:r>
      <w:r w:rsidR="00AB3B40">
        <w:t>internal financial control in the ICB.</w:t>
      </w:r>
    </w:p>
    <w:p w14:paraId="099EA78B" w14:textId="77777777" w:rsidR="00B80EAE" w:rsidRPr="00873D77" w:rsidRDefault="00B80EAE" w:rsidP="00201DAA">
      <w:pPr>
        <w:pStyle w:val="Heading4"/>
      </w:pPr>
      <w:r w:rsidRPr="00873D77">
        <w:t xml:space="preserve">Evidence </w:t>
      </w:r>
    </w:p>
    <w:p w14:paraId="268E41CF" w14:textId="77777777" w:rsidR="00B80EAE" w:rsidRPr="006A1B5B" w:rsidRDefault="00B80EAE" w:rsidP="00324D0B">
      <w:pPr>
        <w:rPr>
          <w:b/>
          <w:bCs/>
        </w:rPr>
      </w:pPr>
      <w:r w:rsidRPr="006A1B5B">
        <w:rPr>
          <w:b/>
          <w:bCs/>
        </w:rPr>
        <w:t>What data/information have you used to assess how this policy might impact on protected groups?</w:t>
      </w:r>
    </w:p>
    <w:p w14:paraId="3A7F7286" w14:textId="2846FDD5" w:rsidR="00B80EAE" w:rsidRPr="00B80EAE" w:rsidRDefault="006A1B5B" w:rsidP="00E90CB2">
      <w:r w:rsidRPr="00A537AE">
        <w:rPr>
          <w:rFonts w:ascii="Arial" w:eastAsia="Times New Roman" w:hAnsi="Arial" w:cs="Arial"/>
          <w:bCs/>
          <w:color w:val="auto"/>
        </w:rPr>
        <w:t xml:space="preserve">The </w:t>
      </w:r>
      <w:r>
        <w:rPr>
          <w:rFonts w:ascii="Arial" w:eastAsia="Times New Roman" w:hAnsi="Arial" w:cs="Arial"/>
          <w:bCs/>
          <w:color w:val="auto"/>
        </w:rPr>
        <w:t>ICB</w:t>
      </w:r>
      <w:r w:rsidRPr="00A537AE">
        <w:rPr>
          <w:rFonts w:ascii="Arial" w:eastAsia="Times New Roman" w:hAnsi="Arial" w:cs="Arial"/>
          <w:bCs/>
          <w:color w:val="auto"/>
        </w:rPr>
        <w:t xml:space="preserve"> regularly monitor the make-up of </w:t>
      </w:r>
      <w:r>
        <w:rPr>
          <w:rFonts w:ascii="Arial" w:eastAsia="Times New Roman" w:hAnsi="Arial" w:cs="Arial"/>
          <w:bCs/>
          <w:color w:val="auto"/>
        </w:rPr>
        <w:t xml:space="preserve">its </w:t>
      </w:r>
      <w:r w:rsidRPr="00A537AE">
        <w:rPr>
          <w:rFonts w:ascii="Arial" w:eastAsia="Times New Roman" w:hAnsi="Arial" w:cs="Arial"/>
          <w:bCs/>
          <w:color w:val="auto"/>
        </w:rPr>
        <w:t>workforce, including protected groups</w:t>
      </w:r>
    </w:p>
    <w:p w14:paraId="46594DBB" w14:textId="77777777" w:rsidR="00B80EAE" w:rsidRPr="0092346C" w:rsidRDefault="00B80EAE" w:rsidP="00324D0B">
      <w:pPr>
        <w:rPr>
          <w:b/>
          <w:bCs/>
        </w:rPr>
      </w:pPr>
      <w:r w:rsidRPr="0092346C">
        <w:rPr>
          <w:b/>
          <w:bCs/>
        </w:rPr>
        <w:t xml:space="preserve">Who have you consulted with to assess possible impact on protected groups? If you have not consulted other people, please explain why? </w:t>
      </w:r>
    </w:p>
    <w:p w14:paraId="6B07CA9C" w14:textId="266F6B59" w:rsidR="00B80EAE" w:rsidRPr="00B80EAE" w:rsidRDefault="0092346C" w:rsidP="00E90CB2">
      <w:r>
        <w:t xml:space="preserve">Policy has been </w:t>
      </w:r>
      <w:r w:rsidR="000A4F3A">
        <w:t>shared with</w:t>
      </w:r>
      <w:r w:rsidR="00067400">
        <w:t xml:space="preserve"> </w:t>
      </w:r>
      <w:bookmarkStart w:id="65" w:name="_Hlk170913336"/>
      <w:r w:rsidR="001701B8" w:rsidRPr="00067400">
        <w:t>Director of Finance – Primary Care, Financial Services &amp; Infrastructure</w:t>
      </w:r>
      <w:r w:rsidR="001701B8">
        <w:t xml:space="preserve">, </w:t>
      </w:r>
      <w:r w:rsidR="00067400">
        <w:t xml:space="preserve">Head of </w:t>
      </w:r>
      <w:r w:rsidR="001701B8">
        <w:t>Financial Services</w:t>
      </w:r>
      <w:r w:rsidR="00067400">
        <w:t>, Senior Financial Accountant</w:t>
      </w:r>
      <w:bookmarkEnd w:id="65"/>
      <w:r w:rsidR="006D3D0F">
        <w:t>.</w:t>
      </w:r>
    </w:p>
    <w:p w14:paraId="24F4AE0C" w14:textId="77777777" w:rsidR="00B80EAE" w:rsidRPr="00873D77" w:rsidRDefault="00B80EAE" w:rsidP="00201DAA">
      <w:pPr>
        <w:pStyle w:val="Heading4"/>
      </w:pPr>
      <w:bookmarkStart w:id="66" w:name="_Toc89326558"/>
      <w:r w:rsidRPr="00873D77">
        <w:t xml:space="preserve">Analysis of impact </w:t>
      </w:r>
      <w:r w:rsidRPr="00B80EAE">
        <w:t>on</w:t>
      </w:r>
      <w:r w:rsidRPr="00873D77">
        <w:t xml:space="preserve"> equality</w:t>
      </w:r>
      <w:bookmarkEnd w:id="66"/>
      <w:r w:rsidRPr="00873D77">
        <w:t xml:space="preserve"> </w:t>
      </w:r>
    </w:p>
    <w:p w14:paraId="59C5C113" w14:textId="77777777" w:rsidR="00B80EAE" w:rsidRPr="00873D77" w:rsidRDefault="00B80EAE" w:rsidP="00B80EAE">
      <w:r w:rsidRPr="00873D77">
        <w:t xml:space="preserve">The Public Sector Equality Duty requires us to </w:t>
      </w:r>
      <w:r w:rsidRPr="001148C4">
        <w:rPr>
          <w:b/>
          <w:bCs/>
        </w:rPr>
        <w:t>eliminate</w:t>
      </w:r>
      <w:r w:rsidRPr="00873D77">
        <w:t xml:space="preserve"> discrimination, </w:t>
      </w:r>
      <w:r w:rsidRPr="001148C4">
        <w:rPr>
          <w:b/>
          <w:bCs/>
        </w:rPr>
        <w:t xml:space="preserve">advance </w:t>
      </w:r>
      <w:r w:rsidRPr="00873D77">
        <w:t xml:space="preserve">equality of opportunity and </w:t>
      </w:r>
      <w:r w:rsidRPr="001148C4">
        <w:rPr>
          <w:b/>
          <w:bCs/>
        </w:rPr>
        <w:t>foster</w:t>
      </w:r>
      <w:r w:rsidRPr="00873D77">
        <w:t xml:space="preserve"> good relations with protected groups.</w:t>
      </w:r>
      <w:r>
        <w:t xml:space="preserve"> </w:t>
      </w:r>
      <w:r w:rsidRPr="00873D77">
        <w:t xml:space="preserve">Consider how this policy / service will achieve these aims.  </w:t>
      </w:r>
    </w:p>
    <w:p w14:paraId="128CD105" w14:textId="77777777" w:rsidR="00B80EAE" w:rsidRPr="001148C4" w:rsidRDefault="00B80EAE" w:rsidP="00B80EAE">
      <w:r w:rsidRPr="001148C4">
        <w:t>N.B. In some cases it is legal to treat people differently (objective justification).</w:t>
      </w:r>
    </w:p>
    <w:p w14:paraId="3F3B5B7F" w14:textId="77777777" w:rsidR="00E90CB2" w:rsidRDefault="00E90CB2" w:rsidP="00E90CB2">
      <w:pPr>
        <w:pStyle w:val="ListParagraph"/>
        <w:numPr>
          <w:ilvl w:val="0"/>
          <w:numId w:val="31"/>
        </w:numPr>
        <w:adjustRightInd w:val="0"/>
        <w:spacing w:before="160"/>
        <w:contextualSpacing w:val="0"/>
      </w:pPr>
      <w:r w:rsidRPr="001148C4">
        <w:rPr>
          <w:b/>
          <w:bCs/>
        </w:rPr>
        <w:t>Positive outcome</w:t>
      </w:r>
      <w:r w:rsidRPr="00873D77">
        <w:t xml:space="preserve"> – the policy/service eliminates discrimination, advances equality of opportunity and fosters good relations with protected groups</w:t>
      </w:r>
    </w:p>
    <w:p w14:paraId="6331F731" w14:textId="77777777" w:rsidR="00E90CB2" w:rsidRDefault="00E90CB2" w:rsidP="00E90CB2">
      <w:pPr>
        <w:pStyle w:val="ListParagraph"/>
        <w:numPr>
          <w:ilvl w:val="0"/>
          <w:numId w:val="31"/>
        </w:numPr>
        <w:adjustRightInd w:val="0"/>
        <w:spacing w:before="160"/>
        <w:contextualSpacing w:val="0"/>
      </w:pPr>
      <w:r w:rsidRPr="001148C4">
        <w:rPr>
          <w:b/>
          <w:bCs/>
        </w:rPr>
        <w:t>Negative outcome</w:t>
      </w:r>
      <w:r w:rsidRPr="00873D77">
        <w:t xml:space="preserve"> – protected group(s) could be disadvantaged or discriminated against</w:t>
      </w:r>
    </w:p>
    <w:p w14:paraId="0EE50DC3" w14:textId="77777777" w:rsidR="00D627A4" w:rsidRDefault="00E90CB2" w:rsidP="00D627A4">
      <w:pPr>
        <w:pStyle w:val="ListParagraph"/>
        <w:numPr>
          <w:ilvl w:val="0"/>
          <w:numId w:val="31"/>
        </w:numPr>
        <w:adjustRightInd w:val="0"/>
        <w:spacing w:before="160"/>
        <w:contextualSpacing w:val="0"/>
      </w:pPr>
      <w:r w:rsidRPr="001148C4">
        <w:rPr>
          <w:b/>
          <w:bCs/>
        </w:rPr>
        <w:lastRenderedPageBreak/>
        <w:t>Neutral outcome</w:t>
      </w:r>
      <w:r w:rsidRPr="00873D77">
        <w:t xml:space="preserve"> – there is no effect currently on protected groups</w:t>
      </w:r>
    </w:p>
    <w:p w14:paraId="32364150" w14:textId="232A3D05" w:rsidR="00781F15" w:rsidRDefault="00781F15" w:rsidP="008C4D49">
      <w:pPr>
        <w:spacing w:before="0" w:after="0"/>
        <w:ind w:left="0"/>
      </w:pPr>
      <w:r>
        <w:br w:type="page"/>
      </w:r>
      <w:r w:rsidR="00E90CB2" w:rsidRPr="00873D77">
        <w:lastRenderedPageBreak/>
        <w:t>Please tick to show if outcome is likely to be positive, negative or neutral</w:t>
      </w:r>
      <w:r>
        <w:t>. Please fill all boxes, any that aren’t applicable enter N/A.</w:t>
      </w:r>
    </w:p>
    <w:p w14:paraId="6674746D" w14:textId="77777777" w:rsidR="00E90CB2" w:rsidRDefault="00E90CB2" w:rsidP="00781F15">
      <w:pPr>
        <w:ind w:left="0"/>
      </w:pPr>
      <w:r w:rsidRPr="00873D77">
        <w:t>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259"/>
        <w:gridCol w:w="1174"/>
        <w:gridCol w:w="1176"/>
        <w:gridCol w:w="1176"/>
        <w:gridCol w:w="3231"/>
      </w:tblGrid>
      <w:tr w:rsidR="00E90CB2" w:rsidRPr="00615058" w14:paraId="5F40F284" w14:textId="77777777" w:rsidTr="00843CF9">
        <w:trPr>
          <w:cantSplit/>
          <w:trHeight w:val="841"/>
          <w:tblHeader/>
        </w:trPr>
        <w:tc>
          <w:tcPr>
            <w:tcW w:w="125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CA355B0" w14:textId="77777777" w:rsidR="00E90CB2" w:rsidRPr="00615058" w:rsidRDefault="00E90CB2" w:rsidP="00343B2B">
            <w:pPr>
              <w:pStyle w:val="NoSpacing"/>
              <w:rPr>
                <w:color w:val="FFFFFF" w:themeColor="background1"/>
              </w:rPr>
            </w:pPr>
            <w:r w:rsidRPr="00615058">
              <w:rPr>
                <w:color w:val="FFFFFF" w:themeColor="background1"/>
              </w:rPr>
              <w:t>Protected</w:t>
            </w:r>
          </w:p>
          <w:p w14:paraId="411AFD7B" w14:textId="77777777" w:rsidR="00E90CB2" w:rsidRPr="00615058" w:rsidRDefault="00E90CB2" w:rsidP="00343B2B">
            <w:pPr>
              <w:pStyle w:val="NoSpacing"/>
              <w:rPr>
                <w:color w:val="FFFFFF" w:themeColor="background1"/>
              </w:rPr>
            </w:pPr>
            <w:r w:rsidRPr="00615058">
              <w:rPr>
                <w:color w:val="FFFFFF" w:themeColor="background1"/>
              </w:rPr>
              <w:t>Group</w:t>
            </w:r>
          </w:p>
        </w:tc>
        <w:tc>
          <w:tcPr>
            <w:tcW w:w="65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37B2888" w14:textId="77777777" w:rsidR="00E90CB2" w:rsidRPr="00615058" w:rsidRDefault="00E90CB2" w:rsidP="00343B2B">
            <w:pPr>
              <w:pStyle w:val="NoSpacing"/>
              <w:rPr>
                <w:color w:val="FFFFFF" w:themeColor="background1"/>
              </w:rPr>
            </w:pPr>
            <w:r w:rsidRPr="00615058">
              <w:rPr>
                <w:color w:val="FFFFFF" w:themeColor="background1"/>
              </w:rPr>
              <w:t>Positive</w:t>
            </w:r>
          </w:p>
          <w:p w14:paraId="66CEC2DE" w14:textId="77777777" w:rsidR="00E90CB2" w:rsidRPr="00615058" w:rsidRDefault="00E90CB2" w:rsidP="00343B2B">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516BA35" w14:textId="77777777" w:rsidR="00E90CB2" w:rsidRPr="00615058" w:rsidRDefault="00E90CB2" w:rsidP="00343B2B">
            <w:pPr>
              <w:pStyle w:val="NoSpacing"/>
              <w:rPr>
                <w:color w:val="FFFFFF" w:themeColor="background1"/>
              </w:rPr>
            </w:pPr>
            <w:r w:rsidRPr="00615058">
              <w:rPr>
                <w:color w:val="FFFFFF" w:themeColor="background1"/>
              </w:rPr>
              <w:t>Negative</w:t>
            </w:r>
          </w:p>
          <w:p w14:paraId="73F24AE2" w14:textId="77777777" w:rsidR="00E90CB2" w:rsidRPr="00615058" w:rsidRDefault="00E90CB2" w:rsidP="00343B2B">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12FB2D1" w14:textId="77777777" w:rsidR="00E90CB2" w:rsidRPr="00615058" w:rsidRDefault="00E90CB2" w:rsidP="00343B2B">
            <w:pPr>
              <w:pStyle w:val="NoSpacing"/>
              <w:rPr>
                <w:color w:val="FFFFFF" w:themeColor="background1"/>
              </w:rPr>
            </w:pPr>
            <w:r w:rsidRPr="00615058">
              <w:rPr>
                <w:color w:val="FFFFFF" w:themeColor="background1"/>
              </w:rPr>
              <w:t>Neutral</w:t>
            </w:r>
          </w:p>
          <w:p w14:paraId="0DEBD95D" w14:textId="77777777" w:rsidR="00E90CB2" w:rsidRPr="00615058" w:rsidRDefault="00E90CB2" w:rsidP="00343B2B">
            <w:pPr>
              <w:pStyle w:val="NoSpacing"/>
              <w:rPr>
                <w:color w:val="FFFFFF" w:themeColor="background1"/>
              </w:rPr>
            </w:pPr>
            <w:r w:rsidRPr="00615058">
              <w:rPr>
                <w:color w:val="FFFFFF" w:themeColor="background1"/>
              </w:rPr>
              <w:t>outcome</w:t>
            </w:r>
          </w:p>
        </w:tc>
        <w:tc>
          <w:tcPr>
            <w:tcW w:w="179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BFE8BAB" w14:textId="77777777" w:rsidR="00E90CB2" w:rsidRPr="00615058" w:rsidRDefault="00E90CB2" w:rsidP="00343B2B">
            <w:pPr>
              <w:pStyle w:val="NoSpacing"/>
              <w:rPr>
                <w:rFonts w:cs="Arial"/>
                <w:color w:val="FFFFFF" w:themeColor="background1"/>
              </w:rPr>
            </w:pPr>
            <w:bookmarkStart w:id="67" w:name="_Toc168389175"/>
            <w:r w:rsidRPr="00615058">
              <w:rPr>
                <w:rFonts w:cs="Arial"/>
                <w:color w:val="FFFFFF" w:themeColor="background1"/>
              </w:rPr>
              <w:t xml:space="preserve">Reason(s) for </w:t>
            </w:r>
            <w:bookmarkEnd w:id="67"/>
            <w:r w:rsidRPr="00615058">
              <w:rPr>
                <w:rFonts w:cs="Arial"/>
                <w:color w:val="FFFFFF" w:themeColor="background1"/>
              </w:rPr>
              <w:t>outcome</w:t>
            </w:r>
          </w:p>
        </w:tc>
      </w:tr>
      <w:tr w:rsidR="00E90CB2" w:rsidRPr="00F26504" w14:paraId="4A48AAFC"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59A49229" w14:textId="77777777" w:rsidR="00E90CB2" w:rsidRPr="00F26504" w:rsidRDefault="00E90CB2" w:rsidP="003771EC">
            <w:pPr>
              <w:pStyle w:val="NoSpacing"/>
            </w:pPr>
            <w:r w:rsidRPr="00F26504">
              <w:t>Age</w:t>
            </w:r>
          </w:p>
        </w:tc>
        <w:tc>
          <w:tcPr>
            <w:tcW w:w="651" w:type="pct"/>
            <w:tcBorders>
              <w:top w:val="single" w:sz="4" w:space="0" w:color="auto"/>
              <w:left w:val="single" w:sz="4" w:space="0" w:color="auto"/>
              <w:bottom w:val="single" w:sz="4" w:space="0" w:color="auto"/>
              <w:right w:val="single" w:sz="4" w:space="0" w:color="auto"/>
            </w:tcBorders>
            <w:vAlign w:val="center"/>
          </w:tcPr>
          <w:p w14:paraId="1988116E"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41156F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8422FCC" w14:textId="6E92A337" w:rsidR="00E90CB2" w:rsidRPr="00F26504" w:rsidRDefault="00784C95" w:rsidP="00784C95">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1E309ECC" w14:textId="7E9172C9" w:rsidR="00E90CB2" w:rsidRPr="00F26504" w:rsidRDefault="00751B62" w:rsidP="003771EC">
            <w:pPr>
              <w:pStyle w:val="NoSpacing"/>
            </w:pPr>
            <w:r>
              <w:t>No impact identified</w:t>
            </w:r>
          </w:p>
        </w:tc>
      </w:tr>
      <w:tr w:rsidR="00E90CB2" w:rsidRPr="00F26504" w14:paraId="575C2366"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0D46C32" w14:textId="77777777" w:rsidR="00E90CB2" w:rsidRDefault="00E90CB2" w:rsidP="003771EC">
            <w:pPr>
              <w:pStyle w:val="NoSpacing"/>
            </w:pPr>
            <w:r w:rsidRPr="00F26504">
              <w:t>Disability</w:t>
            </w:r>
          </w:p>
          <w:p w14:paraId="5047B485" w14:textId="77777777" w:rsidR="00E90CB2" w:rsidRPr="00F26504" w:rsidRDefault="00E90CB2" w:rsidP="003771EC">
            <w:pPr>
              <w:pStyle w:val="NoSpacing"/>
            </w:pPr>
            <w:r>
              <w:t>(Physical and Mental/Learning)</w:t>
            </w:r>
          </w:p>
        </w:tc>
        <w:tc>
          <w:tcPr>
            <w:tcW w:w="651" w:type="pct"/>
            <w:tcBorders>
              <w:top w:val="single" w:sz="4" w:space="0" w:color="auto"/>
              <w:left w:val="single" w:sz="4" w:space="0" w:color="auto"/>
              <w:bottom w:val="single" w:sz="4" w:space="0" w:color="auto"/>
              <w:right w:val="single" w:sz="4" w:space="0" w:color="auto"/>
            </w:tcBorders>
            <w:vAlign w:val="center"/>
          </w:tcPr>
          <w:p w14:paraId="69E543E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B6B0336"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366DF9E" w14:textId="7E94D5B8" w:rsidR="00E90CB2" w:rsidRPr="00F26504" w:rsidRDefault="0033682D" w:rsidP="00284367">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4C9DA8A8" w14:textId="33DAB96B" w:rsidR="00E90CB2" w:rsidRPr="00F26504" w:rsidRDefault="006A794C" w:rsidP="003771EC">
            <w:pPr>
              <w:pStyle w:val="NoSpacing"/>
            </w:pPr>
            <w:r w:rsidRPr="00071E3C">
              <w:rPr>
                <w:rFonts w:eastAsia="Times New Roman" w:cs="Arial"/>
                <w:lang w:eastAsia="en-US"/>
              </w:rPr>
              <w:t>No impact identified.  The policy will be made available in alternative formats, such as easy read or large print and alternative languages upon request</w:t>
            </w:r>
          </w:p>
        </w:tc>
      </w:tr>
      <w:tr w:rsidR="00E90CB2" w:rsidRPr="00F26504" w14:paraId="29F65659"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4C6EF41" w14:textId="77777777" w:rsidR="00E90CB2" w:rsidRPr="00F26504" w:rsidRDefault="00E90CB2" w:rsidP="003771EC">
            <w:pPr>
              <w:pStyle w:val="NoSpacing"/>
            </w:pPr>
            <w:r>
              <w:t>Religion</w:t>
            </w:r>
            <w:r w:rsidRPr="00F26504">
              <w:t xml:space="preserve"> </w:t>
            </w:r>
            <w:r>
              <w:t>or</w:t>
            </w:r>
            <w:r w:rsidRPr="00F26504">
              <w:t xml:space="preserve"> </w:t>
            </w:r>
            <w:r>
              <w:t>b</w:t>
            </w:r>
            <w:r w:rsidRPr="00F26504">
              <w:t>elief</w:t>
            </w:r>
          </w:p>
        </w:tc>
        <w:tc>
          <w:tcPr>
            <w:tcW w:w="651" w:type="pct"/>
            <w:tcBorders>
              <w:top w:val="single" w:sz="4" w:space="0" w:color="auto"/>
              <w:left w:val="single" w:sz="4" w:space="0" w:color="auto"/>
              <w:bottom w:val="single" w:sz="4" w:space="0" w:color="auto"/>
              <w:right w:val="single" w:sz="4" w:space="0" w:color="auto"/>
            </w:tcBorders>
            <w:vAlign w:val="center"/>
          </w:tcPr>
          <w:p w14:paraId="5ED53301"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4129584"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7FEAEDC" w14:textId="2B5C5E98"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108719D2" w14:textId="1A5BFD6A" w:rsidR="00E90CB2" w:rsidRPr="00F26504" w:rsidRDefault="006A794C" w:rsidP="003771EC">
            <w:pPr>
              <w:pStyle w:val="NoSpacing"/>
            </w:pPr>
            <w:r>
              <w:t>No impact identified</w:t>
            </w:r>
          </w:p>
        </w:tc>
      </w:tr>
      <w:tr w:rsidR="00E90CB2" w:rsidRPr="00F26504" w14:paraId="26AAC7DF"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A5B4BA0" w14:textId="77777777" w:rsidR="00E90CB2" w:rsidRPr="00F26504" w:rsidRDefault="00E90CB2" w:rsidP="003771EC">
            <w:pPr>
              <w:pStyle w:val="NoSpacing"/>
            </w:pPr>
            <w:r>
              <w:t>Sex (Gender)</w:t>
            </w:r>
          </w:p>
        </w:tc>
        <w:tc>
          <w:tcPr>
            <w:tcW w:w="651" w:type="pct"/>
            <w:tcBorders>
              <w:top w:val="single" w:sz="4" w:space="0" w:color="auto"/>
              <w:left w:val="single" w:sz="4" w:space="0" w:color="auto"/>
              <w:bottom w:val="single" w:sz="4" w:space="0" w:color="auto"/>
              <w:right w:val="single" w:sz="4" w:space="0" w:color="auto"/>
            </w:tcBorders>
            <w:vAlign w:val="center"/>
          </w:tcPr>
          <w:p w14:paraId="4B713B46"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1FBD9D3"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5E054FC" w14:textId="3E46893C"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4A291F83" w14:textId="045E7ACA" w:rsidR="00E90CB2" w:rsidRPr="00F26504" w:rsidRDefault="006A794C" w:rsidP="003771EC">
            <w:pPr>
              <w:pStyle w:val="NoSpacing"/>
            </w:pPr>
            <w:r>
              <w:t>No impact identified</w:t>
            </w:r>
          </w:p>
        </w:tc>
      </w:tr>
      <w:tr w:rsidR="00E90CB2" w:rsidRPr="00F26504" w14:paraId="760BA9A2"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0C28358" w14:textId="77777777" w:rsidR="00E90CB2" w:rsidRPr="00F26504" w:rsidRDefault="00E90CB2" w:rsidP="003771EC">
            <w:pPr>
              <w:pStyle w:val="NoSpacing"/>
            </w:pPr>
            <w:r w:rsidRPr="00F26504">
              <w:t xml:space="preserve">Sexual </w:t>
            </w:r>
          </w:p>
          <w:p w14:paraId="41356577" w14:textId="77777777" w:rsidR="00E90CB2" w:rsidRPr="00F26504" w:rsidRDefault="00E90CB2" w:rsidP="003771EC">
            <w:pPr>
              <w:pStyle w:val="NoSpacing"/>
            </w:pPr>
            <w:r w:rsidRPr="00F26504">
              <w:t>Orientation</w:t>
            </w:r>
          </w:p>
        </w:tc>
        <w:tc>
          <w:tcPr>
            <w:tcW w:w="651" w:type="pct"/>
            <w:tcBorders>
              <w:top w:val="single" w:sz="4" w:space="0" w:color="auto"/>
              <w:left w:val="single" w:sz="4" w:space="0" w:color="auto"/>
              <w:bottom w:val="single" w:sz="4" w:space="0" w:color="auto"/>
              <w:right w:val="single" w:sz="4" w:space="0" w:color="auto"/>
            </w:tcBorders>
            <w:vAlign w:val="center"/>
          </w:tcPr>
          <w:p w14:paraId="38825D4D"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C421475"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E17C345" w14:textId="39B5B587"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40AADDCC" w14:textId="4F886204" w:rsidR="00E90CB2" w:rsidRPr="00F26504" w:rsidRDefault="006A794C" w:rsidP="003771EC">
            <w:pPr>
              <w:pStyle w:val="NoSpacing"/>
            </w:pPr>
            <w:r>
              <w:t>No impact identified</w:t>
            </w:r>
          </w:p>
        </w:tc>
      </w:tr>
      <w:tr w:rsidR="00E90CB2" w:rsidRPr="00F26504" w14:paraId="499FA406"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3877937A" w14:textId="77777777" w:rsidR="00E90CB2" w:rsidRPr="00F26504" w:rsidRDefault="00E90CB2" w:rsidP="003771EC">
            <w:pPr>
              <w:pStyle w:val="NoSpacing"/>
            </w:pPr>
            <w:r>
              <w:t>Transgender/Gender Reassignment</w:t>
            </w:r>
          </w:p>
        </w:tc>
        <w:tc>
          <w:tcPr>
            <w:tcW w:w="651" w:type="pct"/>
            <w:tcBorders>
              <w:top w:val="single" w:sz="4" w:space="0" w:color="auto"/>
              <w:left w:val="single" w:sz="4" w:space="0" w:color="auto"/>
              <w:bottom w:val="single" w:sz="4" w:space="0" w:color="auto"/>
              <w:right w:val="single" w:sz="4" w:space="0" w:color="auto"/>
            </w:tcBorders>
            <w:vAlign w:val="center"/>
          </w:tcPr>
          <w:p w14:paraId="5E619140"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00E2D99"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AF82F42" w14:textId="7326B2E8"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3E39C74D" w14:textId="26868D52" w:rsidR="00E90CB2" w:rsidRPr="00F26504" w:rsidRDefault="006A794C" w:rsidP="003771EC">
            <w:pPr>
              <w:pStyle w:val="NoSpacing"/>
            </w:pPr>
            <w:r>
              <w:t>No impact identified</w:t>
            </w:r>
          </w:p>
        </w:tc>
      </w:tr>
      <w:tr w:rsidR="00E90CB2" w:rsidRPr="00F26504" w14:paraId="70D80FD0"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C6445DC" w14:textId="77777777" w:rsidR="00E90CB2" w:rsidRPr="00F26504" w:rsidRDefault="00E90CB2" w:rsidP="003771EC">
            <w:pPr>
              <w:pStyle w:val="NoSpacing"/>
            </w:pPr>
            <w:r>
              <w:t>Race and ethnicity</w:t>
            </w:r>
          </w:p>
        </w:tc>
        <w:tc>
          <w:tcPr>
            <w:tcW w:w="651" w:type="pct"/>
            <w:tcBorders>
              <w:top w:val="single" w:sz="4" w:space="0" w:color="auto"/>
              <w:left w:val="single" w:sz="4" w:space="0" w:color="auto"/>
              <w:bottom w:val="single" w:sz="4" w:space="0" w:color="auto"/>
              <w:right w:val="single" w:sz="4" w:space="0" w:color="auto"/>
            </w:tcBorders>
            <w:vAlign w:val="center"/>
          </w:tcPr>
          <w:p w14:paraId="7DD8CDED"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161087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28E9161" w14:textId="1985A450"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326BE90B" w14:textId="2B439C3D" w:rsidR="00E90CB2" w:rsidRPr="00F26504" w:rsidRDefault="006A794C" w:rsidP="003771EC">
            <w:pPr>
              <w:pStyle w:val="NoSpacing"/>
            </w:pPr>
            <w:r w:rsidRPr="00071E3C">
              <w:rPr>
                <w:rFonts w:eastAsia="Times New Roman" w:cs="Arial"/>
                <w:lang w:eastAsia="en-US"/>
              </w:rPr>
              <w:t>No impact identified.  The policy will be made available in alternative formats, such as easy read or large print and alternative languages upon request</w:t>
            </w:r>
          </w:p>
        </w:tc>
      </w:tr>
      <w:tr w:rsidR="00E90CB2" w:rsidRPr="00F26504" w14:paraId="551CFC98" w14:textId="77777777" w:rsidTr="00843CF9">
        <w:trPr>
          <w:trHeight w:val="1686"/>
        </w:trPr>
        <w:tc>
          <w:tcPr>
            <w:tcW w:w="1253" w:type="pct"/>
            <w:tcBorders>
              <w:top w:val="single" w:sz="4" w:space="0" w:color="auto"/>
              <w:left w:val="single" w:sz="4" w:space="0" w:color="auto"/>
              <w:bottom w:val="single" w:sz="4" w:space="0" w:color="auto"/>
              <w:right w:val="single" w:sz="4" w:space="0" w:color="auto"/>
            </w:tcBorders>
            <w:vAlign w:val="center"/>
          </w:tcPr>
          <w:p w14:paraId="2BE394B0" w14:textId="77777777" w:rsidR="00E90CB2" w:rsidRPr="00427866" w:rsidRDefault="00E90CB2" w:rsidP="003771EC">
            <w:pPr>
              <w:pStyle w:val="NoSpacing"/>
              <w:rPr>
                <w:rFonts w:cs="Arial"/>
              </w:rPr>
            </w:pPr>
            <w:r w:rsidRPr="00427866">
              <w:rPr>
                <w:rFonts w:cs="Arial"/>
              </w:rPr>
              <w:t>Pregnancy and maternity</w:t>
            </w:r>
            <w:r>
              <w:rPr>
                <w:rFonts w:cs="Arial"/>
              </w:rPr>
              <w:t xml:space="preserve"> (including breastfeeding mothers)</w:t>
            </w:r>
          </w:p>
        </w:tc>
        <w:tc>
          <w:tcPr>
            <w:tcW w:w="651" w:type="pct"/>
            <w:tcBorders>
              <w:top w:val="single" w:sz="4" w:space="0" w:color="auto"/>
              <w:left w:val="single" w:sz="4" w:space="0" w:color="auto"/>
              <w:bottom w:val="single" w:sz="4" w:space="0" w:color="auto"/>
              <w:right w:val="single" w:sz="4" w:space="0" w:color="auto"/>
            </w:tcBorders>
            <w:vAlign w:val="center"/>
          </w:tcPr>
          <w:p w14:paraId="54CBF861"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0049647"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B05F0FE" w14:textId="51042063" w:rsidR="00E90CB2" w:rsidRPr="00F26504" w:rsidRDefault="000F1ABF" w:rsidP="000F1ABF">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6DFB19E3" w14:textId="399A0502" w:rsidR="00E90CB2" w:rsidRPr="00F26504" w:rsidRDefault="000F1ABF" w:rsidP="003771EC">
            <w:pPr>
              <w:pStyle w:val="NoSpacing"/>
            </w:pPr>
            <w:r>
              <w:t>No impact identified</w:t>
            </w:r>
          </w:p>
        </w:tc>
      </w:tr>
      <w:tr w:rsidR="00E90CB2" w:rsidRPr="00F26504" w14:paraId="79074D22" w14:textId="77777777" w:rsidTr="00EB44FF">
        <w:trPr>
          <w:cantSplit/>
          <w:trHeight w:val="1134"/>
        </w:trPr>
        <w:tc>
          <w:tcPr>
            <w:tcW w:w="1253" w:type="pct"/>
            <w:tcBorders>
              <w:top w:val="single" w:sz="4" w:space="0" w:color="auto"/>
              <w:left w:val="single" w:sz="4" w:space="0" w:color="auto"/>
              <w:bottom w:val="single" w:sz="4" w:space="0" w:color="auto"/>
              <w:right w:val="single" w:sz="4" w:space="0" w:color="auto"/>
            </w:tcBorders>
            <w:vAlign w:val="center"/>
          </w:tcPr>
          <w:p w14:paraId="5413390C" w14:textId="77777777" w:rsidR="00E90CB2" w:rsidRPr="00427866" w:rsidRDefault="00E90CB2" w:rsidP="003771EC">
            <w:pPr>
              <w:pStyle w:val="NoSpacing"/>
              <w:rPr>
                <w:rFonts w:cs="Arial"/>
              </w:rPr>
            </w:pPr>
            <w:r>
              <w:rPr>
                <w:rFonts w:cs="Arial"/>
              </w:rPr>
              <w:t>Marriage or Civil Partnership</w:t>
            </w:r>
          </w:p>
        </w:tc>
        <w:tc>
          <w:tcPr>
            <w:tcW w:w="651" w:type="pct"/>
            <w:tcBorders>
              <w:top w:val="single" w:sz="4" w:space="0" w:color="auto"/>
              <w:left w:val="single" w:sz="4" w:space="0" w:color="auto"/>
              <w:bottom w:val="single" w:sz="4" w:space="0" w:color="auto"/>
              <w:right w:val="single" w:sz="4" w:space="0" w:color="auto"/>
            </w:tcBorders>
            <w:vAlign w:val="center"/>
          </w:tcPr>
          <w:p w14:paraId="0080556F"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65A2F2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CCFF556" w14:textId="207D64AB" w:rsidR="00E90CB2" w:rsidRPr="00F26504" w:rsidRDefault="000F1ABF" w:rsidP="000F1ABF">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3103C773" w14:textId="31B21BE6" w:rsidR="00E90CB2" w:rsidRPr="00F26504" w:rsidRDefault="000F1ABF" w:rsidP="003771EC">
            <w:pPr>
              <w:pStyle w:val="NoSpacing"/>
            </w:pPr>
            <w:r>
              <w:t>No impact identified</w:t>
            </w:r>
          </w:p>
        </w:tc>
      </w:tr>
    </w:tbl>
    <w:p w14:paraId="7B528381" w14:textId="67CE1695" w:rsidR="00D9038F" w:rsidRPr="00182901" w:rsidRDefault="00781F15" w:rsidP="00DF1477">
      <w:pPr>
        <w:spacing w:before="0" w:after="0"/>
        <w:ind w:left="0"/>
      </w:pPr>
      <w:bookmarkStart w:id="68" w:name="_Toc89326559"/>
      <w:r>
        <w:br w:type="page"/>
      </w:r>
      <w:r w:rsidR="00D9038F" w:rsidRPr="00873D77">
        <w:lastRenderedPageBreak/>
        <w:t xml:space="preserve">Monitoring </w:t>
      </w:r>
      <w:r w:rsidR="00D9038F" w:rsidRPr="00D9038F">
        <w:t>Outcomes</w:t>
      </w:r>
      <w:bookmarkEnd w:id="68"/>
    </w:p>
    <w:p w14:paraId="278BD9B6" w14:textId="77777777" w:rsidR="00D9038F" w:rsidRDefault="00D9038F" w:rsidP="00741D9B">
      <w:pPr>
        <w:ind w:left="0"/>
      </w:pPr>
      <w:r w:rsidRPr="00873D77">
        <w:t>Monitoring is an ongoing process to check outcomes. It is different from a formal review which takes place at pre-agreed intervals.</w:t>
      </w:r>
    </w:p>
    <w:p w14:paraId="3B2BD9AF" w14:textId="77777777" w:rsidR="00D9038F" w:rsidRPr="000968DD" w:rsidRDefault="00D9038F" w:rsidP="00741D9B">
      <w:pPr>
        <w:ind w:left="0"/>
        <w:rPr>
          <w:b/>
          <w:bCs/>
        </w:rPr>
      </w:pPr>
      <w:r w:rsidRPr="000968DD">
        <w:rPr>
          <w:b/>
          <w:bCs/>
        </w:rPr>
        <w:t>What methods will you use to monitor outcomes on protected groups?</w:t>
      </w:r>
    </w:p>
    <w:p w14:paraId="1C4ADBC1" w14:textId="24AF6192" w:rsidR="00D9038F" w:rsidRPr="00873D77" w:rsidRDefault="0028471F" w:rsidP="00741D9B">
      <w:pPr>
        <w:ind w:left="0"/>
      </w:pPr>
      <w:r>
        <w:t>Regular review of policy.</w:t>
      </w:r>
    </w:p>
    <w:p w14:paraId="7EDD3208" w14:textId="77777777" w:rsidR="00D9038F" w:rsidRPr="00873D77" w:rsidRDefault="00D9038F" w:rsidP="00201DAA">
      <w:pPr>
        <w:pStyle w:val="Heading4"/>
      </w:pPr>
      <w:bookmarkStart w:id="69" w:name="_Toc89326560"/>
      <w:r w:rsidRPr="00D9038F">
        <w:t>Review</w:t>
      </w:r>
      <w:bookmarkEnd w:id="69"/>
    </w:p>
    <w:p w14:paraId="06D56295" w14:textId="77777777" w:rsidR="00D9038F" w:rsidRPr="000968DD" w:rsidRDefault="00D9038F" w:rsidP="00741D9B">
      <w:pPr>
        <w:ind w:left="0"/>
        <w:rPr>
          <w:b/>
          <w:bCs/>
        </w:rPr>
      </w:pPr>
      <w:r w:rsidRPr="000968DD">
        <w:rPr>
          <w:b/>
          <w:bCs/>
        </w:rPr>
        <w:t xml:space="preserve">How often will you review this policy / service? </w:t>
      </w:r>
      <w:r w:rsidRPr="000968DD">
        <w:rPr>
          <w:b/>
          <w:bCs/>
        </w:rPr>
        <w:br/>
        <w:t>(Minimum every three years)</w:t>
      </w:r>
    </w:p>
    <w:p w14:paraId="4333A367" w14:textId="0B95C205" w:rsidR="00D9038F" w:rsidRPr="00873D77" w:rsidRDefault="00096152" w:rsidP="00741D9B">
      <w:pPr>
        <w:ind w:left="0"/>
      </w:pPr>
      <w:r w:rsidRPr="00071E3C">
        <w:rPr>
          <w:rFonts w:eastAsia="Times New Roman" w:cs="Arial"/>
          <w:bCs/>
        </w:rPr>
        <w:t>Every 2 years as a minimum and earlier if there are any significant changes in legislation, policy or good practice</w:t>
      </w:r>
      <w:r>
        <w:rPr>
          <w:rFonts w:eastAsia="Times New Roman" w:cs="Arial"/>
          <w:bCs/>
        </w:rPr>
        <w:t>.</w:t>
      </w:r>
    </w:p>
    <w:p w14:paraId="2F1085E1" w14:textId="77777777" w:rsidR="00D9038F" w:rsidRPr="000968DD" w:rsidRDefault="00D9038F" w:rsidP="00741D9B">
      <w:pPr>
        <w:ind w:left="0"/>
        <w:rPr>
          <w:b/>
          <w:bCs/>
        </w:rPr>
      </w:pPr>
      <w:r w:rsidRPr="000968DD">
        <w:rPr>
          <w:b/>
          <w:bCs/>
        </w:rPr>
        <w:t>If a review process is not in place, what plans do you have to establish one?</w:t>
      </w:r>
    </w:p>
    <w:p w14:paraId="38614A76" w14:textId="666B14E4" w:rsidR="00201DAA" w:rsidRPr="00FD2B5D" w:rsidRDefault="00096152" w:rsidP="00DF1477">
      <w:pPr>
        <w:ind w:left="0"/>
      </w:pPr>
      <w:r>
        <w:t>N/A</w:t>
      </w:r>
    </w:p>
    <w:sectPr w:rsidR="00201DAA" w:rsidRPr="00FD2B5D" w:rsidSect="00925B11">
      <w:headerReference w:type="default" r:id="rId15"/>
      <w:footerReference w:type="default" r:id="rId16"/>
      <w:headerReference w:type="first" r:id="rId17"/>
      <w:pgSz w:w="11906" w:h="16838"/>
      <w:pgMar w:top="1985" w:right="1440" w:bottom="1797" w:left="1440" w:header="72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157E2" w14:textId="77777777" w:rsidR="00CA4E62" w:rsidRDefault="00CA4E62" w:rsidP="00EB783D">
      <w:pPr>
        <w:spacing w:before="0" w:after="0"/>
      </w:pPr>
      <w:r>
        <w:separator/>
      </w:r>
    </w:p>
  </w:endnote>
  <w:endnote w:type="continuationSeparator" w:id="0">
    <w:p w14:paraId="5F7A39AF" w14:textId="77777777" w:rsidR="00CA4E62" w:rsidRDefault="00CA4E62"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068C9C11" w:rsidR="00EB783D" w:rsidRPr="00A91472" w:rsidRDefault="00000000"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Content>
        <w:r w:rsidR="00032EA6">
          <w:t>Accounting &amp; Financial Management V2.0</w:t>
        </w:r>
      </w:sdtContent>
    </w:sdt>
    <w:r w:rsidR="00EB783D" w:rsidRPr="00C1239F">
      <w:tab/>
    </w:r>
    <w:r w:rsidR="00EB783D" w:rsidRPr="00C1239F">
      <w:tab/>
    </w:r>
    <w:r w:rsidR="00EB783D" w:rsidRPr="00C90341">
      <w:t xml:space="preserve">Page </w:t>
    </w:r>
    <w:r w:rsidR="00EB783D" w:rsidRPr="00C90341">
      <w:fldChar w:fldCharType="begin"/>
    </w:r>
    <w:r w:rsidR="00EB783D" w:rsidRPr="00C90341">
      <w:instrText xml:space="preserve"> PAGE </w:instrText>
    </w:r>
    <w:r w:rsidR="00EB783D" w:rsidRPr="00C90341">
      <w:fldChar w:fldCharType="separate"/>
    </w:r>
    <w:r w:rsidR="00EB783D">
      <w:t>2</w:t>
    </w:r>
    <w:r w:rsidR="00EB783D" w:rsidRPr="00C90341">
      <w:fldChar w:fldCharType="end"/>
    </w:r>
    <w:r w:rsidR="00EB783D" w:rsidRPr="00C90341">
      <w:t xml:space="preserve"> of </w:t>
    </w:r>
    <w:fldSimple w:instr=" NUMPAGES ">
      <w:r w:rsidR="00EB783D">
        <w:t>11</w:t>
      </w:r>
    </w:fldSimple>
  </w:p>
  <w:p w14:paraId="387B9B1B" w14:textId="77777777" w:rsidR="00EB783D" w:rsidRDefault="00EB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3387" w14:textId="77777777" w:rsidR="00CA4E62" w:rsidRDefault="00CA4E62" w:rsidP="00EB783D">
      <w:pPr>
        <w:spacing w:before="0" w:after="0"/>
      </w:pPr>
      <w:r>
        <w:separator/>
      </w:r>
    </w:p>
  </w:footnote>
  <w:footnote w:type="continuationSeparator" w:id="0">
    <w:p w14:paraId="22E0BF9C" w14:textId="77777777" w:rsidR="00CA4E62" w:rsidRDefault="00CA4E62"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0BB3126E" w:rsidR="00EB783D" w:rsidRDefault="00EB783D"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3358B9E4" w:rsidR="00186694" w:rsidRPr="00925B11" w:rsidRDefault="00925B11" w:rsidP="00925B11">
    <w:pPr>
      <w:pStyle w:val="Header"/>
      <w:ind w:left="90"/>
    </w:pPr>
    <w:r>
      <w:rPr>
        <w:noProof/>
      </w:rPr>
      <w:drawing>
        <wp:inline distT="0" distB="0" distL="0" distR="0" wp14:anchorId="6DE03E03" wp14:editId="7B8BF32D">
          <wp:extent cx="5772647" cy="779227"/>
          <wp:effectExtent l="0" t="0" r="0" b="1905"/>
          <wp:docPr id="4" name="Group 3"/>
          <wp:cNvGraphicFramePr/>
          <a:graphic xmlns:a="http://schemas.openxmlformats.org/drawingml/2006/main">
            <a:graphicData uri="http://schemas.openxmlformats.org/drawingml/2006/picture">
              <pic:pic xmlns:pic="http://schemas.openxmlformats.org/drawingml/2006/picture">
                <pic:nvPicPr>
                  <pic:cNvPr id="4" name="Group 3"/>
                  <pic:cNvPicPr/>
                </pic:nvPicPr>
                <pic:blipFill>
                  <a:blip r:embed="rId1">
                    <a:extLst>
                      <a:ext uri="{28A0092B-C50C-407E-A947-70E740481C1C}">
                        <a14:useLocalDpi xmlns:a14="http://schemas.microsoft.com/office/drawing/2010/main" val="0"/>
                      </a:ext>
                    </a:extLst>
                  </a:blip>
                  <a:srcRect r="-64"/>
                  <a:stretch>
                    <a:fillRect/>
                  </a:stretch>
                </pic:blipFill>
                <pic:spPr bwMode="auto">
                  <a:xfrm>
                    <a:off x="0" y="0"/>
                    <a:ext cx="5794681" cy="78220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F6D7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65820"/>
    <w:multiLevelType w:val="hybridMultilevel"/>
    <w:tmpl w:val="3A98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0533A0"/>
    <w:multiLevelType w:val="hybridMultilevel"/>
    <w:tmpl w:val="8610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1276"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571347F"/>
    <w:multiLevelType w:val="hybridMultilevel"/>
    <w:tmpl w:val="7890A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2B951EC7"/>
    <w:multiLevelType w:val="multilevel"/>
    <w:tmpl w:val="5966122A"/>
    <w:lvl w:ilvl="0">
      <w:start w:val="1"/>
      <w:numFmt w:val="bullet"/>
      <w:lvlText w:val=""/>
      <w:lvlJc w:val="left"/>
      <w:pPr>
        <w:tabs>
          <w:tab w:val="num" w:pos="680"/>
        </w:tabs>
        <w:ind w:left="680" w:hanging="680"/>
      </w:pPr>
      <w:rPr>
        <w:rFonts w:ascii="Symbol" w:hAnsi="Symbol" w:hint="default"/>
        <w:b w:val="0"/>
        <w:i w:val="0"/>
        <w:sz w:val="32"/>
      </w:rPr>
    </w:lvl>
    <w:lvl w:ilvl="1">
      <w:start w:val="1"/>
      <w:numFmt w:val="decimal"/>
      <w:lvlText w:val="%1.%2"/>
      <w:lvlJc w:val="left"/>
      <w:pPr>
        <w:tabs>
          <w:tab w:val="num" w:pos="1361"/>
        </w:tabs>
        <w:ind w:left="1361" w:hanging="681"/>
      </w:pPr>
      <w:rPr>
        <w:rFonts w:ascii="Times New Roman" w:hAnsi="Times New Roman" w:hint="default"/>
        <w:b w:val="0"/>
        <w:i w:val="0"/>
        <w:sz w:val="24"/>
      </w:rPr>
    </w:lvl>
    <w:lvl w:ilvl="2">
      <w:start w:val="1"/>
      <w:numFmt w:val="bullet"/>
      <w:lvlText w:val=""/>
      <w:lvlJc w:val="left"/>
      <w:pPr>
        <w:tabs>
          <w:tab w:val="num" w:pos="2268"/>
        </w:tabs>
        <w:ind w:left="2268" w:hanging="907"/>
      </w:pPr>
      <w:rPr>
        <w:rFonts w:ascii="Symbol" w:hAnsi="Symbol" w:hint="default"/>
        <w:b w:val="0"/>
        <w:i w:val="0"/>
        <w:sz w:val="24"/>
      </w:rPr>
    </w:lvl>
    <w:lvl w:ilvl="3">
      <w:start w:val="1"/>
      <w:numFmt w:val="decimal"/>
      <w:lvlText w:val="%1.%2.%3.%4"/>
      <w:lvlJc w:val="left"/>
      <w:pPr>
        <w:tabs>
          <w:tab w:val="num" w:pos="3345"/>
        </w:tabs>
        <w:ind w:left="3345" w:hanging="1077"/>
      </w:pPr>
      <w:rPr>
        <w:rFonts w:ascii="Arial" w:hAnsi="Arial" w:hint="default"/>
        <w:b w:val="0"/>
        <w:i w:val="0"/>
        <w:sz w:val="24"/>
        <w:szCs w:val="24"/>
      </w:rPr>
    </w:lvl>
    <w:lvl w:ilvl="4">
      <w:start w:val="1"/>
      <w:numFmt w:val="decimal"/>
      <w:lvlText w:val="%1.%2.%3.%4.%5"/>
      <w:lvlJc w:val="left"/>
      <w:pPr>
        <w:tabs>
          <w:tab w:val="num" w:pos="4706"/>
        </w:tabs>
        <w:ind w:left="4706" w:hanging="1361"/>
      </w:pPr>
      <w:rPr>
        <w:rFonts w:ascii="Arial" w:hAnsi="Arial" w:hint="default"/>
        <w:b w:val="0"/>
        <w:i w:val="0"/>
        <w:sz w:val="24"/>
        <w:szCs w:val="24"/>
      </w:rPr>
    </w:lvl>
    <w:lvl w:ilvl="5">
      <w:start w:val="1"/>
      <w:numFmt w:val="bullet"/>
      <w:lvlText w:val=""/>
      <w:lvlJc w:val="left"/>
      <w:pPr>
        <w:tabs>
          <w:tab w:val="num" w:pos="5103"/>
        </w:tabs>
        <w:ind w:left="5103" w:hanging="397"/>
      </w:pPr>
      <w:rPr>
        <w:rFonts w:ascii="Wingdings" w:hAnsi="Wingding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343233"/>
    <w:multiLevelType w:val="multilevel"/>
    <w:tmpl w:val="03FAEBF2"/>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b w:val="0"/>
        <w:bCs/>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34D218B"/>
    <w:multiLevelType w:val="hybridMultilevel"/>
    <w:tmpl w:val="04A469A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CF339F3"/>
    <w:multiLevelType w:val="hybridMultilevel"/>
    <w:tmpl w:val="B40E2AF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364208574">
    <w:abstractNumId w:val="0"/>
  </w:num>
  <w:num w:numId="2" w16cid:durableId="1113093100">
    <w:abstractNumId w:val="1"/>
  </w:num>
  <w:num w:numId="3" w16cid:durableId="1396129192">
    <w:abstractNumId w:val="2"/>
  </w:num>
  <w:num w:numId="4" w16cid:durableId="964040110">
    <w:abstractNumId w:val="3"/>
  </w:num>
  <w:num w:numId="5" w16cid:durableId="1941182155">
    <w:abstractNumId w:val="8"/>
  </w:num>
  <w:num w:numId="6" w16cid:durableId="1817985519">
    <w:abstractNumId w:val="4"/>
  </w:num>
  <w:num w:numId="7" w16cid:durableId="1051808567">
    <w:abstractNumId w:val="5"/>
  </w:num>
  <w:num w:numId="8" w16cid:durableId="1273706754">
    <w:abstractNumId w:val="6"/>
  </w:num>
  <w:num w:numId="9" w16cid:durableId="1979722789">
    <w:abstractNumId w:val="7"/>
  </w:num>
  <w:num w:numId="10" w16cid:durableId="760762446">
    <w:abstractNumId w:val="9"/>
  </w:num>
  <w:num w:numId="11" w16cid:durableId="2061904760">
    <w:abstractNumId w:val="17"/>
  </w:num>
  <w:num w:numId="12" w16cid:durableId="1536232258">
    <w:abstractNumId w:val="26"/>
  </w:num>
  <w:num w:numId="13" w16cid:durableId="1687361724">
    <w:abstractNumId w:val="16"/>
  </w:num>
  <w:num w:numId="14" w16cid:durableId="1368027905">
    <w:abstractNumId w:val="31"/>
  </w:num>
  <w:num w:numId="15" w16cid:durableId="1370757856">
    <w:abstractNumId w:val="23"/>
  </w:num>
  <w:num w:numId="16" w16cid:durableId="1408186994">
    <w:abstractNumId w:val="33"/>
  </w:num>
  <w:num w:numId="17" w16cid:durableId="552035643">
    <w:abstractNumId w:val="19"/>
  </w:num>
  <w:num w:numId="18" w16cid:durableId="887686861">
    <w:abstractNumId w:val="30"/>
  </w:num>
  <w:num w:numId="19" w16cid:durableId="313603848">
    <w:abstractNumId w:val="11"/>
  </w:num>
  <w:num w:numId="20" w16cid:durableId="1858546095">
    <w:abstractNumId w:val="32"/>
  </w:num>
  <w:num w:numId="21" w16cid:durableId="1784571908">
    <w:abstractNumId w:val="25"/>
  </w:num>
  <w:num w:numId="22" w16cid:durableId="1316032499">
    <w:abstractNumId w:val="24"/>
  </w:num>
  <w:num w:numId="23" w16cid:durableId="303586825">
    <w:abstractNumId w:val="29"/>
  </w:num>
  <w:num w:numId="24" w16cid:durableId="173155967">
    <w:abstractNumId w:val="18"/>
  </w:num>
  <w:num w:numId="25" w16cid:durableId="331613413">
    <w:abstractNumId w:val="20"/>
  </w:num>
  <w:num w:numId="26" w16cid:durableId="1179809331">
    <w:abstractNumId w:val="35"/>
  </w:num>
  <w:num w:numId="27" w16cid:durableId="1231883321">
    <w:abstractNumId w:val="13"/>
  </w:num>
  <w:num w:numId="28" w16cid:durableId="1697652197">
    <w:abstractNumId w:val="28"/>
  </w:num>
  <w:num w:numId="29" w16cid:durableId="663237623">
    <w:abstractNumId w:val="22"/>
  </w:num>
  <w:num w:numId="30" w16cid:durableId="877930231">
    <w:abstractNumId w:val="36"/>
  </w:num>
  <w:num w:numId="31" w16cid:durableId="879630228">
    <w:abstractNumId w:val="34"/>
  </w:num>
  <w:num w:numId="32" w16cid:durableId="2096434157">
    <w:abstractNumId w:val="10"/>
  </w:num>
  <w:num w:numId="33" w16cid:durableId="241109133">
    <w:abstractNumId w:val="21"/>
  </w:num>
  <w:num w:numId="34" w16cid:durableId="602147706">
    <w:abstractNumId w:val="12"/>
  </w:num>
  <w:num w:numId="35" w16cid:durableId="2014532405">
    <w:abstractNumId w:val="35"/>
  </w:num>
  <w:num w:numId="36" w16cid:durableId="1237864370">
    <w:abstractNumId w:val="26"/>
  </w:num>
  <w:num w:numId="37" w16cid:durableId="1669556948">
    <w:abstractNumId w:val="26"/>
  </w:num>
  <w:num w:numId="38" w16cid:durableId="1828205592">
    <w:abstractNumId w:val="27"/>
  </w:num>
  <w:num w:numId="39" w16cid:durableId="1560096291">
    <w:abstractNumId w:val="15"/>
  </w:num>
  <w:num w:numId="40" w16cid:durableId="930510966">
    <w:abstractNumId w:val="35"/>
  </w:num>
  <w:num w:numId="41" w16cid:durableId="1431006906">
    <w:abstractNumId w:val="37"/>
  </w:num>
  <w:num w:numId="42" w16cid:durableId="1205097722">
    <w:abstractNumId w:val="35"/>
  </w:num>
  <w:num w:numId="43" w16cid:durableId="1009258765">
    <w:abstractNumId w:val="14"/>
  </w:num>
  <w:num w:numId="44" w16cid:durableId="1172522742">
    <w:abstractNumId w:val="26"/>
  </w:num>
  <w:num w:numId="45" w16cid:durableId="29309324">
    <w:abstractNumId w:val="26"/>
  </w:num>
  <w:num w:numId="46" w16cid:durableId="20775110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1ADD"/>
    <w:rsid w:val="00001F22"/>
    <w:rsid w:val="000024EC"/>
    <w:rsid w:val="00002E64"/>
    <w:rsid w:val="00003263"/>
    <w:rsid w:val="00003F41"/>
    <w:rsid w:val="000058D4"/>
    <w:rsid w:val="00005E44"/>
    <w:rsid w:val="0001017A"/>
    <w:rsid w:val="00010602"/>
    <w:rsid w:val="00010F79"/>
    <w:rsid w:val="000209B2"/>
    <w:rsid w:val="0002602F"/>
    <w:rsid w:val="0002717C"/>
    <w:rsid w:val="0002784D"/>
    <w:rsid w:val="00030E46"/>
    <w:rsid w:val="00032882"/>
    <w:rsid w:val="00032EA6"/>
    <w:rsid w:val="0003303F"/>
    <w:rsid w:val="00033ADA"/>
    <w:rsid w:val="000407B3"/>
    <w:rsid w:val="000431D5"/>
    <w:rsid w:val="00043F81"/>
    <w:rsid w:val="00045D49"/>
    <w:rsid w:val="00046196"/>
    <w:rsid w:val="00046C25"/>
    <w:rsid w:val="00046E8A"/>
    <w:rsid w:val="0004725E"/>
    <w:rsid w:val="00047A8F"/>
    <w:rsid w:val="00050609"/>
    <w:rsid w:val="00053CDD"/>
    <w:rsid w:val="00055A03"/>
    <w:rsid w:val="00057AFA"/>
    <w:rsid w:val="00057DE9"/>
    <w:rsid w:val="00061BE9"/>
    <w:rsid w:val="00063420"/>
    <w:rsid w:val="000665B0"/>
    <w:rsid w:val="00066B9E"/>
    <w:rsid w:val="00067400"/>
    <w:rsid w:val="000706F1"/>
    <w:rsid w:val="000715F2"/>
    <w:rsid w:val="00071D2B"/>
    <w:rsid w:val="000720C8"/>
    <w:rsid w:val="00073146"/>
    <w:rsid w:val="0007335F"/>
    <w:rsid w:val="00075342"/>
    <w:rsid w:val="0008121B"/>
    <w:rsid w:val="00084E58"/>
    <w:rsid w:val="000879CE"/>
    <w:rsid w:val="000900E2"/>
    <w:rsid w:val="00091A51"/>
    <w:rsid w:val="00093404"/>
    <w:rsid w:val="00094FB7"/>
    <w:rsid w:val="00096152"/>
    <w:rsid w:val="000968DD"/>
    <w:rsid w:val="00096A96"/>
    <w:rsid w:val="000971D5"/>
    <w:rsid w:val="000972A0"/>
    <w:rsid w:val="000A0465"/>
    <w:rsid w:val="000A14BA"/>
    <w:rsid w:val="000A1894"/>
    <w:rsid w:val="000A4F3A"/>
    <w:rsid w:val="000A6701"/>
    <w:rsid w:val="000B0F99"/>
    <w:rsid w:val="000B2A56"/>
    <w:rsid w:val="000B659F"/>
    <w:rsid w:val="000B7512"/>
    <w:rsid w:val="000C10C2"/>
    <w:rsid w:val="000C1679"/>
    <w:rsid w:val="000C2972"/>
    <w:rsid w:val="000C2C76"/>
    <w:rsid w:val="000C5BF6"/>
    <w:rsid w:val="000C77CE"/>
    <w:rsid w:val="000D180E"/>
    <w:rsid w:val="000D1AB6"/>
    <w:rsid w:val="000D2D6D"/>
    <w:rsid w:val="000D2EF4"/>
    <w:rsid w:val="000D5E50"/>
    <w:rsid w:val="000E02B1"/>
    <w:rsid w:val="000E1727"/>
    <w:rsid w:val="000E1926"/>
    <w:rsid w:val="000E6162"/>
    <w:rsid w:val="000E7EB7"/>
    <w:rsid w:val="000F0FE0"/>
    <w:rsid w:val="000F1ABF"/>
    <w:rsid w:val="000F49B1"/>
    <w:rsid w:val="000F560D"/>
    <w:rsid w:val="000F713A"/>
    <w:rsid w:val="00100EDD"/>
    <w:rsid w:val="001013F0"/>
    <w:rsid w:val="00102684"/>
    <w:rsid w:val="00103DE4"/>
    <w:rsid w:val="00105569"/>
    <w:rsid w:val="00105B6C"/>
    <w:rsid w:val="00106189"/>
    <w:rsid w:val="00106E35"/>
    <w:rsid w:val="00111A11"/>
    <w:rsid w:val="001146E3"/>
    <w:rsid w:val="00114A3A"/>
    <w:rsid w:val="00116F59"/>
    <w:rsid w:val="001170EA"/>
    <w:rsid w:val="0011749E"/>
    <w:rsid w:val="0011796C"/>
    <w:rsid w:val="00120B2D"/>
    <w:rsid w:val="00122242"/>
    <w:rsid w:val="00122A70"/>
    <w:rsid w:val="00122E6B"/>
    <w:rsid w:val="00124D95"/>
    <w:rsid w:val="001372BC"/>
    <w:rsid w:val="00137B4C"/>
    <w:rsid w:val="00141D3F"/>
    <w:rsid w:val="0014308E"/>
    <w:rsid w:val="0014334F"/>
    <w:rsid w:val="00145A2E"/>
    <w:rsid w:val="00145E54"/>
    <w:rsid w:val="00150CA4"/>
    <w:rsid w:val="001516D8"/>
    <w:rsid w:val="001534B0"/>
    <w:rsid w:val="001538C4"/>
    <w:rsid w:val="00163A14"/>
    <w:rsid w:val="00163D4F"/>
    <w:rsid w:val="00165236"/>
    <w:rsid w:val="00165261"/>
    <w:rsid w:val="00165CF2"/>
    <w:rsid w:val="00167E9C"/>
    <w:rsid w:val="001701B8"/>
    <w:rsid w:val="00171B74"/>
    <w:rsid w:val="0017238D"/>
    <w:rsid w:val="00172BC1"/>
    <w:rsid w:val="0017483A"/>
    <w:rsid w:val="00177611"/>
    <w:rsid w:val="00177841"/>
    <w:rsid w:val="001807D5"/>
    <w:rsid w:val="00181135"/>
    <w:rsid w:val="00182901"/>
    <w:rsid w:val="0018348A"/>
    <w:rsid w:val="00184E2D"/>
    <w:rsid w:val="00186694"/>
    <w:rsid w:val="001869F2"/>
    <w:rsid w:val="00187C1A"/>
    <w:rsid w:val="00193D24"/>
    <w:rsid w:val="00193DEA"/>
    <w:rsid w:val="001946F0"/>
    <w:rsid w:val="00195AF3"/>
    <w:rsid w:val="001964B0"/>
    <w:rsid w:val="001967E7"/>
    <w:rsid w:val="00197160"/>
    <w:rsid w:val="00197744"/>
    <w:rsid w:val="001A0504"/>
    <w:rsid w:val="001A107D"/>
    <w:rsid w:val="001A129D"/>
    <w:rsid w:val="001A2883"/>
    <w:rsid w:val="001A2CB0"/>
    <w:rsid w:val="001B214F"/>
    <w:rsid w:val="001B3395"/>
    <w:rsid w:val="001B3BA7"/>
    <w:rsid w:val="001B4A0D"/>
    <w:rsid w:val="001C20FF"/>
    <w:rsid w:val="001C399A"/>
    <w:rsid w:val="001D2701"/>
    <w:rsid w:val="001D274B"/>
    <w:rsid w:val="001D6563"/>
    <w:rsid w:val="001D6CD1"/>
    <w:rsid w:val="001D79F8"/>
    <w:rsid w:val="001E23AB"/>
    <w:rsid w:val="001E2785"/>
    <w:rsid w:val="001E2D0C"/>
    <w:rsid w:val="001E33DA"/>
    <w:rsid w:val="001E615A"/>
    <w:rsid w:val="001F0F28"/>
    <w:rsid w:val="001F146B"/>
    <w:rsid w:val="001F437A"/>
    <w:rsid w:val="001F6A5D"/>
    <w:rsid w:val="001F6C03"/>
    <w:rsid w:val="001F764A"/>
    <w:rsid w:val="002009C6"/>
    <w:rsid w:val="00201DAA"/>
    <w:rsid w:val="00203D55"/>
    <w:rsid w:val="00203D99"/>
    <w:rsid w:val="002110C0"/>
    <w:rsid w:val="00213CE1"/>
    <w:rsid w:val="00213F80"/>
    <w:rsid w:val="002144E8"/>
    <w:rsid w:val="00215E75"/>
    <w:rsid w:val="00216044"/>
    <w:rsid w:val="0022168C"/>
    <w:rsid w:val="00223997"/>
    <w:rsid w:val="0022470E"/>
    <w:rsid w:val="002248D8"/>
    <w:rsid w:val="0022528F"/>
    <w:rsid w:val="00225A25"/>
    <w:rsid w:val="00225AB9"/>
    <w:rsid w:val="00230F4A"/>
    <w:rsid w:val="002312A2"/>
    <w:rsid w:val="002315FF"/>
    <w:rsid w:val="00232539"/>
    <w:rsid w:val="00232CD3"/>
    <w:rsid w:val="0023310B"/>
    <w:rsid w:val="00233182"/>
    <w:rsid w:val="0023620A"/>
    <w:rsid w:val="00237B50"/>
    <w:rsid w:val="002400B0"/>
    <w:rsid w:val="00241068"/>
    <w:rsid w:val="00241377"/>
    <w:rsid w:val="00241631"/>
    <w:rsid w:val="002426C1"/>
    <w:rsid w:val="00242951"/>
    <w:rsid w:val="00243626"/>
    <w:rsid w:val="0024442E"/>
    <w:rsid w:val="00245C81"/>
    <w:rsid w:val="00246DAE"/>
    <w:rsid w:val="00250FB0"/>
    <w:rsid w:val="0025112B"/>
    <w:rsid w:val="0025373A"/>
    <w:rsid w:val="00254FFE"/>
    <w:rsid w:val="00255BCC"/>
    <w:rsid w:val="002562EA"/>
    <w:rsid w:val="00257B80"/>
    <w:rsid w:val="0026105D"/>
    <w:rsid w:val="00262375"/>
    <w:rsid w:val="00267A04"/>
    <w:rsid w:val="002715C0"/>
    <w:rsid w:val="0027404A"/>
    <w:rsid w:val="002759C7"/>
    <w:rsid w:val="00276066"/>
    <w:rsid w:val="002817DB"/>
    <w:rsid w:val="00281CCC"/>
    <w:rsid w:val="0028278B"/>
    <w:rsid w:val="00283467"/>
    <w:rsid w:val="00284367"/>
    <w:rsid w:val="0028471F"/>
    <w:rsid w:val="00286AA7"/>
    <w:rsid w:val="00291672"/>
    <w:rsid w:val="00291AE5"/>
    <w:rsid w:val="00295E28"/>
    <w:rsid w:val="00295EA6"/>
    <w:rsid w:val="0029605A"/>
    <w:rsid w:val="00296EBE"/>
    <w:rsid w:val="00296EEC"/>
    <w:rsid w:val="00297119"/>
    <w:rsid w:val="002A5211"/>
    <w:rsid w:val="002A58B0"/>
    <w:rsid w:val="002A6790"/>
    <w:rsid w:val="002A6EE4"/>
    <w:rsid w:val="002B03C0"/>
    <w:rsid w:val="002B1A80"/>
    <w:rsid w:val="002B237C"/>
    <w:rsid w:val="002B26AF"/>
    <w:rsid w:val="002B5647"/>
    <w:rsid w:val="002B7E56"/>
    <w:rsid w:val="002C0258"/>
    <w:rsid w:val="002C0468"/>
    <w:rsid w:val="002C0F54"/>
    <w:rsid w:val="002C1CF4"/>
    <w:rsid w:val="002C3B72"/>
    <w:rsid w:val="002C3CA4"/>
    <w:rsid w:val="002C3FD1"/>
    <w:rsid w:val="002C53A1"/>
    <w:rsid w:val="002C7527"/>
    <w:rsid w:val="002C7A2A"/>
    <w:rsid w:val="002D1C4B"/>
    <w:rsid w:val="002D1D65"/>
    <w:rsid w:val="002D2BBD"/>
    <w:rsid w:val="002D2FF5"/>
    <w:rsid w:val="002D457F"/>
    <w:rsid w:val="002D715B"/>
    <w:rsid w:val="002E049E"/>
    <w:rsid w:val="002E4AF6"/>
    <w:rsid w:val="002E54FD"/>
    <w:rsid w:val="002E70C9"/>
    <w:rsid w:val="002F16BE"/>
    <w:rsid w:val="002F1EE2"/>
    <w:rsid w:val="002F21DC"/>
    <w:rsid w:val="002F7CFC"/>
    <w:rsid w:val="003005AC"/>
    <w:rsid w:val="0030171D"/>
    <w:rsid w:val="003021FD"/>
    <w:rsid w:val="00303FF5"/>
    <w:rsid w:val="003051CC"/>
    <w:rsid w:val="00306576"/>
    <w:rsid w:val="00310849"/>
    <w:rsid w:val="00315106"/>
    <w:rsid w:val="003154ED"/>
    <w:rsid w:val="003155D4"/>
    <w:rsid w:val="00323D3C"/>
    <w:rsid w:val="003242D5"/>
    <w:rsid w:val="003247C8"/>
    <w:rsid w:val="00324D0B"/>
    <w:rsid w:val="00325CBB"/>
    <w:rsid w:val="0032613A"/>
    <w:rsid w:val="00331F09"/>
    <w:rsid w:val="0033676B"/>
    <w:rsid w:val="0033682D"/>
    <w:rsid w:val="00337A9E"/>
    <w:rsid w:val="00340A9A"/>
    <w:rsid w:val="0034188A"/>
    <w:rsid w:val="00341D4D"/>
    <w:rsid w:val="0034379C"/>
    <w:rsid w:val="00343A4F"/>
    <w:rsid w:val="00350A9D"/>
    <w:rsid w:val="00350CD2"/>
    <w:rsid w:val="00352243"/>
    <w:rsid w:val="00353211"/>
    <w:rsid w:val="00354DF5"/>
    <w:rsid w:val="00357C8D"/>
    <w:rsid w:val="0036105B"/>
    <w:rsid w:val="00362BEF"/>
    <w:rsid w:val="00371B1A"/>
    <w:rsid w:val="003730B8"/>
    <w:rsid w:val="00373D42"/>
    <w:rsid w:val="00373E43"/>
    <w:rsid w:val="00374C45"/>
    <w:rsid w:val="00375DF6"/>
    <w:rsid w:val="00375FAF"/>
    <w:rsid w:val="00376937"/>
    <w:rsid w:val="00376970"/>
    <w:rsid w:val="003771EC"/>
    <w:rsid w:val="00377593"/>
    <w:rsid w:val="00377EAA"/>
    <w:rsid w:val="00381D46"/>
    <w:rsid w:val="0038292E"/>
    <w:rsid w:val="00382A89"/>
    <w:rsid w:val="00384731"/>
    <w:rsid w:val="00386C53"/>
    <w:rsid w:val="003902FF"/>
    <w:rsid w:val="00392FD9"/>
    <w:rsid w:val="00394EF6"/>
    <w:rsid w:val="00395EBC"/>
    <w:rsid w:val="00397567"/>
    <w:rsid w:val="003976E7"/>
    <w:rsid w:val="003A0076"/>
    <w:rsid w:val="003A27E0"/>
    <w:rsid w:val="003A3A05"/>
    <w:rsid w:val="003A4D99"/>
    <w:rsid w:val="003A5670"/>
    <w:rsid w:val="003A5B3B"/>
    <w:rsid w:val="003A663C"/>
    <w:rsid w:val="003A7BF6"/>
    <w:rsid w:val="003B179A"/>
    <w:rsid w:val="003B197E"/>
    <w:rsid w:val="003B28BF"/>
    <w:rsid w:val="003B445C"/>
    <w:rsid w:val="003B4640"/>
    <w:rsid w:val="003B607F"/>
    <w:rsid w:val="003B7052"/>
    <w:rsid w:val="003C0EE2"/>
    <w:rsid w:val="003C121E"/>
    <w:rsid w:val="003C1B56"/>
    <w:rsid w:val="003C24AA"/>
    <w:rsid w:val="003C2EAA"/>
    <w:rsid w:val="003C337A"/>
    <w:rsid w:val="003C3723"/>
    <w:rsid w:val="003C3DD3"/>
    <w:rsid w:val="003C45CF"/>
    <w:rsid w:val="003C4B56"/>
    <w:rsid w:val="003C6732"/>
    <w:rsid w:val="003C6E42"/>
    <w:rsid w:val="003C7C2C"/>
    <w:rsid w:val="003D01F0"/>
    <w:rsid w:val="003D1A95"/>
    <w:rsid w:val="003D2BD6"/>
    <w:rsid w:val="003D2EB4"/>
    <w:rsid w:val="003D5B97"/>
    <w:rsid w:val="003D77CB"/>
    <w:rsid w:val="003D77F5"/>
    <w:rsid w:val="003D7DE1"/>
    <w:rsid w:val="003E5744"/>
    <w:rsid w:val="003F04D0"/>
    <w:rsid w:val="003F26BA"/>
    <w:rsid w:val="003F35CC"/>
    <w:rsid w:val="003F534A"/>
    <w:rsid w:val="003F5F0B"/>
    <w:rsid w:val="00400E06"/>
    <w:rsid w:val="00404CF1"/>
    <w:rsid w:val="0040716E"/>
    <w:rsid w:val="00411091"/>
    <w:rsid w:val="004130ED"/>
    <w:rsid w:val="00415057"/>
    <w:rsid w:val="004157B2"/>
    <w:rsid w:val="00421D2D"/>
    <w:rsid w:val="00422069"/>
    <w:rsid w:val="004238B3"/>
    <w:rsid w:val="00427A24"/>
    <w:rsid w:val="00430532"/>
    <w:rsid w:val="00430DC6"/>
    <w:rsid w:val="004325DA"/>
    <w:rsid w:val="004329C9"/>
    <w:rsid w:val="00433F14"/>
    <w:rsid w:val="00434682"/>
    <w:rsid w:val="00435CC4"/>
    <w:rsid w:val="0043650D"/>
    <w:rsid w:val="00440AE1"/>
    <w:rsid w:val="00440B5C"/>
    <w:rsid w:val="00441321"/>
    <w:rsid w:val="004443A7"/>
    <w:rsid w:val="00444746"/>
    <w:rsid w:val="00446AFA"/>
    <w:rsid w:val="00452C4C"/>
    <w:rsid w:val="0045718F"/>
    <w:rsid w:val="004579B2"/>
    <w:rsid w:val="00457CFD"/>
    <w:rsid w:val="00460E7A"/>
    <w:rsid w:val="00466784"/>
    <w:rsid w:val="004726B4"/>
    <w:rsid w:val="004731D5"/>
    <w:rsid w:val="0047357D"/>
    <w:rsid w:val="0048196E"/>
    <w:rsid w:val="004840B2"/>
    <w:rsid w:val="00485149"/>
    <w:rsid w:val="004926D7"/>
    <w:rsid w:val="0049454D"/>
    <w:rsid w:val="004953DE"/>
    <w:rsid w:val="00495F06"/>
    <w:rsid w:val="004A05DA"/>
    <w:rsid w:val="004A0C3D"/>
    <w:rsid w:val="004A1ADD"/>
    <w:rsid w:val="004A235E"/>
    <w:rsid w:val="004A3B30"/>
    <w:rsid w:val="004A474F"/>
    <w:rsid w:val="004A4C30"/>
    <w:rsid w:val="004A50F7"/>
    <w:rsid w:val="004A5EA6"/>
    <w:rsid w:val="004A60A0"/>
    <w:rsid w:val="004A6BDA"/>
    <w:rsid w:val="004B2CA6"/>
    <w:rsid w:val="004B30A1"/>
    <w:rsid w:val="004B3BA7"/>
    <w:rsid w:val="004B5A53"/>
    <w:rsid w:val="004B6D4D"/>
    <w:rsid w:val="004B6F99"/>
    <w:rsid w:val="004B7E60"/>
    <w:rsid w:val="004C266D"/>
    <w:rsid w:val="004C78E6"/>
    <w:rsid w:val="004C7DD3"/>
    <w:rsid w:val="004C7FEC"/>
    <w:rsid w:val="004D187D"/>
    <w:rsid w:val="004D23CE"/>
    <w:rsid w:val="004D49F5"/>
    <w:rsid w:val="004D6169"/>
    <w:rsid w:val="004D66D3"/>
    <w:rsid w:val="004E0CAE"/>
    <w:rsid w:val="004E0FB3"/>
    <w:rsid w:val="004E10F8"/>
    <w:rsid w:val="004E146C"/>
    <w:rsid w:val="004E2520"/>
    <w:rsid w:val="004F2DBC"/>
    <w:rsid w:val="004F3C7A"/>
    <w:rsid w:val="004F46FC"/>
    <w:rsid w:val="00511EA0"/>
    <w:rsid w:val="00512AE2"/>
    <w:rsid w:val="00512CC4"/>
    <w:rsid w:val="00513CC9"/>
    <w:rsid w:val="00514102"/>
    <w:rsid w:val="00514203"/>
    <w:rsid w:val="00520790"/>
    <w:rsid w:val="005211CA"/>
    <w:rsid w:val="00521C3A"/>
    <w:rsid w:val="0052551F"/>
    <w:rsid w:val="00525A26"/>
    <w:rsid w:val="00525FFF"/>
    <w:rsid w:val="005271EA"/>
    <w:rsid w:val="00527848"/>
    <w:rsid w:val="005304FB"/>
    <w:rsid w:val="005334E4"/>
    <w:rsid w:val="005339DA"/>
    <w:rsid w:val="00535E4D"/>
    <w:rsid w:val="00537133"/>
    <w:rsid w:val="0054019D"/>
    <w:rsid w:val="00541AD2"/>
    <w:rsid w:val="00541B79"/>
    <w:rsid w:val="005423A5"/>
    <w:rsid w:val="005440EA"/>
    <w:rsid w:val="00544FA6"/>
    <w:rsid w:val="00546A28"/>
    <w:rsid w:val="00547CEB"/>
    <w:rsid w:val="00547F68"/>
    <w:rsid w:val="005518CB"/>
    <w:rsid w:val="0055455F"/>
    <w:rsid w:val="0055581B"/>
    <w:rsid w:val="00555C80"/>
    <w:rsid w:val="00557899"/>
    <w:rsid w:val="00557B0D"/>
    <w:rsid w:val="0056017B"/>
    <w:rsid w:val="005613FE"/>
    <w:rsid w:val="00561815"/>
    <w:rsid w:val="00562866"/>
    <w:rsid w:val="0056408F"/>
    <w:rsid w:val="00565ACD"/>
    <w:rsid w:val="00565E47"/>
    <w:rsid w:val="00567904"/>
    <w:rsid w:val="005700A2"/>
    <w:rsid w:val="00571AA4"/>
    <w:rsid w:val="00573AC4"/>
    <w:rsid w:val="005758B7"/>
    <w:rsid w:val="005806EF"/>
    <w:rsid w:val="00584D39"/>
    <w:rsid w:val="00585A61"/>
    <w:rsid w:val="00595454"/>
    <w:rsid w:val="005955BE"/>
    <w:rsid w:val="005957FB"/>
    <w:rsid w:val="005959F0"/>
    <w:rsid w:val="00597878"/>
    <w:rsid w:val="005A0DE5"/>
    <w:rsid w:val="005A19A3"/>
    <w:rsid w:val="005A20F8"/>
    <w:rsid w:val="005A3998"/>
    <w:rsid w:val="005A54F9"/>
    <w:rsid w:val="005A5F06"/>
    <w:rsid w:val="005A720B"/>
    <w:rsid w:val="005B219C"/>
    <w:rsid w:val="005B2A07"/>
    <w:rsid w:val="005B31E1"/>
    <w:rsid w:val="005B3EB2"/>
    <w:rsid w:val="005B5FCF"/>
    <w:rsid w:val="005B6286"/>
    <w:rsid w:val="005B66A3"/>
    <w:rsid w:val="005B6F2B"/>
    <w:rsid w:val="005B6FA2"/>
    <w:rsid w:val="005C081A"/>
    <w:rsid w:val="005C737B"/>
    <w:rsid w:val="005C73CA"/>
    <w:rsid w:val="005D0D92"/>
    <w:rsid w:val="005D1763"/>
    <w:rsid w:val="005D1E99"/>
    <w:rsid w:val="005D4CFC"/>
    <w:rsid w:val="005D6825"/>
    <w:rsid w:val="005D697A"/>
    <w:rsid w:val="005D763F"/>
    <w:rsid w:val="005E2010"/>
    <w:rsid w:val="005E4016"/>
    <w:rsid w:val="005E4EE2"/>
    <w:rsid w:val="005E6C40"/>
    <w:rsid w:val="005E7AE0"/>
    <w:rsid w:val="005E7CD2"/>
    <w:rsid w:val="005F01AA"/>
    <w:rsid w:val="005F32B5"/>
    <w:rsid w:val="005F4CED"/>
    <w:rsid w:val="005F6E15"/>
    <w:rsid w:val="00600F69"/>
    <w:rsid w:val="0060121B"/>
    <w:rsid w:val="006018A1"/>
    <w:rsid w:val="006050E4"/>
    <w:rsid w:val="006071C1"/>
    <w:rsid w:val="006071D1"/>
    <w:rsid w:val="00610177"/>
    <w:rsid w:val="006134A1"/>
    <w:rsid w:val="00613567"/>
    <w:rsid w:val="00614AA4"/>
    <w:rsid w:val="00616A6D"/>
    <w:rsid w:val="00617CA3"/>
    <w:rsid w:val="00617F86"/>
    <w:rsid w:val="006226B7"/>
    <w:rsid w:val="00623E2A"/>
    <w:rsid w:val="00624255"/>
    <w:rsid w:val="006305E0"/>
    <w:rsid w:val="0063085D"/>
    <w:rsid w:val="00631E75"/>
    <w:rsid w:val="006338E0"/>
    <w:rsid w:val="00633C6C"/>
    <w:rsid w:val="00634B60"/>
    <w:rsid w:val="00640D18"/>
    <w:rsid w:val="006410E2"/>
    <w:rsid w:val="00642AAB"/>
    <w:rsid w:val="0064352A"/>
    <w:rsid w:val="00643C53"/>
    <w:rsid w:val="00643DFC"/>
    <w:rsid w:val="006454BD"/>
    <w:rsid w:val="00646030"/>
    <w:rsid w:val="0064645B"/>
    <w:rsid w:val="00646C71"/>
    <w:rsid w:val="00646D90"/>
    <w:rsid w:val="00650212"/>
    <w:rsid w:val="0065027D"/>
    <w:rsid w:val="0065064F"/>
    <w:rsid w:val="00650BD6"/>
    <w:rsid w:val="00654B09"/>
    <w:rsid w:val="00655FCF"/>
    <w:rsid w:val="006606C1"/>
    <w:rsid w:val="00660D37"/>
    <w:rsid w:val="00660D93"/>
    <w:rsid w:val="00664B84"/>
    <w:rsid w:val="00665756"/>
    <w:rsid w:val="00667322"/>
    <w:rsid w:val="006678DB"/>
    <w:rsid w:val="00673D32"/>
    <w:rsid w:val="00674AB3"/>
    <w:rsid w:val="00675FC6"/>
    <w:rsid w:val="00676FB5"/>
    <w:rsid w:val="0067772D"/>
    <w:rsid w:val="00682077"/>
    <w:rsid w:val="006825B0"/>
    <w:rsid w:val="0068544B"/>
    <w:rsid w:val="00685AA7"/>
    <w:rsid w:val="00686429"/>
    <w:rsid w:val="0068694C"/>
    <w:rsid w:val="00687B6D"/>
    <w:rsid w:val="00695A4D"/>
    <w:rsid w:val="00695E2C"/>
    <w:rsid w:val="00696081"/>
    <w:rsid w:val="00696B08"/>
    <w:rsid w:val="00696F1F"/>
    <w:rsid w:val="006A001B"/>
    <w:rsid w:val="006A1B5B"/>
    <w:rsid w:val="006A33EB"/>
    <w:rsid w:val="006A3B30"/>
    <w:rsid w:val="006A4966"/>
    <w:rsid w:val="006A6AAE"/>
    <w:rsid w:val="006A6E6C"/>
    <w:rsid w:val="006A794C"/>
    <w:rsid w:val="006A7EE3"/>
    <w:rsid w:val="006B17DF"/>
    <w:rsid w:val="006B2118"/>
    <w:rsid w:val="006B3E9C"/>
    <w:rsid w:val="006B4052"/>
    <w:rsid w:val="006B4A7B"/>
    <w:rsid w:val="006B5107"/>
    <w:rsid w:val="006B58F1"/>
    <w:rsid w:val="006B669B"/>
    <w:rsid w:val="006B7E7C"/>
    <w:rsid w:val="006C0489"/>
    <w:rsid w:val="006C0FBE"/>
    <w:rsid w:val="006C3917"/>
    <w:rsid w:val="006C44BC"/>
    <w:rsid w:val="006C4CF9"/>
    <w:rsid w:val="006C4EEE"/>
    <w:rsid w:val="006C6281"/>
    <w:rsid w:val="006C719B"/>
    <w:rsid w:val="006D29A5"/>
    <w:rsid w:val="006D3D0F"/>
    <w:rsid w:val="006D5E86"/>
    <w:rsid w:val="006D5F96"/>
    <w:rsid w:val="006D6E16"/>
    <w:rsid w:val="006E131D"/>
    <w:rsid w:val="006E16E0"/>
    <w:rsid w:val="006E555C"/>
    <w:rsid w:val="006E72EE"/>
    <w:rsid w:val="006F560E"/>
    <w:rsid w:val="0070490C"/>
    <w:rsid w:val="007051AA"/>
    <w:rsid w:val="00705CF8"/>
    <w:rsid w:val="00706434"/>
    <w:rsid w:val="00706774"/>
    <w:rsid w:val="00710B12"/>
    <w:rsid w:val="00711731"/>
    <w:rsid w:val="00713845"/>
    <w:rsid w:val="00714609"/>
    <w:rsid w:val="007164F2"/>
    <w:rsid w:val="00716B2A"/>
    <w:rsid w:val="00716D9A"/>
    <w:rsid w:val="00717FFA"/>
    <w:rsid w:val="007228E9"/>
    <w:rsid w:val="0072544F"/>
    <w:rsid w:val="007262CB"/>
    <w:rsid w:val="007274E5"/>
    <w:rsid w:val="00731FC8"/>
    <w:rsid w:val="00731FEE"/>
    <w:rsid w:val="00732AFE"/>
    <w:rsid w:val="007331B5"/>
    <w:rsid w:val="00740726"/>
    <w:rsid w:val="00741BEE"/>
    <w:rsid w:val="00741D9B"/>
    <w:rsid w:val="007452BE"/>
    <w:rsid w:val="0074585B"/>
    <w:rsid w:val="00745C61"/>
    <w:rsid w:val="00750C8C"/>
    <w:rsid w:val="00751B62"/>
    <w:rsid w:val="00751C36"/>
    <w:rsid w:val="00752B9A"/>
    <w:rsid w:val="00753609"/>
    <w:rsid w:val="00757DFC"/>
    <w:rsid w:val="00760EC2"/>
    <w:rsid w:val="007629B1"/>
    <w:rsid w:val="00763C21"/>
    <w:rsid w:val="00763F72"/>
    <w:rsid w:val="007651E5"/>
    <w:rsid w:val="00766091"/>
    <w:rsid w:val="00766A93"/>
    <w:rsid w:val="00766C88"/>
    <w:rsid w:val="00767DCB"/>
    <w:rsid w:val="00770847"/>
    <w:rsid w:val="007729BD"/>
    <w:rsid w:val="00772D5F"/>
    <w:rsid w:val="00773951"/>
    <w:rsid w:val="00773C97"/>
    <w:rsid w:val="00774EC0"/>
    <w:rsid w:val="00774FD2"/>
    <w:rsid w:val="00775400"/>
    <w:rsid w:val="007804F7"/>
    <w:rsid w:val="00781F15"/>
    <w:rsid w:val="007835DF"/>
    <w:rsid w:val="00783A55"/>
    <w:rsid w:val="00784C95"/>
    <w:rsid w:val="00785524"/>
    <w:rsid w:val="00786285"/>
    <w:rsid w:val="00790EBC"/>
    <w:rsid w:val="00792A7E"/>
    <w:rsid w:val="00793B3E"/>
    <w:rsid w:val="00793E73"/>
    <w:rsid w:val="00794E70"/>
    <w:rsid w:val="00795D04"/>
    <w:rsid w:val="00796946"/>
    <w:rsid w:val="00796A0C"/>
    <w:rsid w:val="00796A28"/>
    <w:rsid w:val="00797196"/>
    <w:rsid w:val="007A2B3E"/>
    <w:rsid w:val="007A5066"/>
    <w:rsid w:val="007A7B12"/>
    <w:rsid w:val="007A7BC1"/>
    <w:rsid w:val="007A7CDF"/>
    <w:rsid w:val="007B022F"/>
    <w:rsid w:val="007B0B3D"/>
    <w:rsid w:val="007B1D00"/>
    <w:rsid w:val="007B26CD"/>
    <w:rsid w:val="007B2842"/>
    <w:rsid w:val="007B3AE5"/>
    <w:rsid w:val="007B437E"/>
    <w:rsid w:val="007B48AE"/>
    <w:rsid w:val="007B4BDD"/>
    <w:rsid w:val="007B7AA8"/>
    <w:rsid w:val="007C05EA"/>
    <w:rsid w:val="007C1597"/>
    <w:rsid w:val="007C196D"/>
    <w:rsid w:val="007C1F78"/>
    <w:rsid w:val="007C4105"/>
    <w:rsid w:val="007C4720"/>
    <w:rsid w:val="007C47B1"/>
    <w:rsid w:val="007C6167"/>
    <w:rsid w:val="007D03F5"/>
    <w:rsid w:val="007D0D00"/>
    <w:rsid w:val="007D353F"/>
    <w:rsid w:val="007D3A42"/>
    <w:rsid w:val="007D47D5"/>
    <w:rsid w:val="007D5498"/>
    <w:rsid w:val="007E437E"/>
    <w:rsid w:val="007E5811"/>
    <w:rsid w:val="007E5A70"/>
    <w:rsid w:val="007F04FF"/>
    <w:rsid w:val="007F06D3"/>
    <w:rsid w:val="007F3C92"/>
    <w:rsid w:val="007F519C"/>
    <w:rsid w:val="007F6186"/>
    <w:rsid w:val="007F6CD7"/>
    <w:rsid w:val="007F7BE0"/>
    <w:rsid w:val="00802922"/>
    <w:rsid w:val="00803790"/>
    <w:rsid w:val="0080684A"/>
    <w:rsid w:val="00807929"/>
    <w:rsid w:val="008105E0"/>
    <w:rsid w:val="00810F97"/>
    <w:rsid w:val="00811649"/>
    <w:rsid w:val="00812A62"/>
    <w:rsid w:val="008142F7"/>
    <w:rsid w:val="00814E12"/>
    <w:rsid w:val="00815D55"/>
    <w:rsid w:val="008235E7"/>
    <w:rsid w:val="008239C5"/>
    <w:rsid w:val="00825E3F"/>
    <w:rsid w:val="00826D33"/>
    <w:rsid w:val="008274D7"/>
    <w:rsid w:val="0082792D"/>
    <w:rsid w:val="00830BD7"/>
    <w:rsid w:val="00830EEF"/>
    <w:rsid w:val="008344D6"/>
    <w:rsid w:val="00834A93"/>
    <w:rsid w:val="00835912"/>
    <w:rsid w:val="00840392"/>
    <w:rsid w:val="0084146B"/>
    <w:rsid w:val="00843CF9"/>
    <w:rsid w:val="00844D34"/>
    <w:rsid w:val="00847383"/>
    <w:rsid w:val="008507F0"/>
    <w:rsid w:val="0085143B"/>
    <w:rsid w:val="00851AD1"/>
    <w:rsid w:val="00852D3B"/>
    <w:rsid w:val="00853391"/>
    <w:rsid w:val="008556FD"/>
    <w:rsid w:val="008559C2"/>
    <w:rsid w:val="00855F9A"/>
    <w:rsid w:val="008569A7"/>
    <w:rsid w:val="00857CDF"/>
    <w:rsid w:val="00866083"/>
    <w:rsid w:val="00867580"/>
    <w:rsid w:val="008703B1"/>
    <w:rsid w:val="008745D0"/>
    <w:rsid w:val="00874756"/>
    <w:rsid w:val="00875C4D"/>
    <w:rsid w:val="008844F1"/>
    <w:rsid w:val="00884982"/>
    <w:rsid w:val="0088684E"/>
    <w:rsid w:val="008944D1"/>
    <w:rsid w:val="00894F3D"/>
    <w:rsid w:val="008961DC"/>
    <w:rsid w:val="00896FF0"/>
    <w:rsid w:val="00897159"/>
    <w:rsid w:val="008A0DC1"/>
    <w:rsid w:val="008A10A7"/>
    <w:rsid w:val="008A157E"/>
    <w:rsid w:val="008A1B9B"/>
    <w:rsid w:val="008A2086"/>
    <w:rsid w:val="008A3CC2"/>
    <w:rsid w:val="008A6C91"/>
    <w:rsid w:val="008B4888"/>
    <w:rsid w:val="008B547F"/>
    <w:rsid w:val="008B6EC9"/>
    <w:rsid w:val="008B704E"/>
    <w:rsid w:val="008B79EF"/>
    <w:rsid w:val="008B7B1E"/>
    <w:rsid w:val="008C12EE"/>
    <w:rsid w:val="008C447C"/>
    <w:rsid w:val="008C4D49"/>
    <w:rsid w:val="008C6122"/>
    <w:rsid w:val="008C7819"/>
    <w:rsid w:val="008D034C"/>
    <w:rsid w:val="008D0711"/>
    <w:rsid w:val="008D08B0"/>
    <w:rsid w:val="008D0B48"/>
    <w:rsid w:val="008D20C6"/>
    <w:rsid w:val="008D26BB"/>
    <w:rsid w:val="008D2F7C"/>
    <w:rsid w:val="008D4EA0"/>
    <w:rsid w:val="008E2C0A"/>
    <w:rsid w:val="008E385E"/>
    <w:rsid w:val="008E4397"/>
    <w:rsid w:val="008E4A2A"/>
    <w:rsid w:val="008E6543"/>
    <w:rsid w:val="008E7B3E"/>
    <w:rsid w:val="008F1984"/>
    <w:rsid w:val="008F1E52"/>
    <w:rsid w:val="008F2266"/>
    <w:rsid w:val="008F467F"/>
    <w:rsid w:val="008F6928"/>
    <w:rsid w:val="008F6C9B"/>
    <w:rsid w:val="008F74BC"/>
    <w:rsid w:val="00901FEF"/>
    <w:rsid w:val="0090266C"/>
    <w:rsid w:val="009043E5"/>
    <w:rsid w:val="009049D6"/>
    <w:rsid w:val="00906618"/>
    <w:rsid w:val="009102C2"/>
    <w:rsid w:val="00911C7E"/>
    <w:rsid w:val="00912D3C"/>
    <w:rsid w:val="00913733"/>
    <w:rsid w:val="009140A9"/>
    <w:rsid w:val="0091580E"/>
    <w:rsid w:val="0091583B"/>
    <w:rsid w:val="00916AB9"/>
    <w:rsid w:val="009177B0"/>
    <w:rsid w:val="00917EB0"/>
    <w:rsid w:val="00920550"/>
    <w:rsid w:val="0092164C"/>
    <w:rsid w:val="00922405"/>
    <w:rsid w:val="0092346C"/>
    <w:rsid w:val="00925B11"/>
    <w:rsid w:val="00926BF1"/>
    <w:rsid w:val="0092743C"/>
    <w:rsid w:val="00927F01"/>
    <w:rsid w:val="009305D7"/>
    <w:rsid w:val="00930D98"/>
    <w:rsid w:val="00933126"/>
    <w:rsid w:val="009342EE"/>
    <w:rsid w:val="009368D7"/>
    <w:rsid w:val="0093794F"/>
    <w:rsid w:val="0094014E"/>
    <w:rsid w:val="009412A4"/>
    <w:rsid w:val="00941359"/>
    <w:rsid w:val="009431B0"/>
    <w:rsid w:val="00943200"/>
    <w:rsid w:val="00947840"/>
    <w:rsid w:val="00954445"/>
    <w:rsid w:val="009624D8"/>
    <w:rsid w:val="0096475D"/>
    <w:rsid w:val="00964903"/>
    <w:rsid w:val="00964DC8"/>
    <w:rsid w:val="00965066"/>
    <w:rsid w:val="0096584F"/>
    <w:rsid w:val="0096627D"/>
    <w:rsid w:val="009669DA"/>
    <w:rsid w:val="00967546"/>
    <w:rsid w:val="009729B0"/>
    <w:rsid w:val="00976355"/>
    <w:rsid w:val="009801CE"/>
    <w:rsid w:val="00982CCF"/>
    <w:rsid w:val="00984471"/>
    <w:rsid w:val="009848BC"/>
    <w:rsid w:val="00986AD7"/>
    <w:rsid w:val="00994917"/>
    <w:rsid w:val="0099597C"/>
    <w:rsid w:val="009A1688"/>
    <w:rsid w:val="009A367C"/>
    <w:rsid w:val="009A5A97"/>
    <w:rsid w:val="009A62CD"/>
    <w:rsid w:val="009A7716"/>
    <w:rsid w:val="009B07B3"/>
    <w:rsid w:val="009B07BF"/>
    <w:rsid w:val="009B1324"/>
    <w:rsid w:val="009B3A0A"/>
    <w:rsid w:val="009B4071"/>
    <w:rsid w:val="009B6056"/>
    <w:rsid w:val="009B63D5"/>
    <w:rsid w:val="009B696C"/>
    <w:rsid w:val="009B6A96"/>
    <w:rsid w:val="009C101A"/>
    <w:rsid w:val="009C245B"/>
    <w:rsid w:val="009C248E"/>
    <w:rsid w:val="009C2BC5"/>
    <w:rsid w:val="009C3180"/>
    <w:rsid w:val="009C35E4"/>
    <w:rsid w:val="009C3E1C"/>
    <w:rsid w:val="009C495D"/>
    <w:rsid w:val="009C4EAC"/>
    <w:rsid w:val="009C506B"/>
    <w:rsid w:val="009C523D"/>
    <w:rsid w:val="009C73CA"/>
    <w:rsid w:val="009C7447"/>
    <w:rsid w:val="009D04A4"/>
    <w:rsid w:val="009D0CDA"/>
    <w:rsid w:val="009D1227"/>
    <w:rsid w:val="009D4151"/>
    <w:rsid w:val="009D5605"/>
    <w:rsid w:val="009D5A91"/>
    <w:rsid w:val="009D5E94"/>
    <w:rsid w:val="009D63BC"/>
    <w:rsid w:val="009D69DB"/>
    <w:rsid w:val="009E073A"/>
    <w:rsid w:val="009E091A"/>
    <w:rsid w:val="009E2966"/>
    <w:rsid w:val="009E29BA"/>
    <w:rsid w:val="009E3A07"/>
    <w:rsid w:val="009E4396"/>
    <w:rsid w:val="009E577E"/>
    <w:rsid w:val="009E69FE"/>
    <w:rsid w:val="009E79EF"/>
    <w:rsid w:val="009F0C16"/>
    <w:rsid w:val="009F3B23"/>
    <w:rsid w:val="009F46DD"/>
    <w:rsid w:val="009F584D"/>
    <w:rsid w:val="009F5B63"/>
    <w:rsid w:val="009F76DB"/>
    <w:rsid w:val="00A038B0"/>
    <w:rsid w:val="00A055B7"/>
    <w:rsid w:val="00A06152"/>
    <w:rsid w:val="00A07A5E"/>
    <w:rsid w:val="00A07CB2"/>
    <w:rsid w:val="00A07FE6"/>
    <w:rsid w:val="00A11990"/>
    <w:rsid w:val="00A1299D"/>
    <w:rsid w:val="00A12BCD"/>
    <w:rsid w:val="00A138E7"/>
    <w:rsid w:val="00A1536F"/>
    <w:rsid w:val="00A16E5D"/>
    <w:rsid w:val="00A17D35"/>
    <w:rsid w:val="00A17F77"/>
    <w:rsid w:val="00A20511"/>
    <w:rsid w:val="00A22406"/>
    <w:rsid w:val="00A22CE2"/>
    <w:rsid w:val="00A23003"/>
    <w:rsid w:val="00A23CFA"/>
    <w:rsid w:val="00A25D1D"/>
    <w:rsid w:val="00A3390E"/>
    <w:rsid w:val="00A353C8"/>
    <w:rsid w:val="00A355AC"/>
    <w:rsid w:val="00A36E57"/>
    <w:rsid w:val="00A43795"/>
    <w:rsid w:val="00A43891"/>
    <w:rsid w:val="00A47E50"/>
    <w:rsid w:val="00A51735"/>
    <w:rsid w:val="00A54CC9"/>
    <w:rsid w:val="00A54E8D"/>
    <w:rsid w:val="00A55E34"/>
    <w:rsid w:val="00A56A5D"/>
    <w:rsid w:val="00A603F0"/>
    <w:rsid w:val="00A61B92"/>
    <w:rsid w:val="00A624AC"/>
    <w:rsid w:val="00A6641E"/>
    <w:rsid w:val="00A66A55"/>
    <w:rsid w:val="00A67A16"/>
    <w:rsid w:val="00A70A4D"/>
    <w:rsid w:val="00A71CD0"/>
    <w:rsid w:val="00A727D3"/>
    <w:rsid w:val="00A740FC"/>
    <w:rsid w:val="00A7704E"/>
    <w:rsid w:val="00A82455"/>
    <w:rsid w:val="00A8252D"/>
    <w:rsid w:val="00A82A20"/>
    <w:rsid w:val="00A86484"/>
    <w:rsid w:val="00A87010"/>
    <w:rsid w:val="00A87C2D"/>
    <w:rsid w:val="00A90339"/>
    <w:rsid w:val="00A91416"/>
    <w:rsid w:val="00A91548"/>
    <w:rsid w:val="00A91E66"/>
    <w:rsid w:val="00A92D1D"/>
    <w:rsid w:val="00A941D5"/>
    <w:rsid w:val="00AA10A6"/>
    <w:rsid w:val="00AA1B6F"/>
    <w:rsid w:val="00AA2232"/>
    <w:rsid w:val="00AA4367"/>
    <w:rsid w:val="00AA436B"/>
    <w:rsid w:val="00AA5A57"/>
    <w:rsid w:val="00AB29D4"/>
    <w:rsid w:val="00AB31A9"/>
    <w:rsid w:val="00AB3B40"/>
    <w:rsid w:val="00AB3F7E"/>
    <w:rsid w:val="00AB5530"/>
    <w:rsid w:val="00AB76C4"/>
    <w:rsid w:val="00AC0E06"/>
    <w:rsid w:val="00AC1E14"/>
    <w:rsid w:val="00AC2AD2"/>
    <w:rsid w:val="00AC34A9"/>
    <w:rsid w:val="00AC7449"/>
    <w:rsid w:val="00AD176A"/>
    <w:rsid w:val="00AD397C"/>
    <w:rsid w:val="00AD3A30"/>
    <w:rsid w:val="00AD485D"/>
    <w:rsid w:val="00AD5064"/>
    <w:rsid w:val="00AD5C40"/>
    <w:rsid w:val="00AD7F1A"/>
    <w:rsid w:val="00AE0664"/>
    <w:rsid w:val="00AE3317"/>
    <w:rsid w:val="00AE5624"/>
    <w:rsid w:val="00AF2329"/>
    <w:rsid w:val="00AF2842"/>
    <w:rsid w:val="00AF7D8A"/>
    <w:rsid w:val="00B003BE"/>
    <w:rsid w:val="00B01224"/>
    <w:rsid w:val="00B04478"/>
    <w:rsid w:val="00B044AD"/>
    <w:rsid w:val="00B047A2"/>
    <w:rsid w:val="00B0583D"/>
    <w:rsid w:val="00B05F32"/>
    <w:rsid w:val="00B06394"/>
    <w:rsid w:val="00B104B0"/>
    <w:rsid w:val="00B11C39"/>
    <w:rsid w:val="00B17B4E"/>
    <w:rsid w:val="00B20455"/>
    <w:rsid w:val="00B21761"/>
    <w:rsid w:val="00B218EE"/>
    <w:rsid w:val="00B22A1A"/>
    <w:rsid w:val="00B23DC5"/>
    <w:rsid w:val="00B23EDC"/>
    <w:rsid w:val="00B24CE3"/>
    <w:rsid w:val="00B25B7D"/>
    <w:rsid w:val="00B27363"/>
    <w:rsid w:val="00B273C4"/>
    <w:rsid w:val="00B303FD"/>
    <w:rsid w:val="00B31CD9"/>
    <w:rsid w:val="00B32706"/>
    <w:rsid w:val="00B33D4E"/>
    <w:rsid w:val="00B34483"/>
    <w:rsid w:val="00B3619C"/>
    <w:rsid w:val="00B36EFC"/>
    <w:rsid w:val="00B415D7"/>
    <w:rsid w:val="00B41D50"/>
    <w:rsid w:val="00B4201D"/>
    <w:rsid w:val="00B420E7"/>
    <w:rsid w:val="00B43129"/>
    <w:rsid w:val="00B50DE4"/>
    <w:rsid w:val="00B51336"/>
    <w:rsid w:val="00B51A06"/>
    <w:rsid w:val="00B52EAD"/>
    <w:rsid w:val="00B53DE2"/>
    <w:rsid w:val="00B53EAB"/>
    <w:rsid w:val="00B54013"/>
    <w:rsid w:val="00B540C8"/>
    <w:rsid w:val="00B54272"/>
    <w:rsid w:val="00B546D8"/>
    <w:rsid w:val="00B575F8"/>
    <w:rsid w:val="00B57FFC"/>
    <w:rsid w:val="00B62047"/>
    <w:rsid w:val="00B625AA"/>
    <w:rsid w:val="00B62A31"/>
    <w:rsid w:val="00B6592A"/>
    <w:rsid w:val="00B6627A"/>
    <w:rsid w:val="00B72175"/>
    <w:rsid w:val="00B72476"/>
    <w:rsid w:val="00B72F0B"/>
    <w:rsid w:val="00B74953"/>
    <w:rsid w:val="00B76004"/>
    <w:rsid w:val="00B760C5"/>
    <w:rsid w:val="00B80EAE"/>
    <w:rsid w:val="00B81297"/>
    <w:rsid w:val="00B81856"/>
    <w:rsid w:val="00B833D7"/>
    <w:rsid w:val="00B85FC4"/>
    <w:rsid w:val="00B906FB"/>
    <w:rsid w:val="00B90E8A"/>
    <w:rsid w:val="00B913D3"/>
    <w:rsid w:val="00B94DDD"/>
    <w:rsid w:val="00B95EB6"/>
    <w:rsid w:val="00BA085B"/>
    <w:rsid w:val="00BA373D"/>
    <w:rsid w:val="00BA597E"/>
    <w:rsid w:val="00BA5C44"/>
    <w:rsid w:val="00BA7012"/>
    <w:rsid w:val="00BA7336"/>
    <w:rsid w:val="00BA75F8"/>
    <w:rsid w:val="00BB0ABB"/>
    <w:rsid w:val="00BB1651"/>
    <w:rsid w:val="00BB215F"/>
    <w:rsid w:val="00BB362F"/>
    <w:rsid w:val="00BB6E07"/>
    <w:rsid w:val="00BB77DF"/>
    <w:rsid w:val="00BC6324"/>
    <w:rsid w:val="00BC77F0"/>
    <w:rsid w:val="00BE1230"/>
    <w:rsid w:val="00BE1AB2"/>
    <w:rsid w:val="00BE2933"/>
    <w:rsid w:val="00BE2F1C"/>
    <w:rsid w:val="00BE4BEB"/>
    <w:rsid w:val="00BE6EAD"/>
    <w:rsid w:val="00BF285B"/>
    <w:rsid w:val="00BF60B4"/>
    <w:rsid w:val="00BF6814"/>
    <w:rsid w:val="00C02752"/>
    <w:rsid w:val="00C02E8F"/>
    <w:rsid w:val="00C0416F"/>
    <w:rsid w:val="00C06E5F"/>
    <w:rsid w:val="00C11345"/>
    <w:rsid w:val="00C1230E"/>
    <w:rsid w:val="00C13430"/>
    <w:rsid w:val="00C13C71"/>
    <w:rsid w:val="00C1471A"/>
    <w:rsid w:val="00C14F65"/>
    <w:rsid w:val="00C15A22"/>
    <w:rsid w:val="00C16756"/>
    <w:rsid w:val="00C16A24"/>
    <w:rsid w:val="00C16C06"/>
    <w:rsid w:val="00C1708F"/>
    <w:rsid w:val="00C20B95"/>
    <w:rsid w:val="00C21147"/>
    <w:rsid w:val="00C22E5F"/>
    <w:rsid w:val="00C23616"/>
    <w:rsid w:val="00C247DF"/>
    <w:rsid w:val="00C24FFD"/>
    <w:rsid w:val="00C31806"/>
    <w:rsid w:val="00C33070"/>
    <w:rsid w:val="00C3360A"/>
    <w:rsid w:val="00C348F1"/>
    <w:rsid w:val="00C358D0"/>
    <w:rsid w:val="00C4088C"/>
    <w:rsid w:val="00C40CCD"/>
    <w:rsid w:val="00C41CA8"/>
    <w:rsid w:val="00C4377B"/>
    <w:rsid w:val="00C46835"/>
    <w:rsid w:val="00C501A5"/>
    <w:rsid w:val="00C51DD7"/>
    <w:rsid w:val="00C5227E"/>
    <w:rsid w:val="00C54F13"/>
    <w:rsid w:val="00C57198"/>
    <w:rsid w:val="00C6391E"/>
    <w:rsid w:val="00C63E08"/>
    <w:rsid w:val="00C65691"/>
    <w:rsid w:val="00C71305"/>
    <w:rsid w:val="00C72B24"/>
    <w:rsid w:val="00C76ACB"/>
    <w:rsid w:val="00C80F43"/>
    <w:rsid w:val="00C819CD"/>
    <w:rsid w:val="00C83DCA"/>
    <w:rsid w:val="00C8518F"/>
    <w:rsid w:val="00C85F11"/>
    <w:rsid w:val="00C86265"/>
    <w:rsid w:val="00C8757C"/>
    <w:rsid w:val="00C87967"/>
    <w:rsid w:val="00C91BF8"/>
    <w:rsid w:val="00C93877"/>
    <w:rsid w:val="00C93A6F"/>
    <w:rsid w:val="00C93F64"/>
    <w:rsid w:val="00C9692B"/>
    <w:rsid w:val="00C97540"/>
    <w:rsid w:val="00CA0BD6"/>
    <w:rsid w:val="00CA277D"/>
    <w:rsid w:val="00CA2B94"/>
    <w:rsid w:val="00CA4933"/>
    <w:rsid w:val="00CA4AB7"/>
    <w:rsid w:val="00CA4E62"/>
    <w:rsid w:val="00CA52DB"/>
    <w:rsid w:val="00CA7615"/>
    <w:rsid w:val="00CB1F08"/>
    <w:rsid w:val="00CB26F6"/>
    <w:rsid w:val="00CB761A"/>
    <w:rsid w:val="00CC034E"/>
    <w:rsid w:val="00CC1C19"/>
    <w:rsid w:val="00CC1EC3"/>
    <w:rsid w:val="00CC2531"/>
    <w:rsid w:val="00CC55A4"/>
    <w:rsid w:val="00CC6BDC"/>
    <w:rsid w:val="00CC71AE"/>
    <w:rsid w:val="00CD091A"/>
    <w:rsid w:val="00CD5A3F"/>
    <w:rsid w:val="00CD7942"/>
    <w:rsid w:val="00CD7B63"/>
    <w:rsid w:val="00CD7CEB"/>
    <w:rsid w:val="00CE1528"/>
    <w:rsid w:val="00CE4198"/>
    <w:rsid w:val="00CE6DAF"/>
    <w:rsid w:val="00CE7426"/>
    <w:rsid w:val="00CF0BB3"/>
    <w:rsid w:val="00CF184B"/>
    <w:rsid w:val="00CF2AD6"/>
    <w:rsid w:val="00CF31A3"/>
    <w:rsid w:val="00CF4384"/>
    <w:rsid w:val="00CF4E30"/>
    <w:rsid w:val="00CF6776"/>
    <w:rsid w:val="00CF7037"/>
    <w:rsid w:val="00CF77C2"/>
    <w:rsid w:val="00D0044A"/>
    <w:rsid w:val="00D011E6"/>
    <w:rsid w:val="00D0219C"/>
    <w:rsid w:val="00D04A41"/>
    <w:rsid w:val="00D05208"/>
    <w:rsid w:val="00D05302"/>
    <w:rsid w:val="00D05F49"/>
    <w:rsid w:val="00D06822"/>
    <w:rsid w:val="00D11189"/>
    <w:rsid w:val="00D132B7"/>
    <w:rsid w:val="00D1333E"/>
    <w:rsid w:val="00D13ACF"/>
    <w:rsid w:val="00D141FC"/>
    <w:rsid w:val="00D14220"/>
    <w:rsid w:val="00D14997"/>
    <w:rsid w:val="00D153AB"/>
    <w:rsid w:val="00D16E47"/>
    <w:rsid w:val="00D20FB4"/>
    <w:rsid w:val="00D220B0"/>
    <w:rsid w:val="00D22EAA"/>
    <w:rsid w:val="00D23A9A"/>
    <w:rsid w:val="00D26A25"/>
    <w:rsid w:val="00D306C0"/>
    <w:rsid w:val="00D30AA2"/>
    <w:rsid w:val="00D30FF5"/>
    <w:rsid w:val="00D34536"/>
    <w:rsid w:val="00D34DC9"/>
    <w:rsid w:val="00D420D0"/>
    <w:rsid w:val="00D4439A"/>
    <w:rsid w:val="00D47237"/>
    <w:rsid w:val="00D47419"/>
    <w:rsid w:val="00D5259C"/>
    <w:rsid w:val="00D53BBB"/>
    <w:rsid w:val="00D54CCA"/>
    <w:rsid w:val="00D56619"/>
    <w:rsid w:val="00D56D86"/>
    <w:rsid w:val="00D61AFA"/>
    <w:rsid w:val="00D627A4"/>
    <w:rsid w:val="00D63DCA"/>
    <w:rsid w:val="00D71065"/>
    <w:rsid w:val="00D72DFA"/>
    <w:rsid w:val="00D7551C"/>
    <w:rsid w:val="00D769BE"/>
    <w:rsid w:val="00D80EDE"/>
    <w:rsid w:val="00D86F74"/>
    <w:rsid w:val="00D86FE8"/>
    <w:rsid w:val="00D87FED"/>
    <w:rsid w:val="00D9038F"/>
    <w:rsid w:val="00D91C55"/>
    <w:rsid w:val="00DA0780"/>
    <w:rsid w:val="00DA1C30"/>
    <w:rsid w:val="00DA2242"/>
    <w:rsid w:val="00DA2CB2"/>
    <w:rsid w:val="00DA2EB4"/>
    <w:rsid w:val="00DA35F6"/>
    <w:rsid w:val="00DA40EF"/>
    <w:rsid w:val="00DA440C"/>
    <w:rsid w:val="00DA5F07"/>
    <w:rsid w:val="00DA69EF"/>
    <w:rsid w:val="00DB2283"/>
    <w:rsid w:val="00DB43EE"/>
    <w:rsid w:val="00DB4D30"/>
    <w:rsid w:val="00DB733D"/>
    <w:rsid w:val="00DB7AC0"/>
    <w:rsid w:val="00DB7C62"/>
    <w:rsid w:val="00DC1E77"/>
    <w:rsid w:val="00DC241B"/>
    <w:rsid w:val="00DC59C7"/>
    <w:rsid w:val="00DD06D3"/>
    <w:rsid w:val="00DD218B"/>
    <w:rsid w:val="00DD3AD7"/>
    <w:rsid w:val="00DD4E44"/>
    <w:rsid w:val="00DD59E8"/>
    <w:rsid w:val="00DD63B3"/>
    <w:rsid w:val="00DD7B4B"/>
    <w:rsid w:val="00DE2A3A"/>
    <w:rsid w:val="00DE331B"/>
    <w:rsid w:val="00DE3828"/>
    <w:rsid w:val="00DE3EFB"/>
    <w:rsid w:val="00DE41D2"/>
    <w:rsid w:val="00DE479C"/>
    <w:rsid w:val="00DE58EB"/>
    <w:rsid w:val="00DE647A"/>
    <w:rsid w:val="00DE6F8E"/>
    <w:rsid w:val="00DF1477"/>
    <w:rsid w:val="00DF20EE"/>
    <w:rsid w:val="00DF408F"/>
    <w:rsid w:val="00DF4112"/>
    <w:rsid w:val="00DF48FA"/>
    <w:rsid w:val="00DF5B77"/>
    <w:rsid w:val="00DF6C0D"/>
    <w:rsid w:val="00DF73B3"/>
    <w:rsid w:val="00DF73F5"/>
    <w:rsid w:val="00E00365"/>
    <w:rsid w:val="00E020E0"/>
    <w:rsid w:val="00E02E1B"/>
    <w:rsid w:val="00E03562"/>
    <w:rsid w:val="00E057B6"/>
    <w:rsid w:val="00E0628A"/>
    <w:rsid w:val="00E12BB2"/>
    <w:rsid w:val="00E12D51"/>
    <w:rsid w:val="00E13423"/>
    <w:rsid w:val="00E13D35"/>
    <w:rsid w:val="00E178A3"/>
    <w:rsid w:val="00E204E4"/>
    <w:rsid w:val="00E22F5F"/>
    <w:rsid w:val="00E23D89"/>
    <w:rsid w:val="00E26484"/>
    <w:rsid w:val="00E277DF"/>
    <w:rsid w:val="00E279E7"/>
    <w:rsid w:val="00E33121"/>
    <w:rsid w:val="00E346B7"/>
    <w:rsid w:val="00E353D2"/>
    <w:rsid w:val="00E3604D"/>
    <w:rsid w:val="00E37EC1"/>
    <w:rsid w:val="00E37FB0"/>
    <w:rsid w:val="00E41940"/>
    <w:rsid w:val="00E41B62"/>
    <w:rsid w:val="00E448D3"/>
    <w:rsid w:val="00E4494C"/>
    <w:rsid w:val="00E44B22"/>
    <w:rsid w:val="00E4579E"/>
    <w:rsid w:val="00E47A97"/>
    <w:rsid w:val="00E560B2"/>
    <w:rsid w:val="00E5718B"/>
    <w:rsid w:val="00E62B2E"/>
    <w:rsid w:val="00E636AA"/>
    <w:rsid w:val="00E6505D"/>
    <w:rsid w:val="00E66271"/>
    <w:rsid w:val="00E66B38"/>
    <w:rsid w:val="00E676F7"/>
    <w:rsid w:val="00E7021F"/>
    <w:rsid w:val="00E70722"/>
    <w:rsid w:val="00E7082D"/>
    <w:rsid w:val="00E71B58"/>
    <w:rsid w:val="00E73D2B"/>
    <w:rsid w:val="00E73DB7"/>
    <w:rsid w:val="00E73FAA"/>
    <w:rsid w:val="00E7455D"/>
    <w:rsid w:val="00E76C1A"/>
    <w:rsid w:val="00E80181"/>
    <w:rsid w:val="00E81C35"/>
    <w:rsid w:val="00E82995"/>
    <w:rsid w:val="00E842EA"/>
    <w:rsid w:val="00E84AE8"/>
    <w:rsid w:val="00E85901"/>
    <w:rsid w:val="00E87D8C"/>
    <w:rsid w:val="00E90CB2"/>
    <w:rsid w:val="00E94E9A"/>
    <w:rsid w:val="00E96181"/>
    <w:rsid w:val="00E96F32"/>
    <w:rsid w:val="00E972AA"/>
    <w:rsid w:val="00E97603"/>
    <w:rsid w:val="00EA08AD"/>
    <w:rsid w:val="00EA1B0E"/>
    <w:rsid w:val="00EA1C60"/>
    <w:rsid w:val="00EA2148"/>
    <w:rsid w:val="00EB05D0"/>
    <w:rsid w:val="00EB0EDB"/>
    <w:rsid w:val="00EB273B"/>
    <w:rsid w:val="00EB3F6F"/>
    <w:rsid w:val="00EB3F99"/>
    <w:rsid w:val="00EB44FF"/>
    <w:rsid w:val="00EB562A"/>
    <w:rsid w:val="00EB5C90"/>
    <w:rsid w:val="00EB5CD5"/>
    <w:rsid w:val="00EB6C0C"/>
    <w:rsid w:val="00EB783D"/>
    <w:rsid w:val="00EC277F"/>
    <w:rsid w:val="00EC5F89"/>
    <w:rsid w:val="00ED062E"/>
    <w:rsid w:val="00ED2F50"/>
    <w:rsid w:val="00ED33E3"/>
    <w:rsid w:val="00ED3991"/>
    <w:rsid w:val="00EE0034"/>
    <w:rsid w:val="00EE06DF"/>
    <w:rsid w:val="00EE30CD"/>
    <w:rsid w:val="00EE49D9"/>
    <w:rsid w:val="00EE4D94"/>
    <w:rsid w:val="00EE66C1"/>
    <w:rsid w:val="00EE75C8"/>
    <w:rsid w:val="00EF08F4"/>
    <w:rsid w:val="00EF403B"/>
    <w:rsid w:val="00EF447A"/>
    <w:rsid w:val="00EF4F09"/>
    <w:rsid w:val="00EF6EC5"/>
    <w:rsid w:val="00F0106D"/>
    <w:rsid w:val="00F04506"/>
    <w:rsid w:val="00F07A91"/>
    <w:rsid w:val="00F119DD"/>
    <w:rsid w:val="00F14EA5"/>
    <w:rsid w:val="00F14F7D"/>
    <w:rsid w:val="00F164ED"/>
    <w:rsid w:val="00F20FEF"/>
    <w:rsid w:val="00F27514"/>
    <w:rsid w:val="00F3198E"/>
    <w:rsid w:val="00F35639"/>
    <w:rsid w:val="00F35FA4"/>
    <w:rsid w:val="00F36578"/>
    <w:rsid w:val="00F37A09"/>
    <w:rsid w:val="00F42886"/>
    <w:rsid w:val="00F439BF"/>
    <w:rsid w:val="00F459CC"/>
    <w:rsid w:val="00F472E8"/>
    <w:rsid w:val="00F51564"/>
    <w:rsid w:val="00F51CD4"/>
    <w:rsid w:val="00F54180"/>
    <w:rsid w:val="00F55FAB"/>
    <w:rsid w:val="00F57389"/>
    <w:rsid w:val="00F579EC"/>
    <w:rsid w:val="00F609F4"/>
    <w:rsid w:val="00F6564E"/>
    <w:rsid w:val="00F66581"/>
    <w:rsid w:val="00F677B7"/>
    <w:rsid w:val="00F67982"/>
    <w:rsid w:val="00F73112"/>
    <w:rsid w:val="00F74F8A"/>
    <w:rsid w:val="00F75773"/>
    <w:rsid w:val="00F773DC"/>
    <w:rsid w:val="00F837E1"/>
    <w:rsid w:val="00F83CA3"/>
    <w:rsid w:val="00F8519E"/>
    <w:rsid w:val="00F85EEF"/>
    <w:rsid w:val="00F86D3D"/>
    <w:rsid w:val="00F86ED4"/>
    <w:rsid w:val="00F902DE"/>
    <w:rsid w:val="00F90F4A"/>
    <w:rsid w:val="00F913CD"/>
    <w:rsid w:val="00F9170C"/>
    <w:rsid w:val="00F918BD"/>
    <w:rsid w:val="00F920C6"/>
    <w:rsid w:val="00F92936"/>
    <w:rsid w:val="00F929CF"/>
    <w:rsid w:val="00F9446F"/>
    <w:rsid w:val="00F94746"/>
    <w:rsid w:val="00F95DC7"/>
    <w:rsid w:val="00F96849"/>
    <w:rsid w:val="00FA0AB6"/>
    <w:rsid w:val="00FA16A1"/>
    <w:rsid w:val="00FA54EA"/>
    <w:rsid w:val="00FB1C20"/>
    <w:rsid w:val="00FB2061"/>
    <w:rsid w:val="00FB257D"/>
    <w:rsid w:val="00FB25C5"/>
    <w:rsid w:val="00FB34B9"/>
    <w:rsid w:val="00FB3C48"/>
    <w:rsid w:val="00FB5D60"/>
    <w:rsid w:val="00FB73A5"/>
    <w:rsid w:val="00FC0394"/>
    <w:rsid w:val="00FC09ED"/>
    <w:rsid w:val="00FC2628"/>
    <w:rsid w:val="00FC2D8B"/>
    <w:rsid w:val="00FC3903"/>
    <w:rsid w:val="00FC7298"/>
    <w:rsid w:val="00FC7C60"/>
    <w:rsid w:val="00FC7E0C"/>
    <w:rsid w:val="00FD0D38"/>
    <w:rsid w:val="00FD0F7E"/>
    <w:rsid w:val="00FD2B5D"/>
    <w:rsid w:val="00FD3A69"/>
    <w:rsid w:val="00FD6589"/>
    <w:rsid w:val="00FE23B5"/>
    <w:rsid w:val="00FE57D5"/>
    <w:rsid w:val="00FE5DF1"/>
    <w:rsid w:val="00FF000F"/>
    <w:rsid w:val="00FF2684"/>
    <w:rsid w:val="00FF4993"/>
    <w:rsid w:val="00FF5794"/>
    <w:rsid w:val="00FF5839"/>
    <w:rsid w:val="00FF609D"/>
    <w:rsid w:val="00FF6637"/>
    <w:rsid w:val="00FF6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525FFF"/>
    <w:pPr>
      <w:tabs>
        <w:tab w:val="right" w:leader="underscore" w:pos="9016"/>
      </w:tabs>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paragraph" w:customStyle="1" w:styleId="Heading1Numbered">
    <w:name w:val="Heading 1 Numbered"/>
    <w:basedOn w:val="Heading1"/>
    <w:next w:val="BodyText"/>
    <w:uiPriority w:val="9"/>
    <w:qFormat/>
    <w:rsid w:val="00803790"/>
    <w:pPr>
      <w:numPr>
        <w:numId w:val="43"/>
      </w:numPr>
      <w:spacing w:before="300" w:after="600" w:line="780" w:lineRule="exact"/>
      <w:contextualSpacing/>
    </w:pPr>
    <w:rPr>
      <w:rFonts w:ascii="Arial" w:hAnsi="Arial"/>
      <w:b w:val="0"/>
      <w:color w:val="005EB8"/>
      <w:sz w:val="72"/>
    </w:rPr>
  </w:style>
  <w:style w:type="paragraph" w:customStyle="1" w:styleId="Heading2Numbered">
    <w:name w:val="Heading 2 Numbered"/>
    <w:basedOn w:val="Heading2"/>
    <w:next w:val="BodyText"/>
    <w:uiPriority w:val="9"/>
    <w:qFormat/>
    <w:rsid w:val="00803790"/>
    <w:pPr>
      <w:numPr>
        <w:ilvl w:val="1"/>
        <w:numId w:val="43"/>
      </w:numPr>
      <w:spacing w:before="60" w:after="280"/>
    </w:pPr>
    <w:rPr>
      <w:rFonts w:ascii="Arial" w:hAnsi="Arial"/>
      <w:b w:val="0"/>
      <w:color w:val="005EB8"/>
      <w:sz w:val="36"/>
    </w:rPr>
  </w:style>
  <w:style w:type="paragraph" w:customStyle="1" w:styleId="Heading3Numbered">
    <w:name w:val="Heading 3 Numbered"/>
    <w:basedOn w:val="Heading3"/>
    <w:next w:val="BodyText"/>
    <w:uiPriority w:val="9"/>
    <w:qFormat/>
    <w:rsid w:val="00803790"/>
    <w:pPr>
      <w:numPr>
        <w:ilvl w:val="2"/>
        <w:numId w:val="43"/>
      </w:numPr>
      <w:spacing w:before="300"/>
      <w:ind w:left="0"/>
    </w:pPr>
    <w:rPr>
      <w:rFonts w:ascii="Arial" w:hAnsi="Arial"/>
      <w:b w:val="0"/>
      <w:color w:val="231F20"/>
    </w:rPr>
  </w:style>
  <w:style w:type="numbering" w:customStyle="1" w:styleId="NHSHeadings">
    <w:name w:val="NHS Headings"/>
    <w:basedOn w:val="NoList"/>
    <w:uiPriority w:val="99"/>
    <w:rsid w:val="00803790"/>
    <w:pPr>
      <w:numPr>
        <w:numId w:val="43"/>
      </w:numPr>
    </w:pPr>
  </w:style>
  <w:style w:type="paragraph" w:styleId="ListBullet">
    <w:name w:val="List Bullet"/>
    <w:basedOn w:val="Normal"/>
    <w:uiPriority w:val="99"/>
    <w:unhideWhenUsed/>
    <w:rsid w:val="00947840"/>
    <w:pPr>
      <w:numPr>
        <w:numId w:val="10"/>
      </w:numPr>
      <w:contextualSpacing/>
    </w:pPr>
  </w:style>
  <w:style w:type="character" w:styleId="UnresolvedMention">
    <w:name w:val="Unresolved Mention"/>
    <w:basedOn w:val="DefaultParagraphFont"/>
    <w:uiPriority w:val="99"/>
    <w:semiHidden/>
    <w:unhideWhenUsed/>
    <w:rsid w:val="0090266C"/>
    <w:rPr>
      <w:color w:val="605E5C"/>
      <w:shd w:val="clear" w:color="auto" w:fill="E1DFDD"/>
    </w:rPr>
  </w:style>
  <w:style w:type="paragraph" w:styleId="Revision">
    <w:name w:val="Revision"/>
    <w:hidden/>
    <w:uiPriority w:val="99"/>
    <w:semiHidden/>
    <w:rsid w:val="00F92936"/>
    <w:rPr>
      <w:color w:val="231F20" w:themeColor="text1"/>
    </w:rPr>
  </w:style>
  <w:style w:type="character" w:styleId="FollowedHyperlink">
    <w:name w:val="FollowedHyperlink"/>
    <w:basedOn w:val="DefaultParagraphFont"/>
    <w:uiPriority w:val="99"/>
    <w:semiHidden/>
    <w:unhideWhenUsed/>
    <w:rsid w:val="00F96849"/>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andsouthessex.ics.nhs.uk/publications/?publications_category=icb-policies&amp;page_no=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dandsouthessex.ics.nhs.uk/publications/?publications_category=icb-policies&amp;page_no=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andsouthessex.ics.nhs.uk/publications/?publications_category=icb-policies&amp;page_no=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andsouthessex.ics.nhs.uk/publications/?publications_category=icb-policies&amp;page_no=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F8EA45AE-9470-439F-A1D8-5CBF181AAEA2}">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3.xml><?xml version="1.0" encoding="utf-8"?>
<ds:datastoreItem xmlns:ds="http://schemas.openxmlformats.org/officeDocument/2006/customXml" ds:itemID="{1B65DE33-E50F-4564-B826-516BCF8A7987}">
  <ds:schemaRefs>
    <ds:schemaRef ds:uri="http://schemas.microsoft.com/sharepoint/v3/contenttype/forms"/>
  </ds:schemaRefs>
</ds:datastoreItem>
</file>

<file path=customXml/itemProps4.xml><?xml version="1.0" encoding="utf-8"?>
<ds:datastoreItem xmlns:ds="http://schemas.openxmlformats.org/officeDocument/2006/customXml" ds:itemID="{891DFFC3-6FA8-4A33-88D5-C095C6210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109</TotalTime>
  <Pages>23</Pages>
  <Words>6084</Words>
  <Characters>34684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Accounting &amp; Financial Management V1.1</vt:lpstr>
    </vt:vector>
  </TitlesOfParts>
  <Manager/>
  <Company/>
  <LinksUpToDate>false</LinksUpToDate>
  <CharactersWithSpaces>40687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&amp; Financial Management V2.0</dc:title>
  <dc:subject/>
  <dc:creator>Adams Nicola (07G) Thurrock CCG</dc:creator>
  <cp:keywords/>
  <dc:description/>
  <cp:lastModifiedBy>CHASNEY, Helen (NHS MID AND SOUTH ESSEX ICB - 07G)</cp:lastModifiedBy>
  <cp:revision>45</cp:revision>
  <cp:lastPrinted>2021-12-03T14:01:00Z</cp:lastPrinted>
  <dcterms:created xsi:type="dcterms:W3CDTF">2024-07-03T14:23:00Z</dcterms:created>
  <dcterms:modified xsi:type="dcterms:W3CDTF">2024-08-02T10:14:00Z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