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2CCF" w14:textId="427353E8" w:rsidR="00D623AD" w:rsidRDefault="009C523D" w:rsidP="008C598A">
      <w:pPr>
        <w:pStyle w:val="Title"/>
        <w:rPr>
          <w:sz w:val="52"/>
          <w:szCs w:val="52"/>
        </w:rPr>
      </w:pPr>
      <w:bookmarkStart w:id="0" w:name="_Toc85717490"/>
      <w:r>
        <w:br/>
      </w:r>
      <w:r>
        <w:br/>
      </w:r>
      <w:r>
        <w:br/>
      </w:r>
      <w:r>
        <w:br/>
      </w:r>
      <w:r>
        <w:br/>
      </w:r>
      <w:r>
        <w:br/>
      </w:r>
      <w:r>
        <w:br/>
      </w:r>
      <w:r>
        <w:br/>
      </w:r>
      <w:r>
        <w:br/>
      </w:r>
      <w:r>
        <w:br/>
      </w:r>
      <w:r>
        <w:br/>
      </w:r>
      <w:r>
        <w:br/>
      </w:r>
      <w:r>
        <w:br/>
      </w:r>
      <w:r w:rsidR="00BC1685">
        <w:rPr>
          <w:sz w:val="52"/>
          <w:szCs w:val="52"/>
        </w:rPr>
        <w:t xml:space="preserve">ICB003 </w:t>
      </w:r>
      <w:r w:rsidR="00CE2B8F" w:rsidRPr="00AB7447">
        <w:rPr>
          <w:sz w:val="52"/>
          <w:szCs w:val="52"/>
        </w:rPr>
        <w:t xml:space="preserve">Procurement and Contracting </w:t>
      </w:r>
      <w:r w:rsidR="00186694" w:rsidRPr="00AB7447">
        <w:rPr>
          <w:sz w:val="52"/>
          <w:szCs w:val="52"/>
        </w:rPr>
        <w:t>Policy</w:t>
      </w:r>
      <w:bookmarkStart w:id="1" w:name="_Toc88478171"/>
      <w:bookmarkEnd w:id="0"/>
    </w:p>
    <w:p w14:paraId="14ACB7D8" w14:textId="5CFBE06A" w:rsidR="003A663C" w:rsidRPr="00AB7447" w:rsidRDefault="003A663C" w:rsidP="00AB7447">
      <w:pPr>
        <w:pStyle w:val="Title"/>
        <w:jc w:val="center"/>
        <w:rPr>
          <w:sz w:val="52"/>
          <w:szCs w:val="52"/>
        </w:rPr>
      </w:pPr>
      <w:r w:rsidRPr="00AB7447">
        <w:rPr>
          <w:sz w:val="52"/>
          <w:szCs w:val="52"/>
        </w:rPr>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39715A" w:rsidRPr="00777E05" w14:paraId="30F1AEDA" w14:textId="77777777" w:rsidTr="00C410A2">
        <w:trPr>
          <w:tblHeader/>
        </w:trPr>
        <w:tc>
          <w:tcPr>
            <w:tcW w:w="4395" w:type="dxa"/>
            <w:shd w:val="clear" w:color="auto" w:fill="003087" w:themeFill="accent1"/>
          </w:tcPr>
          <w:p w14:paraId="2425D697" w14:textId="4C595934" w:rsidR="0039715A" w:rsidRPr="00C410A2" w:rsidRDefault="00C410A2" w:rsidP="00FF4887">
            <w:pPr>
              <w:spacing w:before="0" w:after="0"/>
              <w:ind w:left="0"/>
              <w:rPr>
                <w:b/>
                <w:bCs/>
                <w:color w:val="FFFFFF" w:themeColor="background1"/>
              </w:rPr>
            </w:pPr>
            <w:r w:rsidRPr="00C410A2">
              <w:rPr>
                <w:b/>
                <w:bCs/>
                <w:color w:val="FFFFFF" w:themeColor="background1"/>
              </w:rPr>
              <w:t>Document Control Information</w:t>
            </w:r>
          </w:p>
        </w:tc>
        <w:tc>
          <w:tcPr>
            <w:tcW w:w="4677" w:type="dxa"/>
          </w:tcPr>
          <w:p w14:paraId="5AA617F3" w14:textId="21A31090" w:rsidR="0039715A" w:rsidRPr="00C410A2" w:rsidRDefault="00C410A2" w:rsidP="00FF4887">
            <w:pPr>
              <w:spacing w:before="0" w:after="0"/>
              <w:ind w:left="0"/>
              <w:rPr>
                <w:b/>
                <w:bCs/>
              </w:rPr>
            </w:pPr>
            <w:r w:rsidRPr="00C410A2">
              <w:rPr>
                <w:b/>
                <w:bCs/>
              </w:rPr>
              <w:t>Details</w:t>
            </w:r>
          </w:p>
        </w:tc>
      </w:tr>
      <w:tr w:rsidR="00C410A2" w:rsidRPr="00777E05" w14:paraId="7C82D3D9" w14:textId="77777777" w:rsidTr="00FF4887">
        <w:tc>
          <w:tcPr>
            <w:tcW w:w="4395" w:type="dxa"/>
            <w:shd w:val="clear" w:color="auto" w:fill="003087" w:themeFill="accent1"/>
          </w:tcPr>
          <w:p w14:paraId="36069C2B" w14:textId="21FB352D" w:rsidR="00C410A2" w:rsidRPr="00777E05" w:rsidRDefault="00C410A2" w:rsidP="00C410A2">
            <w:pPr>
              <w:spacing w:before="0" w:after="0"/>
              <w:ind w:left="0"/>
              <w:rPr>
                <w:color w:val="FFFFFF" w:themeColor="background1"/>
              </w:rPr>
            </w:pPr>
            <w:r w:rsidRPr="00777E05">
              <w:rPr>
                <w:color w:val="FFFFFF" w:themeColor="background1"/>
              </w:rPr>
              <w:t>Policy Name</w:t>
            </w:r>
          </w:p>
        </w:tc>
        <w:tc>
          <w:tcPr>
            <w:tcW w:w="4677" w:type="dxa"/>
          </w:tcPr>
          <w:p w14:paraId="36A1E960" w14:textId="3D33B72B" w:rsidR="00C410A2" w:rsidRDefault="00C410A2" w:rsidP="00C410A2">
            <w:pPr>
              <w:spacing w:before="0" w:after="0"/>
              <w:ind w:left="0"/>
            </w:pPr>
            <w:r>
              <w:t>Procurement and Contracting Policy</w:t>
            </w:r>
          </w:p>
        </w:tc>
      </w:tr>
      <w:tr w:rsidR="00C410A2" w:rsidRPr="00777E05" w14:paraId="518891C4" w14:textId="77777777" w:rsidTr="00FF4887">
        <w:tc>
          <w:tcPr>
            <w:tcW w:w="4395" w:type="dxa"/>
            <w:shd w:val="clear" w:color="auto" w:fill="003087" w:themeFill="accent1"/>
          </w:tcPr>
          <w:p w14:paraId="42CDB869" w14:textId="77777777" w:rsidR="00C410A2" w:rsidRPr="00777E05" w:rsidRDefault="00C410A2" w:rsidP="00C410A2">
            <w:pPr>
              <w:spacing w:before="0" w:after="0"/>
              <w:ind w:left="0"/>
              <w:rPr>
                <w:color w:val="FFFFFF" w:themeColor="background1"/>
              </w:rPr>
            </w:pPr>
            <w:r w:rsidRPr="00777E05">
              <w:rPr>
                <w:color w:val="FFFFFF" w:themeColor="background1"/>
              </w:rPr>
              <w:t>Policy Number</w:t>
            </w:r>
          </w:p>
        </w:tc>
        <w:tc>
          <w:tcPr>
            <w:tcW w:w="4677" w:type="dxa"/>
          </w:tcPr>
          <w:p w14:paraId="69287E77" w14:textId="58A007C7" w:rsidR="00C410A2" w:rsidRPr="00777E05" w:rsidRDefault="00C410A2" w:rsidP="00C410A2">
            <w:pPr>
              <w:spacing w:before="0" w:after="0"/>
              <w:ind w:left="0"/>
            </w:pPr>
            <w:r>
              <w:t>MSEICB 003</w:t>
            </w:r>
          </w:p>
        </w:tc>
      </w:tr>
      <w:tr w:rsidR="00C410A2" w:rsidRPr="00777E05" w14:paraId="4E4F929C" w14:textId="77777777" w:rsidTr="00FF4887">
        <w:tc>
          <w:tcPr>
            <w:tcW w:w="4395" w:type="dxa"/>
            <w:shd w:val="clear" w:color="auto" w:fill="003087" w:themeFill="accent1"/>
          </w:tcPr>
          <w:p w14:paraId="7F4CF3AD" w14:textId="77777777" w:rsidR="00C410A2" w:rsidRPr="00777E05" w:rsidRDefault="00C410A2" w:rsidP="00C410A2">
            <w:pPr>
              <w:spacing w:before="0" w:after="0"/>
              <w:ind w:left="0"/>
              <w:rPr>
                <w:color w:val="FFFFFF" w:themeColor="background1"/>
              </w:rPr>
            </w:pPr>
            <w:r w:rsidRPr="00777E05">
              <w:rPr>
                <w:color w:val="FFFFFF" w:themeColor="background1"/>
              </w:rPr>
              <w:t>Version</w:t>
            </w:r>
          </w:p>
        </w:tc>
        <w:tc>
          <w:tcPr>
            <w:tcW w:w="4677" w:type="dxa"/>
          </w:tcPr>
          <w:p w14:paraId="462D2E21" w14:textId="5E7291B1" w:rsidR="00C410A2" w:rsidRPr="00777E05" w:rsidRDefault="00023571" w:rsidP="00C410A2">
            <w:pPr>
              <w:spacing w:before="0" w:after="0"/>
              <w:ind w:left="0"/>
            </w:pPr>
            <w:r>
              <w:t>V1.0</w:t>
            </w:r>
          </w:p>
        </w:tc>
      </w:tr>
      <w:tr w:rsidR="00C410A2" w:rsidRPr="00777E05" w14:paraId="4FAA9229" w14:textId="77777777" w:rsidTr="00FF4887">
        <w:tc>
          <w:tcPr>
            <w:tcW w:w="4395" w:type="dxa"/>
            <w:shd w:val="clear" w:color="auto" w:fill="003087" w:themeFill="accent1"/>
          </w:tcPr>
          <w:p w14:paraId="5DB856B8" w14:textId="77777777" w:rsidR="00C410A2" w:rsidRPr="00777E05" w:rsidRDefault="00C410A2" w:rsidP="00C410A2">
            <w:pPr>
              <w:spacing w:before="0" w:after="0"/>
              <w:ind w:left="0"/>
              <w:rPr>
                <w:color w:val="FFFFFF" w:themeColor="background1"/>
              </w:rPr>
            </w:pPr>
            <w:r w:rsidRPr="00777E05">
              <w:rPr>
                <w:color w:val="FFFFFF" w:themeColor="background1"/>
              </w:rPr>
              <w:t>Status</w:t>
            </w:r>
          </w:p>
        </w:tc>
        <w:tc>
          <w:tcPr>
            <w:tcW w:w="4677" w:type="dxa"/>
          </w:tcPr>
          <w:p w14:paraId="03E3A7D7" w14:textId="59E91BB7" w:rsidR="00C410A2" w:rsidRPr="00777E05" w:rsidRDefault="00A92409" w:rsidP="00C410A2">
            <w:pPr>
              <w:spacing w:before="0" w:after="0"/>
              <w:ind w:left="0"/>
            </w:pPr>
            <w:r>
              <w:t>Final</w:t>
            </w:r>
          </w:p>
        </w:tc>
      </w:tr>
      <w:tr w:rsidR="00C410A2" w:rsidRPr="00777E05" w14:paraId="005F188D" w14:textId="77777777" w:rsidTr="00FF4887">
        <w:tc>
          <w:tcPr>
            <w:tcW w:w="4395" w:type="dxa"/>
            <w:shd w:val="clear" w:color="auto" w:fill="003087" w:themeFill="accent1"/>
          </w:tcPr>
          <w:p w14:paraId="5DB60B6E" w14:textId="77777777" w:rsidR="00C410A2" w:rsidRPr="00777E05" w:rsidRDefault="00C410A2" w:rsidP="00C410A2">
            <w:pPr>
              <w:spacing w:before="0" w:after="0"/>
              <w:ind w:left="0"/>
              <w:rPr>
                <w:color w:val="FFFFFF" w:themeColor="background1"/>
              </w:rPr>
            </w:pPr>
            <w:r w:rsidRPr="00777E05">
              <w:rPr>
                <w:color w:val="FFFFFF" w:themeColor="background1"/>
              </w:rPr>
              <w:t>Author / Lead</w:t>
            </w:r>
          </w:p>
        </w:tc>
        <w:tc>
          <w:tcPr>
            <w:tcW w:w="4677" w:type="dxa"/>
          </w:tcPr>
          <w:p w14:paraId="2BE16151" w14:textId="588451DA" w:rsidR="00C410A2" w:rsidRPr="00777E05" w:rsidRDefault="00C410A2" w:rsidP="00C410A2">
            <w:pPr>
              <w:spacing w:before="0" w:after="0"/>
              <w:ind w:left="0"/>
            </w:pPr>
            <w:r>
              <w:t>Andrew Wright</w:t>
            </w:r>
            <w:r w:rsidR="001F039D">
              <w:t xml:space="preserve">, </w:t>
            </w:r>
            <w:r w:rsidR="001F039D" w:rsidRPr="001F039D">
              <w:t>Head of Integrated System Purchase of Healthcare</w:t>
            </w:r>
          </w:p>
        </w:tc>
      </w:tr>
      <w:tr w:rsidR="00C410A2" w:rsidRPr="00777E05" w14:paraId="27759212" w14:textId="77777777" w:rsidTr="00FF4887">
        <w:tc>
          <w:tcPr>
            <w:tcW w:w="4395" w:type="dxa"/>
            <w:shd w:val="clear" w:color="auto" w:fill="003087" w:themeFill="accent1"/>
          </w:tcPr>
          <w:p w14:paraId="5B3D8E92" w14:textId="77777777" w:rsidR="00C410A2" w:rsidRPr="00777E05" w:rsidRDefault="00C410A2" w:rsidP="00C410A2">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3E421647" w:rsidR="00C410A2" w:rsidRPr="00777E05" w:rsidRDefault="00C410A2" w:rsidP="00C410A2">
            <w:pPr>
              <w:spacing w:before="0" w:after="0"/>
              <w:ind w:left="0"/>
            </w:pPr>
            <w:r>
              <w:t>Director of Resources</w:t>
            </w:r>
          </w:p>
        </w:tc>
      </w:tr>
      <w:tr w:rsidR="00C410A2" w:rsidRPr="00777E05" w14:paraId="288D5A50" w14:textId="77777777" w:rsidTr="00FF4887">
        <w:tc>
          <w:tcPr>
            <w:tcW w:w="4395" w:type="dxa"/>
            <w:shd w:val="clear" w:color="auto" w:fill="003087" w:themeFill="accent1"/>
          </w:tcPr>
          <w:p w14:paraId="64718F55" w14:textId="77777777" w:rsidR="00C410A2" w:rsidRPr="00777E05" w:rsidRDefault="00C410A2" w:rsidP="00C410A2">
            <w:pPr>
              <w:spacing w:before="0" w:after="0"/>
              <w:ind w:left="0"/>
              <w:rPr>
                <w:color w:val="FFFFFF" w:themeColor="background1"/>
              </w:rPr>
            </w:pPr>
            <w:r w:rsidRPr="00777E05">
              <w:rPr>
                <w:color w:val="FFFFFF" w:themeColor="background1"/>
              </w:rPr>
              <w:t>Responsible Committee</w:t>
            </w:r>
          </w:p>
        </w:tc>
        <w:tc>
          <w:tcPr>
            <w:tcW w:w="4677" w:type="dxa"/>
          </w:tcPr>
          <w:p w14:paraId="7394A510" w14:textId="1A2FE886" w:rsidR="00C410A2" w:rsidRPr="00777E05" w:rsidRDefault="00C410A2" w:rsidP="00C410A2">
            <w:pPr>
              <w:spacing w:before="0" w:after="0"/>
              <w:ind w:left="0"/>
              <w:rPr>
                <w:color w:val="auto"/>
              </w:rPr>
            </w:pPr>
            <w:r>
              <w:rPr>
                <w:color w:val="auto"/>
              </w:rPr>
              <w:t>Finance &amp; Investment Committee</w:t>
            </w:r>
          </w:p>
        </w:tc>
      </w:tr>
      <w:tr w:rsidR="00C410A2" w:rsidRPr="00777E05" w14:paraId="749B417D" w14:textId="77777777" w:rsidTr="00FF4887">
        <w:tc>
          <w:tcPr>
            <w:tcW w:w="4395" w:type="dxa"/>
            <w:shd w:val="clear" w:color="auto" w:fill="003087" w:themeFill="accent1"/>
          </w:tcPr>
          <w:p w14:paraId="51CE8082" w14:textId="77777777" w:rsidR="00C410A2" w:rsidRPr="00777E05" w:rsidRDefault="00C410A2" w:rsidP="00C410A2">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7D172519" w:rsidR="00C410A2" w:rsidRPr="00777E05" w:rsidRDefault="00A92409" w:rsidP="00C410A2">
            <w:pPr>
              <w:spacing w:before="0" w:after="0"/>
              <w:ind w:left="0"/>
              <w:rPr>
                <w:color w:val="auto"/>
                <w:highlight w:val="yellow"/>
              </w:rPr>
            </w:pPr>
            <w:r w:rsidRPr="00A92409">
              <w:rPr>
                <w:color w:val="auto"/>
              </w:rPr>
              <w:t>9 November 2022</w:t>
            </w:r>
          </w:p>
        </w:tc>
      </w:tr>
      <w:tr w:rsidR="00C410A2" w:rsidRPr="00777E05" w14:paraId="3BA85B1A" w14:textId="77777777" w:rsidTr="00FF4887">
        <w:tc>
          <w:tcPr>
            <w:tcW w:w="4395" w:type="dxa"/>
            <w:shd w:val="clear" w:color="auto" w:fill="003087" w:themeFill="accent1"/>
          </w:tcPr>
          <w:p w14:paraId="032C497B" w14:textId="77777777" w:rsidR="00C410A2" w:rsidRPr="00777E05" w:rsidRDefault="00C410A2" w:rsidP="00C410A2">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5BA081A4" w:rsidR="00C410A2" w:rsidRPr="00777E05" w:rsidRDefault="00A92409" w:rsidP="00C410A2">
            <w:pPr>
              <w:spacing w:before="0" w:after="0"/>
              <w:ind w:left="0"/>
              <w:rPr>
                <w:color w:val="auto"/>
                <w:highlight w:val="yellow"/>
              </w:rPr>
            </w:pPr>
            <w:r w:rsidRPr="00A92409">
              <w:rPr>
                <w:color w:val="auto"/>
              </w:rPr>
              <w:t>19 January 2023</w:t>
            </w:r>
          </w:p>
        </w:tc>
      </w:tr>
      <w:tr w:rsidR="00C410A2" w:rsidRPr="00777E05" w14:paraId="1A94530E" w14:textId="77777777" w:rsidTr="00FF4887">
        <w:tc>
          <w:tcPr>
            <w:tcW w:w="4395" w:type="dxa"/>
            <w:shd w:val="clear" w:color="auto" w:fill="003087" w:themeFill="accent1"/>
          </w:tcPr>
          <w:p w14:paraId="44BBD69A" w14:textId="77777777" w:rsidR="00C410A2" w:rsidRPr="00777E05" w:rsidRDefault="00C410A2" w:rsidP="00C410A2">
            <w:pPr>
              <w:spacing w:before="0" w:after="0"/>
              <w:ind w:left="0"/>
              <w:rPr>
                <w:color w:val="FFFFFF" w:themeColor="background1"/>
              </w:rPr>
            </w:pPr>
            <w:r w:rsidRPr="00777E05">
              <w:rPr>
                <w:color w:val="FFFFFF" w:themeColor="background1"/>
              </w:rPr>
              <w:t>Next Review Date</w:t>
            </w:r>
          </w:p>
        </w:tc>
        <w:tc>
          <w:tcPr>
            <w:tcW w:w="4677" w:type="dxa"/>
          </w:tcPr>
          <w:p w14:paraId="7524A9D5" w14:textId="7310BB0F" w:rsidR="00C410A2" w:rsidRPr="00777E05" w:rsidRDefault="00F446F1" w:rsidP="00C410A2">
            <w:pPr>
              <w:spacing w:before="0" w:after="0"/>
              <w:ind w:left="0"/>
              <w:rPr>
                <w:color w:val="auto"/>
              </w:rPr>
            </w:pPr>
            <w:r>
              <w:rPr>
                <w:color w:val="auto"/>
              </w:rPr>
              <w:t xml:space="preserve">January </w:t>
            </w:r>
            <w:r w:rsidR="00C410A2">
              <w:rPr>
                <w:color w:val="auto"/>
              </w:rPr>
              <w:t>2024</w:t>
            </w:r>
          </w:p>
        </w:tc>
      </w:tr>
      <w:tr w:rsidR="00C410A2" w:rsidRPr="00777E05" w14:paraId="0DAC8D34" w14:textId="77777777" w:rsidTr="00C634C4">
        <w:tc>
          <w:tcPr>
            <w:tcW w:w="4395" w:type="dxa"/>
            <w:shd w:val="clear" w:color="auto" w:fill="003087" w:themeFill="accent1"/>
          </w:tcPr>
          <w:p w14:paraId="47431188" w14:textId="77777777" w:rsidR="00C410A2" w:rsidRPr="00777E05" w:rsidRDefault="00C410A2" w:rsidP="00C410A2">
            <w:pPr>
              <w:spacing w:before="0" w:after="0"/>
              <w:ind w:left="0"/>
              <w:rPr>
                <w:color w:val="FFFFFF" w:themeColor="background1"/>
              </w:rPr>
            </w:pPr>
            <w:r w:rsidRPr="00777E05">
              <w:rPr>
                <w:color w:val="FFFFFF" w:themeColor="background1"/>
              </w:rPr>
              <w:t>Target Audience</w:t>
            </w:r>
          </w:p>
        </w:tc>
        <w:tc>
          <w:tcPr>
            <w:tcW w:w="4677" w:type="dxa"/>
            <w:tcBorders>
              <w:top w:val="single" w:sz="4" w:space="0" w:color="auto"/>
              <w:left w:val="single" w:sz="4" w:space="0" w:color="auto"/>
              <w:bottom w:val="single" w:sz="4" w:space="0" w:color="auto"/>
              <w:right w:val="single" w:sz="4" w:space="0" w:color="auto"/>
            </w:tcBorders>
          </w:tcPr>
          <w:p w14:paraId="73047940" w14:textId="0BAA3CF9" w:rsidR="00C410A2" w:rsidRPr="00777E05" w:rsidRDefault="00C410A2" w:rsidP="00C410A2">
            <w:pPr>
              <w:spacing w:before="0" w:after="0"/>
              <w:ind w:left="0"/>
              <w:rPr>
                <w:color w:val="auto"/>
              </w:rPr>
            </w:pPr>
            <w:r w:rsidRPr="00CE2FAC">
              <w:rPr>
                <w:rFonts w:ascii="Arial" w:eastAsia="Times New Roman" w:hAnsi="Arial" w:cs="Arial"/>
                <w:lang w:eastAsia="en-GB"/>
              </w:rPr>
              <w:t xml:space="preserve">All employees / </w:t>
            </w:r>
            <w:r>
              <w:rPr>
                <w:rFonts w:ascii="Arial" w:eastAsia="Times New Roman" w:hAnsi="Arial" w:cs="Arial"/>
                <w:lang w:eastAsia="en-GB"/>
              </w:rPr>
              <w:t>Governing Body</w:t>
            </w:r>
            <w:r w:rsidRPr="00CE2FAC">
              <w:rPr>
                <w:rFonts w:ascii="Arial" w:eastAsia="Times New Roman" w:hAnsi="Arial" w:cs="Arial"/>
                <w:lang w:eastAsia="en-GB"/>
              </w:rPr>
              <w:t xml:space="preserve"> members / third parties working on behalf of </w:t>
            </w:r>
            <w:r>
              <w:rPr>
                <w:rFonts w:ascii="Arial" w:eastAsia="Times New Roman" w:hAnsi="Arial" w:cs="Arial"/>
                <w:lang w:eastAsia="en-GB"/>
              </w:rPr>
              <w:t>ICB</w:t>
            </w:r>
            <w:r w:rsidRPr="00CE2FAC">
              <w:rPr>
                <w:rFonts w:ascii="Arial" w:eastAsia="Times New Roman" w:hAnsi="Arial" w:cs="Arial"/>
                <w:lang w:eastAsia="en-GB"/>
              </w:rPr>
              <w:t xml:space="preserve"> should be aware of this</w:t>
            </w:r>
            <w:r>
              <w:rPr>
                <w:rFonts w:ascii="Arial" w:eastAsia="Times New Roman" w:hAnsi="Arial" w:cs="Arial"/>
                <w:lang w:eastAsia="en-GB"/>
              </w:rPr>
              <w:t xml:space="preserve"> policy</w:t>
            </w:r>
            <w:r w:rsidRPr="00CE2FAC">
              <w:rPr>
                <w:rFonts w:ascii="Arial" w:eastAsia="Times New Roman" w:hAnsi="Arial" w:cs="Arial"/>
                <w:lang w:eastAsia="en-GB"/>
              </w:rPr>
              <w:t xml:space="preserve">, and managers must bring its contents to the attention of their staff. </w:t>
            </w:r>
          </w:p>
        </w:tc>
      </w:tr>
      <w:tr w:rsidR="00C410A2" w:rsidRPr="00777E05" w14:paraId="2B2425C9" w14:textId="77777777" w:rsidTr="00FF4887">
        <w:tc>
          <w:tcPr>
            <w:tcW w:w="4395" w:type="dxa"/>
            <w:shd w:val="clear" w:color="auto" w:fill="003087" w:themeFill="accent1"/>
          </w:tcPr>
          <w:p w14:paraId="2FB1CE98" w14:textId="77777777" w:rsidR="00C410A2" w:rsidRPr="00777E05" w:rsidRDefault="00C410A2" w:rsidP="00C410A2">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082724A5" w:rsidR="00C410A2" w:rsidRPr="00777E05" w:rsidRDefault="00C410A2" w:rsidP="00C410A2">
            <w:pPr>
              <w:spacing w:before="0" w:after="0"/>
              <w:ind w:left="0"/>
              <w:contextualSpacing/>
              <w:rPr>
                <w:rFonts w:cs="Times New Roman (Body CS)"/>
              </w:rPr>
            </w:pPr>
            <w:r>
              <w:rPr>
                <w:rFonts w:cs="Times New Roman (Body CS)"/>
              </w:rPr>
              <w:t>Attain</w:t>
            </w:r>
          </w:p>
        </w:tc>
      </w:tr>
      <w:tr w:rsidR="00C410A2" w:rsidRPr="00777E05" w14:paraId="7CEC2541" w14:textId="77777777" w:rsidTr="00FF4887">
        <w:tc>
          <w:tcPr>
            <w:tcW w:w="4395" w:type="dxa"/>
            <w:shd w:val="clear" w:color="auto" w:fill="003087" w:themeFill="accent1"/>
          </w:tcPr>
          <w:p w14:paraId="02B6A0D5" w14:textId="52E24B1A" w:rsidR="00C410A2" w:rsidRPr="00C410A2" w:rsidRDefault="00C410A2" w:rsidP="00C410A2">
            <w:pPr>
              <w:spacing w:before="0" w:after="0"/>
              <w:ind w:left="0"/>
              <w:rPr>
                <w:color w:val="FFFFFF" w:themeColor="background1"/>
              </w:rPr>
            </w:pPr>
            <w:r w:rsidRPr="00777E05">
              <w:rPr>
                <w:color w:val="FFFFFF" w:themeColor="background1"/>
              </w:rPr>
              <w:t xml:space="preserve">Impact Assessments Undertaken </w:t>
            </w:r>
          </w:p>
        </w:tc>
        <w:tc>
          <w:tcPr>
            <w:tcW w:w="4677" w:type="dxa"/>
          </w:tcPr>
          <w:p w14:paraId="0525243F" w14:textId="04A45824" w:rsidR="00C410A2" w:rsidRPr="00AB7447" w:rsidRDefault="00C410A2" w:rsidP="00C410A2">
            <w:pPr>
              <w:spacing w:before="0" w:after="0"/>
              <w:ind w:left="36"/>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C410A2">
        <w:trPr>
          <w:trHeight w:val="489"/>
          <w:tblHeader/>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10"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7"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433639">
        <w:trPr>
          <w:trHeight w:val="424"/>
        </w:trPr>
        <w:tc>
          <w:tcPr>
            <w:tcW w:w="1096" w:type="dxa"/>
            <w:vAlign w:val="center"/>
          </w:tcPr>
          <w:p w14:paraId="04931F40" w14:textId="2615CD73" w:rsidR="00FD2B5D" w:rsidRDefault="00433639" w:rsidP="00546A28">
            <w:pPr>
              <w:pStyle w:val="NoSpacing"/>
            </w:pPr>
            <w:r>
              <w:t>0.</w:t>
            </w:r>
            <w:r w:rsidR="00CE2B8F">
              <w:t>1</w:t>
            </w:r>
          </w:p>
        </w:tc>
        <w:tc>
          <w:tcPr>
            <w:tcW w:w="1073" w:type="dxa"/>
            <w:vAlign w:val="center"/>
          </w:tcPr>
          <w:p w14:paraId="1B227E4B" w14:textId="42309F88" w:rsidR="00FD2B5D" w:rsidRDefault="006E7914" w:rsidP="00546A28">
            <w:pPr>
              <w:pStyle w:val="NoSpacing"/>
            </w:pPr>
            <w:r>
              <w:t>22/6/22</w:t>
            </w:r>
          </w:p>
        </w:tc>
        <w:tc>
          <w:tcPr>
            <w:tcW w:w="3010" w:type="dxa"/>
            <w:vAlign w:val="center"/>
          </w:tcPr>
          <w:p w14:paraId="5CD2C691" w14:textId="77777777" w:rsidR="008125B2" w:rsidRDefault="00CE2B8F" w:rsidP="00546A28">
            <w:pPr>
              <w:pStyle w:val="NoSpacing"/>
            </w:pPr>
            <w:r>
              <w:t>Andrew Wright</w:t>
            </w:r>
          </w:p>
          <w:p w14:paraId="1553C4E3" w14:textId="3802C1D4" w:rsidR="00FD2B5D" w:rsidRDefault="008125B2" w:rsidP="00546A28">
            <w:pPr>
              <w:pStyle w:val="NoSpacing"/>
            </w:pPr>
            <w:r w:rsidRPr="008125B2">
              <w:t>Head of Integrated System Purchase of Healthcare</w:t>
            </w:r>
          </w:p>
        </w:tc>
        <w:tc>
          <w:tcPr>
            <w:tcW w:w="3837" w:type="dxa"/>
            <w:vAlign w:val="center"/>
          </w:tcPr>
          <w:p w14:paraId="49B4F070" w14:textId="6192EC7B" w:rsidR="0039715A" w:rsidRDefault="006E7914" w:rsidP="00546A28">
            <w:pPr>
              <w:pStyle w:val="NoSpacing"/>
            </w:pPr>
            <w:r>
              <w:t>Initial</w:t>
            </w:r>
            <w:r w:rsidR="0039715A">
              <w:t xml:space="preserve"> ICB Policy</w:t>
            </w:r>
            <w:r w:rsidR="005B5267">
              <w:t xml:space="preserve">: For </w:t>
            </w:r>
            <w:r w:rsidR="00F4553D">
              <w:t>Review</w:t>
            </w:r>
          </w:p>
        </w:tc>
      </w:tr>
      <w:tr w:rsidR="00FD2B5D" w14:paraId="5743EC0C" w14:textId="77777777" w:rsidTr="00433639">
        <w:trPr>
          <w:trHeight w:val="402"/>
        </w:trPr>
        <w:tc>
          <w:tcPr>
            <w:tcW w:w="1096" w:type="dxa"/>
            <w:vAlign w:val="center"/>
          </w:tcPr>
          <w:p w14:paraId="5D628B89" w14:textId="3EA7F206" w:rsidR="00FD2B5D" w:rsidRDefault="00433639" w:rsidP="00546A28">
            <w:pPr>
              <w:pStyle w:val="NoSpacing"/>
            </w:pPr>
            <w:r>
              <w:t>0.2</w:t>
            </w:r>
          </w:p>
        </w:tc>
        <w:tc>
          <w:tcPr>
            <w:tcW w:w="1073" w:type="dxa"/>
            <w:vAlign w:val="center"/>
          </w:tcPr>
          <w:p w14:paraId="10E35880" w14:textId="77777777" w:rsidR="00FD2B5D" w:rsidRDefault="00433639" w:rsidP="00546A28">
            <w:pPr>
              <w:pStyle w:val="NoSpacing"/>
            </w:pPr>
            <w:r>
              <w:t>02/11/22</w:t>
            </w:r>
          </w:p>
          <w:p w14:paraId="288FEB7A" w14:textId="74B31C09" w:rsidR="00CB0AD0" w:rsidRDefault="00CB0AD0" w:rsidP="00546A28">
            <w:pPr>
              <w:pStyle w:val="NoSpacing"/>
            </w:pPr>
            <w:r>
              <w:t>13/01/23</w:t>
            </w:r>
          </w:p>
        </w:tc>
        <w:tc>
          <w:tcPr>
            <w:tcW w:w="3010" w:type="dxa"/>
            <w:vAlign w:val="center"/>
          </w:tcPr>
          <w:p w14:paraId="34495F98" w14:textId="77CC2D7E" w:rsidR="00FD2B5D" w:rsidRDefault="00433639" w:rsidP="00546A28">
            <w:pPr>
              <w:pStyle w:val="NoSpacing"/>
            </w:pPr>
            <w:r>
              <w:t>Nicola Adams, Deputy Director of Governance &amp; Risk</w:t>
            </w:r>
            <w:r w:rsidR="00CB0AD0">
              <w:t xml:space="preserve"> and Sara </w:t>
            </w:r>
            <w:proofErr w:type="spellStart"/>
            <w:r w:rsidR="00CB0AD0">
              <w:t>O’Connor,</w:t>
            </w:r>
            <w:proofErr w:type="spellEnd"/>
            <w:r w:rsidR="00CB0AD0">
              <w:t xml:space="preserve"> Head of Governance &amp; Risk.</w:t>
            </w:r>
          </w:p>
        </w:tc>
        <w:tc>
          <w:tcPr>
            <w:tcW w:w="3837" w:type="dxa"/>
            <w:vAlign w:val="center"/>
          </w:tcPr>
          <w:p w14:paraId="7DE50D80" w14:textId="3716E1EC" w:rsidR="00FD2B5D" w:rsidRDefault="00433639" w:rsidP="00546A28">
            <w:pPr>
              <w:pStyle w:val="NoSpacing"/>
            </w:pPr>
            <w:r>
              <w:t>Review and minor updates</w:t>
            </w:r>
          </w:p>
        </w:tc>
      </w:tr>
      <w:tr w:rsidR="00FD2B5D" w14:paraId="2385A697" w14:textId="77777777" w:rsidTr="00433639">
        <w:trPr>
          <w:trHeight w:val="423"/>
        </w:trPr>
        <w:tc>
          <w:tcPr>
            <w:tcW w:w="1096" w:type="dxa"/>
            <w:vAlign w:val="center"/>
          </w:tcPr>
          <w:p w14:paraId="63C36EA2" w14:textId="2A9140B6" w:rsidR="00FD2B5D" w:rsidRDefault="00A92409" w:rsidP="00546A28">
            <w:pPr>
              <w:pStyle w:val="NoSpacing"/>
            </w:pPr>
            <w:r>
              <w:t>1.0</w:t>
            </w:r>
          </w:p>
        </w:tc>
        <w:tc>
          <w:tcPr>
            <w:tcW w:w="1073" w:type="dxa"/>
            <w:vAlign w:val="center"/>
          </w:tcPr>
          <w:p w14:paraId="5B783ABB" w14:textId="2EEFF6E1" w:rsidR="00FD2B5D" w:rsidRDefault="00A92409" w:rsidP="00546A28">
            <w:pPr>
              <w:pStyle w:val="NoSpacing"/>
            </w:pPr>
            <w:r>
              <w:t>19/01/23</w:t>
            </w:r>
          </w:p>
        </w:tc>
        <w:tc>
          <w:tcPr>
            <w:tcW w:w="3010" w:type="dxa"/>
            <w:vAlign w:val="center"/>
          </w:tcPr>
          <w:p w14:paraId="07D7F439" w14:textId="77777777" w:rsidR="00A92409" w:rsidRDefault="00A92409" w:rsidP="00A92409">
            <w:pPr>
              <w:pStyle w:val="NoSpacing"/>
            </w:pPr>
            <w:r>
              <w:t>Andrew Wright</w:t>
            </w:r>
          </w:p>
          <w:p w14:paraId="2E71F7C5" w14:textId="02C0DD17" w:rsidR="00FD2B5D" w:rsidRDefault="00A92409" w:rsidP="00A92409">
            <w:pPr>
              <w:pStyle w:val="NoSpacing"/>
            </w:pPr>
            <w:r w:rsidRPr="008125B2">
              <w:t>Head of Integrated System Purchase of Healthcare</w:t>
            </w:r>
          </w:p>
        </w:tc>
        <w:tc>
          <w:tcPr>
            <w:tcW w:w="3837" w:type="dxa"/>
            <w:vAlign w:val="center"/>
          </w:tcPr>
          <w:p w14:paraId="653B0041" w14:textId="3C8282B5" w:rsidR="00FD2B5D" w:rsidRDefault="00A92409" w:rsidP="00546A28">
            <w:pPr>
              <w:pStyle w:val="NoSpacing"/>
            </w:pPr>
            <w:r>
              <w:t>Final, Board approved version.</w:t>
            </w:r>
          </w:p>
        </w:tc>
      </w:tr>
    </w:tbl>
    <w:p w14:paraId="3F161D7A" w14:textId="1B7A0734" w:rsidR="00F913CD" w:rsidRDefault="00F913CD" w:rsidP="00201DAA">
      <w:pPr>
        <w:ind w:left="0"/>
      </w:pPr>
      <w:r>
        <w:br w:type="page"/>
      </w:r>
    </w:p>
    <w:p w14:paraId="4E75AD1B" w14:textId="77777777" w:rsidR="00FD2B5D" w:rsidRPr="00DA22B6" w:rsidRDefault="000F560D" w:rsidP="00FD2B5D">
      <w:pPr>
        <w:pStyle w:val="Heading1"/>
      </w:pPr>
      <w:r>
        <w:t>Contents</w:t>
      </w:r>
    </w:p>
    <w:p w14:paraId="0F731871" w14:textId="7DAB89B6" w:rsidR="00CB0AD0"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24497562" w:history="1">
        <w:r w:rsidR="00CB0AD0" w:rsidRPr="00977C7C">
          <w:rPr>
            <w:rStyle w:val="Hyperlink"/>
            <w:noProof/>
          </w:rPr>
          <w:t>1.</w:t>
        </w:r>
        <w:r w:rsidR="00CB0AD0">
          <w:rPr>
            <w:rFonts w:eastAsiaTheme="minorEastAsia"/>
            <w:b w:val="0"/>
            <w:noProof/>
            <w:color w:val="auto"/>
            <w:sz w:val="22"/>
            <w:szCs w:val="22"/>
            <w:lang w:eastAsia="en-GB"/>
          </w:rPr>
          <w:tab/>
        </w:r>
        <w:r w:rsidR="00CB0AD0" w:rsidRPr="00977C7C">
          <w:rPr>
            <w:rStyle w:val="Hyperlink"/>
            <w:noProof/>
          </w:rPr>
          <w:t>Introduction</w:t>
        </w:r>
        <w:r w:rsidR="00CB0AD0">
          <w:rPr>
            <w:noProof/>
            <w:webHidden/>
          </w:rPr>
          <w:tab/>
        </w:r>
        <w:r w:rsidR="00CB0AD0">
          <w:rPr>
            <w:noProof/>
            <w:webHidden/>
          </w:rPr>
          <w:fldChar w:fldCharType="begin"/>
        </w:r>
        <w:r w:rsidR="00CB0AD0">
          <w:rPr>
            <w:noProof/>
            <w:webHidden/>
          </w:rPr>
          <w:instrText xml:space="preserve"> PAGEREF _Toc124497562 \h </w:instrText>
        </w:r>
        <w:r w:rsidR="00CB0AD0">
          <w:rPr>
            <w:noProof/>
            <w:webHidden/>
          </w:rPr>
        </w:r>
        <w:r w:rsidR="00CB0AD0">
          <w:rPr>
            <w:noProof/>
            <w:webHidden/>
          </w:rPr>
          <w:fldChar w:fldCharType="separate"/>
        </w:r>
        <w:r w:rsidR="00CB0AD0">
          <w:rPr>
            <w:noProof/>
            <w:webHidden/>
          </w:rPr>
          <w:t>5</w:t>
        </w:r>
        <w:r w:rsidR="00CB0AD0">
          <w:rPr>
            <w:noProof/>
            <w:webHidden/>
          </w:rPr>
          <w:fldChar w:fldCharType="end"/>
        </w:r>
      </w:hyperlink>
    </w:p>
    <w:p w14:paraId="4D7D5F3F" w14:textId="0F93A544" w:rsidR="00CB0AD0" w:rsidRDefault="00DA7E94">
      <w:pPr>
        <w:pStyle w:val="TOC1"/>
        <w:rPr>
          <w:rFonts w:eastAsiaTheme="minorEastAsia"/>
          <w:b w:val="0"/>
          <w:noProof/>
          <w:color w:val="auto"/>
          <w:sz w:val="22"/>
          <w:szCs w:val="22"/>
          <w:lang w:eastAsia="en-GB"/>
        </w:rPr>
      </w:pPr>
      <w:hyperlink w:anchor="_Toc124497563" w:history="1">
        <w:r w:rsidR="00CB0AD0" w:rsidRPr="00977C7C">
          <w:rPr>
            <w:rStyle w:val="Hyperlink"/>
            <w:noProof/>
          </w:rPr>
          <w:t>2.</w:t>
        </w:r>
        <w:r w:rsidR="00CB0AD0">
          <w:rPr>
            <w:rFonts w:eastAsiaTheme="minorEastAsia"/>
            <w:b w:val="0"/>
            <w:noProof/>
            <w:color w:val="auto"/>
            <w:sz w:val="22"/>
            <w:szCs w:val="22"/>
            <w:lang w:eastAsia="en-GB"/>
          </w:rPr>
          <w:tab/>
        </w:r>
        <w:r w:rsidR="00CB0AD0" w:rsidRPr="00977C7C">
          <w:rPr>
            <w:rStyle w:val="Hyperlink"/>
            <w:noProof/>
          </w:rPr>
          <w:t>Purpose / Policy Statement</w:t>
        </w:r>
        <w:r w:rsidR="00CB0AD0">
          <w:rPr>
            <w:noProof/>
            <w:webHidden/>
          </w:rPr>
          <w:tab/>
        </w:r>
        <w:r w:rsidR="00CB0AD0">
          <w:rPr>
            <w:noProof/>
            <w:webHidden/>
          </w:rPr>
          <w:fldChar w:fldCharType="begin"/>
        </w:r>
        <w:r w:rsidR="00CB0AD0">
          <w:rPr>
            <w:noProof/>
            <w:webHidden/>
          </w:rPr>
          <w:instrText xml:space="preserve"> PAGEREF _Toc124497563 \h </w:instrText>
        </w:r>
        <w:r w:rsidR="00CB0AD0">
          <w:rPr>
            <w:noProof/>
            <w:webHidden/>
          </w:rPr>
        </w:r>
        <w:r w:rsidR="00CB0AD0">
          <w:rPr>
            <w:noProof/>
            <w:webHidden/>
          </w:rPr>
          <w:fldChar w:fldCharType="separate"/>
        </w:r>
        <w:r w:rsidR="00CB0AD0">
          <w:rPr>
            <w:noProof/>
            <w:webHidden/>
          </w:rPr>
          <w:t>5</w:t>
        </w:r>
        <w:r w:rsidR="00CB0AD0">
          <w:rPr>
            <w:noProof/>
            <w:webHidden/>
          </w:rPr>
          <w:fldChar w:fldCharType="end"/>
        </w:r>
      </w:hyperlink>
    </w:p>
    <w:p w14:paraId="5DBBD691" w14:textId="01C17D4A" w:rsidR="00CB0AD0" w:rsidRDefault="00DA7E94">
      <w:pPr>
        <w:pStyle w:val="TOC1"/>
        <w:rPr>
          <w:rFonts w:eastAsiaTheme="minorEastAsia"/>
          <w:b w:val="0"/>
          <w:noProof/>
          <w:color w:val="auto"/>
          <w:sz w:val="22"/>
          <w:szCs w:val="22"/>
          <w:lang w:eastAsia="en-GB"/>
        </w:rPr>
      </w:pPr>
      <w:hyperlink w:anchor="_Toc124497564" w:history="1">
        <w:r w:rsidR="00CB0AD0" w:rsidRPr="00977C7C">
          <w:rPr>
            <w:rStyle w:val="Hyperlink"/>
            <w:noProof/>
          </w:rPr>
          <w:t>3.</w:t>
        </w:r>
        <w:r w:rsidR="00CB0AD0">
          <w:rPr>
            <w:rFonts w:eastAsiaTheme="minorEastAsia"/>
            <w:b w:val="0"/>
            <w:noProof/>
            <w:color w:val="auto"/>
            <w:sz w:val="22"/>
            <w:szCs w:val="22"/>
            <w:lang w:eastAsia="en-GB"/>
          </w:rPr>
          <w:tab/>
        </w:r>
        <w:r w:rsidR="00CB0AD0" w:rsidRPr="00977C7C">
          <w:rPr>
            <w:rStyle w:val="Hyperlink"/>
            <w:noProof/>
          </w:rPr>
          <w:t>Scope</w:t>
        </w:r>
        <w:r w:rsidR="00CB0AD0">
          <w:rPr>
            <w:noProof/>
            <w:webHidden/>
          </w:rPr>
          <w:tab/>
        </w:r>
        <w:r w:rsidR="00CB0AD0">
          <w:rPr>
            <w:noProof/>
            <w:webHidden/>
          </w:rPr>
          <w:fldChar w:fldCharType="begin"/>
        </w:r>
        <w:r w:rsidR="00CB0AD0">
          <w:rPr>
            <w:noProof/>
            <w:webHidden/>
          </w:rPr>
          <w:instrText xml:space="preserve"> PAGEREF _Toc124497564 \h </w:instrText>
        </w:r>
        <w:r w:rsidR="00CB0AD0">
          <w:rPr>
            <w:noProof/>
            <w:webHidden/>
          </w:rPr>
        </w:r>
        <w:r w:rsidR="00CB0AD0">
          <w:rPr>
            <w:noProof/>
            <w:webHidden/>
          </w:rPr>
          <w:fldChar w:fldCharType="separate"/>
        </w:r>
        <w:r w:rsidR="00CB0AD0">
          <w:rPr>
            <w:noProof/>
            <w:webHidden/>
          </w:rPr>
          <w:t>6</w:t>
        </w:r>
        <w:r w:rsidR="00CB0AD0">
          <w:rPr>
            <w:noProof/>
            <w:webHidden/>
          </w:rPr>
          <w:fldChar w:fldCharType="end"/>
        </w:r>
      </w:hyperlink>
    </w:p>
    <w:p w14:paraId="0A235AFC" w14:textId="3844C2A3" w:rsidR="00CB0AD0" w:rsidRDefault="00DA7E94">
      <w:pPr>
        <w:pStyle w:val="TOC1"/>
        <w:rPr>
          <w:rFonts w:eastAsiaTheme="minorEastAsia"/>
          <w:b w:val="0"/>
          <w:noProof/>
          <w:color w:val="auto"/>
          <w:sz w:val="22"/>
          <w:szCs w:val="22"/>
          <w:lang w:eastAsia="en-GB"/>
        </w:rPr>
      </w:pPr>
      <w:hyperlink w:anchor="_Toc124497565" w:history="1">
        <w:r w:rsidR="00CB0AD0" w:rsidRPr="00977C7C">
          <w:rPr>
            <w:rStyle w:val="Hyperlink"/>
            <w:noProof/>
          </w:rPr>
          <w:t>4.</w:t>
        </w:r>
        <w:r w:rsidR="00CB0AD0">
          <w:rPr>
            <w:rFonts w:eastAsiaTheme="minorEastAsia"/>
            <w:b w:val="0"/>
            <w:noProof/>
            <w:color w:val="auto"/>
            <w:sz w:val="22"/>
            <w:szCs w:val="22"/>
            <w:lang w:eastAsia="en-GB"/>
          </w:rPr>
          <w:tab/>
        </w:r>
        <w:r w:rsidR="00CB0AD0" w:rsidRPr="00977C7C">
          <w:rPr>
            <w:rStyle w:val="Hyperlink"/>
            <w:noProof/>
          </w:rPr>
          <w:t>Definitions</w:t>
        </w:r>
        <w:r w:rsidR="00CB0AD0">
          <w:rPr>
            <w:noProof/>
            <w:webHidden/>
          </w:rPr>
          <w:tab/>
        </w:r>
        <w:r w:rsidR="00CB0AD0">
          <w:rPr>
            <w:noProof/>
            <w:webHidden/>
          </w:rPr>
          <w:fldChar w:fldCharType="begin"/>
        </w:r>
        <w:r w:rsidR="00CB0AD0">
          <w:rPr>
            <w:noProof/>
            <w:webHidden/>
          </w:rPr>
          <w:instrText xml:space="preserve"> PAGEREF _Toc124497565 \h </w:instrText>
        </w:r>
        <w:r w:rsidR="00CB0AD0">
          <w:rPr>
            <w:noProof/>
            <w:webHidden/>
          </w:rPr>
        </w:r>
        <w:r w:rsidR="00CB0AD0">
          <w:rPr>
            <w:noProof/>
            <w:webHidden/>
          </w:rPr>
          <w:fldChar w:fldCharType="separate"/>
        </w:r>
        <w:r w:rsidR="00CB0AD0">
          <w:rPr>
            <w:noProof/>
            <w:webHidden/>
          </w:rPr>
          <w:t>6</w:t>
        </w:r>
        <w:r w:rsidR="00CB0AD0">
          <w:rPr>
            <w:noProof/>
            <w:webHidden/>
          </w:rPr>
          <w:fldChar w:fldCharType="end"/>
        </w:r>
      </w:hyperlink>
    </w:p>
    <w:p w14:paraId="09663504" w14:textId="0F9E8169" w:rsidR="00CB0AD0" w:rsidRDefault="00DA7E94">
      <w:pPr>
        <w:pStyle w:val="TOC1"/>
        <w:rPr>
          <w:rFonts w:eastAsiaTheme="minorEastAsia"/>
          <w:b w:val="0"/>
          <w:noProof/>
          <w:color w:val="auto"/>
          <w:sz w:val="22"/>
          <w:szCs w:val="22"/>
          <w:lang w:eastAsia="en-GB"/>
        </w:rPr>
      </w:pPr>
      <w:hyperlink w:anchor="_Toc124497566" w:history="1">
        <w:r w:rsidR="00CB0AD0" w:rsidRPr="00977C7C">
          <w:rPr>
            <w:rStyle w:val="Hyperlink"/>
            <w:noProof/>
          </w:rPr>
          <w:t>5.</w:t>
        </w:r>
        <w:r w:rsidR="00CB0AD0">
          <w:rPr>
            <w:rFonts w:eastAsiaTheme="minorEastAsia"/>
            <w:b w:val="0"/>
            <w:noProof/>
            <w:color w:val="auto"/>
            <w:sz w:val="22"/>
            <w:szCs w:val="22"/>
            <w:lang w:eastAsia="en-GB"/>
          </w:rPr>
          <w:tab/>
        </w:r>
        <w:r w:rsidR="00CB0AD0" w:rsidRPr="00977C7C">
          <w:rPr>
            <w:rStyle w:val="Hyperlink"/>
            <w:noProof/>
          </w:rPr>
          <w:t>Roles and Responsibilities</w:t>
        </w:r>
        <w:r w:rsidR="00CB0AD0">
          <w:rPr>
            <w:noProof/>
            <w:webHidden/>
          </w:rPr>
          <w:tab/>
        </w:r>
        <w:r w:rsidR="00CB0AD0">
          <w:rPr>
            <w:noProof/>
            <w:webHidden/>
          </w:rPr>
          <w:fldChar w:fldCharType="begin"/>
        </w:r>
        <w:r w:rsidR="00CB0AD0">
          <w:rPr>
            <w:noProof/>
            <w:webHidden/>
          </w:rPr>
          <w:instrText xml:space="preserve"> PAGEREF _Toc124497566 \h </w:instrText>
        </w:r>
        <w:r w:rsidR="00CB0AD0">
          <w:rPr>
            <w:noProof/>
            <w:webHidden/>
          </w:rPr>
        </w:r>
        <w:r w:rsidR="00CB0AD0">
          <w:rPr>
            <w:noProof/>
            <w:webHidden/>
          </w:rPr>
          <w:fldChar w:fldCharType="separate"/>
        </w:r>
        <w:r w:rsidR="00CB0AD0">
          <w:rPr>
            <w:noProof/>
            <w:webHidden/>
          </w:rPr>
          <w:t>9</w:t>
        </w:r>
        <w:r w:rsidR="00CB0AD0">
          <w:rPr>
            <w:noProof/>
            <w:webHidden/>
          </w:rPr>
          <w:fldChar w:fldCharType="end"/>
        </w:r>
      </w:hyperlink>
    </w:p>
    <w:p w14:paraId="310C8829" w14:textId="5EFDC18F" w:rsidR="00CB0AD0" w:rsidRDefault="00DA7E94">
      <w:pPr>
        <w:pStyle w:val="TOC2"/>
        <w:tabs>
          <w:tab w:val="right" w:leader="underscore" w:pos="9016"/>
        </w:tabs>
        <w:rPr>
          <w:rFonts w:eastAsiaTheme="minorEastAsia"/>
          <w:noProof/>
          <w:color w:val="auto"/>
          <w:sz w:val="22"/>
          <w:szCs w:val="22"/>
          <w:lang w:eastAsia="en-GB"/>
        </w:rPr>
      </w:pPr>
      <w:hyperlink w:anchor="_Toc124497567" w:history="1">
        <w:r w:rsidR="00CB0AD0" w:rsidRPr="00977C7C">
          <w:rPr>
            <w:rStyle w:val="Hyperlink"/>
            <w:noProof/>
          </w:rPr>
          <w:t>5.1.</w:t>
        </w:r>
        <w:r w:rsidR="00CB0AD0">
          <w:rPr>
            <w:rFonts w:eastAsiaTheme="minorEastAsia"/>
            <w:noProof/>
            <w:color w:val="auto"/>
            <w:sz w:val="22"/>
            <w:szCs w:val="22"/>
            <w:lang w:eastAsia="en-GB"/>
          </w:rPr>
          <w:tab/>
        </w:r>
        <w:r w:rsidR="00CB0AD0" w:rsidRPr="00977C7C">
          <w:rPr>
            <w:rStyle w:val="Hyperlink"/>
            <w:noProof/>
          </w:rPr>
          <w:t>Integrated Care Board</w:t>
        </w:r>
        <w:r w:rsidR="00CB0AD0">
          <w:rPr>
            <w:noProof/>
            <w:webHidden/>
          </w:rPr>
          <w:tab/>
        </w:r>
        <w:r w:rsidR="00CB0AD0">
          <w:rPr>
            <w:noProof/>
            <w:webHidden/>
          </w:rPr>
          <w:fldChar w:fldCharType="begin"/>
        </w:r>
        <w:r w:rsidR="00CB0AD0">
          <w:rPr>
            <w:noProof/>
            <w:webHidden/>
          </w:rPr>
          <w:instrText xml:space="preserve"> PAGEREF _Toc124497567 \h </w:instrText>
        </w:r>
        <w:r w:rsidR="00CB0AD0">
          <w:rPr>
            <w:noProof/>
            <w:webHidden/>
          </w:rPr>
        </w:r>
        <w:r w:rsidR="00CB0AD0">
          <w:rPr>
            <w:noProof/>
            <w:webHidden/>
          </w:rPr>
          <w:fldChar w:fldCharType="separate"/>
        </w:r>
        <w:r w:rsidR="00CB0AD0">
          <w:rPr>
            <w:noProof/>
            <w:webHidden/>
          </w:rPr>
          <w:t>9</w:t>
        </w:r>
        <w:r w:rsidR="00CB0AD0">
          <w:rPr>
            <w:noProof/>
            <w:webHidden/>
          </w:rPr>
          <w:fldChar w:fldCharType="end"/>
        </w:r>
      </w:hyperlink>
    </w:p>
    <w:p w14:paraId="48D05F17" w14:textId="7A65E758" w:rsidR="00CB0AD0" w:rsidRDefault="00DA7E94">
      <w:pPr>
        <w:pStyle w:val="TOC2"/>
        <w:tabs>
          <w:tab w:val="right" w:leader="underscore" w:pos="9016"/>
        </w:tabs>
        <w:rPr>
          <w:rFonts w:eastAsiaTheme="minorEastAsia"/>
          <w:noProof/>
          <w:color w:val="auto"/>
          <w:sz w:val="22"/>
          <w:szCs w:val="22"/>
          <w:lang w:eastAsia="en-GB"/>
        </w:rPr>
      </w:pPr>
      <w:hyperlink w:anchor="_Toc124497568" w:history="1">
        <w:r w:rsidR="00CB0AD0" w:rsidRPr="00977C7C">
          <w:rPr>
            <w:rStyle w:val="Hyperlink"/>
            <w:noProof/>
          </w:rPr>
          <w:t>5.2.</w:t>
        </w:r>
        <w:r w:rsidR="00CB0AD0">
          <w:rPr>
            <w:rFonts w:eastAsiaTheme="minorEastAsia"/>
            <w:noProof/>
            <w:color w:val="auto"/>
            <w:sz w:val="22"/>
            <w:szCs w:val="22"/>
            <w:lang w:eastAsia="en-GB"/>
          </w:rPr>
          <w:tab/>
        </w:r>
        <w:r w:rsidR="00CB0AD0" w:rsidRPr="00977C7C">
          <w:rPr>
            <w:rStyle w:val="Hyperlink"/>
            <w:noProof/>
          </w:rPr>
          <w:t>Audit Committee</w:t>
        </w:r>
        <w:r w:rsidR="00CB0AD0">
          <w:rPr>
            <w:noProof/>
            <w:webHidden/>
          </w:rPr>
          <w:tab/>
        </w:r>
        <w:r w:rsidR="00CB0AD0">
          <w:rPr>
            <w:noProof/>
            <w:webHidden/>
          </w:rPr>
          <w:fldChar w:fldCharType="begin"/>
        </w:r>
        <w:r w:rsidR="00CB0AD0">
          <w:rPr>
            <w:noProof/>
            <w:webHidden/>
          </w:rPr>
          <w:instrText xml:space="preserve"> PAGEREF _Toc124497568 \h </w:instrText>
        </w:r>
        <w:r w:rsidR="00CB0AD0">
          <w:rPr>
            <w:noProof/>
            <w:webHidden/>
          </w:rPr>
        </w:r>
        <w:r w:rsidR="00CB0AD0">
          <w:rPr>
            <w:noProof/>
            <w:webHidden/>
          </w:rPr>
          <w:fldChar w:fldCharType="separate"/>
        </w:r>
        <w:r w:rsidR="00CB0AD0">
          <w:rPr>
            <w:noProof/>
            <w:webHidden/>
          </w:rPr>
          <w:t>9</w:t>
        </w:r>
        <w:r w:rsidR="00CB0AD0">
          <w:rPr>
            <w:noProof/>
            <w:webHidden/>
          </w:rPr>
          <w:fldChar w:fldCharType="end"/>
        </w:r>
      </w:hyperlink>
    </w:p>
    <w:p w14:paraId="7CDCD928" w14:textId="15EA5906" w:rsidR="00CB0AD0" w:rsidRDefault="00DA7E94">
      <w:pPr>
        <w:pStyle w:val="TOC2"/>
        <w:tabs>
          <w:tab w:val="right" w:leader="underscore" w:pos="9016"/>
        </w:tabs>
        <w:rPr>
          <w:rFonts w:eastAsiaTheme="minorEastAsia"/>
          <w:noProof/>
          <w:color w:val="auto"/>
          <w:sz w:val="22"/>
          <w:szCs w:val="22"/>
          <w:lang w:eastAsia="en-GB"/>
        </w:rPr>
      </w:pPr>
      <w:hyperlink w:anchor="_Toc124497569" w:history="1">
        <w:r w:rsidR="00CB0AD0" w:rsidRPr="00977C7C">
          <w:rPr>
            <w:rStyle w:val="Hyperlink"/>
            <w:noProof/>
          </w:rPr>
          <w:t>5.3.</w:t>
        </w:r>
        <w:r w:rsidR="00CB0AD0">
          <w:rPr>
            <w:rFonts w:eastAsiaTheme="minorEastAsia"/>
            <w:noProof/>
            <w:color w:val="auto"/>
            <w:sz w:val="22"/>
            <w:szCs w:val="22"/>
            <w:lang w:eastAsia="en-GB"/>
          </w:rPr>
          <w:tab/>
        </w:r>
        <w:r w:rsidR="00CB0AD0" w:rsidRPr="00977C7C">
          <w:rPr>
            <w:rStyle w:val="Hyperlink"/>
            <w:noProof/>
          </w:rPr>
          <w:t>Finance &amp; Investment Committee</w:t>
        </w:r>
        <w:r w:rsidR="00CB0AD0">
          <w:rPr>
            <w:noProof/>
            <w:webHidden/>
          </w:rPr>
          <w:tab/>
        </w:r>
        <w:r w:rsidR="00CB0AD0">
          <w:rPr>
            <w:noProof/>
            <w:webHidden/>
          </w:rPr>
          <w:fldChar w:fldCharType="begin"/>
        </w:r>
        <w:r w:rsidR="00CB0AD0">
          <w:rPr>
            <w:noProof/>
            <w:webHidden/>
          </w:rPr>
          <w:instrText xml:space="preserve"> PAGEREF _Toc124497569 \h </w:instrText>
        </w:r>
        <w:r w:rsidR="00CB0AD0">
          <w:rPr>
            <w:noProof/>
            <w:webHidden/>
          </w:rPr>
        </w:r>
        <w:r w:rsidR="00CB0AD0">
          <w:rPr>
            <w:noProof/>
            <w:webHidden/>
          </w:rPr>
          <w:fldChar w:fldCharType="separate"/>
        </w:r>
        <w:r w:rsidR="00CB0AD0">
          <w:rPr>
            <w:noProof/>
            <w:webHidden/>
          </w:rPr>
          <w:t>10</w:t>
        </w:r>
        <w:r w:rsidR="00CB0AD0">
          <w:rPr>
            <w:noProof/>
            <w:webHidden/>
          </w:rPr>
          <w:fldChar w:fldCharType="end"/>
        </w:r>
      </w:hyperlink>
    </w:p>
    <w:p w14:paraId="3F83D1A3" w14:textId="3CFE5C64" w:rsidR="00CB0AD0" w:rsidRDefault="00DA7E94">
      <w:pPr>
        <w:pStyle w:val="TOC2"/>
        <w:tabs>
          <w:tab w:val="right" w:leader="underscore" w:pos="9016"/>
        </w:tabs>
        <w:rPr>
          <w:rFonts w:eastAsiaTheme="minorEastAsia"/>
          <w:noProof/>
          <w:color w:val="auto"/>
          <w:sz w:val="22"/>
          <w:szCs w:val="22"/>
          <w:lang w:eastAsia="en-GB"/>
        </w:rPr>
      </w:pPr>
      <w:hyperlink w:anchor="_Toc124497570" w:history="1">
        <w:r w:rsidR="00CB0AD0" w:rsidRPr="00977C7C">
          <w:rPr>
            <w:rStyle w:val="Hyperlink"/>
            <w:noProof/>
          </w:rPr>
          <w:t>5.4.</w:t>
        </w:r>
        <w:r w:rsidR="00CB0AD0">
          <w:rPr>
            <w:rFonts w:eastAsiaTheme="minorEastAsia"/>
            <w:noProof/>
            <w:color w:val="auto"/>
            <w:sz w:val="22"/>
            <w:szCs w:val="22"/>
            <w:lang w:eastAsia="en-GB"/>
          </w:rPr>
          <w:tab/>
        </w:r>
        <w:r w:rsidR="00CB0AD0" w:rsidRPr="00977C7C">
          <w:rPr>
            <w:rStyle w:val="Hyperlink"/>
            <w:noProof/>
          </w:rPr>
          <w:t>Chief Executive</w:t>
        </w:r>
        <w:r w:rsidR="00CB0AD0">
          <w:rPr>
            <w:noProof/>
            <w:webHidden/>
          </w:rPr>
          <w:tab/>
        </w:r>
        <w:r w:rsidR="00CB0AD0">
          <w:rPr>
            <w:noProof/>
            <w:webHidden/>
          </w:rPr>
          <w:fldChar w:fldCharType="begin"/>
        </w:r>
        <w:r w:rsidR="00CB0AD0">
          <w:rPr>
            <w:noProof/>
            <w:webHidden/>
          </w:rPr>
          <w:instrText xml:space="preserve"> PAGEREF _Toc124497570 \h </w:instrText>
        </w:r>
        <w:r w:rsidR="00CB0AD0">
          <w:rPr>
            <w:noProof/>
            <w:webHidden/>
          </w:rPr>
        </w:r>
        <w:r w:rsidR="00CB0AD0">
          <w:rPr>
            <w:noProof/>
            <w:webHidden/>
          </w:rPr>
          <w:fldChar w:fldCharType="separate"/>
        </w:r>
        <w:r w:rsidR="00CB0AD0">
          <w:rPr>
            <w:noProof/>
            <w:webHidden/>
          </w:rPr>
          <w:t>10</w:t>
        </w:r>
        <w:r w:rsidR="00CB0AD0">
          <w:rPr>
            <w:noProof/>
            <w:webHidden/>
          </w:rPr>
          <w:fldChar w:fldCharType="end"/>
        </w:r>
      </w:hyperlink>
    </w:p>
    <w:p w14:paraId="3F0E28AA" w14:textId="0D34C617" w:rsidR="00CB0AD0" w:rsidRDefault="00DA7E94">
      <w:pPr>
        <w:pStyle w:val="TOC2"/>
        <w:tabs>
          <w:tab w:val="right" w:leader="underscore" w:pos="9016"/>
        </w:tabs>
        <w:rPr>
          <w:rFonts w:eastAsiaTheme="minorEastAsia"/>
          <w:noProof/>
          <w:color w:val="auto"/>
          <w:sz w:val="22"/>
          <w:szCs w:val="22"/>
          <w:lang w:eastAsia="en-GB"/>
        </w:rPr>
      </w:pPr>
      <w:hyperlink w:anchor="_Toc124497571" w:history="1">
        <w:r w:rsidR="00CB0AD0" w:rsidRPr="00977C7C">
          <w:rPr>
            <w:rStyle w:val="Hyperlink"/>
            <w:noProof/>
          </w:rPr>
          <w:t>5.5.</w:t>
        </w:r>
        <w:r w:rsidR="00CB0AD0">
          <w:rPr>
            <w:rFonts w:eastAsiaTheme="minorEastAsia"/>
            <w:noProof/>
            <w:color w:val="auto"/>
            <w:sz w:val="22"/>
            <w:szCs w:val="22"/>
            <w:lang w:eastAsia="en-GB"/>
          </w:rPr>
          <w:tab/>
        </w:r>
        <w:r w:rsidR="00CB0AD0" w:rsidRPr="00977C7C">
          <w:rPr>
            <w:rStyle w:val="Hyperlink"/>
            <w:noProof/>
          </w:rPr>
          <w:t>Director of Resources</w:t>
        </w:r>
        <w:r w:rsidR="00CB0AD0">
          <w:rPr>
            <w:noProof/>
            <w:webHidden/>
          </w:rPr>
          <w:tab/>
        </w:r>
        <w:r w:rsidR="00CB0AD0">
          <w:rPr>
            <w:noProof/>
            <w:webHidden/>
          </w:rPr>
          <w:fldChar w:fldCharType="begin"/>
        </w:r>
        <w:r w:rsidR="00CB0AD0">
          <w:rPr>
            <w:noProof/>
            <w:webHidden/>
          </w:rPr>
          <w:instrText xml:space="preserve"> PAGEREF _Toc124497571 \h </w:instrText>
        </w:r>
        <w:r w:rsidR="00CB0AD0">
          <w:rPr>
            <w:noProof/>
            <w:webHidden/>
          </w:rPr>
        </w:r>
        <w:r w:rsidR="00CB0AD0">
          <w:rPr>
            <w:noProof/>
            <w:webHidden/>
          </w:rPr>
          <w:fldChar w:fldCharType="separate"/>
        </w:r>
        <w:r w:rsidR="00CB0AD0">
          <w:rPr>
            <w:noProof/>
            <w:webHidden/>
          </w:rPr>
          <w:t>10</w:t>
        </w:r>
        <w:r w:rsidR="00CB0AD0">
          <w:rPr>
            <w:noProof/>
            <w:webHidden/>
          </w:rPr>
          <w:fldChar w:fldCharType="end"/>
        </w:r>
      </w:hyperlink>
    </w:p>
    <w:p w14:paraId="1D3AE26B" w14:textId="2C4AD1DE" w:rsidR="00CB0AD0" w:rsidRDefault="00DA7E94">
      <w:pPr>
        <w:pStyle w:val="TOC2"/>
        <w:tabs>
          <w:tab w:val="right" w:leader="underscore" w:pos="9016"/>
        </w:tabs>
        <w:rPr>
          <w:rFonts w:eastAsiaTheme="minorEastAsia"/>
          <w:noProof/>
          <w:color w:val="auto"/>
          <w:sz w:val="22"/>
          <w:szCs w:val="22"/>
          <w:lang w:eastAsia="en-GB"/>
        </w:rPr>
      </w:pPr>
      <w:hyperlink w:anchor="_Toc124497572" w:history="1">
        <w:r w:rsidR="00CB0AD0" w:rsidRPr="00977C7C">
          <w:rPr>
            <w:rStyle w:val="Hyperlink"/>
            <w:noProof/>
          </w:rPr>
          <w:t>5.6.</w:t>
        </w:r>
        <w:r w:rsidR="00CB0AD0">
          <w:rPr>
            <w:rFonts w:eastAsiaTheme="minorEastAsia"/>
            <w:noProof/>
            <w:color w:val="auto"/>
            <w:sz w:val="22"/>
            <w:szCs w:val="22"/>
            <w:lang w:eastAsia="en-GB"/>
          </w:rPr>
          <w:tab/>
        </w:r>
        <w:r w:rsidR="00CB0AD0" w:rsidRPr="00977C7C">
          <w:rPr>
            <w:rStyle w:val="Hyperlink"/>
            <w:noProof/>
          </w:rPr>
          <w:t>Policy Authors</w:t>
        </w:r>
        <w:r w:rsidR="00CB0AD0">
          <w:rPr>
            <w:noProof/>
            <w:webHidden/>
          </w:rPr>
          <w:tab/>
        </w:r>
        <w:r w:rsidR="00CB0AD0">
          <w:rPr>
            <w:noProof/>
            <w:webHidden/>
          </w:rPr>
          <w:fldChar w:fldCharType="begin"/>
        </w:r>
        <w:r w:rsidR="00CB0AD0">
          <w:rPr>
            <w:noProof/>
            <w:webHidden/>
          </w:rPr>
          <w:instrText xml:space="preserve"> PAGEREF _Toc124497572 \h </w:instrText>
        </w:r>
        <w:r w:rsidR="00CB0AD0">
          <w:rPr>
            <w:noProof/>
            <w:webHidden/>
          </w:rPr>
        </w:r>
        <w:r w:rsidR="00CB0AD0">
          <w:rPr>
            <w:noProof/>
            <w:webHidden/>
          </w:rPr>
          <w:fldChar w:fldCharType="separate"/>
        </w:r>
        <w:r w:rsidR="00CB0AD0">
          <w:rPr>
            <w:noProof/>
            <w:webHidden/>
          </w:rPr>
          <w:t>10</w:t>
        </w:r>
        <w:r w:rsidR="00CB0AD0">
          <w:rPr>
            <w:noProof/>
            <w:webHidden/>
          </w:rPr>
          <w:fldChar w:fldCharType="end"/>
        </w:r>
      </w:hyperlink>
    </w:p>
    <w:p w14:paraId="770CE27B" w14:textId="0E1C6CAB" w:rsidR="00CB0AD0" w:rsidRDefault="00DA7E94">
      <w:pPr>
        <w:pStyle w:val="TOC2"/>
        <w:tabs>
          <w:tab w:val="right" w:leader="underscore" w:pos="9016"/>
        </w:tabs>
        <w:rPr>
          <w:rFonts w:eastAsiaTheme="minorEastAsia"/>
          <w:noProof/>
          <w:color w:val="auto"/>
          <w:sz w:val="22"/>
          <w:szCs w:val="22"/>
          <w:lang w:eastAsia="en-GB"/>
        </w:rPr>
      </w:pPr>
      <w:hyperlink w:anchor="_Toc124497573" w:history="1">
        <w:r w:rsidR="00CB0AD0" w:rsidRPr="00977C7C">
          <w:rPr>
            <w:rStyle w:val="Hyperlink"/>
            <w:noProof/>
          </w:rPr>
          <w:t>5.7.</w:t>
        </w:r>
        <w:r w:rsidR="00CB0AD0">
          <w:rPr>
            <w:rFonts w:eastAsiaTheme="minorEastAsia"/>
            <w:noProof/>
            <w:color w:val="auto"/>
            <w:sz w:val="22"/>
            <w:szCs w:val="22"/>
            <w:lang w:eastAsia="en-GB"/>
          </w:rPr>
          <w:tab/>
        </w:r>
        <w:r w:rsidR="00CB0AD0" w:rsidRPr="00977C7C">
          <w:rPr>
            <w:rStyle w:val="Hyperlink"/>
            <w:noProof/>
          </w:rPr>
          <w:t>Purchase of Healthcare Team</w:t>
        </w:r>
        <w:r w:rsidR="00CB0AD0">
          <w:rPr>
            <w:noProof/>
            <w:webHidden/>
          </w:rPr>
          <w:tab/>
        </w:r>
        <w:r w:rsidR="00CB0AD0">
          <w:rPr>
            <w:noProof/>
            <w:webHidden/>
          </w:rPr>
          <w:fldChar w:fldCharType="begin"/>
        </w:r>
        <w:r w:rsidR="00CB0AD0">
          <w:rPr>
            <w:noProof/>
            <w:webHidden/>
          </w:rPr>
          <w:instrText xml:space="preserve"> PAGEREF _Toc124497573 \h </w:instrText>
        </w:r>
        <w:r w:rsidR="00CB0AD0">
          <w:rPr>
            <w:noProof/>
            <w:webHidden/>
          </w:rPr>
        </w:r>
        <w:r w:rsidR="00CB0AD0">
          <w:rPr>
            <w:noProof/>
            <w:webHidden/>
          </w:rPr>
          <w:fldChar w:fldCharType="separate"/>
        </w:r>
        <w:r w:rsidR="00CB0AD0">
          <w:rPr>
            <w:noProof/>
            <w:webHidden/>
          </w:rPr>
          <w:t>10</w:t>
        </w:r>
        <w:r w:rsidR="00CB0AD0">
          <w:rPr>
            <w:noProof/>
            <w:webHidden/>
          </w:rPr>
          <w:fldChar w:fldCharType="end"/>
        </w:r>
      </w:hyperlink>
    </w:p>
    <w:p w14:paraId="4459910E" w14:textId="05FC1D81" w:rsidR="00CB0AD0" w:rsidRDefault="00DA7E94">
      <w:pPr>
        <w:pStyle w:val="TOC2"/>
        <w:tabs>
          <w:tab w:val="right" w:leader="underscore" w:pos="9016"/>
        </w:tabs>
        <w:rPr>
          <w:rFonts w:eastAsiaTheme="minorEastAsia"/>
          <w:noProof/>
          <w:color w:val="auto"/>
          <w:sz w:val="22"/>
          <w:szCs w:val="22"/>
          <w:lang w:eastAsia="en-GB"/>
        </w:rPr>
      </w:pPr>
      <w:hyperlink w:anchor="_Toc124497574" w:history="1">
        <w:r w:rsidR="00CB0AD0" w:rsidRPr="00977C7C">
          <w:rPr>
            <w:rStyle w:val="Hyperlink"/>
            <w:noProof/>
          </w:rPr>
          <w:t>5.8.</w:t>
        </w:r>
        <w:r w:rsidR="00CB0AD0">
          <w:rPr>
            <w:rFonts w:eastAsiaTheme="minorEastAsia"/>
            <w:noProof/>
            <w:color w:val="auto"/>
            <w:sz w:val="22"/>
            <w:szCs w:val="22"/>
            <w:lang w:eastAsia="en-GB"/>
          </w:rPr>
          <w:tab/>
        </w:r>
        <w:r w:rsidR="00CB0AD0" w:rsidRPr="00977C7C">
          <w:rPr>
            <w:rStyle w:val="Hyperlink"/>
            <w:noProof/>
          </w:rPr>
          <w:t>Line Managers</w:t>
        </w:r>
        <w:r w:rsidR="00CB0AD0">
          <w:rPr>
            <w:noProof/>
            <w:webHidden/>
          </w:rPr>
          <w:tab/>
        </w:r>
        <w:r w:rsidR="00CB0AD0">
          <w:rPr>
            <w:noProof/>
            <w:webHidden/>
          </w:rPr>
          <w:fldChar w:fldCharType="begin"/>
        </w:r>
        <w:r w:rsidR="00CB0AD0">
          <w:rPr>
            <w:noProof/>
            <w:webHidden/>
          </w:rPr>
          <w:instrText xml:space="preserve"> PAGEREF _Toc124497574 \h </w:instrText>
        </w:r>
        <w:r w:rsidR="00CB0AD0">
          <w:rPr>
            <w:noProof/>
            <w:webHidden/>
          </w:rPr>
        </w:r>
        <w:r w:rsidR="00CB0AD0">
          <w:rPr>
            <w:noProof/>
            <w:webHidden/>
          </w:rPr>
          <w:fldChar w:fldCharType="separate"/>
        </w:r>
        <w:r w:rsidR="00CB0AD0">
          <w:rPr>
            <w:noProof/>
            <w:webHidden/>
          </w:rPr>
          <w:t>10</w:t>
        </w:r>
        <w:r w:rsidR="00CB0AD0">
          <w:rPr>
            <w:noProof/>
            <w:webHidden/>
          </w:rPr>
          <w:fldChar w:fldCharType="end"/>
        </w:r>
      </w:hyperlink>
    </w:p>
    <w:p w14:paraId="3B1E900A" w14:textId="055C5137" w:rsidR="00CB0AD0" w:rsidRDefault="00DA7E94">
      <w:pPr>
        <w:pStyle w:val="TOC2"/>
        <w:tabs>
          <w:tab w:val="right" w:leader="underscore" w:pos="9016"/>
        </w:tabs>
        <w:rPr>
          <w:rFonts w:eastAsiaTheme="minorEastAsia"/>
          <w:noProof/>
          <w:color w:val="auto"/>
          <w:sz w:val="22"/>
          <w:szCs w:val="22"/>
          <w:lang w:eastAsia="en-GB"/>
        </w:rPr>
      </w:pPr>
      <w:hyperlink w:anchor="_Toc124497575" w:history="1">
        <w:r w:rsidR="00CB0AD0" w:rsidRPr="00977C7C">
          <w:rPr>
            <w:rStyle w:val="Hyperlink"/>
            <w:noProof/>
          </w:rPr>
          <w:t>5.9.</w:t>
        </w:r>
        <w:r w:rsidR="00CB0AD0">
          <w:rPr>
            <w:rFonts w:eastAsiaTheme="minorEastAsia"/>
            <w:noProof/>
            <w:color w:val="auto"/>
            <w:sz w:val="22"/>
            <w:szCs w:val="22"/>
            <w:lang w:eastAsia="en-GB"/>
          </w:rPr>
          <w:tab/>
        </w:r>
        <w:r w:rsidR="00CB0AD0" w:rsidRPr="00977C7C">
          <w:rPr>
            <w:rStyle w:val="Hyperlink"/>
            <w:noProof/>
          </w:rPr>
          <w:t>All Staff</w:t>
        </w:r>
        <w:r w:rsidR="00CB0AD0">
          <w:rPr>
            <w:noProof/>
            <w:webHidden/>
          </w:rPr>
          <w:tab/>
        </w:r>
        <w:r w:rsidR="00CB0AD0">
          <w:rPr>
            <w:noProof/>
            <w:webHidden/>
          </w:rPr>
          <w:fldChar w:fldCharType="begin"/>
        </w:r>
        <w:r w:rsidR="00CB0AD0">
          <w:rPr>
            <w:noProof/>
            <w:webHidden/>
          </w:rPr>
          <w:instrText xml:space="preserve"> PAGEREF _Toc124497575 \h </w:instrText>
        </w:r>
        <w:r w:rsidR="00CB0AD0">
          <w:rPr>
            <w:noProof/>
            <w:webHidden/>
          </w:rPr>
        </w:r>
        <w:r w:rsidR="00CB0AD0">
          <w:rPr>
            <w:noProof/>
            <w:webHidden/>
          </w:rPr>
          <w:fldChar w:fldCharType="separate"/>
        </w:r>
        <w:r w:rsidR="00CB0AD0">
          <w:rPr>
            <w:noProof/>
            <w:webHidden/>
          </w:rPr>
          <w:t>10</w:t>
        </w:r>
        <w:r w:rsidR="00CB0AD0">
          <w:rPr>
            <w:noProof/>
            <w:webHidden/>
          </w:rPr>
          <w:fldChar w:fldCharType="end"/>
        </w:r>
      </w:hyperlink>
    </w:p>
    <w:p w14:paraId="1E88B430" w14:textId="22615318" w:rsidR="00CB0AD0" w:rsidRDefault="00DA7E94">
      <w:pPr>
        <w:pStyle w:val="TOC1"/>
        <w:rPr>
          <w:rFonts w:eastAsiaTheme="minorEastAsia"/>
          <w:b w:val="0"/>
          <w:noProof/>
          <w:color w:val="auto"/>
          <w:sz w:val="22"/>
          <w:szCs w:val="22"/>
          <w:lang w:eastAsia="en-GB"/>
        </w:rPr>
      </w:pPr>
      <w:hyperlink w:anchor="_Toc124497576" w:history="1">
        <w:r w:rsidR="00CB0AD0" w:rsidRPr="00977C7C">
          <w:rPr>
            <w:rStyle w:val="Hyperlink"/>
            <w:noProof/>
          </w:rPr>
          <w:t>6.</w:t>
        </w:r>
        <w:r w:rsidR="00CB0AD0">
          <w:rPr>
            <w:rFonts w:eastAsiaTheme="minorEastAsia"/>
            <w:b w:val="0"/>
            <w:noProof/>
            <w:color w:val="auto"/>
            <w:sz w:val="22"/>
            <w:szCs w:val="22"/>
            <w:lang w:eastAsia="en-GB"/>
          </w:rPr>
          <w:tab/>
        </w:r>
        <w:r w:rsidR="00CB0AD0" w:rsidRPr="00977C7C">
          <w:rPr>
            <w:rStyle w:val="Hyperlink"/>
            <w:noProof/>
          </w:rPr>
          <w:t>Policy Detail</w:t>
        </w:r>
        <w:r w:rsidR="00CB0AD0">
          <w:rPr>
            <w:noProof/>
            <w:webHidden/>
          </w:rPr>
          <w:tab/>
        </w:r>
        <w:r w:rsidR="00CB0AD0">
          <w:rPr>
            <w:noProof/>
            <w:webHidden/>
          </w:rPr>
          <w:fldChar w:fldCharType="begin"/>
        </w:r>
        <w:r w:rsidR="00CB0AD0">
          <w:rPr>
            <w:noProof/>
            <w:webHidden/>
          </w:rPr>
          <w:instrText xml:space="preserve"> PAGEREF _Toc124497576 \h </w:instrText>
        </w:r>
        <w:r w:rsidR="00CB0AD0">
          <w:rPr>
            <w:noProof/>
            <w:webHidden/>
          </w:rPr>
        </w:r>
        <w:r w:rsidR="00CB0AD0">
          <w:rPr>
            <w:noProof/>
            <w:webHidden/>
          </w:rPr>
          <w:fldChar w:fldCharType="separate"/>
        </w:r>
        <w:r w:rsidR="00CB0AD0">
          <w:rPr>
            <w:noProof/>
            <w:webHidden/>
          </w:rPr>
          <w:t>11</w:t>
        </w:r>
        <w:r w:rsidR="00CB0AD0">
          <w:rPr>
            <w:noProof/>
            <w:webHidden/>
          </w:rPr>
          <w:fldChar w:fldCharType="end"/>
        </w:r>
      </w:hyperlink>
    </w:p>
    <w:p w14:paraId="7D756622" w14:textId="3A978937" w:rsidR="00CB0AD0" w:rsidRDefault="00DA7E94">
      <w:pPr>
        <w:pStyle w:val="TOC2"/>
        <w:tabs>
          <w:tab w:val="right" w:leader="underscore" w:pos="9016"/>
        </w:tabs>
        <w:rPr>
          <w:rFonts w:eastAsiaTheme="minorEastAsia"/>
          <w:noProof/>
          <w:color w:val="auto"/>
          <w:sz w:val="22"/>
          <w:szCs w:val="22"/>
          <w:lang w:eastAsia="en-GB"/>
        </w:rPr>
      </w:pPr>
      <w:hyperlink w:anchor="_Toc124497577" w:history="1">
        <w:r w:rsidR="00CB0AD0" w:rsidRPr="00977C7C">
          <w:rPr>
            <w:rStyle w:val="Hyperlink"/>
            <w:noProof/>
          </w:rPr>
          <w:t>6.1.</w:t>
        </w:r>
        <w:r w:rsidR="00CB0AD0">
          <w:rPr>
            <w:rFonts w:eastAsiaTheme="minorEastAsia"/>
            <w:noProof/>
            <w:color w:val="auto"/>
            <w:sz w:val="22"/>
            <w:szCs w:val="22"/>
            <w:lang w:eastAsia="en-GB"/>
          </w:rPr>
          <w:tab/>
        </w:r>
        <w:r w:rsidR="00CB0AD0" w:rsidRPr="00977C7C">
          <w:rPr>
            <w:rStyle w:val="Hyperlink"/>
            <w:noProof/>
          </w:rPr>
          <w:t>Guiding principles that underpin the policy</w:t>
        </w:r>
        <w:r w:rsidR="00CB0AD0">
          <w:rPr>
            <w:noProof/>
            <w:webHidden/>
          </w:rPr>
          <w:tab/>
        </w:r>
        <w:r w:rsidR="00CB0AD0">
          <w:rPr>
            <w:noProof/>
            <w:webHidden/>
          </w:rPr>
          <w:fldChar w:fldCharType="begin"/>
        </w:r>
        <w:r w:rsidR="00CB0AD0">
          <w:rPr>
            <w:noProof/>
            <w:webHidden/>
          </w:rPr>
          <w:instrText xml:space="preserve"> PAGEREF _Toc124497577 \h </w:instrText>
        </w:r>
        <w:r w:rsidR="00CB0AD0">
          <w:rPr>
            <w:noProof/>
            <w:webHidden/>
          </w:rPr>
        </w:r>
        <w:r w:rsidR="00CB0AD0">
          <w:rPr>
            <w:noProof/>
            <w:webHidden/>
          </w:rPr>
          <w:fldChar w:fldCharType="separate"/>
        </w:r>
        <w:r w:rsidR="00CB0AD0">
          <w:rPr>
            <w:noProof/>
            <w:webHidden/>
          </w:rPr>
          <w:t>11</w:t>
        </w:r>
        <w:r w:rsidR="00CB0AD0">
          <w:rPr>
            <w:noProof/>
            <w:webHidden/>
          </w:rPr>
          <w:fldChar w:fldCharType="end"/>
        </w:r>
      </w:hyperlink>
    </w:p>
    <w:p w14:paraId="1BDC183F" w14:textId="37B085D0" w:rsidR="00CB0AD0" w:rsidRDefault="00DA7E94">
      <w:pPr>
        <w:pStyle w:val="TOC2"/>
        <w:tabs>
          <w:tab w:val="right" w:leader="underscore" w:pos="9016"/>
        </w:tabs>
        <w:rPr>
          <w:rFonts w:eastAsiaTheme="minorEastAsia"/>
          <w:noProof/>
          <w:color w:val="auto"/>
          <w:sz w:val="22"/>
          <w:szCs w:val="22"/>
          <w:lang w:eastAsia="en-GB"/>
        </w:rPr>
      </w:pPr>
      <w:hyperlink w:anchor="_Toc124497578" w:history="1">
        <w:r w:rsidR="00CB0AD0" w:rsidRPr="00977C7C">
          <w:rPr>
            <w:rStyle w:val="Hyperlink"/>
            <w:noProof/>
          </w:rPr>
          <w:t>6.2.</w:t>
        </w:r>
        <w:r w:rsidR="00CB0AD0">
          <w:rPr>
            <w:rFonts w:eastAsiaTheme="minorEastAsia"/>
            <w:noProof/>
            <w:color w:val="auto"/>
            <w:sz w:val="22"/>
            <w:szCs w:val="22"/>
            <w:lang w:eastAsia="en-GB"/>
          </w:rPr>
          <w:tab/>
        </w:r>
        <w:r w:rsidR="00CB0AD0" w:rsidRPr="00977C7C">
          <w:rPr>
            <w:rStyle w:val="Hyperlink"/>
            <w:noProof/>
          </w:rPr>
          <w:t>Governance</w:t>
        </w:r>
        <w:r w:rsidR="00CB0AD0">
          <w:rPr>
            <w:noProof/>
            <w:webHidden/>
          </w:rPr>
          <w:tab/>
        </w:r>
        <w:r w:rsidR="00CB0AD0">
          <w:rPr>
            <w:noProof/>
            <w:webHidden/>
          </w:rPr>
          <w:fldChar w:fldCharType="begin"/>
        </w:r>
        <w:r w:rsidR="00CB0AD0">
          <w:rPr>
            <w:noProof/>
            <w:webHidden/>
          </w:rPr>
          <w:instrText xml:space="preserve"> PAGEREF _Toc124497578 \h </w:instrText>
        </w:r>
        <w:r w:rsidR="00CB0AD0">
          <w:rPr>
            <w:noProof/>
            <w:webHidden/>
          </w:rPr>
        </w:r>
        <w:r w:rsidR="00CB0AD0">
          <w:rPr>
            <w:noProof/>
            <w:webHidden/>
          </w:rPr>
          <w:fldChar w:fldCharType="separate"/>
        </w:r>
        <w:r w:rsidR="00CB0AD0">
          <w:rPr>
            <w:noProof/>
            <w:webHidden/>
          </w:rPr>
          <w:t>12</w:t>
        </w:r>
        <w:r w:rsidR="00CB0AD0">
          <w:rPr>
            <w:noProof/>
            <w:webHidden/>
          </w:rPr>
          <w:fldChar w:fldCharType="end"/>
        </w:r>
      </w:hyperlink>
    </w:p>
    <w:p w14:paraId="659ADFF5" w14:textId="5E3D79E7" w:rsidR="00CB0AD0" w:rsidRDefault="00DA7E94">
      <w:pPr>
        <w:pStyle w:val="TOC2"/>
        <w:tabs>
          <w:tab w:val="right" w:leader="underscore" w:pos="9016"/>
        </w:tabs>
        <w:rPr>
          <w:rFonts w:eastAsiaTheme="minorEastAsia"/>
          <w:noProof/>
          <w:color w:val="auto"/>
          <w:sz w:val="22"/>
          <w:szCs w:val="22"/>
          <w:lang w:eastAsia="en-GB"/>
        </w:rPr>
      </w:pPr>
      <w:hyperlink w:anchor="_Toc124497579" w:history="1">
        <w:r w:rsidR="00CB0AD0" w:rsidRPr="00977C7C">
          <w:rPr>
            <w:rStyle w:val="Hyperlink"/>
            <w:noProof/>
          </w:rPr>
          <w:t>6.3.</w:t>
        </w:r>
        <w:r w:rsidR="00CB0AD0">
          <w:rPr>
            <w:rFonts w:eastAsiaTheme="minorEastAsia"/>
            <w:noProof/>
            <w:color w:val="auto"/>
            <w:sz w:val="22"/>
            <w:szCs w:val="22"/>
            <w:lang w:eastAsia="en-GB"/>
          </w:rPr>
          <w:tab/>
        </w:r>
        <w:r w:rsidR="00CB0AD0" w:rsidRPr="00977C7C">
          <w:rPr>
            <w:rStyle w:val="Hyperlink"/>
            <w:noProof/>
          </w:rPr>
          <w:t>When is procurement required?</w:t>
        </w:r>
        <w:r w:rsidR="00CB0AD0">
          <w:rPr>
            <w:noProof/>
            <w:webHidden/>
          </w:rPr>
          <w:tab/>
        </w:r>
        <w:r w:rsidR="00CB0AD0">
          <w:rPr>
            <w:noProof/>
            <w:webHidden/>
          </w:rPr>
          <w:fldChar w:fldCharType="begin"/>
        </w:r>
        <w:r w:rsidR="00CB0AD0">
          <w:rPr>
            <w:noProof/>
            <w:webHidden/>
          </w:rPr>
          <w:instrText xml:space="preserve"> PAGEREF _Toc124497579 \h </w:instrText>
        </w:r>
        <w:r w:rsidR="00CB0AD0">
          <w:rPr>
            <w:noProof/>
            <w:webHidden/>
          </w:rPr>
        </w:r>
        <w:r w:rsidR="00CB0AD0">
          <w:rPr>
            <w:noProof/>
            <w:webHidden/>
          </w:rPr>
          <w:fldChar w:fldCharType="separate"/>
        </w:r>
        <w:r w:rsidR="00CB0AD0">
          <w:rPr>
            <w:noProof/>
            <w:webHidden/>
          </w:rPr>
          <w:t>13</w:t>
        </w:r>
        <w:r w:rsidR="00CB0AD0">
          <w:rPr>
            <w:noProof/>
            <w:webHidden/>
          </w:rPr>
          <w:fldChar w:fldCharType="end"/>
        </w:r>
      </w:hyperlink>
    </w:p>
    <w:p w14:paraId="018EA741" w14:textId="0E79E288" w:rsidR="00CB0AD0" w:rsidRDefault="00DA7E94">
      <w:pPr>
        <w:pStyle w:val="TOC2"/>
        <w:tabs>
          <w:tab w:val="right" w:leader="underscore" w:pos="9016"/>
        </w:tabs>
        <w:rPr>
          <w:rFonts w:eastAsiaTheme="minorEastAsia"/>
          <w:noProof/>
          <w:color w:val="auto"/>
          <w:sz w:val="22"/>
          <w:szCs w:val="22"/>
          <w:lang w:eastAsia="en-GB"/>
        </w:rPr>
      </w:pPr>
      <w:hyperlink w:anchor="_Toc124497580" w:history="1">
        <w:r w:rsidR="00CB0AD0" w:rsidRPr="00977C7C">
          <w:rPr>
            <w:rStyle w:val="Hyperlink"/>
            <w:noProof/>
          </w:rPr>
          <w:t>6.4.</w:t>
        </w:r>
        <w:r w:rsidR="00CB0AD0">
          <w:rPr>
            <w:rFonts w:eastAsiaTheme="minorEastAsia"/>
            <w:noProof/>
            <w:color w:val="auto"/>
            <w:sz w:val="22"/>
            <w:szCs w:val="22"/>
            <w:lang w:eastAsia="en-GB"/>
          </w:rPr>
          <w:tab/>
        </w:r>
        <w:r w:rsidR="00CB0AD0" w:rsidRPr="00977C7C">
          <w:rPr>
            <w:rStyle w:val="Hyperlink"/>
            <w:noProof/>
          </w:rPr>
          <w:t>Splitting or disaggregation of contracts</w:t>
        </w:r>
        <w:r w:rsidR="00CB0AD0">
          <w:rPr>
            <w:noProof/>
            <w:webHidden/>
          </w:rPr>
          <w:tab/>
        </w:r>
        <w:r w:rsidR="00CB0AD0">
          <w:rPr>
            <w:noProof/>
            <w:webHidden/>
          </w:rPr>
          <w:fldChar w:fldCharType="begin"/>
        </w:r>
        <w:r w:rsidR="00CB0AD0">
          <w:rPr>
            <w:noProof/>
            <w:webHidden/>
          </w:rPr>
          <w:instrText xml:space="preserve"> PAGEREF _Toc124497580 \h </w:instrText>
        </w:r>
        <w:r w:rsidR="00CB0AD0">
          <w:rPr>
            <w:noProof/>
            <w:webHidden/>
          </w:rPr>
        </w:r>
        <w:r w:rsidR="00CB0AD0">
          <w:rPr>
            <w:noProof/>
            <w:webHidden/>
          </w:rPr>
          <w:fldChar w:fldCharType="separate"/>
        </w:r>
        <w:r w:rsidR="00CB0AD0">
          <w:rPr>
            <w:noProof/>
            <w:webHidden/>
          </w:rPr>
          <w:t>14</w:t>
        </w:r>
        <w:r w:rsidR="00CB0AD0">
          <w:rPr>
            <w:noProof/>
            <w:webHidden/>
          </w:rPr>
          <w:fldChar w:fldCharType="end"/>
        </w:r>
      </w:hyperlink>
    </w:p>
    <w:p w14:paraId="58B315A5" w14:textId="58A210FF" w:rsidR="00CB0AD0" w:rsidRDefault="00DA7E94">
      <w:pPr>
        <w:pStyle w:val="TOC2"/>
        <w:tabs>
          <w:tab w:val="right" w:leader="underscore" w:pos="9016"/>
        </w:tabs>
        <w:rPr>
          <w:rFonts w:eastAsiaTheme="minorEastAsia"/>
          <w:noProof/>
          <w:color w:val="auto"/>
          <w:sz w:val="22"/>
          <w:szCs w:val="22"/>
          <w:lang w:eastAsia="en-GB"/>
        </w:rPr>
      </w:pPr>
      <w:hyperlink w:anchor="_Toc124497581" w:history="1">
        <w:r w:rsidR="00CB0AD0" w:rsidRPr="00977C7C">
          <w:rPr>
            <w:rStyle w:val="Hyperlink"/>
            <w:noProof/>
          </w:rPr>
          <w:t>6.5.</w:t>
        </w:r>
        <w:r w:rsidR="00CB0AD0">
          <w:rPr>
            <w:rFonts w:eastAsiaTheme="minorEastAsia"/>
            <w:noProof/>
            <w:color w:val="auto"/>
            <w:sz w:val="22"/>
            <w:szCs w:val="22"/>
            <w:lang w:eastAsia="en-GB"/>
          </w:rPr>
          <w:tab/>
        </w:r>
        <w:r w:rsidR="00CB0AD0" w:rsidRPr="00977C7C">
          <w:rPr>
            <w:rStyle w:val="Hyperlink"/>
            <w:noProof/>
          </w:rPr>
          <w:t>False quotations and tenders, and bid rigging</w:t>
        </w:r>
        <w:r w:rsidR="00CB0AD0">
          <w:rPr>
            <w:noProof/>
            <w:webHidden/>
          </w:rPr>
          <w:tab/>
        </w:r>
        <w:r w:rsidR="00CB0AD0">
          <w:rPr>
            <w:noProof/>
            <w:webHidden/>
          </w:rPr>
          <w:fldChar w:fldCharType="begin"/>
        </w:r>
        <w:r w:rsidR="00CB0AD0">
          <w:rPr>
            <w:noProof/>
            <w:webHidden/>
          </w:rPr>
          <w:instrText xml:space="preserve"> PAGEREF _Toc124497581 \h </w:instrText>
        </w:r>
        <w:r w:rsidR="00CB0AD0">
          <w:rPr>
            <w:noProof/>
            <w:webHidden/>
          </w:rPr>
        </w:r>
        <w:r w:rsidR="00CB0AD0">
          <w:rPr>
            <w:noProof/>
            <w:webHidden/>
          </w:rPr>
          <w:fldChar w:fldCharType="separate"/>
        </w:r>
        <w:r w:rsidR="00CB0AD0">
          <w:rPr>
            <w:noProof/>
            <w:webHidden/>
          </w:rPr>
          <w:t>14</w:t>
        </w:r>
        <w:r w:rsidR="00CB0AD0">
          <w:rPr>
            <w:noProof/>
            <w:webHidden/>
          </w:rPr>
          <w:fldChar w:fldCharType="end"/>
        </w:r>
      </w:hyperlink>
    </w:p>
    <w:p w14:paraId="69523B26" w14:textId="22445807" w:rsidR="00CB0AD0" w:rsidRDefault="00DA7E94">
      <w:pPr>
        <w:pStyle w:val="TOC2"/>
        <w:tabs>
          <w:tab w:val="right" w:leader="underscore" w:pos="9016"/>
        </w:tabs>
        <w:rPr>
          <w:rFonts w:eastAsiaTheme="minorEastAsia"/>
          <w:noProof/>
          <w:color w:val="auto"/>
          <w:sz w:val="22"/>
          <w:szCs w:val="22"/>
          <w:lang w:eastAsia="en-GB"/>
        </w:rPr>
      </w:pPr>
      <w:hyperlink w:anchor="_Toc124497582" w:history="1">
        <w:r w:rsidR="00CB0AD0" w:rsidRPr="00977C7C">
          <w:rPr>
            <w:rStyle w:val="Hyperlink"/>
            <w:noProof/>
          </w:rPr>
          <w:t>6.6.</w:t>
        </w:r>
        <w:r w:rsidR="00CB0AD0">
          <w:rPr>
            <w:rFonts w:eastAsiaTheme="minorEastAsia"/>
            <w:noProof/>
            <w:color w:val="auto"/>
            <w:sz w:val="22"/>
            <w:szCs w:val="22"/>
            <w:lang w:eastAsia="en-GB"/>
          </w:rPr>
          <w:tab/>
        </w:r>
        <w:r w:rsidR="00CB0AD0" w:rsidRPr="00977C7C">
          <w:rPr>
            <w:rStyle w:val="Hyperlink"/>
            <w:noProof/>
          </w:rPr>
          <w:t>Collaboration</w:t>
        </w:r>
        <w:r w:rsidR="00CB0AD0">
          <w:rPr>
            <w:noProof/>
            <w:webHidden/>
          </w:rPr>
          <w:tab/>
        </w:r>
        <w:r w:rsidR="00CB0AD0">
          <w:rPr>
            <w:noProof/>
            <w:webHidden/>
          </w:rPr>
          <w:fldChar w:fldCharType="begin"/>
        </w:r>
        <w:r w:rsidR="00CB0AD0">
          <w:rPr>
            <w:noProof/>
            <w:webHidden/>
          </w:rPr>
          <w:instrText xml:space="preserve"> PAGEREF _Toc124497582 \h </w:instrText>
        </w:r>
        <w:r w:rsidR="00CB0AD0">
          <w:rPr>
            <w:noProof/>
            <w:webHidden/>
          </w:rPr>
        </w:r>
        <w:r w:rsidR="00CB0AD0">
          <w:rPr>
            <w:noProof/>
            <w:webHidden/>
          </w:rPr>
          <w:fldChar w:fldCharType="separate"/>
        </w:r>
        <w:r w:rsidR="00CB0AD0">
          <w:rPr>
            <w:noProof/>
            <w:webHidden/>
          </w:rPr>
          <w:t>15</w:t>
        </w:r>
        <w:r w:rsidR="00CB0AD0">
          <w:rPr>
            <w:noProof/>
            <w:webHidden/>
          </w:rPr>
          <w:fldChar w:fldCharType="end"/>
        </w:r>
      </w:hyperlink>
    </w:p>
    <w:p w14:paraId="12B40ECD" w14:textId="39339E49" w:rsidR="00CB0AD0" w:rsidRDefault="00DA7E94">
      <w:pPr>
        <w:pStyle w:val="TOC2"/>
        <w:tabs>
          <w:tab w:val="right" w:leader="underscore" w:pos="9016"/>
        </w:tabs>
        <w:rPr>
          <w:rFonts w:eastAsiaTheme="minorEastAsia"/>
          <w:noProof/>
          <w:color w:val="auto"/>
          <w:sz w:val="22"/>
          <w:szCs w:val="22"/>
          <w:lang w:eastAsia="en-GB"/>
        </w:rPr>
      </w:pPr>
      <w:hyperlink w:anchor="_Toc124497583" w:history="1">
        <w:r w:rsidR="00CB0AD0" w:rsidRPr="00977C7C">
          <w:rPr>
            <w:rStyle w:val="Hyperlink"/>
            <w:noProof/>
          </w:rPr>
          <w:t>6.7.</w:t>
        </w:r>
        <w:r w:rsidR="00CB0AD0">
          <w:rPr>
            <w:rFonts w:eastAsiaTheme="minorEastAsia"/>
            <w:noProof/>
            <w:color w:val="auto"/>
            <w:sz w:val="22"/>
            <w:szCs w:val="22"/>
            <w:lang w:eastAsia="en-GB"/>
          </w:rPr>
          <w:tab/>
        </w:r>
        <w:r w:rsidR="00CB0AD0" w:rsidRPr="00977C7C">
          <w:rPr>
            <w:rStyle w:val="Hyperlink"/>
            <w:noProof/>
          </w:rPr>
          <w:t>Non-Compliant Procurement Route</w:t>
        </w:r>
        <w:r w:rsidR="00CB0AD0">
          <w:rPr>
            <w:noProof/>
            <w:webHidden/>
          </w:rPr>
          <w:tab/>
        </w:r>
        <w:r w:rsidR="00CB0AD0">
          <w:rPr>
            <w:noProof/>
            <w:webHidden/>
          </w:rPr>
          <w:fldChar w:fldCharType="begin"/>
        </w:r>
        <w:r w:rsidR="00CB0AD0">
          <w:rPr>
            <w:noProof/>
            <w:webHidden/>
          </w:rPr>
          <w:instrText xml:space="preserve"> PAGEREF _Toc124497583 \h </w:instrText>
        </w:r>
        <w:r w:rsidR="00CB0AD0">
          <w:rPr>
            <w:noProof/>
            <w:webHidden/>
          </w:rPr>
        </w:r>
        <w:r w:rsidR="00CB0AD0">
          <w:rPr>
            <w:noProof/>
            <w:webHidden/>
          </w:rPr>
          <w:fldChar w:fldCharType="separate"/>
        </w:r>
        <w:r w:rsidR="00CB0AD0">
          <w:rPr>
            <w:noProof/>
            <w:webHidden/>
          </w:rPr>
          <w:t>15</w:t>
        </w:r>
        <w:r w:rsidR="00CB0AD0">
          <w:rPr>
            <w:noProof/>
            <w:webHidden/>
          </w:rPr>
          <w:fldChar w:fldCharType="end"/>
        </w:r>
      </w:hyperlink>
    </w:p>
    <w:p w14:paraId="20A89AD4" w14:textId="416F57E7" w:rsidR="00CB0AD0" w:rsidRDefault="00DA7E94">
      <w:pPr>
        <w:pStyle w:val="TOC2"/>
        <w:tabs>
          <w:tab w:val="right" w:leader="underscore" w:pos="9016"/>
        </w:tabs>
        <w:rPr>
          <w:rFonts w:eastAsiaTheme="minorEastAsia"/>
          <w:noProof/>
          <w:color w:val="auto"/>
          <w:sz w:val="22"/>
          <w:szCs w:val="22"/>
          <w:lang w:eastAsia="en-GB"/>
        </w:rPr>
      </w:pPr>
      <w:hyperlink w:anchor="_Toc124497584" w:history="1">
        <w:r w:rsidR="00CB0AD0" w:rsidRPr="00977C7C">
          <w:rPr>
            <w:rStyle w:val="Hyperlink"/>
            <w:noProof/>
          </w:rPr>
          <w:t>6.8.</w:t>
        </w:r>
        <w:r w:rsidR="00CB0AD0">
          <w:rPr>
            <w:rFonts w:eastAsiaTheme="minorEastAsia"/>
            <w:noProof/>
            <w:color w:val="auto"/>
            <w:sz w:val="22"/>
            <w:szCs w:val="22"/>
            <w:lang w:eastAsia="en-GB"/>
          </w:rPr>
          <w:tab/>
        </w:r>
        <w:r w:rsidR="00CB0AD0" w:rsidRPr="00977C7C">
          <w:rPr>
            <w:rStyle w:val="Hyperlink"/>
            <w:noProof/>
          </w:rPr>
          <w:t>Pilots &amp; Proof of Concept Projects</w:t>
        </w:r>
        <w:r w:rsidR="00CB0AD0">
          <w:rPr>
            <w:noProof/>
            <w:webHidden/>
          </w:rPr>
          <w:tab/>
        </w:r>
        <w:r w:rsidR="00CB0AD0">
          <w:rPr>
            <w:noProof/>
            <w:webHidden/>
          </w:rPr>
          <w:fldChar w:fldCharType="begin"/>
        </w:r>
        <w:r w:rsidR="00CB0AD0">
          <w:rPr>
            <w:noProof/>
            <w:webHidden/>
          </w:rPr>
          <w:instrText xml:space="preserve"> PAGEREF _Toc124497584 \h </w:instrText>
        </w:r>
        <w:r w:rsidR="00CB0AD0">
          <w:rPr>
            <w:noProof/>
            <w:webHidden/>
          </w:rPr>
        </w:r>
        <w:r w:rsidR="00CB0AD0">
          <w:rPr>
            <w:noProof/>
            <w:webHidden/>
          </w:rPr>
          <w:fldChar w:fldCharType="separate"/>
        </w:r>
        <w:r w:rsidR="00CB0AD0">
          <w:rPr>
            <w:noProof/>
            <w:webHidden/>
          </w:rPr>
          <w:t>16</w:t>
        </w:r>
        <w:r w:rsidR="00CB0AD0">
          <w:rPr>
            <w:noProof/>
            <w:webHidden/>
          </w:rPr>
          <w:fldChar w:fldCharType="end"/>
        </w:r>
      </w:hyperlink>
    </w:p>
    <w:p w14:paraId="7F486E02" w14:textId="033FC9FF" w:rsidR="00CB0AD0" w:rsidRDefault="00DA7E94">
      <w:pPr>
        <w:pStyle w:val="TOC2"/>
        <w:tabs>
          <w:tab w:val="right" w:leader="underscore" w:pos="9016"/>
        </w:tabs>
        <w:rPr>
          <w:rFonts w:eastAsiaTheme="minorEastAsia"/>
          <w:noProof/>
          <w:color w:val="auto"/>
          <w:sz w:val="22"/>
          <w:szCs w:val="22"/>
          <w:lang w:eastAsia="en-GB"/>
        </w:rPr>
      </w:pPr>
      <w:hyperlink w:anchor="_Toc124497585" w:history="1">
        <w:r w:rsidR="00CB0AD0" w:rsidRPr="00977C7C">
          <w:rPr>
            <w:rStyle w:val="Hyperlink"/>
            <w:noProof/>
          </w:rPr>
          <w:t>6.9.</w:t>
        </w:r>
        <w:r w:rsidR="00CB0AD0">
          <w:rPr>
            <w:rFonts w:eastAsiaTheme="minorEastAsia"/>
            <w:noProof/>
            <w:color w:val="auto"/>
            <w:sz w:val="22"/>
            <w:szCs w:val="22"/>
            <w:lang w:eastAsia="en-GB"/>
          </w:rPr>
          <w:tab/>
        </w:r>
        <w:r w:rsidR="00CB0AD0" w:rsidRPr="00977C7C">
          <w:rPr>
            <w:rStyle w:val="Hyperlink"/>
            <w:noProof/>
          </w:rPr>
          <w:t>Grants</w:t>
        </w:r>
        <w:r w:rsidR="00CB0AD0">
          <w:rPr>
            <w:noProof/>
            <w:webHidden/>
          </w:rPr>
          <w:tab/>
        </w:r>
        <w:r w:rsidR="00CB0AD0">
          <w:rPr>
            <w:noProof/>
            <w:webHidden/>
          </w:rPr>
          <w:fldChar w:fldCharType="begin"/>
        </w:r>
        <w:r w:rsidR="00CB0AD0">
          <w:rPr>
            <w:noProof/>
            <w:webHidden/>
          </w:rPr>
          <w:instrText xml:space="preserve"> PAGEREF _Toc124497585 \h </w:instrText>
        </w:r>
        <w:r w:rsidR="00CB0AD0">
          <w:rPr>
            <w:noProof/>
            <w:webHidden/>
          </w:rPr>
        </w:r>
        <w:r w:rsidR="00CB0AD0">
          <w:rPr>
            <w:noProof/>
            <w:webHidden/>
          </w:rPr>
          <w:fldChar w:fldCharType="separate"/>
        </w:r>
        <w:r w:rsidR="00CB0AD0">
          <w:rPr>
            <w:noProof/>
            <w:webHidden/>
          </w:rPr>
          <w:t>17</w:t>
        </w:r>
        <w:r w:rsidR="00CB0AD0">
          <w:rPr>
            <w:noProof/>
            <w:webHidden/>
          </w:rPr>
          <w:fldChar w:fldCharType="end"/>
        </w:r>
      </w:hyperlink>
    </w:p>
    <w:p w14:paraId="18B14F5F" w14:textId="6419B668" w:rsidR="00CB0AD0" w:rsidRDefault="00DA7E94">
      <w:pPr>
        <w:pStyle w:val="TOC2"/>
        <w:tabs>
          <w:tab w:val="right" w:leader="underscore" w:pos="9016"/>
        </w:tabs>
        <w:rPr>
          <w:rFonts w:eastAsiaTheme="minorEastAsia"/>
          <w:noProof/>
          <w:color w:val="auto"/>
          <w:sz w:val="22"/>
          <w:szCs w:val="22"/>
          <w:lang w:eastAsia="en-GB"/>
        </w:rPr>
      </w:pPr>
      <w:hyperlink w:anchor="_Toc124497586" w:history="1">
        <w:r w:rsidR="00CB0AD0" w:rsidRPr="00977C7C">
          <w:rPr>
            <w:rStyle w:val="Hyperlink"/>
            <w:noProof/>
          </w:rPr>
          <w:t>6.10.</w:t>
        </w:r>
        <w:r w:rsidR="00CB0AD0">
          <w:rPr>
            <w:rFonts w:eastAsiaTheme="minorEastAsia"/>
            <w:noProof/>
            <w:color w:val="auto"/>
            <w:sz w:val="22"/>
            <w:szCs w:val="22"/>
            <w:lang w:eastAsia="en-GB"/>
          </w:rPr>
          <w:tab/>
        </w:r>
        <w:r w:rsidR="00CB0AD0" w:rsidRPr="00977C7C">
          <w:rPr>
            <w:rStyle w:val="Hyperlink"/>
            <w:noProof/>
          </w:rPr>
          <w:t>Spot Purchasing</w:t>
        </w:r>
        <w:r w:rsidR="00CB0AD0">
          <w:rPr>
            <w:noProof/>
            <w:webHidden/>
          </w:rPr>
          <w:tab/>
        </w:r>
        <w:r w:rsidR="00CB0AD0">
          <w:rPr>
            <w:noProof/>
            <w:webHidden/>
          </w:rPr>
          <w:fldChar w:fldCharType="begin"/>
        </w:r>
        <w:r w:rsidR="00CB0AD0">
          <w:rPr>
            <w:noProof/>
            <w:webHidden/>
          </w:rPr>
          <w:instrText xml:space="preserve"> PAGEREF _Toc124497586 \h </w:instrText>
        </w:r>
        <w:r w:rsidR="00CB0AD0">
          <w:rPr>
            <w:noProof/>
            <w:webHidden/>
          </w:rPr>
        </w:r>
        <w:r w:rsidR="00CB0AD0">
          <w:rPr>
            <w:noProof/>
            <w:webHidden/>
          </w:rPr>
          <w:fldChar w:fldCharType="separate"/>
        </w:r>
        <w:r w:rsidR="00CB0AD0">
          <w:rPr>
            <w:noProof/>
            <w:webHidden/>
          </w:rPr>
          <w:t>17</w:t>
        </w:r>
        <w:r w:rsidR="00CB0AD0">
          <w:rPr>
            <w:noProof/>
            <w:webHidden/>
          </w:rPr>
          <w:fldChar w:fldCharType="end"/>
        </w:r>
      </w:hyperlink>
    </w:p>
    <w:p w14:paraId="653EA0BD" w14:textId="23D041B9" w:rsidR="00CB0AD0" w:rsidRDefault="00DA7E94">
      <w:pPr>
        <w:pStyle w:val="TOC2"/>
        <w:tabs>
          <w:tab w:val="right" w:leader="underscore" w:pos="9016"/>
        </w:tabs>
        <w:rPr>
          <w:rFonts w:eastAsiaTheme="minorEastAsia"/>
          <w:noProof/>
          <w:color w:val="auto"/>
          <w:sz w:val="22"/>
          <w:szCs w:val="22"/>
          <w:lang w:eastAsia="en-GB"/>
        </w:rPr>
      </w:pPr>
      <w:hyperlink w:anchor="_Toc124497587" w:history="1">
        <w:r w:rsidR="00CB0AD0" w:rsidRPr="00977C7C">
          <w:rPr>
            <w:rStyle w:val="Hyperlink"/>
            <w:noProof/>
          </w:rPr>
          <w:t>6.11.</w:t>
        </w:r>
        <w:r w:rsidR="00CB0AD0">
          <w:rPr>
            <w:rFonts w:eastAsiaTheme="minorEastAsia"/>
            <w:noProof/>
            <w:color w:val="auto"/>
            <w:sz w:val="22"/>
            <w:szCs w:val="22"/>
            <w:lang w:eastAsia="en-GB"/>
          </w:rPr>
          <w:tab/>
        </w:r>
        <w:r w:rsidR="00CB0AD0" w:rsidRPr="00977C7C">
          <w:rPr>
            <w:rStyle w:val="Hyperlink"/>
            <w:noProof/>
          </w:rPr>
          <w:t>Integration</w:t>
        </w:r>
        <w:r w:rsidR="00CB0AD0">
          <w:rPr>
            <w:noProof/>
            <w:webHidden/>
          </w:rPr>
          <w:tab/>
        </w:r>
        <w:r w:rsidR="00CB0AD0">
          <w:rPr>
            <w:noProof/>
            <w:webHidden/>
          </w:rPr>
          <w:fldChar w:fldCharType="begin"/>
        </w:r>
        <w:r w:rsidR="00CB0AD0">
          <w:rPr>
            <w:noProof/>
            <w:webHidden/>
          </w:rPr>
          <w:instrText xml:space="preserve"> PAGEREF _Toc124497587 \h </w:instrText>
        </w:r>
        <w:r w:rsidR="00CB0AD0">
          <w:rPr>
            <w:noProof/>
            <w:webHidden/>
          </w:rPr>
        </w:r>
        <w:r w:rsidR="00CB0AD0">
          <w:rPr>
            <w:noProof/>
            <w:webHidden/>
          </w:rPr>
          <w:fldChar w:fldCharType="separate"/>
        </w:r>
        <w:r w:rsidR="00CB0AD0">
          <w:rPr>
            <w:noProof/>
            <w:webHidden/>
          </w:rPr>
          <w:t>18</w:t>
        </w:r>
        <w:r w:rsidR="00CB0AD0">
          <w:rPr>
            <w:noProof/>
            <w:webHidden/>
          </w:rPr>
          <w:fldChar w:fldCharType="end"/>
        </w:r>
      </w:hyperlink>
    </w:p>
    <w:p w14:paraId="2EA95977" w14:textId="3C0C7FE7" w:rsidR="00CB0AD0" w:rsidRDefault="00DA7E94">
      <w:pPr>
        <w:pStyle w:val="TOC2"/>
        <w:tabs>
          <w:tab w:val="right" w:leader="underscore" w:pos="9016"/>
        </w:tabs>
        <w:rPr>
          <w:rFonts w:eastAsiaTheme="minorEastAsia"/>
          <w:noProof/>
          <w:color w:val="auto"/>
          <w:sz w:val="22"/>
          <w:szCs w:val="22"/>
          <w:lang w:eastAsia="en-GB"/>
        </w:rPr>
      </w:pPr>
      <w:hyperlink w:anchor="_Toc124497588" w:history="1">
        <w:r w:rsidR="00CB0AD0" w:rsidRPr="00977C7C">
          <w:rPr>
            <w:rStyle w:val="Hyperlink"/>
            <w:noProof/>
          </w:rPr>
          <w:t>6.12.</w:t>
        </w:r>
        <w:r w:rsidR="00CB0AD0">
          <w:rPr>
            <w:rFonts w:eastAsiaTheme="minorEastAsia"/>
            <w:noProof/>
            <w:color w:val="auto"/>
            <w:sz w:val="22"/>
            <w:szCs w:val="22"/>
            <w:lang w:eastAsia="en-GB"/>
          </w:rPr>
          <w:tab/>
        </w:r>
        <w:r w:rsidR="00CB0AD0" w:rsidRPr="00977C7C">
          <w:rPr>
            <w:rStyle w:val="Hyperlink"/>
            <w:noProof/>
          </w:rPr>
          <w:t>Integrated Support and Assurance Process (ISAP)</w:t>
        </w:r>
        <w:r w:rsidR="00CB0AD0">
          <w:rPr>
            <w:noProof/>
            <w:webHidden/>
          </w:rPr>
          <w:tab/>
        </w:r>
        <w:r w:rsidR="00CB0AD0">
          <w:rPr>
            <w:noProof/>
            <w:webHidden/>
          </w:rPr>
          <w:fldChar w:fldCharType="begin"/>
        </w:r>
        <w:r w:rsidR="00CB0AD0">
          <w:rPr>
            <w:noProof/>
            <w:webHidden/>
          </w:rPr>
          <w:instrText xml:space="preserve"> PAGEREF _Toc124497588 \h </w:instrText>
        </w:r>
        <w:r w:rsidR="00CB0AD0">
          <w:rPr>
            <w:noProof/>
            <w:webHidden/>
          </w:rPr>
        </w:r>
        <w:r w:rsidR="00CB0AD0">
          <w:rPr>
            <w:noProof/>
            <w:webHidden/>
          </w:rPr>
          <w:fldChar w:fldCharType="separate"/>
        </w:r>
        <w:r w:rsidR="00CB0AD0">
          <w:rPr>
            <w:noProof/>
            <w:webHidden/>
          </w:rPr>
          <w:t>18</w:t>
        </w:r>
        <w:r w:rsidR="00CB0AD0">
          <w:rPr>
            <w:noProof/>
            <w:webHidden/>
          </w:rPr>
          <w:fldChar w:fldCharType="end"/>
        </w:r>
      </w:hyperlink>
    </w:p>
    <w:p w14:paraId="31D9E5CD" w14:textId="2ADEB157" w:rsidR="00CB0AD0" w:rsidRDefault="00DA7E94">
      <w:pPr>
        <w:pStyle w:val="TOC2"/>
        <w:tabs>
          <w:tab w:val="right" w:leader="underscore" w:pos="9016"/>
        </w:tabs>
        <w:rPr>
          <w:rFonts w:eastAsiaTheme="minorEastAsia"/>
          <w:noProof/>
          <w:color w:val="auto"/>
          <w:sz w:val="22"/>
          <w:szCs w:val="22"/>
          <w:lang w:eastAsia="en-GB"/>
        </w:rPr>
      </w:pPr>
      <w:hyperlink w:anchor="_Toc124497589" w:history="1">
        <w:r w:rsidR="00CB0AD0" w:rsidRPr="00977C7C">
          <w:rPr>
            <w:rStyle w:val="Hyperlink"/>
            <w:noProof/>
          </w:rPr>
          <w:t>6.13.</w:t>
        </w:r>
        <w:r w:rsidR="00CB0AD0">
          <w:rPr>
            <w:rFonts w:eastAsiaTheme="minorEastAsia"/>
            <w:noProof/>
            <w:color w:val="auto"/>
            <w:sz w:val="22"/>
            <w:szCs w:val="22"/>
            <w:lang w:eastAsia="en-GB"/>
          </w:rPr>
          <w:tab/>
        </w:r>
        <w:r w:rsidR="00CB0AD0" w:rsidRPr="00977C7C">
          <w:rPr>
            <w:rStyle w:val="Hyperlink"/>
            <w:noProof/>
          </w:rPr>
          <w:t>Contract and Tendering Procedures</w:t>
        </w:r>
        <w:r w:rsidR="00CB0AD0">
          <w:rPr>
            <w:noProof/>
            <w:webHidden/>
          </w:rPr>
          <w:tab/>
        </w:r>
        <w:r w:rsidR="00CB0AD0">
          <w:rPr>
            <w:noProof/>
            <w:webHidden/>
          </w:rPr>
          <w:fldChar w:fldCharType="begin"/>
        </w:r>
        <w:r w:rsidR="00CB0AD0">
          <w:rPr>
            <w:noProof/>
            <w:webHidden/>
          </w:rPr>
          <w:instrText xml:space="preserve"> PAGEREF _Toc124497589 \h </w:instrText>
        </w:r>
        <w:r w:rsidR="00CB0AD0">
          <w:rPr>
            <w:noProof/>
            <w:webHidden/>
          </w:rPr>
        </w:r>
        <w:r w:rsidR="00CB0AD0">
          <w:rPr>
            <w:noProof/>
            <w:webHidden/>
          </w:rPr>
          <w:fldChar w:fldCharType="separate"/>
        </w:r>
        <w:r w:rsidR="00CB0AD0">
          <w:rPr>
            <w:noProof/>
            <w:webHidden/>
          </w:rPr>
          <w:t>18</w:t>
        </w:r>
        <w:r w:rsidR="00CB0AD0">
          <w:rPr>
            <w:noProof/>
            <w:webHidden/>
          </w:rPr>
          <w:fldChar w:fldCharType="end"/>
        </w:r>
      </w:hyperlink>
    </w:p>
    <w:p w14:paraId="0F51AC76" w14:textId="2E519463" w:rsidR="00CB0AD0" w:rsidRDefault="00DA7E94">
      <w:pPr>
        <w:pStyle w:val="TOC2"/>
        <w:tabs>
          <w:tab w:val="right" w:leader="underscore" w:pos="9016"/>
        </w:tabs>
        <w:rPr>
          <w:rFonts w:eastAsiaTheme="minorEastAsia"/>
          <w:noProof/>
          <w:color w:val="auto"/>
          <w:sz w:val="22"/>
          <w:szCs w:val="22"/>
          <w:lang w:eastAsia="en-GB"/>
        </w:rPr>
      </w:pPr>
      <w:hyperlink w:anchor="_Toc124497590" w:history="1">
        <w:r w:rsidR="00CB0AD0" w:rsidRPr="00977C7C">
          <w:rPr>
            <w:rStyle w:val="Hyperlink"/>
            <w:noProof/>
          </w:rPr>
          <w:t>6.14.</w:t>
        </w:r>
        <w:r w:rsidR="00CB0AD0">
          <w:rPr>
            <w:rFonts w:eastAsiaTheme="minorEastAsia"/>
            <w:noProof/>
            <w:color w:val="auto"/>
            <w:sz w:val="22"/>
            <w:szCs w:val="22"/>
            <w:lang w:eastAsia="en-GB"/>
          </w:rPr>
          <w:tab/>
        </w:r>
        <w:r w:rsidR="00CB0AD0" w:rsidRPr="00977C7C">
          <w:rPr>
            <w:rStyle w:val="Hyperlink"/>
            <w:noProof/>
          </w:rPr>
          <w:t>Specifications</w:t>
        </w:r>
        <w:r w:rsidR="00CB0AD0">
          <w:rPr>
            <w:noProof/>
            <w:webHidden/>
          </w:rPr>
          <w:tab/>
        </w:r>
        <w:r w:rsidR="00CB0AD0">
          <w:rPr>
            <w:noProof/>
            <w:webHidden/>
          </w:rPr>
          <w:fldChar w:fldCharType="begin"/>
        </w:r>
        <w:r w:rsidR="00CB0AD0">
          <w:rPr>
            <w:noProof/>
            <w:webHidden/>
          </w:rPr>
          <w:instrText xml:space="preserve"> PAGEREF _Toc124497590 \h </w:instrText>
        </w:r>
        <w:r w:rsidR="00CB0AD0">
          <w:rPr>
            <w:noProof/>
            <w:webHidden/>
          </w:rPr>
        </w:r>
        <w:r w:rsidR="00CB0AD0">
          <w:rPr>
            <w:noProof/>
            <w:webHidden/>
          </w:rPr>
          <w:fldChar w:fldCharType="separate"/>
        </w:r>
        <w:r w:rsidR="00CB0AD0">
          <w:rPr>
            <w:noProof/>
            <w:webHidden/>
          </w:rPr>
          <w:t>19</w:t>
        </w:r>
        <w:r w:rsidR="00CB0AD0">
          <w:rPr>
            <w:noProof/>
            <w:webHidden/>
          </w:rPr>
          <w:fldChar w:fldCharType="end"/>
        </w:r>
      </w:hyperlink>
    </w:p>
    <w:p w14:paraId="4B51ED2E" w14:textId="16D355EF" w:rsidR="00CB0AD0" w:rsidRDefault="00DA7E94">
      <w:pPr>
        <w:pStyle w:val="TOC2"/>
        <w:tabs>
          <w:tab w:val="right" w:leader="underscore" w:pos="9016"/>
        </w:tabs>
        <w:rPr>
          <w:rFonts w:eastAsiaTheme="minorEastAsia"/>
          <w:noProof/>
          <w:color w:val="auto"/>
          <w:sz w:val="22"/>
          <w:szCs w:val="22"/>
          <w:lang w:eastAsia="en-GB"/>
        </w:rPr>
      </w:pPr>
      <w:hyperlink w:anchor="_Toc124497591" w:history="1">
        <w:r w:rsidR="00CB0AD0" w:rsidRPr="00977C7C">
          <w:rPr>
            <w:rStyle w:val="Hyperlink"/>
            <w:noProof/>
          </w:rPr>
          <w:t>6.15.</w:t>
        </w:r>
        <w:r w:rsidR="00CB0AD0">
          <w:rPr>
            <w:rFonts w:eastAsiaTheme="minorEastAsia"/>
            <w:noProof/>
            <w:color w:val="auto"/>
            <w:sz w:val="22"/>
            <w:szCs w:val="22"/>
            <w:lang w:eastAsia="en-GB"/>
          </w:rPr>
          <w:tab/>
        </w:r>
        <w:r w:rsidR="00CB0AD0" w:rsidRPr="00977C7C">
          <w:rPr>
            <w:rStyle w:val="Hyperlink"/>
            <w:noProof/>
          </w:rPr>
          <w:t>Confidentiality and Conflicts of Interest</w:t>
        </w:r>
        <w:r w:rsidR="00CB0AD0">
          <w:rPr>
            <w:noProof/>
            <w:webHidden/>
          </w:rPr>
          <w:tab/>
        </w:r>
        <w:r w:rsidR="00CB0AD0">
          <w:rPr>
            <w:noProof/>
            <w:webHidden/>
          </w:rPr>
          <w:fldChar w:fldCharType="begin"/>
        </w:r>
        <w:r w:rsidR="00CB0AD0">
          <w:rPr>
            <w:noProof/>
            <w:webHidden/>
          </w:rPr>
          <w:instrText xml:space="preserve"> PAGEREF _Toc124497591 \h </w:instrText>
        </w:r>
        <w:r w:rsidR="00CB0AD0">
          <w:rPr>
            <w:noProof/>
            <w:webHidden/>
          </w:rPr>
        </w:r>
        <w:r w:rsidR="00CB0AD0">
          <w:rPr>
            <w:noProof/>
            <w:webHidden/>
          </w:rPr>
          <w:fldChar w:fldCharType="separate"/>
        </w:r>
        <w:r w:rsidR="00CB0AD0">
          <w:rPr>
            <w:noProof/>
            <w:webHidden/>
          </w:rPr>
          <w:t>19</w:t>
        </w:r>
        <w:r w:rsidR="00CB0AD0">
          <w:rPr>
            <w:noProof/>
            <w:webHidden/>
          </w:rPr>
          <w:fldChar w:fldCharType="end"/>
        </w:r>
      </w:hyperlink>
    </w:p>
    <w:p w14:paraId="2104CE09" w14:textId="7EB900AA" w:rsidR="00CB0AD0" w:rsidRDefault="00DA7E94">
      <w:pPr>
        <w:pStyle w:val="TOC2"/>
        <w:tabs>
          <w:tab w:val="right" w:leader="underscore" w:pos="9016"/>
        </w:tabs>
        <w:rPr>
          <w:rFonts w:eastAsiaTheme="minorEastAsia"/>
          <w:noProof/>
          <w:color w:val="auto"/>
          <w:sz w:val="22"/>
          <w:szCs w:val="22"/>
          <w:lang w:eastAsia="en-GB"/>
        </w:rPr>
      </w:pPr>
      <w:hyperlink w:anchor="_Toc124497592" w:history="1">
        <w:r w:rsidR="00CB0AD0" w:rsidRPr="00977C7C">
          <w:rPr>
            <w:rStyle w:val="Hyperlink"/>
            <w:noProof/>
          </w:rPr>
          <w:t>6.16.</w:t>
        </w:r>
        <w:r w:rsidR="00CB0AD0">
          <w:rPr>
            <w:rFonts w:eastAsiaTheme="minorEastAsia"/>
            <w:noProof/>
            <w:color w:val="auto"/>
            <w:sz w:val="22"/>
            <w:szCs w:val="22"/>
            <w:lang w:eastAsia="en-GB"/>
          </w:rPr>
          <w:tab/>
        </w:r>
        <w:r w:rsidR="00CB0AD0" w:rsidRPr="00977C7C">
          <w:rPr>
            <w:rStyle w:val="Hyperlink"/>
            <w:noProof/>
          </w:rPr>
          <w:t>Complaints and Dispute Resolution</w:t>
        </w:r>
        <w:r w:rsidR="00CB0AD0">
          <w:rPr>
            <w:noProof/>
            <w:webHidden/>
          </w:rPr>
          <w:tab/>
        </w:r>
        <w:r w:rsidR="00CB0AD0">
          <w:rPr>
            <w:noProof/>
            <w:webHidden/>
          </w:rPr>
          <w:fldChar w:fldCharType="begin"/>
        </w:r>
        <w:r w:rsidR="00CB0AD0">
          <w:rPr>
            <w:noProof/>
            <w:webHidden/>
          </w:rPr>
          <w:instrText xml:space="preserve"> PAGEREF _Toc124497592 \h </w:instrText>
        </w:r>
        <w:r w:rsidR="00CB0AD0">
          <w:rPr>
            <w:noProof/>
            <w:webHidden/>
          </w:rPr>
        </w:r>
        <w:r w:rsidR="00CB0AD0">
          <w:rPr>
            <w:noProof/>
            <w:webHidden/>
          </w:rPr>
          <w:fldChar w:fldCharType="separate"/>
        </w:r>
        <w:r w:rsidR="00CB0AD0">
          <w:rPr>
            <w:noProof/>
            <w:webHidden/>
          </w:rPr>
          <w:t>20</w:t>
        </w:r>
        <w:r w:rsidR="00CB0AD0">
          <w:rPr>
            <w:noProof/>
            <w:webHidden/>
          </w:rPr>
          <w:fldChar w:fldCharType="end"/>
        </w:r>
      </w:hyperlink>
    </w:p>
    <w:p w14:paraId="5060FE51" w14:textId="583197D9" w:rsidR="00CB0AD0" w:rsidRDefault="00DA7E94">
      <w:pPr>
        <w:pStyle w:val="TOC2"/>
        <w:tabs>
          <w:tab w:val="right" w:leader="underscore" w:pos="9016"/>
        </w:tabs>
        <w:rPr>
          <w:rFonts w:eastAsiaTheme="minorEastAsia"/>
          <w:noProof/>
          <w:color w:val="auto"/>
          <w:sz w:val="22"/>
          <w:szCs w:val="22"/>
          <w:lang w:eastAsia="en-GB"/>
        </w:rPr>
      </w:pPr>
      <w:hyperlink w:anchor="_Toc124497593" w:history="1">
        <w:r w:rsidR="00CB0AD0" w:rsidRPr="00977C7C">
          <w:rPr>
            <w:rStyle w:val="Hyperlink"/>
            <w:noProof/>
          </w:rPr>
          <w:t>6.17.</w:t>
        </w:r>
        <w:r w:rsidR="00CB0AD0">
          <w:rPr>
            <w:rFonts w:eastAsiaTheme="minorEastAsia"/>
            <w:noProof/>
            <w:color w:val="auto"/>
            <w:sz w:val="22"/>
            <w:szCs w:val="22"/>
            <w:lang w:eastAsia="en-GB"/>
          </w:rPr>
          <w:tab/>
        </w:r>
        <w:r w:rsidR="00CB0AD0" w:rsidRPr="00977C7C">
          <w:rPr>
            <w:rStyle w:val="Hyperlink"/>
            <w:noProof/>
          </w:rPr>
          <w:t>Premises and Equipment</w:t>
        </w:r>
        <w:r w:rsidR="00CB0AD0">
          <w:rPr>
            <w:noProof/>
            <w:webHidden/>
          </w:rPr>
          <w:tab/>
        </w:r>
        <w:r w:rsidR="00CB0AD0">
          <w:rPr>
            <w:noProof/>
            <w:webHidden/>
          </w:rPr>
          <w:fldChar w:fldCharType="begin"/>
        </w:r>
        <w:r w:rsidR="00CB0AD0">
          <w:rPr>
            <w:noProof/>
            <w:webHidden/>
          </w:rPr>
          <w:instrText xml:space="preserve"> PAGEREF _Toc124497593 \h </w:instrText>
        </w:r>
        <w:r w:rsidR="00CB0AD0">
          <w:rPr>
            <w:noProof/>
            <w:webHidden/>
          </w:rPr>
        </w:r>
        <w:r w:rsidR="00CB0AD0">
          <w:rPr>
            <w:noProof/>
            <w:webHidden/>
          </w:rPr>
          <w:fldChar w:fldCharType="separate"/>
        </w:r>
        <w:r w:rsidR="00CB0AD0">
          <w:rPr>
            <w:noProof/>
            <w:webHidden/>
          </w:rPr>
          <w:t>20</w:t>
        </w:r>
        <w:r w:rsidR="00CB0AD0">
          <w:rPr>
            <w:noProof/>
            <w:webHidden/>
          </w:rPr>
          <w:fldChar w:fldCharType="end"/>
        </w:r>
      </w:hyperlink>
    </w:p>
    <w:p w14:paraId="34095B78" w14:textId="36E29640" w:rsidR="00CB0AD0" w:rsidRDefault="00DA7E94">
      <w:pPr>
        <w:pStyle w:val="TOC2"/>
        <w:tabs>
          <w:tab w:val="right" w:leader="underscore" w:pos="9016"/>
        </w:tabs>
        <w:rPr>
          <w:rFonts w:eastAsiaTheme="minorEastAsia"/>
          <w:noProof/>
          <w:color w:val="auto"/>
          <w:sz w:val="22"/>
          <w:szCs w:val="22"/>
          <w:lang w:eastAsia="en-GB"/>
        </w:rPr>
      </w:pPr>
      <w:hyperlink w:anchor="_Toc124497594" w:history="1">
        <w:r w:rsidR="00CB0AD0" w:rsidRPr="00977C7C">
          <w:rPr>
            <w:rStyle w:val="Hyperlink"/>
            <w:noProof/>
          </w:rPr>
          <w:t>6.18.</w:t>
        </w:r>
        <w:r w:rsidR="00CB0AD0">
          <w:rPr>
            <w:rFonts w:eastAsiaTheme="minorEastAsia"/>
            <w:noProof/>
            <w:color w:val="auto"/>
            <w:sz w:val="22"/>
            <w:szCs w:val="22"/>
            <w:lang w:eastAsia="en-GB"/>
          </w:rPr>
          <w:tab/>
        </w:r>
        <w:r w:rsidR="00CB0AD0" w:rsidRPr="00977C7C">
          <w:rPr>
            <w:rStyle w:val="Hyperlink"/>
            <w:noProof/>
          </w:rPr>
          <w:t>Decommissioning Services</w:t>
        </w:r>
        <w:r w:rsidR="00CB0AD0">
          <w:rPr>
            <w:noProof/>
            <w:webHidden/>
          </w:rPr>
          <w:tab/>
        </w:r>
        <w:r w:rsidR="00CB0AD0">
          <w:rPr>
            <w:noProof/>
            <w:webHidden/>
          </w:rPr>
          <w:fldChar w:fldCharType="begin"/>
        </w:r>
        <w:r w:rsidR="00CB0AD0">
          <w:rPr>
            <w:noProof/>
            <w:webHidden/>
          </w:rPr>
          <w:instrText xml:space="preserve"> PAGEREF _Toc124497594 \h </w:instrText>
        </w:r>
        <w:r w:rsidR="00CB0AD0">
          <w:rPr>
            <w:noProof/>
            <w:webHidden/>
          </w:rPr>
        </w:r>
        <w:r w:rsidR="00CB0AD0">
          <w:rPr>
            <w:noProof/>
            <w:webHidden/>
          </w:rPr>
          <w:fldChar w:fldCharType="separate"/>
        </w:r>
        <w:r w:rsidR="00CB0AD0">
          <w:rPr>
            <w:noProof/>
            <w:webHidden/>
          </w:rPr>
          <w:t>20</w:t>
        </w:r>
        <w:r w:rsidR="00CB0AD0">
          <w:rPr>
            <w:noProof/>
            <w:webHidden/>
          </w:rPr>
          <w:fldChar w:fldCharType="end"/>
        </w:r>
      </w:hyperlink>
    </w:p>
    <w:p w14:paraId="6606CF9A" w14:textId="29512B6A" w:rsidR="00CB0AD0" w:rsidRDefault="00DA7E94">
      <w:pPr>
        <w:pStyle w:val="TOC2"/>
        <w:tabs>
          <w:tab w:val="right" w:leader="underscore" w:pos="9016"/>
        </w:tabs>
        <w:rPr>
          <w:rFonts w:eastAsiaTheme="minorEastAsia"/>
          <w:noProof/>
          <w:color w:val="auto"/>
          <w:sz w:val="22"/>
          <w:szCs w:val="22"/>
          <w:lang w:eastAsia="en-GB"/>
        </w:rPr>
      </w:pPr>
      <w:hyperlink w:anchor="_Toc124497595" w:history="1">
        <w:r w:rsidR="00CB0AD0" w:rsidRPr="00977C7C">
          <w:rPr>
            <w:rStyle w:val="Hyperlink"/>
            <w:noProof/>
          </w:rPr>
          <w:t>6.19.</w:t>
        </w:r>
        <w:r w:rsidR="00CB0AD0">
          <w:rPr>
            <w:rFonts w:eastAsiaTheme="minorEastAsia"/>
            <w:noProof/>
            <w:color w:val="auto"/>
            <w:sz w:val="22"/>
            <w:szCs w:val="22"/>
            <w:lang w:eastAsia="en-GB"/>
          </w:rPr>
          <w:tab/>
        </w:r>
        <w:r w:rsidR="00CB0AD0" w:rsidRPr="00977C7C">
          <w:rPr>
            <w:rStyle w:val="Hyperlink"/>
            <w:noProof/>
          </w:rPr>
          <w:t>Wider Stakeholder Consultation and Engagement</w:t>
        </w:r>
        <w:r w:rsidR="00CB0AD0">
          <w:rPr>
            <w:noProof/>
            <w:webHidden/>
          </w:rPr>
          <w:tab/>
        </w:r>
        <w:r w:rsidR="00CB0AD0">
          <w:rPr>
            <w:noProof/>
            <w:webHidden/>
          </w:rPr>
          <w:fldChar w:fldCharType="begin"/>
        </w:r>
        <w:r w:rsidR="00CB0AD0">
          <w:rPr>
            <w:noProof/>
            <w:webHidden/>
          </w:rPr>
          <w:instrText xml:space="preserve"> PAGEREF _Toc124497595 \h </w:instrText>
        </w:r>
        <w:r w:rsidR="00CB0AD0">
          <w:rPr>
            <w:noProof/>
            <w:webHidden/>
          </w:rPr>
        </w:r>
        <w:r w:rsidR="00CB0AD0">
          <w:rPr>
            <w:noProof/>
            <w:webHidden/>
          </w:rPr>
          <w:fldChar w:fldCharType="separate"/>
        </w:r>
        <w:r w:rsidR="00CB0AD0">
          <w:rPr>
            <w:noProof/>
            <w:webHidden/>
          </w:rPr>
          <w:t>20</w:t>
        </w:r>
        <w:r w:rsidR="00CB0AD0">
          <w:rPr>
            <w:noProof/>
            <w:webHidden/>
          </w:rPr>
          <w:fldChar w:fldCharType="end"/>
        </w:r>
      </w:hyperlink>
    </w:p>
    <w:p w14:paraId="2E572BF3" w14:textId="6875099C" w:rsidR="00CB0AD0" w:rsidRDefault="00DA7E94">
      <w:pPr>
        <w:pStyle w:val="TOC1"/>
        <w:rPr>
          <w:rFonts w:eastAsiaTheme="minorEastAsia"/>
          <w:b w:val="0"/>
          <w:noProof/>
          <w:color w:val="auto"/>
          <w:sz w:val="22"/>
          <w:szCs w:val="22"/>
          <w:lang w:eastAsia="en-GB"/>
        </w:rPr>
      </w:pPr>
      <w:hyperlink w:anchor="_Toc124497596" w:history="1">
        <w:r w:rsidR="00CB0AD0" w:rsidRPr="00977C7C">
          <w:rPr>
            <w:rStyle w:val="Hyperlink"/>
            <w:noProof/>
          </w:rPr>
          <w:t>Procurement Arrangements</w:t>
        </w:r>
        <w:r w:rsidR="00CB0AD0">
          <w:rPr>
            <w:noProof/>
            <w:webHidden/>
          </w:rPr>
          <w:tab/>
        </w:r>
        <w:r w:rsidR="00CB0AD0">
          <w:rPr>
            <w:noProof/>
            <w:webHidden/>
          </w:rPr>
          <w:fldChar w:fldCharType="begin"/>
        </w:r>
        <w:r w:rsidR="00CB0AD0">
          <w:rPr>
            <w:noProof/>
            <w:webHidden/>
          </w:rPr>
          <w:instrText xml:space="preserve"> PAGEREF _Toc124497596 \h </w:instrText>
        </w:r>
        <w:r w:rsidR="00CB0AD0">
          <w:rPr>
            <w:noProof/>
            <w:webHidden/>
          </w:rPr>
        </w:r>
        <w:r w:rsidR="00CB0AD0">
          <w:rPr>
            <w:noProof/>
            <w:webHidden/>
          </w:rPr>
          <w:fldChar w:fldCharType="separate"/>
        </w:r>
        <w:r w:rsidR="00CB0AD0">
          <w:rPr>
            <w:noProof/>
            <w:webHidden/>
          </w:rPr>
          <w:t>21</w:t>
        </w:r>
        <w:r w:rsidR="00CB0AD0">
          <w:rPr>
            <w:noProof/>
            <w:webHidden/>
          </w:rPr>
          <w:fldChar w:fldCharType="end"/>
        </w:r>
      </w:hyperlink>
    </w:p>
    <w:p w14:paraId="613DDD6C" w14:textId="343DD613" w:rsidR="00CB0AD0" w:rsidRDefault="00DA7E94">
      <w:pPr>
        <w:pStyle w:val="TOC2"/>
        <w:tabs>
          <w:tab w:val="right" w:leader="underscore" w:pos="9016"/>
        </w:tabs>
        <w:rPr>
          <w:rFonts w:eastAsiaTheme="minorEastAsia"/>
          <w:noProof/>
          <w:color w:val="auto"/>
          <w:sz w:val="22"/>
          <w:szCs w:val="22"/>
          <w:lang w:eastAsia="en-GB"/>
        </w:rPr>
      </w:pPr>
      <w:hyperlink w:anchor="_Toc124497597" w:history="1">
        <w:r w:rsidR="00CB0AD0" w:rsidRPr="00977C7C">
          <w:rPr>
            <w:rStyle w:val="Hyperlink"/>
            <w:bCs/>
            <w:noProof/>
          </w:rPr>
          <w:t>6.20.</w:t>
        </w:r>
        <w:r w:rsidR="00CB0AD0">
          <w:rPr>
            <w:rFonts w:eastAsiaTheme="minorEastAsia"/>
            <w:noProof/>
            <w:color w:val="auto"/>
            <w:sz w:val="22"/>
            <w:szCs w:val="22"/>
            <w:lang w:eastAsia="en-GB"/>
          </w:rPr>
          <w:tab/>
        </w:r>
        <w:r w:rsidR="00CB0AD0" w:rsidRPr="00977C7C">
          <w:rPr>
            <w:rStyle w:val="Hyperlink"/>
            <w:noProof/>
          </w:rPr>
          <w:t>Background</w:t>
        </w:r>
        <w:r w:rsidR="00CB0AD0">
          <w:rPr>
            <w:noProof/>
            <w:webHidden/>
          </w:rPr>
          <w:tab/>
        </w:r>
        <w:r w:rsidR="00CB0AD0">
          <w:rPr>
            <w:noProof/>
            <w:webHidden/>
          </w:rPr>
          <w:fldChar w:fldCharType="begin"/>
        </w:r>
        <w:r w:rsidR="00CB0AD0">
          <w:rPr>
            <w:noProof/>
            <w:webHidden/>
          </w:rPr>
          <w:instrText xml:space="preserve"> PAGEREF _Toc124497597 \h </w:instrText>
        </w:r>
        <w:r w:rsidR="00CB0AD0">
          <w:rPr>
            <w:noProof/>
            <w:webHidden/>
          </w:rPr>
        </w:r>
        <w:r w:rsidR="00CB0AD0">
          <w:rPr>
            <w:noProof/>
            <w:webHidden/>
          </w:rPr>
          <w:fldChar w:fldCharType="separate"/>
        </w:r>
        <w:r w:rsidR="00CB0AD0">
          <w:rPr>
            <w:noProof/>
            <w:webHidden/>
          </w:rPr>
          <w:t>21</w:t>
        </w:r>
        <w:r w:rsidR="00CB0AD0">
          <w:rPr>
            <w:noProof/>
            <w:webHidden/>
          </w:rPr>
          <w:fldChar w:fldCharType="end"/>
        </w:r>
      </w:hyperlink>
    </w:p>
    <w:p w14:paraId="1D645167" w14:textId="19C0E43F" w:rsidR="00CB0AD0" w:rsidRDefault="00DA7E94">
      <w:pPr>
        <w:pStyle w:val="TOC2"/>
        <w:tabs>
          <w:tab w:val="right" w:leader="underscore" w:pos="9016"/>
        </w:tabs>
        <w:rPr>
          <w:rFonts w:eastAsiaTheme="minorEastAsia"/>
          <w:noProof/>
          <w:color w:val="auto"/>
          <w:sz w:val="22"/>
          <w:szCs w:val="22"/>
          <w:lang w:eastAsia="en-GB"/>
        </w:rPr>
      </w:pPr>
      <w:hyperlink w:anchor="_Toc124497598" w:history="1">
        <w:r w:rsidR="00CB0AD0" w:rsidRPr="00977C7C">
          <w:rPr>
            <w:rStyle w:val="Hyperlink"/>
            <w:noProof/>
          </w:rPr>
          <w:t>6.21.</w:t>
        </w:r>
        <w:r w:rsidR="00CB0AD0">
          <w:rPr>
            <w:rFonts w:eastAsiaTheme="minorEastAsia"/>
            <w:noProof/>
            <w:color w:val="auto"/>
            <w:sz w:val="22"/>
            <w:szCs w:val="22"/>
            <w:lang w:eastAsia="en-GB"/>
          </w:rPr>
          <w:tab/>
        </w:r>
        <w:r w:rsidR="00CB0AD0" w:rsidRPr="00977C7C">
          <w:rPr>
            <w:rStyle w:val="Hyperlink"/>
            <w:noProof/>
          </w:rPr>
          <w:t>Procurement Law in the Public Sector</w:t>
        </w:r>
        <w:r w:rsidR="00CB0AD0">
          <w:rPr>
            <w:noProof/>
            <w:webHidden/>
          </w:rPr>
          <w:tab/>
        </w:r>
        <w:r w:rsidR="00CB0AD0">
          <w:rPr>
            <w:noProof/>
            <w:webHidden/>
          </w:rPr>
          <w:fldChar w:fldCharType="begin"/>
        </w:r>
        <w:r w:rsidR="00CB0AD0">
          <w:rPr>
            <w:noProof/>
            <w:webHidden/>
          </w:rPr>
          <w:instrText xml:space="preserve"> PAGEREF _Toc124497598 \h </w:instrText>
        </w:r>
        <w:r w:rsidR="00CB0AD0">
          <w:rPr>
            <w:noProof/>
            <w:webHidden/>
          </w:rPr>
        </w:r>
        <w:r w:rsidR="00CB0AD0">
          <w:rPr>
            <w:noProof/>
            <w:webHidden/>
          </w:rPr>
          <w:fldChar w:fldCharType="separate"/>
        </w:r>
        <w:r w:rsidR="00CB0AD0">
          <w:rPr>
            <w:noProof/>
            <w:webHidden/>
          </w:rPr>
          <w:t>21</w:t>
        </w:r>
        <w:r w:rsidR="00CB0AD0">
          <w:rPr>
            <w:noProof/>
            <w:webHidden/>
          </w:rPr>
          <w:fldChar w:fldCharType="end"/>
        </w:r>
      </w:hyperlink>
    </w:p>
    <w:p w14:paraId="2C9395BD" w14:textId="1F5FC728" w:rsidR="00CB0AD0" w:rsidRDefault="00DA7E94">
      <w:pPr>
        <w:pStyle w:val="TOC2"/>
        <w:tabs>
          <w:tab w:val="right" w:leader="underscore" w:pos="9016"/>
        </w:tabs>
        <w:rPr>
          <w:rFonts w:eastAsiaTheme="minorEastAsia"/>
          <w:noProof/>
          <w:color w:val="auto"/>
          <w:sz w:val="22"/>
          <w:szCs w:val="22"/>
          <w:lang w:eastAsia="en-GB"/>
        </w:rPr>
      </w:pPr>
      <w:hyperlink w:anchor="_Toc124497599" w:history="1">
        <w:r w:rsidR="00CB0AD0" w:rsidRPr="00977C7C">
          <w:rPr>
            <w:rStyle w:val="Hyperlink"/>
            <w:rFonts w:eastAsia="Calibri"/>
            <w:noProof/>
          </w:rPr>
          <w:t>6.22.</w:t>
        </w:r>
        <w:r w:rsidR="00CB0AD0">
          <w:rPr>
            <w:rFonts w:eastAsiaTheme="minorEastAsia"/>
            <w:noProof/>
            <w:color w:val="auto"/>
            <w:sz w:val="22"/>
            <w:szCs w:val="22"/>
            <w:lang w:eastAsia="en-GB"/>
          </w:rPr>
          <w:tab/>
        </w:r>
        <w:r w:rsidR="00CB0AD0" w:rsidRPr="00977C7C">
          <w:rPr>
            <w:rStyle w:val="Hyperlink"/>
            <w:rFonts w:eastAsia="Calibri"/>
            <w:noProof/>
          </w:rPr>
          <w:t>Thresholds</w:t>
        </w:r>
        <w:r w:rsidR="00CB0AD0">
          <w:rPr>
            <w:noProof/>
            <w:webHidden/>
          </w:rPr>
          <w:tab/>
        </w:r>
        <w:r w:rsidR="00CB0AD0">
          <w:rPr>
            <w:noProof/>
            <w:webHidden/>
          </w:rPr>
          <w:fldChar w:fldCharType="begin"/>
        </w:r>
        <w:r w:rsidR="00CB0AD0">
          <w:rPr>
            <w:noProof/>
            <w:webHidden/>
          </w:rPr>
          <w:instrText xml:space="preserve"> PAGEREF _Toc124497599 \h </w:instrText>
        </w:r>
        <w:r w:rsidR="00CB0AD0">
          <w:rPr>
            <w:noProof/>
            <w:webHidden/>
          </w:rPr>
        </w:r>
        <w:r w:rsidR="00CB0AD0">
          <w:rPr>
            <w:noProof/>
            <w:webHidden/>
          </w:rPr>
          <w:fldChar w:fldCharType="separate"/>
        </w:r>
        <w:r w:rsidR="00CB0AD0">
          <w:rPr>
            <w:noProof/>
            <w:webHidden/>
          </w:rPr>
          <w:t>22</w:t>
        </w:r>
        <w:r w:rsidR="00CB0AD0">
          <w:rPr>
            <w:noProof/>
            <w:webHidden/>
          </w:rPr>
          <w:fldChar w:fldCharType="end"/>
        </w:r>
      </w:hyperlink>
    </w:p>
    <w:p w14:paraId="34E44BC7" w14:textId="7ECDE526" w:rsidR="00CB0AD0" w:rsidRDefault="00DA7E94">
      <w:pPr>
        <w:pStyle w:val="TOC2"/>
        <w:tabs>
          <w:tab w:val="right" w:leader="underscore" w:pos="9016"/>
        </w:tabs>
        <w:rPr>
          <w:rFonts w:eastAsiaTheme="minorEastAsia"/>
          <w:noProof/>
          <w:color w:val="auto"/>
          <w:sz w:val="22"/>
          <w:szCs w:val="22"/>
          <w:lang w:eastAsia="en-GB"/>
        </w:rPr>
      </w:pPr>
      <w:hyperlink w:anchor="_Toc124497600" w:history="1">
        <w:r w:rsidR="00CB0AD0" w:rsidRPr="00977C7C">
          <w:rPr>
            <w:rStyle w:val="Hyperlink"/>
            <w:rFonts w:eastAsia="Calibri"/>
            <w:noProof/>
          </w:rPr>
          <w:t>6.23.</w:t>
        </w:r>
        <w:r w:rsidR="00CB0AD0">
          <w:rPr>
            <w:rFonts w:eastAsiaTheme="minorEastAsia"/>
            <w:noProof/>
            <w:color w:val="auto"/>
            <w:sz w:val="22"/>
            <w:szCs w:val="22"/>
            <w:lang w:eastAsia="en-GB"/>
          </w:rPr>
          <w:tab/>
        </w:r>
        <w:r w:rsidR="00CB0AD0" w:rsidRPr="00977C7C">
          <w:rPr>
            <w:rStyle w:val="Hyperlink"/>
            <w:rFonts w:eastAsia="Calibri"/>
            <w:noProof/>
          </w:rPr>
          <w:t>“Light Touch” Regime and “non-Light Touch” Regime Services</w:t>
        </w:r>
        <w:r w:rsidR="00CB0AD0">
          <w:rPr>
            <w:noProof/>
            <w:webHidden/>
          </w:rPr>
          <w:tab/>
        </w:r>
        <w:r w:rsidR="00CB0AD0">
          <w:rPr>
            <w:noProof/>
            <w:webHidden/>
          </w:rPr>
          <w:fldChar w:fldCharType="begin"/>
        </w:r>
        <w:r w:rsidR="00CB0AD0">
          <w:rPr>
            <w:noProof/>
            <w:webHidden/>
          </w:rPr>
          <w:instrText xml:space="preserve"> PAGEREF _Toc124497600 \h </w:instrText>
        </w:r>
        <w:r w:rsidR="00CB0AD0">
          <w:rPr>
            <w:noProof/>
            <w:webHidden/>
          </w:rPr>
        </w:r>
        <w:r w:rsidR="00CB0AD0">
          <w:rPr>
            <w:noProof/>
            <w:webHidden/>
          </w:rPr>
          <w:fldChar w:fldCharType="separate"/>
        </w:r>
        <w:r w:rsidR="00CB0AD0">
          <w:rPr>
            <w:noProof/>
            <w:webHidden/>
          </w:rPr>
          <w:t>22</w:t>
        </w:r>
        <w:r w:rsidR="00CB0AD0">
          <w:rPr>
            <w:noProof/>
            <w:webHidden/>
          </w:rPr>
          <w:fldChar w:fldCharType="end"/>
        </w:r>
      </w:hyperlink>
    </w:p>
    <w:p w14:paraId="353BDC26" w14:textId="600C27CC" w:rsidR="00CB0AD0" w:rsidRDefault="00DA7E94">
      <w:pPr>
        <w:pStyle w:val="TOC2"/>
        <w:tabs>
          <w:tab w:val="right" w:leader="underscore" w:pos="9016"/>
        </w:tabs>
        <w:rPr>
          <w:rFonts w:eastAsiaTheme="minorEastAsia"/>
          <w:noProof/>
          <w:color w:val="auto"/>
          <w:sz w:val="22"/>
          <w:szCs w:val="22"/>
          <w:lang w:eastAsia="en-GB"/>
        </w:rPr>
      </w:pPr>
      <w:hyperlink w:anchor="_Toc124497601" w:history="1">
        <w:r w:rsidR="00CB0AD0" w:rsidRPr="00977C7C">
          <w:rPr>
            <w:rStyle w:val="Hyperlink"/>
            <w:rFonts w:eastAsia="Calibri"/>
            <w:noProof/>
          </w:rPr>
          <w:t>6.24.</w:t>
        </w:r>
        <w:r w:rsidR="00CB0AD0">
          <w:rPr>
            <w:rFonts w:eastAsiaTheme="minorEastAsia"/>
            <w:noProof/>
            <w:color w:val="auto"/>
            <w:sz w:val="22"/>
            <w:szCs w:val="22"/>
            <w:lang w:eastAsia="en-GB"/>
          </w:rPr>
          <w:tab/>
        </w:r>
        <w:r w:rsidR="00CB0AD0" w:rsidRPr="00977C7C">
          <w:rPr>
            <w:rStyle w:val="Hyperlink"/>
            <w:rFonts w:eastAsia="Calibri"/>
            <w:noProof/>
          </w:rPr>
          <w:t>Joint Procurements</w:t>
        </w:r>
        <w:r w:rsidR="00CB0AD0">
          <w:rPr>
            <w:noProof/>
            <w:webHidden/>
          </w:rPr>
          <w:tab/>
        </w:r>
        <w:r w:rsidR="00CB0AD0">
          <w:rPr>
            <w:noProof/>
            <w:webHidden/>
          </w:rPr>
          <w:fldChar w:fldCharType="begin"/>
        </w:r>
        <w:r w:rsidR="00CB0AD0">
          <w:rPr>
            <w:noProof/>
            <w:webHidden/>
          </w:rPr>
          <w:instrText xml:space="preserve"> PAGEREF _Toc124497601 \h </w:instrText>
        </w:r>
        <w:r w:rsidR="00CB0AD0">
          <w:rPr>
            <w:noProof/>
            <w:webHidden/>
          </w:rPr>
        </w:r>
        <w:r w:rsidR="00CB0AD0">
          <w:rPr>
            <w:noProof/>
            <w:webHidden/>
          </w:rPr>
          <w:fldChar w:fldCharType="separate"/>
        </w:r>
        <w:r w:rsidR="00CB0AD0">
          <w:rPr>
            <w:noProof/>
            <w:webHidden/>
          </w:rPr>
          <w:t>23</w:t>
        </w:r>
        <w:r w:rsidR="00CB0AD0">
          <w:rPr>
            <w:noProof/>
            <w:webHidden/>
          </w:rPr>
          <w:fldChar w:fldCharType="end"/>
        </w:r>
      </w:hyperlink>
    </w:p>
    <w:p w14:paraId="547962E3" w14:textId="265B2976" w:rsidR="00CB0AD0" w:rsidRDefault="00DA7E94">
      <w:pPr>
        <w:pStyle w:val="TOC2"/>
        <w:tabs>
          <w:tab w:val="right" w:leader="underscore" w:pos="9016"/>
        </w:tabs>
        <w:rPr>
          <w:rFonts w:eastAsiaTheme="minorEastAsia"/>
          <w:noProof/>
          <w:color w:val="auto"/>
          <w:sz w:val="22"/>
          <w:szCs w:val="22"/>
          <w:lang w:eastAsia="en-GB"/>
        </w:rPr>
      </w:pPr>
      <w:hyperlink w:anchor="_Toc124497602" w:history="1">
        <w:r w:rsidR="00CB0AD0" w:rsidRPr="00977C7C">
          <w:rPr>
            <w:rStyle w:val="Hyperlink"/>
            <w:rFonts w:eastAsia="Calibri"/>
            <w:noProof/>
          </w:rPr>
          <w:t>6.25.</w:t>
        </w:r>
        <w:r w:rsidR="00CB0AD0">
          <w:rPr>
            <w:rFonts w:eastAsiaTheme="minorEastAsia"/>
            <w:noProof/>
            <w:color w:val="auto"/>
            <w:sz w:val="22"/>
            <w:szCs w:val="22"/>
            <w:lang w:eastAsia="en-GB"/>
          </w:rPr>
          <w:tab/>
        </w:r>
        <w:r w:rsidR="00CB0AD0" w:rsidRPr="00977C7C">
          <w:rPr>
            <w:rStyle w:val="Hyperlink"/>
            <w:rFonts w:eastAsia="Calibri"/>
            <w:noProof/>
          </w:rPr>
          <w:t>Contract Extensions</w:t>
        </w:r>
        <w:r w:rsidR="00CB0AD0">
          <w:rPr>
            <w:noProof/>
            <w:webHidden/>
          </w:rPr>
          <w:tab/>
        </w:r>
        <w:r w:rsidR="00CB0AD0">
          <w:rPr>
            <w:noProof/>
            <w:webHidden/>
          </w:rPr>
          <w:fldChar w:fldCharType="begin"/>
        </w:r>
        <w:r w:rsidR="00CB0AD0">
          <w:rPr>
            <w:noProof/>
            <w:webHidden/>
          </w:rPr>
          <w:instrText xml:space="preserve"> PAGEREF _Toc124497602 \h </w:instrText>
        </w:r>
        <w:r w:rsidR="00CB0AD0">
          <w:rPr>
            <w:noProof/>
            <w:webHidden/>
          </w:rPr>
        </w:r>
        <w:r w:rsidR="00CB0AD0">
          <w:rPr>
            <w:noProof/>
            <w:webHidden/>
          </w:rPr>
          <w:fldChar w:fldCharType="separate"/>
        </w:r>
        <w:r w:rsidR="00CB0AD0">
          <w:rPr>
            <w:noProof/>
            <w:webHidden/>
          </w:rPr>
          <w:t>23</w:t>
        </w:r>
        <w:r w:rsidR="00CB0AD0">
          <w:rPr>
            <w:noProof/>
            <w:webHidden/>
          </w:rPr>
          <w:fldChar w:fldCharType="end"/>
        </w:r>
      </w:hyperlink>
    </w:p>
    <w:p w14:paraId="4FD38A70" w14:textId="45603720" w:rsidR="00CB0AD0" w:rsidRDefault="00DA7E94">
      <w:pPr>
        <w:pStyle w:val="TOC2"/>
        <w:tabs>
          <w:tab w:val="right" w:leader="underscore" w:pos="9016"/>
        </w:tabs>
        <w:rPr>
          <w:rFonts w:eastAsiaTheme="minorEastAsia"/>
          <w:noProof/>
          <w:color w:val="auto"/>
          <w:sz w:val="22"/>
          <w:szCs w:val="22"/>
          <w:lang w:eastAsia="en-GB"/>
        </w:rPr>
      </w:pPr>
      <w:hyperlink w:anchor="_Toc124497603" w:history="1">
        <w:r w:rsidR="00CB0AD0" w:rsidRPr="00977C7C">
          <w:rPr>
            <w:rStyle w:val="Hyperlink"/>
            <w:rFonts w:eastAsia="Calibri"/>
            <w:noProof/>
          </w:rPr>
          <w:t>6.26.</w:t>
        </w:r>
        <w:r w:rsidR="00CB0AD0">
          <w:rPr>
            <w:rFonts w:eastAsiaTheme="minorEastAsia"/>
            <w:noProof/>
            <w:color w:val="auto"/>
            <w:sz w:val="22"/>
            <w:szCs w:val="22"/>
            <w:lang w:eastAsia="en-GB"/>
          </w:rPr>
          <w:tab/>
        </w:r>
        <w:r w:rsidR="00CB0AD0" w:rsidRPr="00977C7C">
          <w:rPr>
            <w:rStyle w:val="Hyperlink"/>
            <w:rFonts w:eastAsia="Calibri"/>
            <w:noProof/>
          </w:rPr>
          <w:t>Modification (Variation) of contracts during their term</w:t>
        </w:r>
        <w:r w:rsidR="00CB0AD0">
          <w:rPr>
            <w:noProof/>
            <w:webHidden/>
          </w:rPr>
          <w:tab/>
        </w:r>
        <w:r w:rsidR="00CB0AD0">
          <w:rPr>
            <w:noProof/>
            <w:webHidden/>
          </w:rPr>
          <w:fldChar w:fldCharType="begin"/>
        </w:r>
        <w:r w:rsidR="00CB0AD0">
          <w:rPr>
            <w:noProof/>
            <w:webHidden/>
          </w:rPr>
          <w:instrText xml:space="preserve"> PAGEREF _Toc124497603 \h </w:instrText>
        </w:r>
        <w:r w:rsidR="00CB0AD0">
          <w:rPr>
            <w:noProof/>
            <w:webHidden/>
          </w:rPr>
        </w:r>
        <w:r w:rsidR="00CB0AD0">
          <w:rPr>
            <w:noProof/>
            <w:webHidden/>
          </w:rPr>
          <w:fldChar w:fldCharType="separate"/>
        </w:r>
        <w:r w:rsidR="00CB0AD0">
          <w:rPr>
            <w:noProof/>
            <w:webHidden/>
          </w:rPr>
          <w:t>23</w:t>
        </w:r>
        <w:r w:rsidR="00CB0AD0">
          <w:rPr>
            <w:noProof/>
            <w:webHidden/>
          </w:rPr>
          <w:fldChar w:fldCharType="end"/>
        </w:r>
      </w:hyperlink>
    </w:p>
    <w:p w14:paraId="0172BAB7" w14:textId="59BA819E" w:rsidR="00CB0AD0" w:rsidRDefault="00DA7E94">
      <w:pPr>
        <w:pStyle w:val="TOC2"/>
        <w:tabs>
          <w:tab w:val="right" w:leader="underscore" w:pos="9016"/>
        </w:tabs>
        <w:rPr>
          <w:rFonts w:eastAsiaTheme="minorEastAsia"/>
          <w:noProof/>
          <w:color w:val="auto"/>
          <w:sz w:val="22"/>
          <w:szCs w:val="22"/>
          <w:lang w:eastAsia="en-GB"/>
        </w:rPr>
      </w:pPr>
      <w:hyperlink w:anchor="_Toc124497604" w:history="1">
        <w:r w:rsidR="00CB0AD0" w:rsidRPr="00977C7C">
          <w:rPr>
            <w:rStyle w:val="Hyperlink"/>
            <w:rFonts w:eastAsia="Calibri"/>
            <w:noProof/>
          </w:rPr>
          <w:t>6.27.</w:t>
        </w:r>
        <w:r w:rsidR="00CB0AD0">
          <w:rPr>
            <w:rFonts w:eastAsiaTheme="minorEastAsia"/>
            <w:noProof/>
            <w:color w:val="auto"/>
            <w:sz w:val="22"/>
            <w:szCs w:val="22"/>
            <w:lang w:eastAsia="en-GB"/>
          </w:rPr>
          <w:tab/>
        </w:r>
        <w:r w:rsidR="00CB0AD0" w:rsidRPr="00977C7C">
          <w:rPr>
            <w:rStyle w:val="Hyperlink"/>
            <w:rFonts w:eastAsia="Calibri"/>
            <w:noProof/>
          </w:rPr>
          <w:t>Record Keeping</w:t>
        </w:r>
        <w:r w:rsidR="00CB0AD0">
          <w:rPr>
            <w:noProof/>
            <w:webHidden/>
          </w:rPr>
          <w:tab/>
        </w:r>
        <w:r w:rsidR="00CB0AD0">
          <w:rPr>
            <w:noProof/>
            <w:webHidden/>
          </w:rPr>
          <w:fldChar w:fldCharType="begin"/>
        </w:r>
        <w:r w:rsidR="00CB0AD0">
          <w:rPr>
            <w:noProof/>
            <w:webHidden/>
          </w:rPr>
          <w:instrText xml:space="preserve"> PAGEREF _Toc124497604 \h </w:instrText>
        </w:r>
        <w:r w:rsidR="00CB0AD0">
          <w:rPr>
            <w:noProof/>
            <w:webHidden/>
          </w:rPr>
        </w:r>
        <w:r w:rsidR="00CB0AD0">
          <w:rPr>
            <w:noProof/>
            <w:webHidden/>
          </w:rPr>
          <w:fldChar w:fldCharType="separate"/>
        </w:r>
        <w:r w:rsidR="00CB0AD0">
          <w:rPr>
            <w:noProof/>
            <w:webHidden/>
          </w:rPr>
          <w:t>25</w:t>
        </w:r>
        <w:r w:rsidR="00CB0AD0">
          <w:rPr>
            <w:noProof/>
            <w:webHidden/>
          </w:rPr>
          <w:fldChar w:fldCharType="end"/>
        </w:r>
      </w:hyperlink>
    </w:p>
    <w:p w14:paraId="2971B1A8" w14:textId="171D19EE" w:rsidR="00CB0AD0" w:rsidRDefault="00DA7E94">
      <w:pPr>
        <w:pStyle w:val="TOC1"/>
        <w:rPr>
          <w:rFonts w:eastAsiaTheme="minorEastAsia"/>
          <w:b w:val="0"/>
          <w:noProof/>
          <w:color w:val="auto"/>
          <w:sz w:val="22"/>
          <w:szCs w:val="22"/>
          <w:lang w:eastAsia="en-GB"/>
        </w:rPr>
      </w:pPr>
      <w:hyperlink w:anchor="_Toc124497605" w:history="1">
        <w:r w:rsidR="00CB0AD0" w:rsidRPr="00977C7C">
          <w:rPr>
            <w:rStyle w:val="Hyperlink"/>
            <w:rFonts w:eastAsia="Calibri"/>
            <w:noProof/>
          </w:rPr>
          <w:t>National Policy and Guidance</w:t>
        </w:r>
        <w:r w:rsidR="00CB0AD0">
          <w:rPr>
            <w:noProof/>
            <w:webHidden/>
          </w:rPr>
          <w:tab/>
        </w:r>
        <w:r w:rsidR="00CB0AD0">
          <w:rPr>
            <w:noProof/>
            <w:webHidden/>
          </w:rPr>
          <w:fldChar w:fldCharType="begin"/>
        </w:r>
        <w:r w:rsidR="00CB0AD0">
          <w:rPr>
            <w:noProof/>
            <w:webHidden/>
          </w:rPr>
          <w:instrText xml:space="preserve"> PAGEREF _Toc124497605 \h </w:instrText>
        </w:r>
        <w:r w:rsidR="00CB0AD0">
          <w:rPr>
            <w:noProof/>
            <w:webHidden/>
          </w:rPr>
        </w:r>
        <w:r w:rsidR="00CB0AD0">
          <w:rPr>
            <w:noProof/>
            <w:webHidden/>
          </w:rPr>
          <w:fldChar w:fldCharType="separate"/>
        </w:r>
        <w:r w:rsidR="00CB0AD0">
          <w:rPr>
            <w:noProof/>
            <w:webHidden/>
          </w:rPr>
          <w:t>25</w:t>
        </w:r>
        <w:r w:rsidR="00CB0AD0">
          <w:rPr>
            <w:noProof/>
            <w:webHidden/>
          </w:rPr>
          <w:fldChar w:fldCharType="end"/>
        </w:r>
      </w:hyperlink>
    </w:p>
    <w:p w14:paraId="09B95633" w14:textId="3F7050F0" w:rsidR="00CB0AD0" w:rsidRDefault="00DA7E94">
      <w:pPr>
        <w:pStyle w:val="TOC2"/>
        <w:tabs>
          <w:tab w:val="right" w:leader="underscore" w:pos="9016"/>
        </w:tabs>
        <w:rPr>
          <w:rFonts w:eastAsiaTheme="minorEastAsia"/>
          <w:noProof/>
          <w:color w:val="auto"/>
          <w:sz w:val="22"/>
          <w:szCs w:val="22"/>
          <w:lang w:eastAsia="en-GB"/>
        </w:rPr>
      </w:pPr>
      <w:hyperlink w:anchor="_Toc124497606" w:history="1">
        <w:r w:rsidR="00CB0AD0" w:rsidRPr="00977C7C">
          <w:rPr>
            <w:rStyle w:val="Hyperlink"/>
            <w:noProof/>
          </w:rPr>
          <w:t>6.28.</w:t>
        </w:r>
        <w:r w:rsidR="00CB0AD0">
          <w:rPr>
            <w:rFonts w:eastAsiaTheme="minorEastAsia"/>
            <w:noProof/>
            <w:color w:val="auto"/>
            <w:sz w:val="22"/>
            <w:szCs w:val="22"/>
            <w:lang w:eastAsia="en-GB"/>
          </w:rPr>
          <w:tab/>
        </w:r>
        <w:r w:rsidR="00CB0AD0" w:rsidRPr="00977C7C">
          <w:rPr>
            <w:rStyle w:val="Hyperlink"/>
            <w:noProof/>
          </w:rPr>
          <w:t>Cabinet Office Guidelines</w:t>
        </w:r>
        <w:r w:rsidR="00CB0AD0">
          <w:rPr>
            <w:noProof/>
            <w:webHidden/>
          </w:rPr>
          <w:tab/>
        </w:r>
        <w:r w:rsidR="00CB0AD0">
          <w:rPr>
            <w:noProof/>
            <w:webHidden/>
          </w:rPr>
          <w:fldChar w:fldCharType="begin"/>
        </w:r>
        <w:r w:rsidR="00CB0AD0">
          <w:rPr>
            <w:noProof/>
            <w:webHidden/>
          </w:rPr>
          <w:instrText xml:space="preserve"> PAGEREF _Toc124497606 \h </w:instrText>
        </w:r>
        <w:r w:rsidR="00CB0AD0">
          <w:rPr>
            <w:noProof/>
            <w:webHidden/>
          </w:rPr>
        </w:r>
        <w:r w:rsidR="00CB0AD0">
          <w:rPr>
            <w:noProof/>
            <w:webHidden/>
          </w:rPr>
          <w:fldChar w:fldCharType="separate"/>
        </w:r>
        <w:r w:rsidR="00CB0AD0">
          <w:rPr>
            <w:noProof/>
            <w:webHidden/>
          </w:rPr>
          <w:t>25</w:t>
        </w:r>
        <w:r w:rsidR="00CB0AD0">
          <w:rPr>
            <w:noProof/>
            <w:webHidden/>
          </w:rPr>
          <w:fldChar w:fldCharType="end"/>
        </w:r>
      </w:hyperlink>
    </w:p>
    <w:p w14:paraId="262C8B2E" w14:textId="1097F28D" w:rsidR="00CB0AD0" w:rsidRDefault="00DA7E94">
      <w:pPr>
        <w:pStyle w:val="TOC2"/>
        <w:tabs>
          <w:tab w:val="right" w:leader="underscore" w:pos="9016"/>
        </w:tabs>
        <w:rPr>
          <w:rFonts w:eastAsiaTheme="minorEastAsia"/>
          <w:noProof/>
          <w:color w:val="auto"/>
          <w:sz w:val="22"/>
          <w:szCs w:val="22"/>
          <w:lang w:eastAsia="en-GB"/>
        </w:rPr>
      </w:pPr>
      <w:hyperlink w:anchor="_Toc124497607" w:history="1">
        <w:r w:rsidR="00CB0AD0" w:rsidRPr="00977C7C">
          <w:rPr>
            <w:rStyle w:val="Hyperlink"/>
            <w:noProof/>
          </w:rPr>
          <w:t>6.29.</w:t>
        </w:r>
        <w:r w:rsidR="00CB0AD0">
          <w:rPr>
            <w:rFonts w:eastAsiaTheme="minorEastAsia"/>
            <w:noProof/>
            <w:color w:val="auto"/>
            <w:sz w:val="22"/>
            <w:szCs w:val="22"/>
            <w:lang w:eastAsia="en-GB"/>
          </w:rPr>
          <w:tab/>
        </w:r>
        <w:r w:rsidR="00CB0AD0" w:rsidRPr="00977C7C">
          <w:rPr>
            <w:rStyle w:val="Hyperlink"/>
            <w:noProof/>
          </w:rPr>
          <w:t>NHS Constitution</w:t>
        </w:r>
        <w:r w:rsidR="00CB0AD0">
          <w:rPr>
            <w:noProof/>
            <w:webHidden/>
          </w:rPr>
          <w:tab/>
        </w:r>
        <w:r w:rsidR="00CB0AD0">
          <w:rPr>
            <w:noProof/>
            <w:webHidden/>
          </w:rPr>
          <w:fldChar w:fldCharType="begin"/>
        </w:r>
        <w:r w:rsidR="00CB0AD0">
          <w:rPr>
            <w:noProof/>
            <w:webHidden/>
          </w:rPr>
          <w:instrText xml:space="preserve"> PAGEREF _Toc124497607 \h </w:instrText>
        </w:r>
        <w:r w:rsidR="00CB0AD0">
          <w:rPr>
            <w:noProof/>
            <w:webHidden/>
          </w:rPr>
        </w:r>
        <w:r w:rsidR="00CB0AD0">
          <w:rPr>
            <w:noProof/>
            <w:webHidden/>
          </w:rPr>
          <w:fldChar w:fldCharType="separate"/>
        </w:r>
        <w:r w:rsidR="00CB0AD0">
          <w:rPr>
            <w:noProof/>
            <w:webHidden/>
          </w:rPr>
          <w:t>25</w:t>
        </w:r>
        <w:r w:rsidR="00CB0AD0">
          <w:rPr>
            <w:noProof/>
            <w:webHidden/>
          </w:rPr>
          <w:fldChar w:fldCharType="end"/>
        </w:r>
      </w:hyperlink>
    </w:p>
    <w:p w14:paraId="15E418BA" w14:textId="4A265E8E" w:rsidR="00CB0AD0" w:rsidRDefault="00DA7E94">
      <w:pPr>
        <w:pStyle w:val="TOC2"/>
        <w:tabs>
          <w:tab w:val="right" w:leader="underscore" w:pos="9016"/>
        </w:tabs>
        <w:rPr>
          <w:rFonts w:eastAsiaTheme="minorEastAsia"/>
          <w:noProof/>
          <w:color w:val="auto"/>
          <w:sz w:val="22"/>
          <w:szCs w:val="22"/>
          <w:lang w:eastAsia="en-GB"/>
        </w:rPr>
      </w:pPr>
      <w:hyperlink w:anchor="_Toc124497608" w:history="1">
        <w:r w:rsidR="00CB0AD0" w:rsidRPr="00977C7C">
          <w:rPr>
            <w:rStyle w:val="Hyperlink"/>
            <w:noProof/>
          </w:rPr>
          <w:t>6.30.</w:t>
        </w:r>
        <w:r w:rsidR="00CB0AD0">
          <w:rPr>
            <w:rFonts w:eastAsiaTheme="minorEastAsia"/>
            <w:noProof/>
            <w:color w:val="auto"/>
            <w:sz w:val="22"/>
            <w:szCs w:val="22"/>
            <w:lang w:eastAsia="en-GB"/>
          </w:rPr>
          <w:tab/>
        </w:r>
        <w:r w:rsidR="00CB0AD0" w:rsidRPr="00977C7C">
          <w:rPr>
            <w:rStyle w:val="Hyperlink"/>
            <w:noProof/>
          </w:rPr>
          <w:t>The NHS (Procurement, Patient Choice &amp; Competition) (No.2) Regulations 2013</w:t>
        </w:r>
        <w:r w:rsidR="00CB0AD0">
          <w:rPr>
            <w:noProof/>
            <w:webHidden/>
          </w:rPr>
          <w:tab/>
        </w:r>
        <w:r w:rsidR="00CB0AD0">
          <w:rPr>
            <w:noProof/>
            <w:webHidden/>
          </w:rPr>
          <w:fldChar w:fldCharType="begin"/>
        </w:r>
        <w:r w:rsidR="00CB0AD0">
          <w:rPr>
            <w:noProof/>
            <w:webHidden/>
          </w:rPr>
          <w:instrText xml:space="preserve"> PAGEREF _Toc124497608 \h </w:instrText>
        </w:r>
        <w:r w:rsidR="00CB0AD0">
          <w:rPr>
            <w:noProof/>
            <w:webHidden/>
          </w:rPr>
        </w:r>
        <w:r w:rsidR="00CB0AD0">
          <w:rPr>
            <w:noProof/>
            <w:webHidden/>
          </w:rPr>
          <w:fldChar w:fldCharType="separate"/>
        </w:r>
        <w:r w:rsidR="00CB0AD0">
          <w:rPr>
            <w:noProof/>
            <w:webHidden/>
          </w:rPr>
          <w:t>25</w:t>
        </w:r>
        <w:r w:rsidR="00CB0AD0">
          <w:rPr>
            <w:noProof/>
            <w:webHidden/>
          </w:rPr>
          <w:fldChar w:fldCharType="end"/>
        </w:r>
      </w:hyperlink>
    </w:p>
    <w:p w14:paraId="6A954B75" w14:textId="1A1AB2C5" w:rsidR="00CB0AD0" w:rsidRDefault="00DA7E94">
      <w:pPr>
        <w:pStyle w:val="TOC2"/>
        <w:tabs>
          <w:tab w:val="right" w:leader="underscore" w:pos="9016"/>
        </w:tabs>
        <w:rPr>
          <w:rFonts w:eastAsiaTheme="minorEastAsia"/>
          <w:noProof/>
          <w:color w:val="auto"/>
          <w:sz w:val="22"/>
          <w:szCs w:val="22"/>
          <w:lang w:eastAsia="en-GB"/>
        </w:rPr>
      </w:pPr>
      <w:hyperlink w:anchor="_Toc124497609" w:history="1">
        <w:r w:rsidR="00CB0AD0" w:rsidRPr="00977C7C">
          <w:rPr>
            <w:rStyle w:val="Hyperlink"/>
            <w:noProof/>
          </w:rPr>
          <w:t>6.31.</w:t>
        </w:r>
        <w:r w:rsidR="00CB0AD0">
          <w:rPr>
            <w:rFonts w:eastAsiaTheme="minorEastAsia"/>
            <w:noProof/>
            <w:color w:val="auto"/>
            <w:sz w:val="22"/>
            <w:szCs w:val="22"/>
            <w:lang w:eastAsia="en-GB"/>
          </w:rPr>
          <w:tab/>
        </w:r>
        <w:r w:rsidR="00CB0AD0" w:rsidRPr="00977C7C">
          <w:rPr>
            <w:rStyle w:val="Hyperlink"/>
            <w:noProof/>
          </w:rPr>
          <w:t>ICB obligations in respect of Section 256 Agreements</w:t>
        </w:r>
        <w:r w:rsidR="00CB0AD0">
          <w:rPr>
            <w:noProof/>
            <w:webHidden/>
          </w:rPr>
          <w:tab/>
        </w:r>
        <w:r w:rsidR="00CB0AD0">
          <w:rPr>
            <w:noProof/>
            <w:webHidden/>
          </w:rPr>
          <w:fldChar w:fldCharType="begin"/>
        </w:r>
        <w:r w:rsidR="00CB0AD0">
          <w:rPr>
            <w:noProof/>
            <w:webHidden/>
          </w:rPr>
          <w:instrText xml:space="preserve"> PAGEREF _Toc124497609 \h </w:instrText>
        </w:r>
        <w:r w:rsidR="00CB0AD0">
          <w:rPr>
            <w:noProof/>
            <w:webHidden/>
          </w:rPr>
        </w:r>
        <w:r w:rsidR="00CB0AD0">
          <w:rPr>
            <w:noProof/>
            <w:webHidden/>
          </w:rPr>
          <w:fldChar w:fldCharType="separate"/>
        </w:r>
        <w:r w:rsidR="00CB0AD0">
          <w:rPr>
            <w:noProof/>
            <w:webHidden/>
          </w:rPr>
          <w:t>26</w:t>
        </w:r>
        <w:r w:rsidR="00CB0AD0">
          <w:rPr>
            <w:noProof/>
            <w:webHidden/>
          </w:rPr>
          <w:fldChar w:fldCharType="end"/>
        </w:r>
      </w:hyperlink>
    </w:p>
    <w:p w14:paraId="7C7CAC51" w14:textId="7A191031" w:rsidR="00CB0AD0" w:rsidRDefault="00DA7E94">
      <w:pPr>
        <w:pStyle w:val="TOC1"/>
        <w:rPr>
          <w:rFonts w:eastAsiaTheme="minorEastAsia"/>
          <w:b w:val="0"/>
          <w:noProof/>
          <w:color w:val="auto"/>
          <w:sz w:val="22"/>
          <w:szCs w:val="22"/>
          <w:lang w:eastAsia="en-GB"/>
        </w:rPr>
      </w:pPr>
      <w:hyperlink w:anchor="_Toc124497610" w:history="1">
        <w:r w:rsidR="00CB0AD0" w:rsidRPr="00977C7C">
          <w:rPr>
            <w:rStyle w:val="Hyperlink"/>
            <w:noProof/>
          </w:rPr>
          <w:t>Procurement Management and Best Practice</w:t>
        </w:r>
        <w:r w:rsidR="00CB0AD0">
          <w:rPr>
            <w:noProof/>
            <w:webHidden/>
          </w:rPr>
          <w:tab/>
        </w:r>
        <w:r w:rsidR="00CB0AD0">
          <w:rPr>
            <w:noProof/>
            <w:webHidden/>
          </w:rPr>
          <w:fldChar w:fldCharType="begin"/>
        </w:r>
        <w:r w:rsidR="00CB0AD0">
          <w:rPr>
            <w:noProof/>
            <w:webHidden/>
          </w:rPr>
          <w:instrText xml:space="preserve"> PAGEREF _Toc124497610 \h </w:instrText>
        </w:r>
        <w:r w:rsidR="00CB0AD0">
          <w:rPr>
            <w:noProof/>
            <w:webHidden/>
          </w:rPr>
        </w:r>
        <w:r w:rsidR="00CB0AD0">
          <w:rPr>
            <w:noProof/>
            <w:webHidden/>
          </w:rPr>
          <w:fldChar w:fldCharType="separate"/>
        </w:r>
        <w:r w:rsidR="00CB0AD0">
          <w:rPr>
            <w:noProof/>
            <w:webHidden/>
          </w:rPr>
          <w:t>27</w:t>
        </w:r>
        <w:r w:rsidR="00CB0AD0">
          <w:rPr>
            <w:noProof/>
            <w:webHidden/>
          </w:rPr>
          <w:fldChar w:fldCharType="end"/>
        </w:r>
      </w:hyperlink>
    </w:p>
    <w:p w14:paraId="55EB9BA8" w14:textId="6DA4576B" w:rsidR="00CB0AD0" w:rsidRDefault="00DA7E94">
      <w:pPr>
        <w:pStyle w:val="TOC2"/>
        <w:tabs>
          <w:tab w:val="right" w:leader="underscore" w:pos="9016"/>
        </w:tabs>
        <w:rPr>
          <w:rFonts w:eastAsiaTheme="minorEastAsia"/>
          <w:noProof/>
          <w:color w:val="auto"/>
          <w:sz w:val="22"/>
          <w:szCs w:val="22"/>
          <w:lang w:eastAsia="en-GB"/>
        </w:rPr>
      </w:pPr>
      <w:hyperlink w:anchor="_Toc124497611" w:history="1">
        <w:r w:rsidR="00CB0AD0" w:rsidRPr="00977C7C">
          <w:rPr>
            <w:rStyle w:val="Hyperlink"/>
            <w:noProof/>
          </w:rPr>
          <w:t>6.32.</w:t>
        </w:r>
        <w:r w:rsidR="00CB0AD0">
          <w:rPr>
            <w:rFonts w:eastAsiaTheme="minorEastAsia"/>
            <w:noProof/>
            <w:color w:val="auto"/>
            <w:sz w:val="22"/>
            <w:szCs w:val="22"/>
            <w:lang w:eastAsia="en-GB"/>
          </w:rPr>
          <w:tab/>
        </w:r>
        <w:r w:rsidR="00CB0AD0" w:rsidRPr="00977C7C">
          <w:rPr>
            <w:rStyle w:val="Hyperlink"/>
            <w:noProof/>
          </w:rPr>
          <w:t>E-procurement</w:t>
        </w:r>
        <w:r w:rsidR="00CB0AD0">
          <w:rPr>
            <w:noProof/>
            <w:webHidden/>
          </w:rPr>
          <w:tab/>
        </w:r>
        <w:r w:rsidR="00CB0AD0">
          <w:rPr>
            <w:noProof/>
            <w:webHidden/>
          </w:rPr>
          <w:fldChar w:fldCharType="begin"/>
        </w:r>
        <w:r w:rsidR="00CB0AD0">
          <w:rPr>
            <w:noProof/>
            <w:webHidden/>
          </w:rPr>
          <w:instrText xml:space="preserve"> PAGEREF _Toc124497611 \h </w:instrText>
        </w:r>
        <w:r w:rsidR="00CB0AD0">
          <w:rPr>
            <w:noProof/>
            <w:webHidden/>
          </w:rPr>
        </w:r>
        <w:r w:rsidR="00CB0AD0">
          <w:rPr>
            <w:noProof/>
            <w:webHidden/>
          </w:rPr>
          <w:fldChar w:fldCharType="separate"/>
        </w:r>
        <w:r w:rsidR="00CB0AD0">
          <w:rPr>
            <w:noProof/>
            <w:webHidden/>
          </w:rPr>
          <w:t>27</w:t>
        </w:r>
        <w:r w:rsidR="00CB0AD0">
          <w:rPr>
            <w:noProof/>
            <w:webHidden/>
          </w:rPr>
          <w:fldChar w:fldCharType="end"/>
        </w:r>
      </w:hyperlink>
    </w:p>
    <w:p w14:paraId="4ABF5C2A" w14:textId="7BF8A817" w:rsidR="00CB0AD0" w:rsidRDefault="00DA7E94">
      <w:pPr>
        <w:pStyle w:val="TOC2"/>
        <w:tabs>
          <w:tab w:val="right" w:leader="underscore" w:pos="9016"/>
        </w:tabs>
        <w:rPr>
          <w:rFonts w:eastAsiaTheme="minorEastAsia"/>
          <w:noProof/>
          <w:color w:val="auto"/>
          <w:sz w:val="22"/>
          <w:szCs w:val="22"/>
          <w:lang w:eastAsia="en-GB"/>
        </w:rPr>
      </w:pPr>
      <w:hyperlink w:anchor="_Toc124497612" w:history="1">
        <w:r w:rsidR="00CB0AD0" w:rsidRPr="00977C7C">
          <w:rPr>
            <w:rStyle w:val="Hyperlink"/>
            <w:noProof/>
          </w:rPr>
          <w:t>6.33.</w:t>
        </w:r>
        <w:r w:rsidR="00CB0AD0">
          <w:rPr>
            <w:rFonts w:eastAsiaTheme="minorEastAsia"/>
            <w:noProof/>
            <w:color w:val="auto"/>
            <w:sz w:val="22"/>
            <w:szCs w:val="22"/>
            <w:lang w:eastAsia="en-GB"/>
          </w:rPr>
          <w:tab/>
        </w:r>
        <w:r w:rsidR="00CB0AD0" w:rsidRPr="00977C7C">
          <w:rPr>
            <w:rStyle w:val="Hyperlink"/>
            <w:noProof/>
          </w:rPr>
          <w:t>Procurement Planning</w:t>
        </w:r>
        <w:r w:rsidR="00CB0AD0">
          <w:rPr>
            <w:noProof/>
            <w:webHidden/>
          </w:rPr>
          <w:tab/>
        </w:r>
        <w:r w:rsidR="00CB0AD0">
          <w:rPr>
            <w:noProof/>
            <w:webHidden/>
          </w:rPr>
          <w:fldChar w:fldCharType="begin"/>
        </w:r>
        <w:r w:rsidR="00CB0AD0">
          <w:rPr>
            <w:noProof/>
            <w:webHidden/>
          </w:rPr>
          <w:instrText xml:space="preserve"> PAGEREF _Toc124497612 \h </w:instrText>
        </w:r>
        <w:r w:rsidR="00CB0AD0">
          <w:rPr>
            <w:noProof/>
            <w:webHidden/>
          </w:rPr>
        </w:r>
        <w:r w:rsidR="00CB0AD0">
          <w:rPr>
            <w:noProof/>
            <w:webHidden/>
          </w:rPr>
          <w:fldChar w:fldCharType="separate"/>
        </w:r>
        <w:r w:rsidR="00CB0AD0">
          <w:rPr>
            <w:noProof/>
            <w:webHidden/>
          </w:rPr>
          <w:t>27</w:t>
        </w:r>
        <w:r w:rsidR="00CB0AD0">
          <w:rPr>
            <w:noProof/>
            <w:webHidden/>
          </w:rPr>
          <w:fldChar w:fldCharType="end"/>
        </w:r>
      </w:hyperlink>
    </w:p>
    <w:p w14:paraId="2A3F92D2" w14:textId="17FE4AD7" w:rsidR="00CB0AD0" w:rsidRDefault="00DA7E94">
      <w:pPr>
        <w:pStyle w:val="TOC2"/>
        <w:tabs>
          <w:tab w:val="right" w:leader="underscore" w:pos="9016"/>
        </w:tabs>
        <w:rPr>
          <w:rFonts w:eastAsiaTheme="minorEastAsia"/>
          <w:noProof/>
          <w:color w:val="auto"/>
          <w:sz w:val="22"/>
          <w:szCs w:val="22"/>
          <w:lang w:eastAsia="en-GB"/>
        </w:rPr>
      </w:pPr>
      <w:hyperlink w:anchor="_Toc124497613" w:history="1">
        <w:r w:rsidR="00CB0AD0" w:rsidRPr="00977C7C">
          <w:rPr>
            <w:rStyle w:val="Hyperlink"/>
            <w:noProof/>
          </w:rPr>
          <w:t>6.34.</w:t>
        </w:r>
        <w:r w:rsidR="00CB0AD0">
          <w:rPr>
            <w:rFonts w:eastAsiaTheme="minorEastAsia"/>
            <w:noProof/>
            <w:color w:val="auto"/>
            <w:sz w:val="22"/>
            <w:szCs w:val="22"/>
            <w:lang w:eastAsia="en-GB"/>
          </w:rPr>
          <w:tab/>
        </w:r>
        <w:r w:rsidR="00CB0AD0" w:rsidRPr="00977C7C">
          <w:rPr>
            <w:rStyle w:val="Hyperlink"/>
            <w:noProof/>
          </w:rPr>
          <w:t>Using the Correct Contract</w:t>
        </w:r>
        <w:r w:rsidR="00CB0AD0">
          <w:rPr>
            <w:noProof/>
            <w:webHidden/>
          </w:rPr>
          <w:tab/>
        </w:r>
        <w:r w:rsidR="00CB0AD0">
          <w:rPr>
            <w:noProof/>
            <w:webHidden/>
          </w:rPr>
          <w:fldChar w:fldCharType="begin"/>
        </w:r>
        <w:r w:rsidR="00CB0AD0">
          <w:rPr>
            <w:noProof/>
            <w:webHidden/>
          </w:rPr>
          <w:instrText xml:space="preserve"> PAGEREF _Toc124497613 \h </w:instrText>
        </w:r>
        <w:r w:rsidR="00CB0AD0">
          <w:rPr>
            <w:noProof/>
            <w:webHidden/>
          </w:rPr>
        </w:r>
        <w:r w:rsidR="00CB0AD0">
          <w:rPr>
            <w:noProof/>
            <w:webHidden/>
          </w:rPr>
          <w:fldChar w:fldCharType="separate"/>
        </w:r>
        <w:r w:rsidR="00CB0AD0">
          <w:rPr>
            <w:noProof/>
            <w:webHidden/>
          </w:rPr>
          <w:t>27</w:t>
        </w:r>
        <w:r w:rsidR="00CB0AD0">
          <w:rPr>
            <w:noProof/>
            <w:webHidden/>
          </w:rPr>
          <w:fldChar w:fldCharType="end"/>
        </w:r>
      </w:hyperlink>
    </w:p>
    <w:p w14:paraId="63F05AC7" w14:textId="14EB4AF5" w:rsidR="00CB0AD0" w:rsidRDefault="00DA7E94">
      <w:pPr>
        <w:pStyle w:val="TOC2"/>
        <w:tabs>
          <w:tab w:val="right" w:leader="underscore" w:pos="9016"/>
        </w:tabs>
        <w:rPr>
          <w:rFonts w:eastAsiaTheme="minorEastAsia"/>
          <w:noProof/>
          <w:color w:val="auto"/>
          <w:sz w:val="22"/>
          <w:szCs w:val="22"/>
          <w:lang w:eastAsia="en-GB"/>
        </w:rPr>
      </w:pPr>
      <w:hyperlink w:anchor="_Toc124497614" w:history="1">
        <w:r w:rsidR="00CB0AD0" w:rsidRPr="00977C7C">
          <w:rPr>
            <w:rStyle w:val="Hyperlink"/>
            <w:noProof/>
          </w:rPr>
          <w:t>6.35.</w:t>
        </w:r>
        <w:r w:rsidR="00CB0AD0">
          <w:rPr>
            <w:rFonts w:eastAsiaTheme="minorEastAsia"/>
            <w:noProof/>
            <w:color w:val="auto"/>
            <w:sz w:val="22"/>
            <w:szCs w:val="22"/>
            <w:lang w:eastAsia="en-GB"/>
          </w:rPr>
          <w:tab/>
        </w:r>
        <w:r w:rsidR="00CB0AD0" w:rsidRPr="00977C7C">
          <w:rPr>
            <w:rStyle w:val="Hyperlink"/>
            <w:noProof/>
          </w:rPr>
          <w:t>Post-Procurement Monitoring</w:t>
        </w:r>
        <w:r w:rsidR="00CB0AD0">
          <w:rPr>
            <w:noProof/>
            <w:webHidden/>
          </w:rPr>
          <w:tab/>
        </w:r>
        <w:r w:rsidR="00CB0AD0">
          <w:rPr>
            <w:noProof/>
            <w:webHidden/>
          </w:rPr>
          <w:fldChar w:fldCharType="begin"/>
        </w:r>
        <w:r w:rsidR="00CB0AD0">
          <w:rPr>
            <w:noProof/>
            <w:webHidden/>
          </w:rPr>
          <w:instrText xml:space="preserve"> PAGEREF _Toc124497614 \h </w:instrText>
        </w:r>
        <w:r w:rsidR="00CB0AD0">
          <w:rPr>
            <w:noProof/>
            <w:webHidden/>
          </w:rPr>
        </w:r>
        <w:r w:rsidR="00CB0AD0">
          <w:rPr>
            <w:noProof/>
            <w:webHidden/>
          </w:rPr>
          <w:fldChar w:fldCharType="separate"/>
        </w:r>
        <w:r w:rsidR="00CB0AD0">
          <w:rPr>
            <w:noProof/>
            <w:webHidden/>
          </w:rPr>
          <w:t>27</w:t>
        </w:r>
        <w:r w:rsidR="00CB0AD0">
          <w:rPr>
            <w:noProof/>
            <w:webHidden/>
          </w:rPr>
          <w:fldChar w:fldCharType="end"/>
        </w:r>
      </w:hyperlink>
    </w:p>
    <w:p w14:paraId="16D771FE" w14:textId="68884156" w:rsidR="00CB0AD0" w:rsidRDefault="00DA7E94">
      <w:pPr>
        <w:pStyle w:val="TOC1"/>
        <w:rPr>
          <w:rFonts w:eastAsiaTheme="minorEastAsia"/>
          <w:b w:val="0"/>
          <w:noProof/>
          <w:color w:val="auto"/>
          <w:sz w:val="22"/>
          <w:szCs w:val="22"/>
          <w:lang w:eastAsia="en-GB"/>
        </w:rPr>
      </w:pPr>
      <w:hyperlink w:anchor="_Toc124497615" w:history="1">
        <w:r w:rsidR="00CB0AD0" w:rsidRPr="00977C7C">
          <w:rPr>
            <w:rStyle w:val="Hyperlink"/>
            <w:noProof/>
          </w:rPr>
          <w:t>7.</w:t>
        </w:r>
        <w:r w:rsidR="00CB0AD0">
          <w:rPr>
            <w:rFonts w:eastAsiaTheme="minorEastAsia"/>
            <w:b w:val="0"/>
            <w:noProof/>
            <w:color w:val="auto"/>
            <w:sz w:val="22"/>
            <w:szCs w:val="22"/>
            <w:lang w:eastAsia="en-GB"/>
          </w:rPr>
          <w:tab/>
        </w:r>
        <w:r w:rsidR="00CB0AD0" w:rsidRPr="00977C7C">
          <w:rPr>
            <w:rStyle w:val="Hyperlink"/>
            <w:noProof/>
          </w:rPr>
          <w:t>Monitoring Compliance</w:t>
        </w:r>
        <w:r w:rsidR="00CB0AD0">
          <w:rPr>
            <w:noProof/>
            <w:webHidden/>
          </w:rPr>
          <w:tab/>
        </w:r>
        <w:r w:rsidR="00CB0AD0">
          <w:rPr>
            <w:noProof/>
            <w:webHidden/>
          </w:rPr>
          <w:fldChar w:fldCharType="begin"/>
        </w:r>
        <w:r w:rsidR="00CB0AD0">
          <w:rPr>
            <w:noProof/>
            <w:webHidden/>
          </w:rPr>
          <w:instrText xml:space="preserve"> PAGEREF _Toc124497615 \h </w:instrText>
        </w:r>
        <w:r w:rsidR="00CB0AD0">
          <w:rPr>
            <w:noProof/>
            <w:webHidden/>
          </w:rPr>
        </w:r>
        <w:r w:rsidR="00CB0AD0">
          <w:rPr>
            <w:noProof/>
            <w:webHidden/>
          </w:rPr>
          <w:fldChar w:fldCharType="separate"/>
        </w:r>
        <w:r w:rsidR="00CB0AD0">
          <w:rPr>
            <w:noProof/>
            <w:webHidden/>
          </w:rPr>
          <w:t>27</w:t>
        </w:r>
        <w:r w:rsidR="00CB0AD0">
          <w:rPr>
            <w:noProof/>
            <w:webHidden/>
          </w:rPr>
          <w:fldChar w:fldCharType="end"/>
        </w:r>
      </w:hyperlink>
    </w:p>
    <w:p w14:paraId="623CCDC0" w14:textId="70E52187" w:rsidR="00CB0AD0" w:rsidRDefault="00DA7E94">
      <w:pPr>
        <w:pStyle w:val="TOC1"/>
        <w:rPr>
          <w:rFonts w:eastAsiaTheme="minorEastAsia"/>
          <w:b w:val="0"/>
          <w:noProof/>
          <w:color w:val="auto"/>
          <w:sz w:val="22"/>
          <w:szCs w:val="22"/>
          <w:lang w:eastAsia="en-GB"/>
        </w:rPr>
      </w:pPr>
      <w:hyperlink w:anchor="_Toc124497616" w:history="1">
        <w:r w:rsidR="00CB0AD0" w:rsidRPr="00977C7C">
          <w:rPr>
            <w:rStyle w:val="Hyperlink"/>
            <w:noProof/>
          </w:rPr>
          <w:t>8.</w:t>
        </w:r>
        <w:r w:rsidR="00CB0AD0">
          <w:rPr>
            <w:rFonts w:eastAsiaTheme="minorEastAsia"/>
            <w:b w:val="0"/>
            <w:noProof/>
            <w:color w:val="auto"/>
            <w:sz w:val="22"/>
            <w:szCs w:val="22"/>
            <w:lang w:eastAsia="en-GB"/>
          </w:rPr>
          <w:tab/>
        </w:r>
        <w:r w:rsidR="00CB0AD0" w:rsidRPr="00977C7C">
          <w:rPr>
            <w:rStyle w:val="Hyperlink"/>
            <w:noProof/>
          </w:rPr>
          <w:t>Staff Training</w:t>
        </w:r>
        <w:r w:rsidR="00CB0AD0">
          <w:rPr>
            <w:noProof/>
            <w:webHidden/>
          </w:rPr>
          <w:tab/>
        </w:r>
        <w:r w:rsidR="00CB0AD0">
          <w:rPr>
            <w:noProof/>
            <w:webHidden/>
          </w:rPr>
          <w:fldChar w:fldCharType="begin"/>
        </w:r>
        <w:r w:rsidR="00CB0AD0">
          <w:rPr>
            <w:noProof/>
            <w:webHidden/>
          </w:rPr>
          <w:instrText xml:space="preserve"> PAGEREF _Toc124497616 \h </w:instrText>
        </w:r>
        <w:r w:rsidR="00CB0AD0">
          <w:rPr>
            <w:noProof/>
            <w:webHidden/>
          </w:rPr>
        </w:r>
        <w:r w:rsidR="00CB0AD0">
          <w:rPr>
            <w:noProof/>
            <w:webHidden/>
          </w:rPr>
          <w:fldChar w:fldCharType="separate"/>
        </w:r>
        <w:r w:rsidR="00CB0AD0">
          <w:rPr>
            <w:noProof/>
            <w:webHidden/>
          </w:rPr>
          <w:t>28</w:t>
        </w:r>
        <w:r w:rsidR="00CB0AD0">
          <w:rPr>
            <w:noProof/>
            <w:webHidden/>
          </w:rPr>
          <w:fldChar w:fldCharType="end"/>
        </w:r>
      </w:hyperlink>
    </w:p>
    <w:p w14:paraId="51AE2C98" w14:textId="57D03F94" w:rsidR="00CB0AD0" w:rsidRDefault="00DA7E94">
      <w:pPr>
        <w:pStyle w:val="TOC1"/>
        <w:rPr>
          <w:rFonts w:eastAsiaTheme="minorEastAsia"/>
          <w:b w:val="0"/>
          <w:noProof/>
          <w:color w:val="auto"/>
          <w:sz w:val="22"/>
          <w:szCs w:val="22"/>
          <w:lang w:eastAsia="en-GB"/>
        </w:rPr>
      </w:pPr>
      <w:hyperlink w:anchor="_Toc124497617" w:history="1">
        <w:r w:rsidR="00CB0AD0" w:rsidRPr="00977C7C">
          <w:rPr>
            <w:rStyle w:val="Hyperlink"/>
            <w:noProof/>
          </w:rPr>
          <w:t>9.</w:t>
        </w:r>
        <w:r w:rsidR="00CB0AD0">
          <w:rPr>
            <w:rFonts w:eastAsiaTheme="minorEastAsia"/>
            <w:b w:val="0"/>
            <w:noProof/>
            <w:color w:val="auto"/>
            <w:sz w:val="22"/>
            <w:szCs w:val="22"/>
            <w:lang w:eastAsia="en-GB"/>
          </w:rPr>
          <w:tab/>
        </w:r>
        <w:r w:rsidR="00CB0AD0" w:rsidRPr="00977C7C">
          <w:rPr>
            <w:rStyle w:val="Hyperlink"/>
            <w:noProof/>
          </w:rPr>
          <w:t>Arrangements for Review</w:t>
        </w:r>
        <w:r w:rsidR="00CB0AD0">
          <w:rPr>
            <w:noProof/>
            <w:webHidden/>
          </w:rPr>
          <w:tab/>
        </w:r>
        <w:r w:rsidR="00CB0AD0">
          <w:rPr>
            <w:noProof/>
            <w:webHidden/>
          </w:rPr>
          <w:fldChar w:fldCharType="begin"/>
        </w:r>
        <w:r w:rsidR="00CB0AD0">
          <w:rPr>
            <w:noProof/>
            <w:webHidden/>
          </w:rPr>
          <w:instrText xml:space="preserve"> PAGEREF _Toc124497617 \h </w:instrText>
        </w:r>
        <w:r w:rsidR="00CB0AD0">
          <w:rPr>
            <w:noProof/>
            <w:webHidden/>
          </w:rPr>
        </w:r>
        <w:r w:rsidR="00CB0AD0">
          <w:rPr>
            <w:noProof/>
            <w:webHidden/>
          </w:rPr>
          <w:fldChar w:fldCharType="separate"/>
        </w:r>
        <w:r w:rsidR="00CB0AD0">
          <w:rPr>
            <w:noProof/>
            <w:webHidden/>
          </w:rPr>
          <w:t>28</w:t>
        </w:r>
        <w:r w:rsidR="00CB0AD0">
          <w:rPr>
            <w:noProof/>
            <w:webHidden/>
          </w:rPr>
          <w:fldChar w:fldCharType="end"/>
        </w:r>
      </w:hyperlink>
    </w:p>
    <w:p w14:paraId="21F1A800" w14:textId="7A3E24BB" w:rsidR="00CB0AD0" w:rsidRDefault="00DA7E94">
      <w:pPr>
        <w:pStyle w:val="TOC1"/>
        <w:rPr>
          <w:rFonts w:eastAsiaTheme="minorEastAsia"/>
          <w:b w:val="0"/>
          <w:noProof/>
          <w:color w:val="auto"/>
          <w:sz w:val="22"/>
          <w:szCs w:val="22"/>
          <w:lang w:eastAsia="en-GB"/>
        </w:rPr>
      </w:pPr>
      <w:hyperlink w:anchor="_Toc124497618" w:history="1">
        <w:r w:rsidR="00CB0AD0" w:rsidRPr="00977C7C">
          <w:rPr>
            <w:rStyle w:val="Hyperlink"/>
            <w:noProof/>
          </w:rPr>
          <w:t>10.</w:t>
        </w:r>
        <w:r w:rsidR="00CB0AD0">
          <w:rPr>
            <w:rFonts w:eastAsiaTheme="minorEastAsia"/>
            <w:b w:val="0"/>
            <w:noProof/>
            <w:color w:val="auto"/>
            <w:sz w:val="22"/>
            <w:szCs w:val="22"/>
            <w:lang w:eastAsia="en-GB"/>
          </w:rPr>
          <w:tab/>
        </w:r>
        <w:r w:rsidR="00CB0AD0" w:rsidRPr="00977C7C">
          <w:rPr>
            <w:rStyle w:val="Hyperlink"/>
            <w:noProof/>
          </w:rPr>
          <w:t>Associated Policies, Guidance and Documents</w:t>
        </w:r>
        <w:r w:rsidR="00CB0AD0">
          <w:rPr>
            <w:noProof/>
            <w:webHidden/>
          </w:rPr>
          <w:tab/>
        </w:r>
        <w:r w:rsidR="00CB0AD0">
          <w:rPr>
            <w:noProof/>
            <w:webHidden/>
          </w:rPr>
          <w:fldChar w:fldCharType="begin"/>
        </w:r>
        <w:r w:rsidR="00CB0AD0">
          <w:rPr>
            <w:noProof/>
            <w:webHidden/>
          </w:rPr>
          <w:instrText xml:space="preserve"> PAGEREF _Toc124497618 \h </w:instrText>
        </w:r>
        <w:r w:rsidR="00CB0AD0">
          <w:rPr>
            <w:noProof/>
            <w:webHidden/>
          </w:rPr>
        </w:r>
        <w:r w:rsidR="00CB0AD0">
          <w:rPr>
            <w:noProof/>
            <w:webHidden/>
          </w:rPr>
          <w:fldChar w:fldCharType="separate"/>
        </w:r>
        <w:r w:rsidR="00CB0AD0">
          <w:rPr>
            <w:noProof/>
            <w:webHidden/>
          </w:rPr>
          <w:t>28</w:t>
        </w:r>
        <w:r w:rsidR="00CB0AD0">
          <w:rPr>
            <w:noProof/>
            <w:webHidden/>
          </w:rPr>
          <w:fldChar w:fldCharType="end"/>
        </w:r>
      </w:hyperlink>
    </w:p>
    <w:p w14:paraId="4EC6C73D" w14:textId="3AAEA0B0" w:rsidR="00CB0AD0" w:rsidRDefault="00DA7E94">
      <w:pPr>
        <w:pStyle w:val="TOC2"/>
        <w:tabs>
          <w:tab w:val="right" w:leader="underscore" w:pos="9016"/>
        </w:tabs>
        <w:rPr>
          <w:rFonts w:eastAsiaTheme="minorEastAsia"/>
          <w:noProof/>
          <w:color w:val="auto"/>
          <w:sz w:val="22"/>
          <w:szCs w:val="22"/>
          <w:lang w:eastAsia="en-GB"/>
        </w:rPr>
      </w:pPr>
      <w:hyperlink w:anchor="_Toc124497619" w:history="1">
        <w:r w:rsidR="00CB0AD0" w:rsidRPr="00977C7C">
          <w:rPr>
            <w:rStyle w:val="Hyperlink"/>
            <w:noProof/>
          </w:rPr>
          <w:t>10.1.</w:t>
        </w:r>
        <w:r w:rsidR="00CB0AD0">
          <w:rPr>
            <w:rFonts w:eastAsiaTheme="minorEastAsia"/>
            <w:noProof/>
            <w:color w:val="auto"/>
            <w:sz w:val="22"/>
            <w:szCs w:val="22"/>
            <w:lang w:eastAsia="en-GB"/>
          </w:rPr>
          <w:tab/>
        </w:r>
        <w:r w:rsidR="00CB0AD0" w:rsidRPr="00977C7C">
          <w:rPr>
            <w:rStyle w:val="Hyperlink"/>
            <w:noProof/>
          </w:rPr>
          <w:t>Associated Policies</w:t>
        </w:r>
        <w:r w:rsidR="00CB0AD0">
          <w:rPr>
            <w:noProof/>
            <w:webHidden/>
          </w:rPr>
          <w:tab/>
        </w:r>
        <w:r w:rsidR="00CB0AD0">
          <w:rPr>
            <w:noProof/>
            <w:webHidden/>
          </w:rPr>
          <w:fldChar w:fldCharType="begin"/>
        </w:r>
        <w:r w:rsidR="00CB0AD0">
          <w:rPr>
            <w:noProof/>
            <w:webHidden/>
          </w:rPr>
          <w:instrText xml:space="preserve"> PAGEREF _Toc124497619 \h </w:instrText>
        </w:r>
        <w:r w:rsidR="00CB0AD0">
          <w:rPr>
            <w:noProof/>
            <w:webHidden/>
          </w:rPr>
        </w:r>
        <w:r w:rsidR="00CB0AD0">
          <w:rPr>
            <w:noProof/>
            <w:webHidden/>
          </w:rPr>
          <w:fldChar w:fldCharType="separate"/>
        </w:r>
        <w:r w:rsidR="00CB0AD0">
          <w:rPr>
            <w:noProof/>
            <w:webHidden/>
          </w:rPr>
          <w:t>28</w:t>
        </w:r>
        <w:r w:rsidR="00CB0AD0">
          <w:rPr>
            <w:noProof/>
            <w:webHidden/>
          </w:rPr>
          <w:fldChar w:fldCharType="end"/>
        </w:r>
      </w:hyperlink>
    </w:p>
    <w:p w14:paraId="3AD654B0" w14:textId="6FD8F336" w:rsidR="00CB0AD0" w:rsidRDefault="00DA7E94">
      <w:pPr>
        <w:pStyle w:val="TOC2"/>
        <w:tabs>
          <w:tab w:val="right" w:leader="underscore" w:pos="9016"/>
        </w:tabs>
        <w:rPr>
          <w:rFonts w:eastAsiaTheme="minorEastAsia"/>
          <w:noProof/>
          <w:color w:val="auto"/>
          <w:sz w:val="22"/>
          <w:szCs w:val="22"/>
          <w:lang w:eastAsia="en-GB"/>
        </w:rPr>
      </w:pPr>
      <w:hyperlink w:anchor="_Toc124497620" w:history="1">
        <w:r w:rsidR="00CB0AD0" w:rsidRPr="00977C7C">
          <w:rPr>
            <w:rStyle w:val="Hyperlink"/>
            <w:noProof/>
          </w:rPr>
          <w:t>10.2.</w:t>
        </w:r>
        <w:r w:rsidR="00CB0AD0">
          <w:rPr>
            <w:rFonts w:eastAsiaTheme="minorEastAsia"/>
            <w:noProof/>
            <w:color w:val="auto"/>
            <w:sz w:val="22"/>
            <w:szCs w:val="22"/>
            <w:lang w:eastAsia="en-GB"/>
          </w:rPr>
          <w:tab/>
        </w:r>
        <w:r w:rsidR="00CB0AD0" w:rsidRPr="00977C7C">
          <w:rPr>
            <w:rStyle w:val="Hyperlink"/>
            <w:noProof/>
          </w:rPr>
          <w:t>Other Key Guidance</w:t>
        </w:r>
        <w:r w:rsidR="00CB0AD0">
          <w:rPr>
            <w:noProof/>
            <w:webHidden/>
          </w:rPr>
          <w:tab/>
        </w:r>
        <w:r w:rsidR="00CB0AD0">
          <w:rPr>
            <w:noProof/>
            <w:webHidden/>
          </w:rPr>
          <w:fldChar w:fldCharType="begin"/>
        </w:r>
        <w:r w:rsidR="00CB0AD0">
          <w:rPr>
            <w:noProof/>
            <w:webHidden/>
          </w:rPr>
          <w:instrText xml:space="preserve"> PAGEREF _Toc124497620 \h </w:instrText>
        </w:r>
        <w:r w:rsidR="00CB0AD0">
          <w:rPr>
            <w:noProof/>
            <w:webHidden/>
          </w:rPr>
        </w:r>
        <w:r w:rsidR="00CB0AD0">
          <w:rPr>
            <w:noProof/>
            <w:webHidden/>
          </w:rPr>
          <w:fldChar w:fldCharType="separate"/>
        </w:r>
        <w:r w:rsidR="00CB0AD0">
          <w:rPr>
            <w:noProof/>
            <w:webHidden/>
          </w:rPr>
          <w:t>29</w:t>
        </w:r>
        <w:r w:rsidR="00CB0AD0">
          <w:rPr>
            <w:noProof/>
            <w:webHidden/>
          </w:rPr>
          <w:fldChar w:fldCharType="end"/>
        </w:r>
      </w:hyperlink>
    </w:p>
    <w:p w14:paraId="4B7BC27F" w14:textId="0AE7344E" w:rsidR="00CB0AD0" w:rsidRDefault="00DA7E94">
      <w:pPr>
        <w:pStyle w:val="TOC2"/>
        <w:tabs>
          <w:tab w:val="right" w:leader="underscore" w:pos="9016"/>
        </w:tabs>
        <w:rPr>
          <w:rFonts w:eastAsiaTheme="minorEastAsia"/>
          <w:noProof/>
          <w:color w:val="auto"/>
          <w:sz w:val="22"/>
          <w:szCs w:val="22"/>
          <w:lang w:eastAsia="en-GB"/>
        </w:rPr>
      </w:pPr>
      <w:hyperlink w:anchor="_Toc124497621" w:history="1">
        <w:r w:rsidR="00CB0AD0" w:rsidRPr="005C697F">
          <w:rPr>
            <w:rStyle w:val="Hyperlink"/>
            <w:noProof/>
          </w:rPr>
          <w:t>Equality Impact Assessment</w:t>
        </w:r>
        <w:r w:rsidR="00CB0AD0" w:rsidRPr="005C697F">
          <w:rPr>
            <w:noProof/>
            <w:webHidden/>
          </w:rPr>
          <w:tab/>
        </w:r>
        <w:r w:rsidR="00CB0AD0" w:rsidRPr="005C697F">
          <w:rPr>
            <w:noProof/>
            <w:webHidden/>
          </w:rPr>
          <w:fldChar w:fldCharType="begin"/>
        </w:r>
        <w:r w:rsidR="00CB0AD0" w:rsidRPr="005C697F">
          <w:rPr>
            <w:noProof/>
            <w:webHidden/>
          </w:rPr>
          <w:instrText xml:space="preserve"> PAGEREF _Toc124497621 \h </w:instrText>
        </w:r>
        <w:r w:rsidR="00CB0AD0" w:rsidRPr="005C697F">
          <w:rPr>
            <w:noProof/>
            <w:webHidden/>
          </w:rPr>
        </w:r>
        <w:r w:rsidR="00CB0AD0" w:rsidRPr="005C697F">
          <w:rPr>
            <w:noProof/>
            <w:webHidden/>
          </w:rPr>
          <w:fldChar w:fldCharType="separate"/>
        </w:r>
        <w:r w:rsidR="00CB0AD0" w:rsidRPr="005C697F">
          <w:rPr>
            <w:noProof/>
            <w:webHidden/>
          </w:rPr>
          <w:t>29</w:t>
        </w:r>
        <w:r w:rsidR="00CB0AD0" w:rsidRPr="005C697F">
          <w:rPr>
            <w:noProof/>
            <w:webHidden/>
          </w:rPr>
          <w:fldChar w:fldCharType="end"/>
        </w:r>
      </w:hyperlink>
    </w:p>
    <w:p w14:paraId="65E164D1" w14:textId="14CD7E9D" w:rsidR="00CB0AD0" w:rsidRDefault="00DA7E94">
      <w:pPr>
        <w:pStyle w:val="TOC2"/>
        <w:tabs>
          <w:tab w:val="right" w:leader="underscore" w:pos="9016"/>
        </w:tabs>
        <w:rPr>
          <w:rFonts w:eastAsiaTheme="minorEastAsia"/>
          <w:noProof/>
          <w:color w:val="auto"/>
          <w:sz w:val="22"/>
          <w:szCs w:val="22"/>
          <w:lang w:eastAsia="en-GB"/>
        </w:rPr>
      </w:pPr>
      <w:hyperlink w:anchor="_Toc124497622" w:history="1">
        <w:r w:rsidR="00CB0AD0" w:rsidRPr="00977C7C">
          <w:rPr>
            <w:rStyle w:val="Hyperlink"/>
            <w:noProof/>
          </w:rPr>
          <w:t>Ethical and Sustainable Procurement</w:t>
        </w:r>
        <w:r w:rsidR="00CB0AD0">
          <w:rPr>
            <w:noProof/>
            <w:webHidden/>
          </w:rPr>
          <w:tab/>
        </w:r>
        <w:r w:rsidR="00CB0AD0">
          <w:rPr>
            <w:noProof/>
            <w:webHidden/>
          </w:rPr>
          <w:fldChar w:fldCharType="begin"/>
        </w:r>
        <w:r w:rsidR="00CB0AD0">
          <w:rPr>
            <w:noProof/>
            <w:webHidden/>
          </w:rPr>
          <w:instrText xml:space="preserve"> PAGEREF _Toc124497622 \h </w:instrText>
        </w:r>
        <w:r w:rsidR="00CB0AD0">
          <w:rPr>
            <w:noProof/>
            <w:webHidden/>
          </w:rPr>
        </w:r>
        <w:r w:rsidR="00CB0AD0">
          <w:rPr>
            <w:noProof/>
            <w:webHidden/>
          </w:rPr>
          <w:fldChar w:fldCharType="separate"/>
        </w:r>
        <w:r w:rsidR="00CB0AD0">
          <w:rPr>
            <w:noProof/>
            <w:webHidden/>
          </w:rPr>
          <w:t>29</w:t>
        </w:r>
        <w:r w:rsidR="00CB0AD0">
          <w:rPr>
            <w:noProof/>
            <w:webHidden/>
          </w:rPr>
          <w:fldChar w:fldCharType="end"/>
        </w:r>
      </w:hyperlink>
    </w:p>
    <w:p w14:paraId="12E5883C" w14:textId="278F05B4" w:rsidR="00CB0AD0" w:rsidRDefault="00DA7E94">
      <w:pPr>
        <w:pStyle w:val="TOC2"/>
        <w:tabs>
          <w:tab w:val="right" w:leader="underscore" w:pos="9016"/>
        </w:tabs>
        <w:rPr>
          <w:rFonts w:eastAsiaTheme="minorEastAsia"/>
          <w:noProof/>
          <w:color w:val="auto"/>
          <w:sz w:val="22"/>
          <w:szCs w:val="22"/>
          <w:lang w:eastAsia="en-GB"/>
        </w:rPr>
      </w:pPr>
      <w:hyperlink w:anchor="_Toc124497623" w:history="1">
        <w:r w:rsidR="00CB0AD0" w:rsidRPr="00977C7C">
          <w:rPr>
            <w:rStyle w:val="Hyperlink"/>
            <w:noProof/>
          </w:rPr>
          <w:t>Common breaches of procurement processes identified by the NHS Counter Fraud Authority (NHSCFA)</w:t>
        </w:r>
        <w:r w:rsidR="00CB0AD0">
          <w:rPr>
            <w:noProof/>
            <w:webHidden/>
          </w:rPr>
          <w:tab/>
        </w:r>
        <w:r w:rsidR="00CB0AD0">
          <w:rPr>
            <w:noProof/>
            <w:webHidden/>
          </w:rPr>
          <w:fldChar w:fldCharType="begin"/>
        </w:r>
        <w:r w:rsidR="00CB0AD0">
          <w:rPr>
            <w:noProof/>
            <w:webHidden/>
          </w:rPr>
          <w:instrText xml:space="preserve"> PAGEREF _Toc124497623 \h </w:instrText>
        </w:r>
        <w:r w:rsidR="00CB0AD0">
          <w:rPr>
            <w:noProof/>
            <w:webHidden/>
          </w:rPr>
        </w:r>
        <w:r w:rsidR="00CB0AD0">
          <w:rPr>
            <w:noProof/>
            <w:webHidden/>
          </w:rPr>
          <w:fldChar w:fldCharType="separate"/>
        </w:r>
        <w:r w:rsidR="00CB0AD0">
          <w:rPr>
            <w:noProof/>
            <w:webHidden/>
          </w:rPr>
          <w:t>29</w:t>
        </w:r>
        <w:r w:rsidR="00CB0AD0">
          <w:rPr>
            <w:noProof/>
            <w:webHidden/>
          </w:rPr>
          <w:fldChar w:fldCharType="end"/>
        </w:r>
      </w:hyperlink>
    </w:p>
    <w:p w14:paraId="0AA82544" w14:textId="6EE29C18" w:rsidR="00CB0AD0" w:rsidRDefault="00DA7E94">
      <w:pPr>
        <w:pStyle w:val="TOC2"/>
        <w:tabs>
          <w:tab w:val="right" w:leader="underscore" w:pos="9016"/>
        </w:tabs>
        <w:rPr>
          <w:rFonts w:eastAsiaTheme="minorEastAsia"/>
          <w:noProof/>
          <w:color w:val="auto"/>
          <w:sz w:val="22"/>
          <w:szCs w:val="22"/>
          <w:lang w:eastAsia="en-GB"/>
        </w:rPr>
      </w:pPr>
      <w:hyperlink w:anchor="_Toc124497624" w:history="1">
        <w:r w:rsidR="00CB0AD0" w:rsidRPr="00977C7C">
          <w:rPr>
            <w:rStyle w:val="Hyperlink"/>
            <w:noProof/>
          </w:rPr>
          <w:t>Freedom of Information Act 2000</w:t>
        </w:r>
        <w:r w:rsidR="00CB0AD0">
          <w:rPr>
            <w:noProof/>
            <w:webHidden/>
          </w:rPr>
          <w:tab/>
        </w:r>
        <w:r w:rsidR="00CB0AD0">
          <w:rPr>
            <w:noProof/>
            <w:webHidden/>
          </w:rPr>
          <w:fldChar w:fldCharType="begin"/>
        </w:r>
        <w:r w:rsidR="00CB0AD0">
          <w:rPr>
            <w:noProof/>
            <w:webHidden/>
          </w:rPr>
          <w:instrText xml:space="preserve"> PAGEREF _Toc124497624 \h </w:instrText>
        </w:r>
        <w:r w:rsidR="00CB0AD0">
          <w:rPr>
            <w:noProof/>
            <w:webHidden/>
          </w:rPr>
        </w:r>
        <w:r w:rsidR="00CB0AD0">
          <w:rPr>
            <w:noProof/>
            <w:webHidden/>
          </w:rPr>
          <w:fldChar w:fldCharType="separate"/>
        </w:r>
        <w:r w:rsidR="00CB0AD0">
          <w:rPr>
            <w:noProof/>
            <w:webHidden/>
          </w:rPr>
          <w:t>29</w:t>
        </w:r>
        <w:r w:rsidR="00CB0AD0">
          <w:rPr>
            <w:noProof/>
            <w:webHidden/>
          </w:rPr>
          <w:fldChar w:fldCharType="end"/>
        </w:r>
      </w:hyperlink>
    </w:p>
    <w:p w14:paraId="6FAA4F68" w14:textId="1A0C005A" w:rsidR="00CB0AD0" w:rsidRDefault="00DA7E94">
      <w:pPr>
        <w:pStyle w:val="TOC2"/>
        <w:tabs>
          <w:tab w:val="right" w:leader="underscore" w:pos="9016"/>
        </w:tabs>
        <w:rPr>
          <w:rFonts w:eastAsiaTheme="minorEastAsia"/>
          <w:noProof/>
          <w:color w:val="auto"/>
          <w:sz w:val="22"/>
          <w:szCs w:val="22"/>
          <w:lang w:eastAsia="en-GB"/>
        </w:rPr>
      </w:pPr>
      <w:hyperlink w:anchor="_Toc124497625" w:history="1">
        <w:r w:rsidR="00CB0AD0" w:rsidRPr="00977C7C">
          <w:rPr>
            <w:rStyle w:val="Hyperlink"/>
            <w:noProof/>
          </w:rPr>
          <w:t>Public Services (Social Value) Act 2012</w:t>
        </w:r>
        <w:r w:rsidR="00CB0AD0">
          <w:rPr>
            <w:noProof/>
            <w:webHidden/>
          </w:rPr>
          <w:tab/>
        </w:r>
        <w:r w:rsidR="00CB0AD0">
          <w:rPr>
            <w:noProof/>
            <w:webHidden/>
          </w:rPr>
          <w:fldChar w:fldCharType="begin"/>
        </w:r>
        <w:r w:rsidR="00CB0AD0">
          <w:rPr>
            <w:noProof/>
            <w:webHidden/>
          </w:rPr>
          <w:instrText xml:space="preserve"> PAGEREF _Toc124497625 \h </w:instrText>
        </w:r>
        <w:r w:rsidR="00CB0AD0">
          <w:rPr>
            <w:noProof/>
            <w:webHidden/>
          </w:rPr>
        </w:r>
        <w:r w:rsidR="00CB0AD0">
          <w:rPr>
            <w:noProof/>
            <w:webHidden/>
          </w:rPr>
          <w:fldChar w:fldCharType="separate"/>
        </w:r>
        <w:r w:rsidR="00CB0AD0">
          <w:rPr>
            <w:noProof/>
            <w:webHidden/>
          </w:rPr>
          <w:t>30</w:t>
        </w:r>
        <w:r w:rsidR="00CB0AD0">
          <w:rPr>
            <w:noProof/>
            <w:webHidden/>
          </w:rPr>
          <w:fldChar w:fldCharType="end"/>
        </w:r>
      </w:hyperlink>
    </w:p>
    <w:p w14:paraId="73B54157" w14:textId="54A4B196" w:rsidR="00CB0AD0" w:rsidRDefault="00DA7E94">
      <w:pPr>
        <w:pStyle w:val="TOC2"/>
        <w:tabs>
          <w:tab w:val="right" w:leader="underscore" w:pos="9016"/>
        </w:tabs>
        <w:rPr>
          <w:rFonts w:eastAsiaTheme="minorEastAsia"/>
          <w:noProof/>
          <w:color w:val="auto"/>
          <w:sz w:val="22"/>
          <w:szCs w:val="22"/>
          <w:lang w:eastAsia="en-GB"/>
        </w:rPr>
      </w:pPr>
      <w:hyperlink w:anchor="_Toc124497626" w:history="1">
        <w:r w:rsidR="00CB0AD0" w:rsidRPr="00977C7C">
          <w:rPr>
            <w:rStyle w:val="Hyperlink"/>
            <w:rFonts w:eastAsia="Calibri"/>
            <w:noProof/>
            <w:lang w:eastAsia="en-GB"/>
          </w:rPr>
          <w:t>10.3.</w:t>
        </w:r>
        <w:r w:rsidR="00CB0AD0">
          <w:rPr>
            <w:rFonts w:eastAsiaTheme="minorEastAsia"/>
            <w:noProof/>
            <w:color w:val="auto"/>
            <w:sz w:val="22"/>
            <w:szCs w:val="22"/>
            <w:lang w:eastAsia="en-GB"/>
          </w:rPr>
          <w:tab/>
        </w:r>
        <w:r w:rsidR="00CB0AD0" w:rsidRPr="00977C7C">
          <w:rPr>
            <w:rStyle w:val="Hyperlink"/>
            <w:rFonts w:eastAsia="Calibri"/>
            <w:noProof/>
            <w:lang w:eastAsia="en-GB"/>
          </w:rPr>
          <w:t xml:space="preserve">Register of Procurement Decisions and </w:t>
        </w:r>
        <w:r w:rsidR="00CB0AD0" w:rsidRPr="00977C7C">
          <w:rPr>
            <w:rStyle w:val="Hyperlink"/>
            <w:rFonts w:eastAsia="Calibri"/>
            <w:noProof/>
          </w:rPr>
          <w:t>Contracts</w:t>
        </w:r>
        <w:r w:rsidR="00CB0AD0" w:rsidRPr="00977C7C">
          <w:rPr>
            <w:rStyle w:val="Hyperlink"/>
            <w:rFonts w:eastAsia="Calibri"/>
            <w:noProof/>
            <w:lang w:eastAsia="en-GB"/>
          </w:rPr>
          <w:t xml:space="preserve"> Awarded.</w:t>
        </w:r>
        <w:r w:rsidR="00CB0AD0">
          <w:rPr>
            <w:noProof/>
            <w:webHidden/>
          </w:rPr>
          <w:tab/>
        </w:r>
        <w:r w:rsidR="00CB0AD0">
          <w:rPr>
            <w:noProof/>
            <w:webHidden/>
          </w:rPr>
          <w:fldChar w:fldCharType="begin"/>
        </w:r>
        <w:r w:rsidR="00CB0AD0">
          <w:rPr>
            <w:noProof/>
            <w:webHidden/>
          </w:rPr>
          <w:instrText xml:space="preserve"> PAGEREF _Toc124497626 \h </w:instrText>
        </w:r>
        <w:r w:rsidR="00CB0AD0">
          <w:rPr>
            <w:noProof/>
            <w:webHidden/>
          </w:rPr>
        </w:r>
        <w:r w:rsidR="00CB0AD0">
          <w:rPr>
            <w:noProof/>
            <w:webHidden/>
          </w:rPr>
          <w:fldChar w:fldCharType="separate"/>
        </w:r>
        <w:r w:rsidR="00CB0AD0">
          <w:rPr>
            <w:noProof/>
            <w:webHidden/>
          </w:rPr>
          <w:t>30</w:t>
        </w:r>
        <w:r w:rsidR="00CB0AD0">
          <w:rPr>
            <w:noProof/>
            <w:webHidden/>
          </w:rPr>
          <w:fldChar w:fldCharType="end"/>
        </w:r>
      </w:hyperlink>
    </w:p>
    <w:p w14:paraId="0B988A7D" w14:textId="339D44CD" w:rsidR="00CB0AD0" w:rsidRDefault="00DA7E94">
      <w:pPr>
        <w:pStyle w:val="TOC1"/>
        <w:rPr>
          <w:rFonts w:eastAsiaTheme="minorEastAsia"/>
          <w:b w:val="0"/>
          <w:noProof/>
          <w:color w:val="auto"/>
          <w:sz w:val="22"/>
          <w:szCs w:val="22"/>
          <w:lang w:eastAsia="en-GB"/>
        </w:rPr>
      </w:pPr>
      <w:hyperlink w:anchor="_Toc124497627" w:history="1">
        <w:r w:rsidR="00CB0AD0" w:rsidRPr="00977C7C">
          <w:rPr>
            <w:rStyle w:val="Hyperlink"/>
            <w:noProof/>
          </w:rPr>
          <w:t>11.</w:t>
        </w:r>
        <w:r w:rsidR="00CB0AD0">
          <w:rPr>
            <w:rFonts w:eastAsiaTheme="minorEastAsia"/>
            <w:b w:val="0"/>
            <w:noProof/>
            <w:color w:val="auto"/>
            <w:sz w:val="22"/>
            <w:szCs w:val="22"/>
            <w:lang w:eastAsia="en-GB"/>
          </w:rPr>
          <w:tab/>
        </w:r>
        <w:r w:rsidR="00CB0AD0" w:rsidRPr="00977C7C">
          <w:rPr>
            <w:rStyle w:val="Hyperlink"/>
            <w:noProof/>
          </w:rPr>
          <w:t>References</w:t>
        </w:r>
        <w:r w:rsidR="00CB0AD0">
          <w:rPr>
            <w:noProof/>
            <w:webHidden/>
          </w:rPr>
          <w:tab/>
        </w:r>
        <w:r w:rsidR="00CB0AD0">
          <w:rPr>
            <w:noProof/>
            <w:webHidden/>
          </w:rPr>
          <w:fldChar w:fldCharType="begin"/>
        </w:r>
        <w:r w:rsidR="00CB0AD0">
          <w:rPr>
            <w:noProof/>
            <w:webHidden/>
          </w:rPr>
          <w:instrText xml:space="preserve"> PAGEREF _Toc124497627 \h </w:instrText>
        </w:r>
        <w:r w:rsidR="00CB0AD0">
          <w:rPr>
            <w:noProof/>
            <w:webHidden/>
          </w:rPr>
        </w:r>
        <w:r w:rsidR="00CB0AD0">
          <w:rPr>
            <w:noProof/>
            <w:webHidden/>
          </w:rPr>
          <w:fldChar w:fldCharType="separate"/>
        </w:r>
        <w:r w:rsidR="00CB0AD0">
          <w:rPr>
            <w:noProof/>
            <w:webHidden/>
          </w:rPr>
          <w:t>30</w:t>
        </w:r>
        <w:r w:rsidR="00CB0AD0">
          <w:rPr>
            <w:noProof/>
            <w:webHidden/>
          </w:rPr>
          <w:fldChar w:fldCharType="end"/>
        </w:r>
      </w:hyperlink>
    </w:p>
    <w:p w14:paraId="760595D4" w14:textId="55BD01EF" w:rsidR="00CB0AD0" w:rsidRDefault="00DA7E94">
      <w:pPr>
        <w:pStyle w:val="TOC1"/>
        <w:rPr>
          <w:rFonts w:eastAsiaTheme="minorEastAsia"/>
          <w:b w:val="0"/>
          <w:noProof/>
          <w:color w:val="auto"/>
          <w:sz w:val="22"/>
          <w:szCs w:val="22"/>
          <w:lang w:eastAsia="en-GB"/>
        </w:rPr>
      </w:pPr>
      <w:hyperlink w:anchor="_Toc124497628" w:history="1">
        <w:r w:rsidR="00CB0AD0" w:rsidRPr="00977C7C">
          <w:rPr>
            <w:rStyle w:val="Hyperlink"/>
            <w:noProof/>
          </w:rPr>
          <w:t>12.</w:t>
        </w:r>
        <w:r w:rsidR="00CB0AD0">
          <w:rPr>
            <w:rFonts w:eastAsiaTheme="minorEastAsia"/>
            <w:b w:val="0"/>
            <w:noProof/>
            <w:color w:val="auto"/>
            <w:sz w:val="22"/>
            <w:szCs w:val="22"/>
            <w:lang w:eastAsia="en-GB"/>
          </w:rPr>
          <w:tab/>
        </w:r>
        <w:r w:rsidR="00CB0AD0" w:rsidRPr="00977C7C">
          <w:rPr>
            <w:rStyle w:val="Hyperlink"/>
            <w:noProof/>
          </w:rPr>
          <w:t>Equality Impact Assessment</w:t>
        </w:r>
        <w:r w:rsidR="00CB0AD0">
          <w:rPr>
            <w:noProof/>
            <w:webHidden/>
          </w:rPr>
          <w:tab/>
        </w:r>
        <w:r w:rsidR="00CB0AD0">
          <w:rPr>
            <w:noProof/>
            <w:webHidden/>
          </w:rPr>
          <w:fldChar w:fldCharType="begin"/>
        </w:r>
        <w:r w:rsidR="00CB0AD0">
          <w:rPr>
            <w:noProof/>
            <w:webHidden/>
          </w:rPr>
          <w:instrText xml:space="preserve"> PAGEREF _Toc124497628 \h </w:instrText>
        </w:r>
        <w:r w:rsidR="00CB0AD0">
          <w:rPr>
            <w:noProof/>
            <w:webHidden/>
          </w:rPr>
        </w:r>
        <w:r w:rsidR="00CB0AD0">
          <w:rPr>
            <w:noProof/>
            <w:webHidden/>
          </w:rPr>
          <w:fldChar w:fldCharType="separate"/>
        </w:r>
        <w:r w:rsidR="00CB0AD0">
          <w:rPr>
            <w:noProof/>
            <w:webHidden/>
          </w:rPr>
          <w:t>32</w:t>
        </w:r>
        <w:r w:rsidR="00CB0AD0">
          <w:rPr>
            <w:noProof/>
            <w:webHidden/>
          </w:rPr>
          <w:fldChar w:fldCharType="end"/>
        </w:r>
      </w:hyperlink>
    </w:p>
    <w:p w14:paraId="4F51DD9A" w14:textId="65D19D3F" w:rsidR="00CB0AD0" w:rsidRDefault="00DA7E94">
      <w:pPr>
        <w:pStyle w:val="TOC1"/>
        <w:rPr>
          <w:rFonts w:eastAsiaTheme="minorEastAsia"/>
          <w:b w:val="0"/>
          <w:noProof/>
          <w:color w:val="auto"/>
          <w:sz w:val="22"/>
          <w:szCs w:val="22"/>
          <w:lang w:eastAsia="en-GB"/>
        </w:rPr>
      </w:pPr>
      <w:hyperlink w:anchor="_Toc124497629" w:history="1">
        <w:r w:rsidR="00CB0AD0" w:rsidRPr="00977C7C">
          <w:rPr>
            <w:rStyle w:val="Hyperlink"/>
            <w:noProof/>
          </w:rPr>
          <w:t>Appendix A - Equality Impact Assessment</w:t>
        </w:r>
        <w:r w:rsidR="00CB0AD0">
          <w:rPr>
            <w:noProof/>
            <w:webHidden/>
          </w:rPr>
          <w:tab/>
        </w:r>
        <w:r w:rsidR="00CB0AD0">
          <w:rPr>
            <w:noProof/>
            <w:webHidden/>
          </w:rPr>
          <w:fldChar w:fldCharType="begin"/>
        </w:r>
        <w:r w:rsidR="00CB0AD0">
          <w:rPr>
            <w:noProof/>
            <w:webHidden/>
          </w:rPr>
          <w:instrText xml:space="preserve"> PAGEREF _Toc124497629 \h </w:instrText>
        </w:r>
        <w:r w:rsidR="00CB0AD0">
          <w:rPr>
            <w:noProof/>
            <w:webHidden/>
          </w:rPr>
        </w:r>
        <w:r w:rsidR="00CB0AD0">
          <w:rPr>
            <w:noProof/>
            <w:webHidden/>
          </w:rPr>
          <w:fldChar w:fldCharType="separate"/>
        </w:r>
        <w:r w:rsidR="00CB0AD0">
          <w:rPr>
            <w:noProof/>
            <w:webHidden/>
          </w:rPr>
          <w:t>33</w:t>
        </w:r>
        <w:r w:rsidR="00CB0AD0">
          <w:rPr>
            <w:noProof/>
            <w:webHidden/>
          </w:rPr>
          <w:fldChar w:fldCharType="end"/>
        </w:r>
      </w:hyperlink>
    </w:p>
    <w:p w14:paraId="12AF32E4" w14:textId="4DD4F5B3" w:rsidR="00CB0AD0" w:rsidRDefault="00DA7E94">
      <w:pPr>
        <w:pStyle w:val="TOC1"/>
        <w:rPr>
          <w:rFonts w:eastAsiaTheme="minorEastAsia"/>
          <w:b w:val="0"/>
          <w:noProof/>
          <w:color w:val="auto"/>
          <w:sz w:val="22"/>
          <w:szCs w:val="22"/>
          <w:lang w:eastAsia="en-GB"/>
        </w:rPr>
      </w:pPr>
      <w:hyperlink w:anchor="_Toc124497630" w:history="1">
        <w:r w:rsidR="00CB0AD0" w:rsidRPr="00977C7C">
          <w:rPr>
            <w:rStyle w:val="Hyperlink"/>
            <w:noProof/>
          </w:rPr>
          <w:t>Appendix B – Proposed Legislative Changes</w:t>
        </w:r>
        <w:r w:rsidR="00CB0AD0">
          <w:rPr>
            <w:noProof/>
            <w:webHidden/>
          </w:rPr>
          <w:tab/>
        </w:r>
        <w:r w:rsidR="00CB0AD0">
          <w:rPr>
            <w:noProof/>
            <w:webHidden/>
          </w:rPr>
          <w:fldChar w:fldCharType="begin"/>
        </w:r>
        <w:r w:rsidR="00CB0AD0">
          <w:rPr>
            <w:noProof/>
            <w:webHidden/>
          </w:rPr>
          <w:instrText xml:space="preserve"> PAGEREF _Toc124497630 \h </w:instrText>
        </w:r>
        <w:r w:rsidR="00CB0AD0">
          <w:rPr>
            <w:noProof/>
            <w:webHidden/>
          </w:rPr>
        </w:r>
        <w:r w:rsidR="00CB0AD0">
          <w:rPr>
            <w:noProof/>
            <w:webHidden/>
          </w:rPr>
          <w:fldChar w:fldCharType="separate"/>
        </w:r>
        <w:r w:rsidR="00CB0AD0">
          <w:rPr>
            <w:noProof/>
            <w:webHidden/>
          </w:rPr>
          <w:t>35</w:t>
        </w:r>
        <w:r w:rsidR="00CB0AD0">
          <w:rPr>
            <w:noProof/>
            <w:webHidden/>
          </w:rPr>
          <w:fldChar w:fldCharType="end"/>
        </w:r>
      </w:hyperlink>
    </w:p>
    <w:p w14:paraId="79AC109D" w14:textId="6640156A"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C94305" w:rsidRDefault="00F913CD" w:rsidP="00C94305">
      <w:pPr>
        <w:pStyle w:val="Heading2"/>
      </w:pPr>
      <w:bookmarkStart w:id="3" w:name="_Toc84611043"/>
      <w:bookmarkStart w:id="4" w:name="_Toc89326544"/>
      <w:bookmarkStart w:id="5" w:name="_Toc124497562"/>
      <w:r w:rsidRPr="00C94305">
        <w:t>Introduction</w:t>
      </w:r>
      <w:bookmarkEnd w:id="3"/>
      <w:bookmarkEnd w:id="4"/>
      <w:bookmarkEnd w:id="5"/>
    </w:p>
    <w:p w14:paraId="653F9D63" w14:textId="2DBEC002" w:rsidR="00E7439C" w:rsidRPr="00C94305" w:rsidRDefault="00E7439C" w:rsidP="005A2406">
      <w:pPr>
        <w:pStyle w:val="Style1"/>
      </w:pPr>
      <w:r w:rsidRPr="00C94305">
        <w:t xml:space="preserve">The ICB approach to procurement is to operate within legal and policy frameworks and to use procurement as one of the system </w:t>
      </w:r>
      <w:proofErr w:type="gramStart"/>
      <w:r w:rsidRPr="00C94305">
        <w:t>management</w:t>
      </w:r>
      <w:proofErr w:type="gramEnd"/>
      <w:r w:rsidRPr="00C94305">
        <w:t xml:space="preserve"> tools available to strengthen </w:t>
      </w:r>
      <w:r w:rsidR="00924775" w:rsidRPr="00C94305">
        <w:t>population health and care</w:t>
      </w:r>
      <w:r w:rsidRPr="00C94305">
        <w:t xml:space="preserve"> outcomes and drive-up quality for patients.</w:t>
      </w:r>
    </w:p>
    <w:p w14:paraId="64280714" w14:textId="1159769A" w:rsidR="00F913CD" w:rsidRPr="00247F30" w:rsidRDefault="00E7439C" w:rsidP="005A2406">
      <w:pPr>
        <w:pStyle w:val="Style1"/>
      </w:pPr>
      <w:r w:rsidRPr="00247F30">
        <w:t>The ICB believes that it will only be able to deliver its vision in collaboration with others</w:t>
      </w:r>
      <w:r w:rsidR="00CF33D9" w:rsidRPr="00247F30">
        <w:t xml:space="preserve"> across the Mid &amp; South Essex system and ou</w:t>
      </w:r>
      <w:r w:rsidRPr="00247F30">
        <w:t xml:space="preserve">r success will depend upon close partnership working. We are committed to working in </w:t>
      </w:r>
      <w:r w:rsidR="00CA3277" w:rsidRPr="00247F30">
        <w:t>an integrated way</w:t>
      </w:r>
      <w:r w:rsidR="00CF33D9" w:rsidRPr="00247F30">
        <w:t xml:space="preserve"> as a system</w:t>
      </w:r>
      <w:r w:rsidRPr="00247F30">
        <w:t xml:space="preserve"> with the local community, local authorit</w:t>
      </w:r>
      <w:r w:rsidR="00CF33D9" w:rsidRPr="00247F30">
        <w:t>ies</w:t>
      </w:r>
      <w:r w:rsidRPr="00247F30">
        <w:t>, healthcare providers</w:t>
      </w:r>
      <w:r w:rsidR="00CF33D9" w:rsidRPr="00247F30">
        <w:t xml:space="preserve"> and other key stakeholders</w:t>
      </w:r>
      <w:r w:rsidRPr="00247F30">
        <w:t>.</w:t>
      </w:r>
    </w:p>
    <w:p w14:paraId="3C3D995D" w14:textId="77777777" w:rsidR="005A2406" w:rsidRDefault="00F913CD" w:rsidP="005A2406">
      <w:pPr>
        <w:pStyle w:val="Heading2"/>
      </w:pPr>
      <w:bookmarkStart w:id="6" w:name="_Toc89326545"/>
      <w:bookmarkStart w:id="7" w:name="_Toc124497563"/>
      <w:r w:rsidRPr="00247F30">
        <w:t>Purpose / Policy Statement</w:t>
      </w:r>
      <w:bookmarkEnd w:id="6"/>
      <w:bookmarkEnd w:id="7"/>
    </w:p>
    <w:p w14:paraId="5C8DCB73" w14:textId="7F21516C" w:rsidR="00E94065" w:rsidRPr="005A2406" w:rsidRDefault="00E94065" w:rsidP="005A2406">
      <w:pPr>
        <w:pStyle w:val="Style1"/>
      </w:pPr>
      <w:r w:rsidRPr="005A2406">
        <w:t xml:space="preserve">This procurement policy sets out the framework within which the ICB will work to ensure that the development of commissioning strategies and any associated procurement directly contributes to the ICB’s corporate aims and objectives and meets legal requirements. </w:t>
      </w:r>
    </w:p>
    <w:p w14:paraId="14C752D3" w14:textId="27A4C067" w:rsidR="00F913CD" w:rsidRDefault="00C81DA9" w:rsidP="005A2406">
      <w:pPr>
        <w:pStyle w:val="Style1"/>
      </w:pPr>
      <w:r w:rsidRPr="00C81DA9">
        <w:t>The Policy objectives are:</w:t>
      </w:r>
    </w:p>
    <w:p w14:paraId="6BCAB778" w14:textId="2E83D81D" w:rsidR="00C81DA9" w:rsidRDefault="00C81DA9" w:rsidP="00664C52">
      <w:pPr>
        <w:pStyle w:val="ListParagraph"/>
        <w:numPr>
          <w:ilvl w:val="0"/>
          <w:numId w:val="8"/>
        </w:numPr>
        <w:spacing w:after="120"/>
        <w:ind w:left="1418" w:hanging="284"/>
        <w:contextualSpacing w:val="0"/>
        <w:jc w:val="both"/>
      </w:pPr>
      <w:r>
        <w:t>To set out the principles, rules, and methodologies that the ICB shall work to and clearly outlines how and when it is appropriate to seek to introduce contestability as a means of achieving the best clinical outcomes and achieve value for money.</w:t>
      </w:r>
    </w:p>
    <w:p w14:paraId="5AED7020" w14:textId="6D5402B7" w:rsidR="00C81DA9" w:rsidRDefault="00C81DA9" w:rsidP="00664C52">
      <w:pPr>
        <w:pStyle w:val="ListParagraph"/>
        <w:numPr>
          <w:ilvl w:val="0"/>
          <w:numId w:val="8"/>
        </w:numPr>
        <w:spacing w:after="120"/>
        <w:ind w:left="1418" w:hanging="284"/>
        <w:contextualSpacing w:val="0"/>
        <w:jc w:val="both"/>
      </w:pPr>
      <w:r>
        <w:t xml:space="preserve">To set out the approach for facilitating open and fair, robust, and enforceable contracts that provide value for money and deliver required quality standards and </w:t>
      </w:r>
      <w:r w:rsidR="002E4B58">
        <w:t xml:space="preserve">population health </w:t>
      </w:r>
      <w:r>
        <w:t>outcomes, with effective performance measures and contractual levers</w:t>
      </w:r>
      <w:r w:rsidR="002E4B58">
        <w:t xml:space="preserve"> as necessary</w:t>
      </w:r>
      <w:r>
        <w:t>.</w:t>
      </w:r>
    </w:p>
    <w:p w14:paraId="61F36D70" w14:textId="3EE310D6" w:rsidR="00C81DA9" w:rsidRDefault="00C81DA9" w:rsidP="00664C52">
      <w:pPr>
        <w:pStyle w:val="ListParagraph"/>
        <w:numPr>
          <w:ilvl w:val="0"/>
          <w:numId w:val="8"/>
        </w:numPr>
        <w:spacing w:after="120"/>
        <w:ind w:left="1418" w:hanging="284"/>
        <w:contextualSpacing w:val="0"/>
        <w:jc w:val="both"/>
      </w:pPr>
      <w:r>
        <w:t xml:space="preserve">To describe the transparent and proportional process by which the ICB will determine whether products and/or services are to be </w:t>
      </w:r>
      <w:r w:rsidR="00FF6559">
        <w:t>purchased</w:t>
      </w:r>
      <w:r>
        <w:t xml:space="preserve"> through existing contracts with providers, competitive tenders, via a framework approach or through a non-competitive process.</w:t>
      </w:r>
    </w:p>
    <w:p w14:paraId="52BA5E84" w14:textId="4FB58E96" w:rsidR="00C81DA9" w:rsidRDefault="00C81DA9" w:rsidP="00664C52">
      <w:pPr>
        <w:pStyle w:val="ListParagraph"/>
        <w:numPr>
          <w:ilvl w:val="0"/>
          <w:numId w:val="8"/>
        </w:numPr>
        <w:spacing w:after="120"/>
        <w:ind w:left="1418" w:hanging="284"/>
        <w:contextualSpacing w:val="0"/>
        <w:jc w:val="both"/>
      </w:pPr>
      <w:r>
        <w:t>To enable early determination of whether, and how, services are to be opened to the market, to facilitate open and fair discussion with existing and potential providers and thereby to facilitate good working relationships</w:t>
      </w:r>
      <w:r w:rsidR="00FF6559">
        <w:t xml:space="preserve"> and broader integration</w:t>
      </w:r>
      <w:r>
        <w:t>.</w:t>
      </w:r>
    </w:p>
    <w:p w14:paraId="52C8DF52" w14:textId="2F908374" w:rsidR="00C81DA9" w:rsidRDefault="00C81DA9" w:rsidP="00664C52">
      <w:pPr>
        <w:pStyle w:val="ListParagraph"/>
        <w:numPr>
          <w:ilvl w:val="0"/>
          <w:numId w:val="8"/>
        </w:numPr>
        <w:spacing w:after="120"/>
        <w:ind w:left="1418" w:hanging="284"/>
        <w:contextualSpacing w:val="0"/>
        <w:jc w:val="both"/>
      </w:pPr>
      <w:r>
        <w:t xml:space="preserve">To set out how the ICB will meet statutory procurement requirements primarily the National Health Service (Procurement, Patient </w:t>
      </w:r>
      <w:proofErr w:type="gramStart"/>
      <w:r>
        <w:t>Choice</w:t>
      </w:r>
      <w:proofErr w:type="gramEnd"/>
      <w:r>
        <w:t xml:space="preserve"> and Competition) Regulations 2013, and The Public Contracts Regulations</w:t>
      </w:r>
      <w:r w:rsidR="00E57065">
        <w:t xml:space="preserve"> (PCR)</w:t>
      </w:r>
      <w:r>
        <w:t xml:space="preserve"> 2015 (as amended by The Public Procurement (Amendment etc.) (EU Exit) Regulations 2020).</w:t>
      </w:r>
    </w:p>
    <w:p w14:paraId="7F2C1FCE" w14:textId="183AC98B" w:rsidR="00C81DA9" w:rsidRDefault="00C81DA9" w:rsidP="00664C52">
      <w:pPr>
        <w:pStyle w:val="ListParagraph"/>
        <w:numPr>
          <w:ilvl w:val="0"/>
          <w:numId w:val="8"/>
        </w:numPr>
        <w:spacing w:after="120"/>
        <w:ind w:left="1418" w:hanging="284"/>
        <w:contextualSpacing w:val="0"/>
        <w:jc w:val="both"/>
      </w:pPr>
      <w:r>
        <w:t>To ensure the ICB does not engage in anti-competitive behaviour and</w:t>
      </w:r>
      <w:r w:rsidR="00664C52">
        <w:t xml:space="preserve"> to</w:t>
      </w:r>
      <w:r>
        <w:t xml:space="preserve"> protect and promote the right of patients to make choices about their </w:t>
      </w:r>
      <w:r w:rsidR="00664C52">
        <w:t>care</w:t>
      </w:r>
      <w:r>
        <w:t>.</w:t>
      </w:r>
    </w:p>
    <w:p w14:paraId="3DC1189B" w14:textId="6DDFA622" w:rsidR="00F913CD" w:rsidRPr="0015255F" w:rsidRDefault="00C81DA9" w:rsidP="00664C52">
      <w:pPr>
        <w:pStyle w:val="ListParagraph"/>
        <w:numPr>
          <w:ilvl w:val="0"/>
          <w:numId w:val="8"/>
        </w:numPr>
        <w:ind w:left="1418" w:hanging="284"/>
        <w:jc w:val="both"/>
      </w:pPr>
      <w:r>
        <w:t>To enable the ICB to demonstrate compliance with the principles of good procurement practice</w:t>
      </w:r>
      <w:r w:rsidR="00664C52">
        <w:t>.</w:t>
      </w:r>
    </w:p>
    <w:p w14:paraId="4F2CF9BC" w14:textId="6742887B" w:rsidR="00B37EEC" w:rsidRDefault="00800305" w:rsidP="00C94305">
      <w:pPr>
        <w:pStyle w:val="Heading2"/>
      </w:pPr>
      <w:bookmarkStart w:id="8" w:name="_Toc124497564"/>
      <w:bookmarkStart w:id="9" w:name="_Toc89326546"/>
      <w:r>
        <w:t>Scope</w:t>
      </w:r>
      <w:bookmarkEnd w:id="8"/>
    </w:p>
    <w:p w14:paraId="63E6552F" w14:textId="03CEC801" w:rsidR="000A2B26" w:rsidRDefault="000A2B26" w:rsidP="005A2406">
      <w:pPr>
        <w:pStyle w:val="Style1"/>
      </w:pPr>
      <w:r>
        <w:t xml:space="preserve">This </w:t>
      </w:r>
      <w:r w:rsidRPr="00C94305">
        <w:t>policy</w:t>
      </w:r>
      <w:r>
        <w:t xml:space="preserve"> applies to all staff and members of the ICB and any third party working in association with, or on behalf of, the ICB. This policy applies to all ICB procurements (clinical and non-clinical). However, certain sections only relate to procurement of health and social care services.</w:t>
      </w:r>
    </w:p>
    <w:p w14:paraId="4F7EF54A" w14:textId="1A874941" w:rsidR="000A2B26" w:rsidRDefault="000A2B26" w:rsidP="000F52A7">
      <w:pPr>
        <w:jc w:val="both"/>
      </w:pPr>
      <w:r>
        <w:t>It applies to all procurement activity and decision making related to the delivery of health</w:t>
      </w:r>
      <w:r w:rsidR="00811D4A">
        <w:t xml:space="preserve"> and </w:t>
      </w:r>
      <w:r>
        <w:t>care services</w:t>
      </w:r>
      <w:r w:rsidR="00302737">
        <w:t xml:space="preserve"> including, but not limited to</w:t>
      </w:r>
      <w:r>
        <w:t>:</w:t>
      </w:r>
    </w:p>
    <w:p w14:paraId="5494E7E8" w14:textId="24B5AD1B" w:rsidR="000A2B26" w:rsidRDefault="000A2B26" w:rsidP="00302737">
      <w:pPr>
        <w:ind w:left="1560" w:right="237" w:hanging="284"/>
      </w:pPr>
      <w:r>
        <w:t>1.</w:t>
      </w:r>
      <w:r>
        <w:tab/>
      </w:r>
      <w:r w:rsidR="00302737">
        <w:t xml:space="preserve">the </w:t>
      </w:r>
      <w:r>
        <w:t xml:space="preserve">development </w:t>
      </w:r>
      <w:r w:rsidR="00302737">
        <w:t>and</w:t>
      </w:r>
      <w:r>
        <w:t xml:space="preserve"> approval of business cases and specifications for </w:t>
      </w:r>
      <w:r w:rsidR="00CE021D">
        <w:t xml:space="preserve">goods and </w:t>
      </w:r>
      <w:r>
        <w:t>services</w:t>
      </w:r>
      <w:r w:rsidR="00CE021D">
        <w:t>.</w:t>
      </w:r>
    </w:p>
    <w:p w14:paraId="6F9188D1" w14:textId="04B141D5" w:rsidR="000A2B26" w:rsidRDefault="000A2B26" w:rsidP="00302737">
      <w:pPr>
        <w:ind w:left="1560" w:right="237" w:hanging="284"/>
      </w:pPr>
      <w:r>
        <w:t>2.</w:t>
      </w:r>
      <w:r>
        <w:tab/>
      </w:r>
      <w:r w:rsidR="00302737">
        <w:t xml:space="preserve">the </w:t>
      </w:r>
      <w:r>
        <w:t>determination of which organisations shall provide services</w:t>
      </w:r>
      <w:r w:rsidR="00CE021D">
        <w:t>.</w:t>
      </w:r>
    </w:p>
    <w:p w14:paraId="33183D9F" w14:textId="704E60FB" w:rsidR="001E64E4" w:rsidRDefault="000A2B26" w:rsidP="005A2406">
      <w:pPr>
        <w:ind w:left="1560" w:right="237" w:hanging="284"/>
      </w:pPr>
      <w:r>
        <w:t>3.</w:t>
      </w:r>
      <w:r>
        <w:tab/>
      </w:r>
      <w:r w:rsidR="00302737">
        <w:t xml:space="preserve">the </w:t>
      </w:r>
      <w:r>
        <w:t>determination of whether a service should be decommissioned.</w:t>
      </w:r>
    </w:p>
    <w:p w14:paraId="33D9D5BD" w14:textId="377AD638" w:rsidR="00F913CD" w:rsidRDefault="00F913CD" w:rsidP="00C94305">
      <w:pPr>
        <w:pStyle w:val="Heading2"/>
      </w:pPr>
      <w:bookmarkStart w:id="10" w:name="_Toc124497565"/>
      <w:r w:rsidRPr="0015255F">
        <w:t>Definitions</w:t>
      </w:r>
      <w:bookmarkEnd w:id="9"/>
      <w:bookmarkEnd w:id="10"/>
    </w:p>
    <w:tbl>
      <w:tblPr>
        <w:tblStyle w:val="ListTable3-Accent1"/>
        <w:tblW w:w="9209" w:type="dxa"/>
        <w:tblLayout w:type="fixed"/>
        <w:tblLook w:val="01E0" w:firstRow="1" w:lastRow="1" w:firstColumn="1" w:lastColumn="1" w:noHBand="0" w:noVBand="0"/>
      </w:tblPr>
      <w:tblGrid>
        <w:gridCol w:w="2518"/>
        <w:gridCol w:w="6691"/>
      </w:tblGrid>
      <w:tr w:rsidR="001E12C4" w:rsidRPr="00C410A2" w14:paraId="2831C3CA" w14:textId="77777777" w:rsidTr="004B4AE2">
        <w:trPr>
          <w:cnfStyle w:val="100000000000" w:firstRow="1" w:lastRow="0" w:firstColumn="0" w:lastColumn="0" w:oddVBand="0" w:evenVBand="0" w:oddHBand="0" w:evenHBand="0" w:firstRowFirstColumn="0" w:firstRowLastColumn="0" w:lastRowFirstColumn="0" w:lastRowLastColumn="0"/>
          <w:trHeight w:hRule="exact" w:val="341"/>
          <w:tblHeader/>
        </w:trPr>
        <w:tc>
          <w:tcPr>
            <w:cnfStyle w:val="001000000100" w:firstRow="0" w:lastRow="0" w:firstColumn="1" w:lastColumn="0" w:oddVBand="0" w:evenVBand="0" w:oddHBand="0" w:evenHBand="0" w:firstRowFirstColumn="1" w:firstRowLastColumn="0" w:lastRowFirstColumn="0" w:lastRowLastColumn="0"/>
            <w:tcW w:w="2518" w:type="dxa"/>
            <w:tcBorders>
              <w:top w:val="single" w:sz="4" w:space="0" w:color="003087" w:themeColor="accent1"/>
              <w:right w:val="single" w:sz="4" w:space="0" w:color="003087" w:themeColor="accent1"/>
            </w:tcBorders>
          </w:tcPr>
          <w:p w14:paraId="5DD5BEE2" w14:textId="77777777" w:rsidR="001E12C4" w:rsidRPr="005A2406" w:rsidRDefault="001E12C4" w:rsidP="00C410A2">
            <w:pPr>
              <w:pStyle w:val="NoSpacing"/>
              <w:jc w:val="center"/>
              <w:rPr>
                <w:rFonts w:cstheme="minorHAnsi"/>
              </w:rPr>
            </w:pPr>
            <w:r w:rsidRPr="005A2406">
              <w:rPr>
                <w:rFonts w:cstheme="minorHAnsi"/>
              </w:rPr>
              <w:t>Term</w:t>
            </w:r>
          </w:p>
        </w:tc>
        <w:tc>
          <w:tcPr>
            <w:cnfStyle w:val="000100001000" w:firstRow="0" w:lastRow="0" w:firstColumn="0" w:lastColumn="1" w:oddVBand="0" w:evenVBand="0" w:oddHBand="0" w:evenHBand="0" w:firstRowFirstColumn="0" w:firstRowLastColumn="1" w:lastRowFirstColumn="0" w:lastRowLastColumn="0"/>
            <w:tcW w:w="6691" w:type="dxa"/>
            <w:tcBorders>
              <w:top w:val="single" w:sz="4" w:space="0" w:color="003087" w:themeColor="accent1"/>
              <w:left w:val="single" w:sz="4" w:space="0" w:color="003087" w:themeColor="accent1"/>
            </w:tcBorders>
          </w:tcPr>
          <w:p w14:paraId="6C08C9C7" w14:textId="77777777" w:rsidR="001E12C4" w:rsidRPr="005A2406" w:rsidRDefault="001E12C4" w:rsidP="00C410A2">
            <w:pPr>
              <w:pStyle w:val="NoSpacing"/>
              <w:jc w:val="center"/>
              <w:rPr>
                <w:rFonts w:cstheme="minorHAnsi"/>
              </w:rPr>
            </w:pPr>
            <w:r w:rsidRPr="005A2406">
              <w:rPr>
                <w:rFonts w:cstheme="minorHAnsi"/>
              </w:rPr>
              <w:t>Definition</w:t>
            </w:r>
          </w:p>
        </w:tc>
      </w:tr>
      <w:tr w:rsidR="001E12C4" w:rsidRPr="001E12C4" w:rsidDel="00984CCB" w14:paraId="3DC843C1" w14:textId="77777777" w:rsidTr="009D29F9">
        <w:trPr>
          <w:cnfStyle w:val="000000100000" w:firstRow="0" w:lastRow="0" w:firstColumn="0" w:lastColumn="0" w:oddVBand="0" w:evenVBand="0" w:oddHBand="1" w:evenHBand="0" w:firstRowFirstColumn="0" w:firstRowLastColumn="0" w:lastRowFirstColumn="0" w:lastRowLastColumn="0"/>
          <w:trHeight w:hRule="exact" w:val="98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1830F6D3"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Calibri" w:cstheme="minorHAnsi"/>
                <w:color w:val="auto"/>
                <w:sz w:val="22"/>
                <w:szCs w:val="22"/>
                <w:lang w:val="en-US"/>
              </w:rPr>
              <w:t>Accelerated procedure</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2979B959" w14:textId="28257014" w:rsidR="001E12C4" w:rsidRPr="005A2406" w:rsidDel="00984CCB" w:rsidRDefault="00F7542E" w:rsidP="001E12C4">
            <w:pPr>
              <w:widowControl w:val="0"/>
              <w:spacing w:before="0" w:after="0"/>
              <w:ind w:left="102"/>
              <w:rPr>
                <w:rFonts w:eastAsia="Calibri" w:cstheme="minorHAnsi"/>
                <w:b w:val="0"/>
                <w:bCs w:val="0"/>
                <w:color w:val="auto"/>
                <w:sz w:val="22"/>
                <w:szCs w:val="22"/>
                <w:lang w:val="en-US"/>
              </w:rPr>
            </w:pPr>
            <w:r>
              <w:rPr>
                <w:rFonts w:eastAsia="Calibri" w:cstheme="minorHAnsi"/>
                <w:b w:val="0"/>
                <w:bCs w:val="0"/>
                <w:color w:val="auto"/>
                <w:sz w:val="22"/>
                <w:szCs w:val="22"/>
                <w:lang w:val="en-US"/>
              </w:rPr>
              <w:t>W</w:t>
            </w:r>
            <w:r w:rsidR="001E12C4" w:rsidRPr="005A2406">
              <w:rPr>
                <w:rFonts w:eastAsia="Calibri" w:cstheme="minorHAnsi"/>
                <w:b w:val="0"/>
                <w:bCs w:val="0"/>
                <w:color w:val="auto"/>
                <w:sz w:val="22"/>
                <w:szCs w:val="22"/>
                <w:lang w:val="en-US"/>
              </w:rPr>
              <w:t xml:space="preserve">here the relevant timescales for the particular type of procurement process can be shortened, </w:t>
            </w:r>
            <w:proofErr w:type="gramStart"/>
            <w:r w:rsidR="001E12C4" w:rsidRPr="005A2406">
              <w:rPr>
                <w:rFonts w:eastAsia="Calibri" w:cstheme="minorHAnsi"/>
                <w:b w:val="0"/>
                <w:bCs w:val="0"/>
                <w:color w:val="auto"/>
                <w:sz w:val="22"/>
                <w:szCs w:val="22"/>
                <w:lang w:val="en-US"/>
              </w:rPr>
              <w:t>e.g.</w:t>
            </w:r>
            <w:proofErr w:type="gramEnd"/>
            <w:r w:rsidR="001E12C4" w:rsidRPr="005A2406">
              <w:rPr>
                <w:rFonts w:eastAsia="Calibri" w:cstheme="minorHAnsi"/>
                <w:b w:val="0"/>
                <w:bCs w:val="0"/>
                <w:color w:val="auto"/>
                <w:sz w:val="22"/>
                <w:szCs w:val="22"/>
                <w:lang w:val="en-US"/>
              </w:rPr>
              <w:t xml:space="preserve"> in certain circumstances where a procurement is "urgent".</w:t>
            </w:r>
          </w:p>
        </w:tc>
      </w:tr>
      <w:tr w:rsidR="001E12C4" w:rsidRPr="001E12C4" w:rsidDel="00984CCB" w14:paraId="4E71DB06" w14:textId="77777777" w:rsidTr="009D29F9">
        <w:trPr>
          <w:trHeight w:hRule="exact" w:val="71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46DC1456"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Award criteria</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0404FD30" w14:textId="7F9B12F5" w:rsidR="001E12C4" w:rsidRPr="005A2406" w:rsidDel="00984CCB" w:rsidRDefault="00F7542E" w:rsidP="001E12C4">
            <w:pPr>
              <w:widowControl w:val="0"/>
              <w:spacing w:before="0" w:after="0"/>
              <w:ind w:left="102"/>
              <w:rPr>
                <w:rFonts w:eastAsia="Calibri" w:cstheme="minorHAnsi"/>
                <w:b w:val="0"/>
                <w:bCs w:val="0"/>
                <w:color w:val="auto"/>
                <w:sz w:val="22"/>
                <w:szCs w:val="22"/>
                <w:lang w:val="en-US"/>
              </w:rPr>
            </w:pPr>
            <w:r>
              <w:rPr>
                <w:rFonts w:eastAsia="Times New Roman" w:cstheme="minorHAnsi"/>
                <w:b w:val="0"/>
                <w:bCs w:val="0"/>
                <w:color w:val="auto"/>
                <w:sz w:val="22"/>
                <w:szCs w:val="22"/>
                <w:lang w:val="en-US" w:eastAsia="en-GB"/>
              </w:rPr>
              <w:t>T</w:t>
            </w:r>
            <w:r w:rsidR="001E12C4" w:rsidRPr="005A2406">
              <w:rPr>
                <w:rFonts w:eastAsia="Times New Roman" w:cstheme="minorHAnsi"/>
                <w:b w:val="0"/>
                <w:bCs w:val="0"/>
                <w:color w:val="auto"/>
                <w:sz w:val="22"/>
                <w:szCs w:val="22"/>
                <w:lang w:val="en-US" w:eastAsia="en-GB"/>
              </w:rPr>
              <w:t>he list of key criteria that is used to assess a Provider’s tender.</w:t>
            </w:r>
          </w:p>
        </w:tc>
      </w:tr>
      <w:tr w:rsidR="001E12C4" w:rsidRPr="001E12C4" w14:paraId="384DE4A8" w14:textId="77777777" w:rsidTr="009D29F9">
        <w:trPr>
          <w:cnfStyle w:val="000000100000" w:firstRow="0" w:lastRow="0" w:firstColumn="0" w:lastColumn="0" w:oddVBand="0" w:evenVBand="0" w:oddHBand="1" w:evenHBand="0" w:firstRowFirstColumn="0" w:firstRowLastColumn="0" w:lastRowFirstColumn="0" w:lastRowLastColumn="0"/>
          <w:trHeight w:hRule="exact" w:val="1759"/>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00EC650D" w14:textId="77777777" w:rsidR="001E12C4" w:rsidRPr="005A2406" w:rsidRDefault="001E12C4" w:rsidP="001E12C4">
            <w:pPr>
              <w:widowControl w:val="0"/>
              <w:spacing w:before="0" w:after="0"/>
              <w:ind w:left="102"/>
              <w:rPr>
                <w:rFonts w:eastAsia="Times New Roman" w:cstheme="minorHAnsi"/>
                <w:b w:val="0"/>
                <w:color w:val="auto"/>
                <w:sz w:val="22"/>
                <w:szCs w:val="22"/>
                <w:lang w:val="en-US" w:eastAsia="en-GB"/>
              </w:rPr>
            </w:pPr>
            <w:r w:rsidRPr="005A2406">
              <w:rPr>
                <w:rFonts w:eastAsia="Times New Roman" w:cstheme="minorHAnsi"/>
                <w:color w:val="auto"/>
                <w:sz w:val="22"/>
                <w:szCs w:val="22"/>
                <w:lang w:val="en-US" w:eastAsia="en-GB"/>
              </w:rPr>
              <w:t>Bribery (active and passive)</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07ED5E78" w14:textId="77777777" w:rsidR="001E12C4" w:rsidRPr="005A2406" w:rsidRDefault="001E12C4"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Giving or receiving a financial or other advantage in connection with the improper performance of a position of trust, or a function that is expected to be performed impartially or in good faith. (Active bribery: promising or giving a financial or other advantage. Passive bribery: agreeing to receive or accepting a financial or other advantage).</w:t>
            </w:r>
          </w:p>
        </w:tc>
      </w:tr>
      <w:tr w:rsidR="001E12C4" w:rsidRPr="001E12C4" w:rsidDel="00984CCB" w14:paraId="0136AD6A" w14:textId="77777777" w:rsidTr="009D29F9">
        <w:trPr>
          <w:trHeight w:hRule="exact" w:val="808"/>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1F49D5D1"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Call-off Contract</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6E9C6760" w14:textId="45DDF6A1" w:rsidR="001E12C4" w:rsidRPr="005A2406" w:rsidDel="00984CCB" w:rsidRDefault="00F7542E" w:rsidP="001E12C4">
            <w:pPr>
              <w:widowControl w:val="0"/>
              <w:spacing w:before="0" w:after="0"/>
              <w:ind w:left="102"/>
              <w:rPr>
                <w:rFonts w:eastAsia="Calibri" w:cstheme="minorHAnsi"/>
                <w:b w:val="0"/>
                <w:bCs w:val="0"/>
                <w:color w:val="auto"/>
                <w:sz w:val="22"/>
                <w:szCs w:val="22"/>
                <w:lang w:val="en-US" w:eastAsia="en-GB"/>
              </w:rPr>
            </w:pPr>
            <w:r>
              <w:rPr>
                <w:rFonts w:eastAsia="Times New Roman" w:cstheme="minorHAnsi"/>
                <w:b w:val="0"/>
                <w:bCs w:val="0"/>
                <w:color w:val="auto"/>
                <w:sz w:val="22"/>
                <w:szCs w:val="22"/>
                <w:lang w:val="en-US" w:eastAsia="en-GB"/>
              </w:rPr>
              <w:t>A</w:t>
            </w:r>
            <w:r w:rsidR="001E12C4" w:rsidRPr="005A2406">
              <w:rPr>
                <w:rFonts w:eastAsia="Times New Roman" w:cstheme="minorHAnsi"/>
                <w:b w:val="0"/>
                <w:bCs w:val="0"/>
                <w:color w:val="auto"/>
                <w:sz w:val="22"/>
                <w:szCs w:val="22"/>
                <w:lang w:val="en-US" w:eastAsia="en-GB"/>
              </w:rPr>
              <w:t xml:space="preserve">n individual contract awarded under a framework agreement for the provision of </w:t>
            </w:r>
            <w:proofErr w:type="gramStart"/>
            <w:r w:rsidR="001E12C4" w:rsidRPr="005A2406">
              <w:rPr>
                <w:rFonts w:eastAsia="Times New Roman" w:cstheme="minorHAnsi"/>
                <w:b w:val="0"/>
                <w:bCs w:val="0"/>
                <w:color w:val="auto"/>
                <w:sz w:val="22"/>
                <w:szCs w:val="22"/>
                <w:lang w:val="en-US" w:eastAsia="en-GB"/>
              </w:rPr>
              <w:t>particular services</w:t>
            </w:r>
            <w:proofErr w:type="gramEnd"/>
            <w:r w:rsidR="001E12C4" w:rsidRPr="005A2406">
              <w:rPr>
                <w:rFonts w:eastAsia="Times New Roman" w:cstheme="minorHAnsi"/>
                <w:b w:val="0"/>
                <w:bCs w:val="0"/>
                <w:color w:val="auto"/>
                <w:sz w:val="22"/>
                <w:szCs w:val="22"/>
                <w:lang w:val="en-US" w:eastAsia="en-GB"/>
              </w:rPr>
              <w:t>, goods or works.</w:t>
            </w:r>
          </w:p>
        </w:tc>
      </w:tr>
      <w:tr w:rsidR="001E12C4" w:rsidRPr="001E12C4" w:rsidDel="00984CCB" w14:paraId="4808BEFA" w14:textId="77777777" w:rsidTr="009D29F9">
        <w:trPr>
          <w:cnfStyle w:val="000000100000" w:firstRow="0" w:lastRow="0" w:firstColumn="0" w:lastColumn="0" w:oddVBand="0" w:evenVBand="0" w:oddHBand="1" w:evenHBand="0" w:firstRowFirstColumn="0" w:firstRowLastColumn="0" w:lastRowFirstColumn="0" w:lastRowLastColumn="0"/>
          <w:trHeight w:hRule="exact" w:val="99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29A75F66"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CCS</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1503A61F" w14:textId="25CC081E" w:rsidR="001E12C4" w:rsidRPr="005A2406" w:rsidDel="00984CCB" w:rsidRDefault="00F7542E" w:rsidP="001E12C4">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T</w:t>
            </w:r>
            <w:r w:rsidR="001E12C4" w:rsidRPr="005A2406">
              <w:rPr>
                <w:rFonts w:eastAsia="Times New Roman" w:cstheme="minorHAnsi"/>
                <w:b w:val="0"/>
                <w:bCs w:val="0"/>
                <w:color w:val="auto"/>
                <w:sz w:val="22"/>
                <w:szCs w:val="22"/>
                <w:lang w:val="en-US" w:eastAsia="en-GB"/>
              </w:rPr>
              <w:t xml:space="preserve">he Crown Commercial Service </w:t>
            </w:r>
            <w:r w:rsidR="0088273F">
              <w:rPr>
                <w:rFonts w:eastAsia="Times New Roman" w:cstheme="minorHAnsi"/>
                <w:b w:val="0"/>
                <w:bCs w:val="0"/>
                <w:color w:val="auto"/>
                <w:sz w:val="22"/>
                <w:szCs w:val="22"/>
                <w:lang w:val="en-US" w:eastAsia="en-GB"/>
              </w:rPr>
              <w:t>which</w:t>
            </w:r>
            <w:r w:rsidR="001E12C4" w:rsidRPr="005A2406">
              <w:rPr>
                <w:rFonts w:eastAsia="Times New Roman" w:cstheme="minorHAnsi"/>
                <w:b w:val="0"/>
                <w:bCs w:val="0"/>
                <w:color w:val="auto"/>
                <w:sz w:val="22"/>
                <w:szCs w:val="22"/>
                <w:lang w:val="en-US" w:eastAsia="en-GB"/>
              </w:rPr>
              <w:t xml:space="preserve"> brings together policy, </w:t>
            </w:r>
            <w:proofErr w:type="gramStart"/>
            <w:r w:rsidR="001E12C4" w:rsidRPr="005A2406">
              <w:rPr>
                <w:rFonts w:eastAsia="Times New Roman" w:cstheme="minorHAnsi"/>
                <w:b w:val="0"/>
                <w:bCs w:val="0"/>
                <w:color w:val="auto"/>
                <w:sz w:val="22"/>
                <w:szCs w:val="22"/>
                <w:lang w:val="en-US" w:eastAsia="en-GB"/>
              </w:rPr>
              <w:t>advice</w:t>
            </w:r>
            <w:proofErr w:type="gramEnd"/>
            <w:r w:rsidR="001E12C4" w:rsidRPr="005A2406">
              <w:rPr>
                <w:rFonts w:eastAsia="Times New Roman" w:cstheme="minorHAnsi"/>
                <w:b w:val="0"/>
                <w:bCs w:val="0"/>
                <w:color w:val="auto"/>
                <w:sz w:val="22"/>
                <w:szCs w:val="22"/>
                <w:lang w:val="en-US" w:eastAsia="en-GB"/>
              </w:rPr>
              <w:t xml:space="preserve"> and direct buying, providing commercial services to the public sector.</w:t>
            </w:r>
          </w:p>
        </w:tc>
      </w:tr>
      <w:tr w:rsidR="001E12C4" w:rsidRPr="001E12C4" w:rsidDel="00984CCB" w14:paraId="74DA821B" w14:textId="77777777" w:rsidTr="009D29F9">
        <w:trPr>
          <w:trHeight w:hRule="exact" w:val="1124"/>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12935880"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Common Market</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39B6CFDC" w14:textId="67538C73" w:rsidR="001E12C4" w:rsidRPr="005A2406" w:rsidRDefault="00E50E56" w:rsidP="001E12C4">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A</w:t>
            </w:r>
            <w:r w:rsidR="001E12C4" w:rsidRPr="005A2406">
              <w:rPr>
                <w:rFonts w:eastAsia="Times New Roman" w:cstheme="minorHAnsi"/>
                <w:b w:val="0"/>
                <w:bCs w:val="0"/>
                <w:color w:val="auto"/>
                <w:sz w:val="22"/>
                <w:szCs w:val="22"/>
                <w:lang w:val="en-US" w:eastAsia="en-GB"/>
              </w:rPr>
              <w:t xml:space="preserve"> single market within the European market in which the free movement of supplies, services, </w:t>
            </w:r>
            <w:proofErr w:type="gramStart"/>
            <w:r w:rsidR="001E12C4" w:rsidRPr="005A2406">
              <w:rPr>
                <w:rFonts w:eastAsia="Times New Roman" w:cstheme="minorHAnsi"/>
                <w:b w:val="0"/>
                <w:bCs w:val="0"/>
                <w:color w:val="auto"/>
                <w:sz w:val="22"/>
                <w:szCs w:val="22"/>
                <w:lang w:val="en-US" w:eastAsia="en-GB"/>
              </w:rPr>
              <w:t>capital</w:t>
            </w:r>
            <w:proofErr w:type="gramEnd"/>
            <w:r w:rsidR="001E12C4" w:rsidRPr="005A2406">
              <w:rPr>
                <w:rFonts w:eastAsia="Times New Roman" w:cstheme="minorHAnsi"/>
                <w:b w:val="0"/>
                <w:bCs w:val="0"/>
                <w:color w:val="auto"/>
                <w:sz w:val="22"/>
                <w:szCs w:val="22"/>
                <w:lang w:val="en-US" w:eastAsia="en-GB"/>
              </w:rPr>
              <w:t xml:space="preserve"> and persons is ensured and in which European citizens are free to live, work, study and do business.</w:t>
            </w:r>
          </w:p>
          <w:p w14:paraId="35510EF4" w14:textId="77777777" w:rsidR="001E12C4" w:rsidRPr="005A2406" w:rsidRDefault="001E12C4" w:rsidP="001E12C4">
            <w:pPr>
              <w:widowControl w:val="0"/>
              <w:spacing w:before="0" w:after="0"/>
              <w:ind w:left="102"/>
              <w:rPr>
                <w:rFonts w:eastAsia="Calibri" w:cstheme="minorHAnsi"/>
                <w:b w:val="0"/>
                <w:bCs w:val="0"/>
                <w:color w:val="auto"/>
                <w:sz w:val="22"/>
                <w:szCs w:val="22"/>
                <w:lang w:val="en-US"/>
              </w:rPr>
            </w:pPr>
          </w:p>
          <w:p w14:paraId="01B76CED" w14:textId="77777777" w:rsidR="001E12C4" w:rsidRPr="005A2406" w:rsidDel="00984CCB" w:rsidRDefault="001E12C4" w:rsidP="001E12C4">
            <w:pPr>
              <w:widowControl w:val="0"/>
              <w:spacing w:before="0" w:after="0"/>
              <w:ind w:left="102"/>
              <w:rPr>
                <w:rFonts w:eastAsia="Calibri" w:cstheme="minorHAnsi"/>
                <w:b w:val="0"/>
                <w:bCs w:val="0"/>
                <w:color w:val="auto"/>
                <w:sz w:val="22"/>
                <w:szCs w:val="22"/>
                <w:lang w:val="en-US"/>
              </w:rPr>
            </w:pPr>
          </w:p>
        </w:tc>
      </w:tr>
      <w:tr w:rsidR="001E12C4" w:rsidRPr="001E12C4" w14:paraId="1CF88470" w14:textId="77777777" w:rsidTr="009D29F9">
        <w:trPr>
          <w:cnfStyle w:val="000000100000" w:firstRow="0" w:lastRow="0" w:firstColumn="0" w:lastColumn="0" w:oddVBand="0" w:evenVBand="0" w:oddHBand="1" w:evenHBand="0" w:firstRowFirstColumn="0" w:firstRowLastColumn="0" w:lastRowFirstColumn="0" w:lastRowLastColumn="0"/>
          <w:trHeight w:hRule="exact" w:val="1862"/>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7DBE46FC" w14:textId="77777777" w:rsidR="001E12C4" w:rsidRPr="005A2406" w:rsidRDefault="001E12C4" w:rsidP="001E12C4">
            <w:pPr>
              <w:widowControl w:val="0"/>
              <w:spacing w:before="0" w:after="0"/>
              <w:ind w:left="102"/>
              <w:rPr>
                <w:rFonts w:eastAsia="Times New Roman" w:cstheme="minorHAnsi"/>
                <w:b w:val="0"/>
                <w:color w:val="auto"/>
                <w:sz w:val="22"/>
                <w:szCs w:val="22"/>
                <w:lang w:val="en-US" w:eastAsia="en-GB"/>
              </w:rPr>
            </w:pPr>
            <w:r w:rsidRPr="005A2406">
              <w:rPr>
                <w:rFonts w:eastAsia="Times New Roman" w:cstheme="minorHAnsi"/>
                <w:color w:val="auto"/>
                <w:sz w:val="22"/>
                <w:szCs w:val="22"/>
                <w:lang w:val="en-US" w:eastAsia="en-GB"/>
              </w:rPr>
              <w:t>Conflict of Interest</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07B6282A" w14:textId="550124EA" w:rsidR="001E12C4" w:rsidRPr="005A2406" w:rsidRDefault="001E12C4" w:rsidP="00A956F5">
            <w:pPr>
              <w:pStyle w:val="ListParagraph"/>
              <w:widowControl w:val="0"/>
              <w:numPr>
                <w:ilvl w:val="0"/>
                <w:numId w:val="17"/>
              </w:numPr>
              <w:spacing w:before="0" w:after="0"/>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A situation in which a person has a private or personal interest sufficient to appear to influence the objective exercise of his or her official duties as a public official, an employee, or a professional.</w:t>
            </w:r>
          </w:p>
          <w:p w14:paraId="722F750C" w14:textId="77777777" w:rsidR="001E12C4" w:rsidRPr="005A2406" w:rsidRDefault="001E12C4" w:rsidP="001E12C4">
            <w:pPr>
              <w:widowControl w:val="0"/>
              <w:spacing w:before="0" w:after="0"/>
              <w:ind w:left="102"/>
              <w:rPr>
                <w:rFonts w:eastAsia="Times New Roman" w:cstheme="minorHAnsi"/>
                <w:b w:val="0"/>
                <w:bCs w:val="0"/>
                <w:color w:val="auto"/>
                <w:sz w:val="22"/>
                <w:szCs w:val="22"/>
                <w:lang w:val="en-US" w:eastAsia="en-GB"/>
              </w:rPr>
            </w:pPr>
          </w:p>
          <w:p w14:paraId="21AA4A7E" w14:textId="300DE199" w:rsidR="001E12C4" w:rsidRPr="005A2406" w:rsidRDefault="00E50E56" w:rsidP="00A956F5">
            <w:pPr>
              <w:pStyle w:val="ListParagraph"/>
              <w:widowControl w:val="0"/>
              <w:numPr>
                <w:ilvl w:val="0"/>
                <w:numId w:val="17"/>
              </w:numPr>
              <w:spacing w:before="0" w:after="0"/>
              <w:rPr>
                <w:rFonts w:eastAsia="Calibri" w:cstheme="minorHAnsi"/>
                <w:b w:val="0"/>
                <w:bCs w:val="0"/>
                <w:color w:val="auto"/>
                <w:sz w:val="22"/>
                <w:szCs w:val="22"/>
                <w:lang w:val="en-US" w:eastAsia="en-GB"/>
              </w:rPr>
            </w:pPr>
            <w:r>
              <w:rPr>
                <w:rFonts w:eastAsia="Times New Roman" w:cstheme="minorHAnsi"/>
                <w:b w:val="0"/>
                <w:bCs w:val="0"/>
                <w:color w:val="auto"/>
                <w:sz w:val="22"/>
                <w:szCs w:val="22"/>
                <w:lang w:val="en-US" w:eastAsia="en-GB"/>
              </w:rPr>
              <w:t>A</w:t>
            </w:r>
            <w:r w:rsidR="001E12C4" w:rsidRPr="005A2406">
              <w:rPr>
                <w:rFonts w:eastAsia="Times New Roman" w:cstheme="minorHAnsi"/>
                <w:b w:val="0"/>
                <w:bCs w:val="0"/>
                <w:color w:val="auto"/>
                <w:sz w:val="22"/>
                <w:szCs w:val="22"/>
                <w:lang w:val="en-US" w:eastAsia="en-GB"/>
              </w:rPr>
              <w:t>n organization gaining an unfair advantage due to their ability to become privy to information relating to another</w:t>
            </w:r>
          </w:p>
        </w:tc>
      </w:tr>
      <w:tr w:rsidR="001E12C4" w:rsidRPr="001E12C4" w14:paraId="1268B38A" w14:textId="77777777" w:rsidTr="009D29F9">
        <w:trPr>
          <w:trHeight w:hRule="exact" w:val="848"/>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04FD8D2A" w14:textId="77777777" w:rsidR="001E12C4" w:rsidRPr="005A2406" w:rsidRDefault="001E12C4" w:rsidP="001E12C4">
            <w:pPr>
              <w:widowControl w:val="0"/>
              <w:spacing w:before="0" w:after="0"/>
              <w:ind w:left="102"/>
              <w:rPr>
                <w:rFonts w:eastAsia="Times New Roman" w:cstheme="minorHAnsi"/>
                <w:b w:val="0"/>
                <w:color w:val="auto"/>
                <w:sz w:val="22"/>
                <w:szCs w:val="22"/>
                <w:lang w:val="en-US" w:eastAsia="en-GB"/>
              </w:rPr>
            </w:pPr>
            <w:r w:rsidRPr="005A2406">
              <w:rPr>
                <w:rFonts w:eastAsia="Times New Roman" w:cstheme="minorHAnsi"/>
                <w:color w:val="auto"/>
                <w:sz w:val="22"/>
                <w:szCs w:val="22"/>
                <w:lang w:val="en-US" w:eastAsia="en-GB"/>
              </w:rPr>
              <w:t>Contract Disaggregation</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0E1D3AE2" w14:textId="77777777" w:rsidR="001E12C4" w:rsidRPr="005A2406" w:rsidRDefault="001E12C4"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An alternative term for contract splitting.</w:t>
            </w:r>
          </w:p>
        </w:tc>
      </w:tr>
      <w:tr w:rsidR="001E12C4" w:rsidRPr="001E12C4" w:rsidDel="00984CCB" w14:paraId="737EC8AD" w14:textId="77777777" w:rsidTr="009D29F9">
        <w:trPr>
          <w:cnfStyle w:val="000000100000" w:firstRow="0" w:lastRow="0" w:firstColumn="0" w:lastColumn="0" w:oddVBand="0" w:evenVBand="0" w:oddHBand="1" w:evenHBand="0" w:firstRowFirstColumn="0" w:firstRowLastColumn="0" w:lastRowFirstColumn="0" w:lastRowLastColumn="0"/>
          <w:trHeight w:hRule="exact" w:val="704"/>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55BC7AE4"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Contract Notice</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3AC35ACA" w14:textId="77777777" w:rsidR="001E12C4" w:rsidRPr="005A2406" w:rsidDel="00984CCB" w:rsidRDefault="001E12C4" w:rsidP="001E12C4">
            <w:pPr>
              <w:widowControl w:val="0"/>
              <w:spacing w:before="0" w:after="0"/>
              <w:ind w:left="102"/>
              <w:rPr>
                <w:rFonts w:eastAsia="Calibri" w:cstheme="minorHAnsi"/>
                <w:b w:val="0"/>
                <w:bCs w:val="0"/>
                <w:color w:val="auto"/>
                <w:sz w:val="22"/>
                <w:szCs w:val="22"/>
                <w:lang w:val="en-US"/>
              </w:rPr>
            </w:pPr>
            <w:r w:rsidRPr="005A2406">
              <w:rPr>
                <w:rFonts w:eastAsia="Times New Roman" w:cstheme="minorHAnsi"/>
                <w:b w:val="0"/>
                <w:bCs w:val="0"/>
                <w:color w:val="auto"/>
                <w:sz w:val="22"/>
                <w:szCs w:val="22"/>
                <w:lang w:val="en-US" w:eastAsia="en-GB"/>
              </w:rPr>
              <w:t>A notice for any contracting opportunity to facilitate expressions of interest from the market.</w:t>
            </w:r>
          </w:p>
        </w:tc>
      </w:tr>
      <w:tr w:rsidR="001E12C4" w:rsidRPr="001E12C4" w14:paraId="511B2299" w14:textId="77777777" w:rsidTr="009D29F9">
        <w:trPr>
          <w:trHeight w:hRule="exact" w:val="1147"/>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61E5981F" w14:textId="77777777" w:rsidR="001E12C4" w:rsidRPr="005A2406" w:rsidRDefault="001E12C4" w:rsidP="001E12C4">
            <w:pPr>
              <w:widowControl w:val="0"/>
              <w:spacing w:before="0" w:after="0"/>
              <w:ind w:left="102"/>
              <w:rPr>
                <w:rFonts w:eastAsia="Times New Roman" w:cstheme="minorHAnsi"/>
                <w:b w:val="0"/>
                <w:color w:val="auto"/>
                <w:sz w:val="22"/>
                <w:szCs w:val="22"/>
                <w:lang w:val="en-US" w:eastAsia="en-GB"/>
              </w:rPr>
            </w:pPr>
            <w:r w:rsidRPr="005A2406">
              <w:rPr>
                <w:rFonts w:eastAsia="Times New Roman" w:cstheme="minorHAnsi"/>
                <w:color w:val="auto"/>
                <w:sz w:val="22"/>
                <w:szCs w:val="22"/>
                <w:lang w:val="en-US" w:eastAsia="en-GB"/>
              </w:rPr>
              <w:t>Contract Splitting</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4009C018" w14:textId="77777777" w:rsidR="001E12C4" w:rsidRPr="005A2406" w:rsidRDefault="001E12C4"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 xml:space="preserve">By splitting what should be a single contract into </w:t>
            </w:r>
            <w:proofErr w:type="gramStart"/>
            <w:r w:rsidRPr="005A2406">
              <w:rPr>
                <w:rFonts w:eastAsia="Times New Roman" w:cstheme="minorHAnsi"/>
                <w:b w:val="0"/>
                <w:bCs w:val="0"/>
                <w:color w:val="auto"/>
                <w:sz w:val="22"/>
                <w:szCs w:val="22"/>
                <w:lang w:val="en-US" w:eastAsia="en-GB"/>
              </w:rPr>
              <w:t>a number of</w:t>
            </w:r>
            <w:proofErr w:type="gramEnd"/>
            <w:r w:rsidRPr="005A2406">
              <w:rPr>
                <w:rFonts w:eastAsia="Times New Roman" w:cstheme="minorHAnsi"/>
                <w:b w:val="0"/>
                <w:bCs w:val="0"/>
                <w:color w:val="auto"/>
                <w:sz w:val="22"/>
                <w:szCs w:val="22"/>
                <w:lang w:val="en-US" w:eastAsia="en-GB"/>
              </w:rPr>
              <w:t xml:space="preserve"> parts having smaller value, it is possible to avoid thresholds that would otherwise ensure a more stringent procurement process is applied. This is not permitted by the procurement regulations.</w:t>
            </w:r>
          </w:p>
        </w:tc>
      </w:tr>
      <w:tr w:rsidR="001E12C4" w:rsidRPr="001E12C4" w:rsidDel="00984CCB" w14:paraId="4C933534" w14:textId="77777777" w:rsidTr="009D29F9">
        <w:trPr>
          <w:cnfStyle w:val="000000100000" w:firstRow="0" w:lastRow="0" w:firstColumn="0" w:lastColumn="0" w:oddVBand="0" w:evenVBand="0" w:oddHBand="1" w:evenHBand="0" w:firstRowFirstColumn="0" w:firstRowLastColumn="0" w:lastRowFirstColumn="0" w:lastRowLastColumn="0"/>
          <w:trHeight w:hRule="exact" w:val="1688"/>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190B252C"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Contracting Authority</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5B9DB770" w14:textId="08A4DEEE" w:rsidR="001E12C4" w:rsidRPr="005A2406" w:rsidDel="00984CCB" w:rsidRDefault="003E51FE" w:rsidP="001E12C4">
            <w:pPr>
              <w:widowControl w:val="0"/>
              <w:spacing w:before="0" w:after="0"/>
              <w:ind w:left="102"/>
              <w:rPr>
                <w:rFonts w:eastAsia="Calibri" w:cstheme="minorHAnsi"/>
                <w:b w:val="0"/>
                <w:bCs w:val="0"/>
                <w:color w:val="auto"/>
                <w:sz w:val="22"/>
                <w:szCs w:val="22"/>
                <w:lang w:val="en-US"/>
              </w:rPr>
            </w:pPr>
            <w:r>
              <w:rPr>
                <w:rFonts w:eastAsia="Times New Roman" w:cstheme="minorHAnsi"/>
                <w:b w:val="0"/>
                <w:bCs w:val="0"/>
                <w:color w:val="auto"/>
                <w:sz w:val="22"/>
                <w:szCs w:val="22"/>
                <w:lang w:val="en-US" w:eastAsia="en-GB"/>
              </w:rPr>
              <w:t>A</w:t>
            </w:r>
            <w:r w:rsidR="001E12C4" w:rsidRPr="005A2406">
              <w:rPr>
                <w:rFonts w:eastAsia="Times New Roman" w:cstheme="minorHAnsi"/>
                <w:b w:val="0"/>
                <w:bCs w:val="0"/>
                <w:color w:val="auto"/>
                <w:sz w:val="22"/>
                <w:szCs w:val="22"/>
                <w:lang w:val="en-US" w:eastAsia="en-GB"/>
              </w:rPr>
              <w:t xml:space="preserve"> body that is subject to the procurement Regulations. A list of the relevant </w:t>
            </w:r>
            <w:proofErr w:type="spellStart"/>
            <w:r w:rsidR="001E12C4" w:rsidRPr="005A2406">
              <w:rPr>
                <w:rFonts w:eastAsia="Times New Roman" w:cstheme="minorHAnsi"/>
                <w:b w:val="0"/>
                <w:bCs w:val="0"/>
                <w:color w:val="auto"/>
                <w:sz w:val="22"/>
                <w:szCs w:val="22"/>
                <w:lang w:val="en-US" w:eastAsia="en-GB"/>
              </w:rPr>
              <w:t>organisations</w:t>
            </w:r>
            <w:proofErr w:type="spellEnd"/>
            <w:r w:rsidR="001E12C4" w:rsidRPr="005A2406">
              <w:rPr>
                <w:rFonts w:eastAsia="Times New Roman" w:cstheme="minorHAnsi"/>
                <w:b w:val="0"/>
                <w:bCs w:val="0"/>
                <w:color w:val="auto"/>
                <w:sz w:val="22"/>
                <w:szCs w:val="22"/>
                <w:lang w:val="en-US" w:eastAsia="en-GB"/>
              </w:rPr>
              <w:t xml:space="preserve"> is defined and included in Regulation 2(1) of the Public Contracts Regulations 2015 </w:t>
            </w:r>
            <w:r w:rsidR="001E12C4" w:rsidRPr="005A2406">
              <w:rPr>
                <w:rFonts w:eastAsia="Calibri" w:cstheme="minorHAnsi"/>
                <w:b w:val="0"/>
                <w:bCs w:val="0"/>
                <w:i/>
                <w:iCs/>
                <w:color w:val="auto"/>
                <w:sz w:val="22"/>
                <w:szCs w:val="22"/>
                <w:lang w:val="en-US"/>
              </w:rPr>
              <w:t>(as amended by The Public Procurement (Amendment etc.) (EU Exit) Regulations 2020)</w:t>
            </w:r>
            <w:r w:rsidR="001E12C4" w:rsidRPr="005A2406">
              <w:rPr>
                <w:rFonts w:eastAsia="Times New Roman" w:cstheme="minorHAnsi"/>
                <w:b w:val="0"/>
                <w:bCs w:val="0"/>
                <w:color w:val="auto"/>
                <w:sz w:val="22"/>
                <w:szCs w:val="22"/>
                <w:lang w:val="en-US" w:eastAsia="en-GB"/>
              </w:rPr>
              <w:t>. There are also some "catch all" statements covering public bodies not specifically included in the list.</w:t>
            </w:r>
          </w:p>
        </w:tc>
      </w:tr>
      <w:tr w:rsidR="001E12C4" w:rsidRPr="001E12C4" w:rsidDel="00984CCB" w14:paraId="00964751" w14:textId="77777777" w:rsidTr="00243711">
        <w:trPr>
          <w:trHeight w:hRule="exact" w:val="942"/>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466CECD9"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Cross-border interest</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5BC71C51" w14:textId="6D63E241" w:rsidR="001E12C4" w:rsidRPr="005A2406" w:rsidDel="00984CCB" w:rsidRDefault="003E51FE" w:rsidP="001E12C4">
            <w:pPr>
              <w:widowControl w:val="0"/>
              <w:spacing w:before="0" w:after="0"/>
              <w:ind w:left="102"/>
              <w:rPr>
                <w:rFonts w:eastAsia="Calibri" w:cstheme="minorHAnsi"/>
                <w:b w:val="0"/>
                <w:bCs w:val="0"/>
                <w:color w:val="auto"/>
                <w:sz w:val="22"/>
                <w:szCs w:val="22"/>
                <w:lang w:val="en-US"/>
              </w:rPr>
            </w:pPr>
            <w:r>
              <w:rPr>
                <w:rFonts w:eastAsia="Times New Roman" w:cstheme="minorHAnsi"/>
                <w:b w:val="0"/>
                <w:bCs w:val="0"/>
                <w:color w:val="auto"/>
                <w:sz w:val="22"/>
                <w:szCs w:val="22"/>
                <w:lang w:val="en-US" w:eastAsia="en-GB"/>
              </w:rPr>
              <w:t>A</w:t>
            </w:r>
            <w:r w:rsidR="001E12C4" w:rsidRPr="005A2406">
              <w:rPr>
                <w:rFonts w:eastAsia="Times New Roman" w:cstheme="minorHAnsi"/>
                <w:b w:val="0"/>
                <w:bCs w:val="0"/>
                <w:color w:val="auto"/>
                <w:sz w:val="22"/>
                <w:szCs w:val="22"/>
                <w:lang w:val="en-US" w:eastAsia="en-GB"/>
              </w:rPr>
              <w:t xml:space="preserve"> procurement, regardless of contract value</w:t>
            </w:r>
            <w:r>
              <w:rPr>
                <w:rFonts w:eastAsia="Times New Roman" w:cstheme="minorHAnsi"/>
                <w:b w:val="0"/>
                <w:bCs w:val="0"/>
                <w:color w:val="auto"/>
                <w:sz w:val="22"/>
                <w:szCs w:val="22"/>
                <w:lang w:val="en-US" w:eastAsia="en-GB"/>
              </w:rPr>
              <w:t>,</w:t>
            </w:r>
            <w:r w:rsidR="001E12C4" w:rsidRPr="005A2406">
              <w:rPr>
                <w:rFonts w:eastAsia="Times New Roman" w:cstheme="minorHAnsi"/>
                <w:b w:val="0"/>
                <w:bCs w:val="0"/>
                <w:color w:val="auto"/>
                <w:sz w:val="22"/>
                <w:szCs w:val="22"/>
                <w:lang w:val="en-US" w:eastAsia="en-GB"/>
              </w:rPr>
              <w:t xml:space="preserve"> that could be deemed to be of interest to other E</w:t>
            </w:r>
            <w:r w:rsidR="00B3058B">
              <w:rPr>
                <w:rFonts w:eastAsia="Times New Roman" w:cstheme="minorHAnsi"/>
                <w:b w:val="0"/>
                <w:bCs w:val="0"/>
                <w:color w:val="auto"/>
                <w:sz w:val="22"/>
                <w:szCs w:val="22"/>
                <w:lang w:val="en-US" w:eastAsia="en-GB"/>
              </w:rPr>
              <w:t xml:space="preserve">uropean </w:t>
            </w:r>
            <w:r w:rsidR="001E12C4" w:rsidRPr="005A2406">
              <w:rPr>
                <w:rFonts w:eastAsia="Times New Roman" w:cstheme="minorHAnsi"/>
                <w:b w:val="0"/>
                <w:bCs w:val="0"/>
                <w:color w:val="auto"/>
                <w:sz w:val="22"/>
                <w:szCs w:val="22"/>
                <w:lang w:val="en-US" w:eastAsia="en-GB"/>
              </w:rPr>
              <w:t>U</w:t>
            </w:r>
            <w:r w:rsidR="00B3058B">
              <w:rPr>
                <w:rFonts w:eastAsia="Times New Roman" w:cstheme="minorHAnsi"/>
                <w:b w:val="0"/>
                <w:bCs w:val="0"/>
                <w:color w:val="auto"/>
                <w:sz w:val="22"/>
                <w:szCs w:val="22"/>
                <w:lang w:val="en-US" w:eastAsia="en-GB"/>
              </w:rPr>
              <w:t>nion (EU)</w:t>
            </w:r>
            <w:r w:rsidR="001E12C4" w:rsidRPr="005A2406">
              <w:rPr>
                <w:rFonts w:eastAsia="Times New Roman" w:cstheme="minorHAnsi"/>
                <w:b w:val="0"/>
                <w:bCs w:val="0"/>
                <w:color w:val="auto"/>
                <w:sz w:val="22"/>
                <w:szCs w:val="22"/>
                <w:lang w:val="en-US" w:eastAsia="en-GB"/>
              </w:rPr>
              <w:t xml:space="preserve"> member states.</w:t>
            </w:r>
          </w:p>
        </w:tc>
      </w:tr>
      <w:tr w:rsidR="001E12C4" w:rsidRPr="001E12C4" w14:paraId="13B0F256" w14:textId="77777777" w:rsidTr="004838E1">
        <w:trPr>
          <w:cnfStyle w:val="000000100000" w:firstRow="0" w:lastRow="0" w:firstColumn="0" w:lastColumn="0" w:oddVBand="0" w:evenVBand="0" w:oddHBand="1" w:evenHBand="0" w:firstRowFirstColumn="0" w:firstRowLastColumn="0" w:lastRowFirstColumn="0" w:lastRowLastColumn="0"/>
          <w:trHeight w:hRule="exact" w:val="1267"/>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203A9384" w14:textId="77777777" w:rsidR="001E12C4" w:rsidRPr="005A2406" w:rsidRDefault="001E12C4" w:rsidP="001E12C4">
            <w:pPr>
              <w:widowControl w:val="0"/>
              <w:spacing w:before="0" w:after="0"/>
              <w:ind w:left="102"/>
              <w:rPr>
                <w:rFonts w:eastAsia="Times New Roman" w:cstheme="minorHAnsi"/>
                <w:b w:val="0"/>
                <w:color w:val="auto"/>
                <w:sz w:val="22"/>
                <w:szCs w:val="22"/>
                <w:lang w:val="en-US" w:eastAsia="en-GB"/>
              </w:rPr>
            </w:pPr>
            <w:r w:rsidRPr="005A2406">
              <w:rPr>
                <w:rFonts w:eastAsia="Times New Roman" w:cstheme="minorHAnsi"/>
                <w:color w:val="auto"/>
                <w:sz w:val="22"/>
                <w:szCs w:val="22"/>
                <w:lang w:val="en-US" w:eastAsia="en-GB"/>
              </w:rPr>
              <w:t>Finder a Tender Service Contract Notice</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023A056D" w14:textId="2BAAFA2B" w:rsidR="001E12C4" w:rsidRPr="005A2406" w:rsidRDefault="0085111E" w:rsidP="001E12C4">
            <w:pPr>
              <w:widowControl w:val="0"/>
              <w:spacing w:before="0" w:after="0"/>
              <w:ind w:left="102"/>
              <w:rPr>
                <w:rFonts w:eastAsia="Calibri" w:cstheme="minorHAnsi"/>
                <w:b w:val="0"/>
                <w:bCs w:val="0"/>
                <w:color w:val="auto"/>
                <w:sz w:val="22"/>
                <w:lang w:val="en-US"/>
              </w:rPr>
            </w:pPr>
            <w:r w:rsidRPr="00224DFA">
              <w:rPr>
                <w:rFonts w:eastAsia="Times New Roman" w:cstheme="minorHAnsi"/>
                <w:b w:val="0"/>
                <w:bCs w:val="0"/>
                <w:color w:val="auto"/>
                <w:sz w:val="22"/>
                <w:szCs w:val="22"/>
                <w:lang w:val="en-US" w:eastAsia="en-GB"/>
              </w:rPr>
              <w:t>A</w:t>
            </w:r>
            <w:r w:rsidR="001E12C4" w:rsidRPr="00224DFA">
              <w:rPr>
                <w:rFonts w:eastAsia="Times New Roman" w:cstheme="minorHAnsi"/>
                <w:b w:val="0"/>
                <w:bCs w:val="0"/>
                <w:color w:val="auto"/>
                <w:sz w:val="22"/>
                <w:szCs w:val="22"/>
                <w:lang w:val="en-US" w:eastAsia="en-GB"/>
              </w:rPr>
              <w:t xml:space="preserve"> standard form </w:t>
            </w:r>
            <w:r w:rsidRPr="00224DFA">
              <w:rPr>
                <w:rFonts w:eastAsia="Times New Roman" w:cstheme="minorHAnsi"/>
                <w:b w:val="0"/>
                <w:bCs w:val="0"/>
                <w:color w:val="auto"/>
                <w:sz w:val="22"/>
                <w:szCs w:val="22"/>
                <w:lang w:val="en-US" w:eastAsia="en-GB"/>
              </w:rPr>
              <w:t xml:space="preserve">Notice </w:t>
            </w:r>
            <w:r w:rsidR="001E12C4" w:rsidRPr="00224DFA">
              <w:rPr>
                <w:rFonts w:eastAsia="Times New Roman" w:cstheme="minorHAnsi"/>
                <w:b w:val="0"/>
                <w:bCs w:val="0"/>
                <w:color w:val="auto"/>
                <w:sz w:val="22"/>
                <w:szCs w:val="22"/>
                <w:lang w:val="en-US" w:eastAsia="en-GB"/>
              </w:rPr>
              <w:t xml:space="preserve">placed in the </w:t>
            </w:r>
            <w:hyperlink r:id="rId11" w:anchor="European Union's Official Journal">
              <w:r w:rsidR="001E12C4" w:rsidRPr="00224DFA" w:rsidDel="00737155">
                <w:rPr>
                  <w:rFonts w:eastAsia="Times New Roman" w:cstheme="minorHAnsi"/>
                  <w:b w:val="0"/>
                  <w:bCs w:val="0"/>
                  <w:color w:val="auto"/>
                  <w:sz w:val="22"/>
                  <w:szCs w:val="22"/>
                  <w:lang w:val="en-US" w:eastAsia="en-GB"/>
                </w:rPr>
                <w:t xml:space="preserve">European Union's Official Journal </w:t>
              </w:r>
            </w:hyperlink>
            <w:hyperlink r:id="rId12" w:anchor="European Union's Official Journal">
              <w:r w:rsidR="001E12C4" w:rsidRPr="00224DFA">
                <w:rPr>
                  <w:rFonts w:eastAsia="Times New Roman" w:cstheme="minorHAnsi"/>
                  <w:b w:val="0"/>
                  <w:bCs w:val="0"/>
                  <w:color w:val="auto"/>
                  <w:sz w:val="22"/>
                  <w:szCs w:val="22"/>
                  <w:lang w:val="en-US" w:eastAsia="en-GB"/>
                </w:rPr>
                <w:t xml:space="preserve">Find a Tender Service (the UKs </w:t>
              </w:r>
              <w:proofErr w:type="spellStart"/>
              <w:r w:rsidR="001E12C4" w:rsidRPr="00224DFA">
                <w:rPr>
                  <w:rFonts w:eastAsia="Times New Roman" w:cstheme="minorHAnsi"/>
                  <w:b w:val="0"/>
                  <w:bCs w:val="0"/>
                  <w:color w:val="auto"/>
                  <w:sz w:val="22"/>
                  <w:szCs w:val="22"/>
                  <w:lang w:val="en-US" w:eastAsia="en-GB"/>
                </w:rPr>
                <w:t>eNotification</w:t>
              </w:r>
              <w:proofErr w:type="spellEnd"/>
              <w:r w:rsidR="001E12C4" w:rsidRPr="00224DFA">
                <w:rPr>
                  <w:rFonts w:eastAsia="Times New Roman" w:cstheme="minorHAnsi"/>
                  <w:b w:val="0"/>
                  <w:bCs w:val="0"/>
                  <w:color w:val="auto"/>
                  <w:sz w:val="22"/>
                  <w:szCs w:val="22"/>
                  <w:lang w:val="en-US" w:eastAsia="en-GB"/>
                </w:rPr>
                <w:t xml:space="preserve"> Tender Service)</w:t>
              </w:r>
              <w:r w:rsidR="001E12C4" w:rsidRPr="00224DFA">
                <w:rPr>
                  <w:rFonts w:eastAsia="Calibri" w:cstheme="minorHAnsi"/>
                  <w:b w:val="0"/>
                  <w:bCs w:val="0"/>
                  <w:color w:val="auto"/>
                  <w:sz w:val="22"/>
                  <w:lang w:val="en-US"/>
                </w:rPr>
                <w:t xml:space="preserve"> </w:t>
              </w:r>
            </w:hyperlink>
            <w:r w:rsidR="001E12C4" w:rsidRPr="00224DFA">
              <w:rPr>
                <w:rFonts w:eastAsia="Calibri" w:cstheme="minorHAnsi"/>
                <w:b w:val="0"/>
                <w:bCs w:val="0"/>
                <w:color w:val="auto"/>
                <w:sz w:val="22"/>
                <w:lang w:val="en-US"/>
              </w:rPr>
              <w:t xml:space="preserve">confirming that a Contracting </w:t>
            </w:r>
            <w:hyperlink r:id="rId13" w:anchor="Authority">
              <w:r w:rsidR="001E12C4" w:rsidRPr="00224DFA">
                <w:rPr>
                  <w:rFonts w:eastAsia="Calibri" w:cstheme="minorHAnsi"/>
                  <w:b w:val="0"/>
                  <w:bCs w:val="0"/>
                  <w:color w:val="auto"/>
                  <w:sz w:val="22"/>
                  <w:lang w:val="en-US"/>
                </w:rPr>
                <w:t>Authority</w:t>
              </w:r>
            </w:hyperlink>
            <w:hyperlink r:id="rId14" w:anchor="Authority">
              <w:r w:rsidR="001E12C4" w:rsidRPr="00224DFA">
                <w:rPr>
                  <w:rFonts w:eastAsia="Calibri" w:cstheme="minorHAnsi"/>
                  <w:b w:val="0"/>
                  <w:bCs w:val="0"/>
                  <w:color w:val="auto"/>
                  <w:sz w:val="22"/>
                  <w:lang w:val="en-US"/>
                </w:rPr>
                <w:t xml:space="preserve"> </w:t>
              </w:r>
            </w:hyperlink>
            <w:r w:rsidR="001E12C4" w:rsidRPr="00224DFA">
              <w:rPr>
                <w:rFonts w:eastAsia="Calibri" w:cstheme="minorHAnsi"/>
                <w:b w:val="0"/>
                <w:bCs w:val="0"/>
                <w:color w:val="auto"/>
                <w:sz w:val="22"/>
                <w:lang w:val="en-US"/>
              </w:rPr>
              <w:t>is intending to procure supplies, services or works.</w:t>
            </w:r>
          </w:p>
          <w:p w14:paraId="06EED6BE" w14:textId="77777777" w:rsidR="001E12C4" w:rsidRPr="005A2406" w:rsidRDefault="001E12C4" w:rsidP="001E12C4">
            <w:pPr>
              <w:widowControl w:val="0"/>
              <w:spacing w:before="0" w:after="0"/>
              <w:ind w:left="102"/>
              <w:rPr>
                <w:rFonts w:eastAsia="Times New Roman" w:cstheme="minorHAnsi"/>
                <w:b w:val="0"/>
                <w:bCs w:val="0"/>
                <w:color w:val="auto"/>
                <w:sz w:val="22"/>
                <w:szCs w:val="22"/>
                <w:lang w:val="en-US" w:eastAsia="en-GB"/>
              </w:rPr>
            </w:pPr>
          </w:p>
        </w:tc>
      </w:tr>
      <w:tr w:rsidR="001E12C4" w:rsidRPr="001E12C4" w:rsidDel="00984CCB" w14:paraId="00A51879" w14:textId="77777777" w:rsidTr="009F2FD0">
        <w:trPr>
          <w:trHeight w:hRule="exact" w:val="856"/>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064D7BA8"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Framework</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658D8145" w14:textId="0D8B781F" w:rsidR="001E12C4" w:rsidRPr="005A2406" w:rsidDel="00984CCB" w:rsidRDefault="009232CD" w:rsidP="001E12C4">
            <w:pPr>
              <w:widowControl w:val="0"/>
              <w:spacing w:before="0" w:after="0"/>
              <w:ind w:left="102"/>
              <w:rPr>
                <w:rFonts w:eastAsia="Calibri" w:cstheme="minorHAnsi"/>
                <w:b w:val="0"/>
                <w:bCs w:val="0"/>
                <w:color w:val="auto"/>
                <w:sz w:val="22"/>
                <w:szCs w:val="22"/>
                <w:lang w:val="en-US"/>
              </w:rPr>
            </w:pPr>
            <w:r>
              <w:rPr>
                <w:rFonts w:eastAsia="Times New Roman" w:cstheme="minorHAnsi"/>
                <w:b w:val="0"/>
                <w:bCs w:val="0"/>
                <w:color w:val="auto"/>
                <w:sz w:val="22"/>
                <w:szCs w:val="22"/>
                <w:lang w:val="en-US" w:eastAsia="en-GB"/>
              </w:rPr>
              <w:t>A</w:t>
            </w:r>
            <w:r w:rsidR="001E12C4" w:rsidRPr="005A2406">
              <w:rPr>
                <w:rFonts w:eastAsia="Times New Roman" w:cstheme="minorHAnsi"/>
                <w:b w:val="0"/>
                <w:bCs w:val="0"/>
                <w:color w:val="auto"/>
                <w:sz w:val="22"/>
                <w:szCs w:val="22"/>
                <w:lang w:val="en-US" w:eastAsia="en-GB"/>
              </w:rPr>
              <w:t>n umbrella agreement which establishes the basis on which subsequent requirements for supplies, services or works can be met by suppliers appointed to the framework.</w:t>
            </w:r>
          </w:p>
        </w:tc>
      </w:tr>
      <w:tr w:rsidR="001E12C4" w:rsidRPr="001E12C4" w14:paraId="33D28893" w14:textId="77777777" w:rsidTr="009F2FD0">
        <w:trPr>
          <w:cnfStyle w:val="000000100000" w:firstRow="0" w:lastRow="0" w:firstColumn="0" w:lastColumn="0" w:oddVBand="0" w:evenVBand="0" w:oddHBand="1"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28FB6C59"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Calibri" w:cstheme="minorHAnsi"/>
                <w:color w:val="auto"/>
                <w:sz w:val="22"/>
                <w:szCs w:val="22"/>
                <w:lang w:val="en-US"/>
              </w:rPr>
              <w:t>ICB</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507857F1" w14:textId="77777777" w:rsidR="001E12C4" w:rsidRPr="005A2406" w:rsidRDefault="001E12C4"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Integrated Care Board</w:t>
            </w:r>
          </w:p>
        </w:tc>
      </w:tr>
      <w:tr w:rsidR="001E12C4" w:rsidRPr="001E12C4" w14:paraId="04072CFF" w14:textId="77777777" w:rsidTr="009F2FD0">
        <w:trPr>
          <w:trHeight w:hRule="exact" w:val="277"/>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2ECE48F1"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Calibri" w:cstheme="minorHAnsi"/>
                <w:color w:val="auto"/>
                <w:sz w:val="22"/>
                <w:szCs w:val="22"/>
                <w:lang w:val="en-US"/>
              </w:rPr>
              <w:t>ICS</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3AD121B7" w14:textId="77777777" w:rsidR="001E12C4" w:rsidRPr="005A2406" w:rsidRDefault="001E12C4"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Integrated Care System</w:t>
            </w:r>
          </w:p>
        </w:tc>
      </w:tr>
      <w:tr w:rsidR="001E12C4" w:rsidRPr="001E12C4" w:rsidDel="00984CCB" w14:paraId="625D8EAE" w14:textId="77777777" w:rsidTr="009D29F9">
        <w:trPr>
          <w:cnfStyle w:val="000000100000" w:firstRow="0" w:lastRow="0" w:firstColumn="0" w:lastColumn="0" w:oddVBand="0" w:evenVBand="0" w:oddHBand="1" w:evenHBand="0" w:firstRowFirstColumn="0" w:firstRowLastColumn="0" w:lastRowFirstColumn="0" w:lastRowLastColumn="0"/>
          <w:trHeight w:hRule="exact" w:val="705"/>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78BEEEB5" w14:textId="77777777" w:rsidR="00FD3597" w:rsidRPr="005A2406" w:rsidRDefault="00FB7715"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color w:val="auto"/>
                <w:sz w:val="22"/>
                <w:szCs w:val="22"/>
                <w:lang w:val="en-US" w:eastAsia="en-GB"/>
              </w:rPr>
              <w:t>ITT</w:t>
            </w:r>
          </w:p>
          <w:p w14:paraId="2255D901" w14:textId="1ECB4FBE" w:rsidR="001E12C4" w:rsidRPr="005A2406" w:rsidRDefault="00FB7715"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Invitation to Tender</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5272AED7" w14:textId="2D024DA3" w:rsidR="001E12C4" w:rsidRPr="005A2406" w:rsidRDefault="009F2FD0" w:rsidP="001E12C4">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 xml:space="preserve">A </w:t>
            </w:r>
            <w:r w:rsidR="001E12C4" w:rsidRPr="005A2406">
              <w:rPr>
                <w:rFonts w:eastAsia="Times New Roman" w:cstheme="minorHAnsi"/>
                <w:b w:val="0"/>
                <w:bCs w:val="0"/>
                <w:color w:val="auto"/>
                <w:sz w:val="22"/>
                <w:szCs w:val="22"/>
                <w:lang w:val="en-US" w:eastAsia="en-GB"/>
              </w:rPr>
              <w:t xml:space="preserve">document which invites Contractors and Providers to bid for the provision of supplies, </w:t>
            </w:r>
            <w:proofErr w:type="gramStart"/>
            <w:r w:rsidR="001E12C4" w:rsidRPr="005A2406">
              <w:rPr>
                <w:rFonts w:eastAsia="Times New Roman" w:cstheme="minorHAnsi"/>
                <w:b w:val="0"/>
                <w:bCs w:val="0"/>
                <w:color w:val="auto"/>
                <w:sz w:val="22"/>
                <w:szCs w:val="22"/>
                <w:lang w:val="en-US" w:eastAsia="en-GB"/>
              </w:rPr>
              <w:t>services</w:t>
            </w:r>
            <w:proofErr w:type="gramEnd"/>
            <w:r w:rsidR="001E12C4" w:rsidRPr="005A2406">
              <w:rPr>
                <w:rFonts w:eastAsia="Times New Roman" w:cstheme="minorHAnsi"/>
                <w:b w:val="0"/>
                <w:bCs w:val="0"/>
                <w:color w:val="auto"/>
                <w:sz w:val="22"/>
                <w:szCs w:val="22"/>
                <w:lang w:val="en-US" w:eastAsia="en-GB"/>
              </w:rPr>
              <w:t xml:space="preserve"> or works.</w:t>
            </w:r>
          </w:p>
          <w:p w14:paraId="14AA3FC8" w14:textId="77777777" w:rsidR="001E12C4" w:rsidRPr="005A2406" w:rsidDel="00984CCB" w:rsidRDefault="001E12C4" w:rsidP="001E12C4">
            <w:pPr>
              <w:widowControl w:val="0"/>
              <w:spacing w:before="0" w:after="0"/>
              <w:ind w:left="102"/>
              <w:rPr>
                <w:rFonts w:eastAsia="Calibri" w:cstheme="minorHAnsi"/>
                <w:b w:val="0"/>
                <w:bCs w:val="0"/>
                <w:color w:val="auto"/>
                <w:sz w:val="22"/>
                <w:szCs w:val="22"/>
                <w:lang w:val="en-US"/>
              </w:rPr>
            </w:pPr>
          </w:p>
        </w:tc>
      </w:tr>
      <w:tr w:rsidR="009D29F9" w:rsidRPr="001E12C4" w:rsidDel="00984CCB" w14:paraId="384847D7" w14:textId="77777777" w:rsidTr="009D29F9">
        <w:trPr>
          <w:trHeight w:hRule="exact" w:val="3148"/>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5AA57965" w14:textId="2A4EFA52" w:rsidR="009D29F9" w:rsidRPr="005A2406" w:rsidRDefault="009D29F9"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color w:val="auto"/>
                <w:sz w:val="22"/>
                <w:szCs w:val="22"/>
                <w:lang w:val="en-US" w:eastAsia="en-GB"/>
              </w:rPr>
              <w:t>Light Touch Regime Services</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192EED0A" w14:textId="7C1EB284" w:rsidR="009D29F9" w:rsidRPr="005A2406" w:rsidRDefault="009F2FD0" w:rsidP="001E12C4">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T</w:t>
            </w:r>
            <w:r w:rsidR="009D29F9" w:rsidRPr="005A2406">
              <w:rPr>
                <w:rFonts w:eastAsia="Times New Roman" w:cstheme="minorHAnsi"/>
                <w:b w:val="0"/>
                <w:bCs w:val="0"/>
                <w:color w:val="auto"/>
                <w:sz w:val="22"/>
                <w:szCs w:val="22"/>
                <w:lang w:val="en-US" w:eastAsia="en-GB"/>
              </w:rPr>
              <w:t xml:space="preserve">he services listed in Schedule 3 of the Public Contracts Regulations 2015 </w:t>
            </w:r>
            <w:r w:rsidR="009D29F9" w:rsidRPr="005A2406">
              <w:rPr>
                <w:rFonts w:eastAsia="Calibri" w:cstheme="minorHAnsi"/>
                <w:b w:val="0"/>
                <w:bCs w:val="0"/>
                <w:i/>
                <w:iCs/>
                <w:color w:val="auto"/>
                <w:sz w:val="22"/>
                <w:szCs w:val="22"/>
                <w:lang w:val="en-US"/>
              </w:rPr>
              <w:t>(as amended by The Public Procurement (Amendment etc.) (EU Exit) Regulations 2020)</w:t>
            </w:r>
            <w:r w:rsidR="009D29F9" w:rsidRPr="005A2406">
              <w:rPr>
                <w:rFonts w:eastAsia="Times New Roman" w:cstheme="minorHAnsi"/>
                <w:b w:val="0"/>
                <w:bCs w:val="0"/>
                <w:color w:val="auto"/>
                <w:sz w:val="22"/>
                <w:szCs w:val="22"/>
                <w:lang w:val="en-US" w:eastAsia="en-GB"/>
              </w:rPr>
              <w:t xml:space="preserve">. Only some of the EU procurement rules as set out in Public Contracts Regulations 2015 </w:t>
            </w:r>
            <w:r w:rsidR="009D29F9" w:rsidRPr="005A2406">
              <w:rPr>
                <w:rFonts w:eastAsia="Calibri" w:cstheme="minorHAnsi"/>
                <w:b w:val="0"/>
                <w:bCs w:val="0"/>
                <w:i/>
                <w:iCs/>
                <w:color w:val="auto"/>
                <w:sz w:val="22"/>
                <w:szCs w:val="22"/>
                <w:lang w:val="en-US"/>
              </w:rPr>
              <w:t xml:space="preserve">(as amended by The Public Procurement (Amendment etc.) (EU Exit) Regulations 2020) </w:t>
            </w:r>
            <w:r w:rsidR="009D29F9" w:rsidRPr="005A2406">
              <w:rPr>
                <w:rFonts w:eastAsia="Times New Roman" w:cstheme="minorHAnsi"/>
                <w:b w:val="0"/>
                <w:bCs w:val="0"/>
                <w:color w:val="auto"/>
                <w:sz w:val="22"/>
                <w:szCs w:val="22"/>
                <w:lang w:val="en-US" w:eastAsia="en-GB"/>
              </w:rPr>
              <w:t xml:space="preserve">apply – namely, obligations relating to advertisement, technical specifications, post-award information and principles of equality, proportionality, </w:t>
            </w:r>
            <w:proofErr w:type="gramStart"/>
            <w:r w:rsidR="009D29F9" w:rsidRPr="005A2406">
              <w:rPr>
                <w:rFonts w:eastAsia="Times New Roman" w:cstheme="minorHAnsi"/>
                <w:b w:val="0"/>
                <w:bCs w:val="0"/>
                <w:color w:val="auto"/>
                <w:sz w:val="22"/>
                <w:szCs w:val="22"/>
                <w:lang w:val="en-US" w:eastAsia="en-GB"/>
              </w:rPr>
              <w:t>transparency</w:t>
            </w:r>
            <w:proofErr w:type="gramEnd"/>
            <w:r w:rsidR="009D29F9" w:rsidRPr="005A2406">
              <w:rPr>
                <w:rFonts w:eastAsia="Times New Roman" w:cstheme="minorHAnsi"/>
                <w:b w:val="0"/>
                <w:bCs w:val="0"/>
                <w:color w:val="auto"/>
                <w:sz w:val="22"/>
                <w:szCs w:val="22"/>
                <w:lang w:val="en-US" w:eastAsia="en-GB"/>
              </w:rPr>
              <w:t xml:space="preserve"> and non-discrimination. Healthcare services that are subject to the National Health Service (Procurement, Patient </w:t>
            </w:r>
            <w:proofErr w:type="gramStart"/>
            <w:r w:rsidR="009D29F9" w:rsidRPr="005A2406">
              <w:rPr>
                <w:rFonts w:eastAsia="Times New Roman" w:cstheme="minorHAnsi"/>
                <w:b w:val="0"/>
                <w:bCs w:val="0"/>
                <w:color w:val="auto"/>
                <w:sz w:val="22"/>
                <w:szCs w:val="22"/>
                <w:lang w:val="en-US" w:eastAsia="en-GB"/>
              </w:rPr>
              <w:t>Choice</w:t>
            </w:r>
            <w:proofErr w:type="gramEnd"/>
            <w:r w:rsidR="009D29F9" w:rsidRPr="005A2406">
              <w:rPr>
                <w:rFonts w:eastAsia="Times New Roman" w:cstheme="minorHAnsi"/>
                <w:b w:val="0"/>
                <w:bCs w:val="0"/>
                <w:color w:val="auto"/>
                <w:sz w:val="22"/>
                <w:szCs w:val="22"/>
                <w:lang w:val="en-US" w:eastAsia="en-GB"/>
              </w:rPr>
              <w:t xml:space="preserve"> and Competition) (No 2) Regulations 2013 are subject to the Light Touch Regime.</w:t>
            </w:r>
          </w:p>
        </w:tc>
      </w:tr>
      <w:tr w:rsidR="001E12C4" w:rsidRPr="009D29F9" w:rsidDel="00984CCB" w14:paraId="49DB5817" w14:textId="77777777" w:rsidTr="009D29F9">
        <w:trPr>
          <w:cnfStyle w:val="000000100000" w:firstRow="0" w:lastRow="0" w:firstColumn="0" w:lastColumn="0" w:oddVBand="0" w:evenVBand="0" w:oddHBand="1" w:evenHBand="0" w:firstRowFirstColumn="0" w:firstRowLastColumn="0" w:lastRowFirstColumn="0" w:lastRowLastColumn="0"/>
          <w:trHeight w:hRule="exact" w:val="1283"/>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5BCCF50B"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MEAT</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60E199EF" w14:textId="7E8F0DE2" w:rsidR="001E12C4" w:rsidRPr="005A2406" w:rsidDel="00984CCB" w:rsidRDefault="001E12C4"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Most Economically Advantageous Tender.</w:t>
            </w:r>
            <w:r w:rsidR="003A64FE">
              <w:rPr>
                <w:rFonts w:eastAsia="Times New Roman" w:cstheme="minorHAnsi"/>
                <w:b w:val="0"/>
                <w:bCs w:val="0"/>
                <w:color w:val="auto"/>
                <w:sz w:val="22"/>
                <w:szCs w:val="22"/>
                <w:lang w:val="en-US" w:eastAsia="en-GB"/>
              </w:rPr>
              <w:t xml:space="preserve"> </w:t>
            </w:r>
            <w:r w:rsidRPr="005A2406">
              <w:rPr>
                <w:rFonts w:eastAsia="Times New Roman" w:cstheme="minorHAnsi"/>
                <w:b w:val="0"/>
                <w:bCs w:val="0"/>
                <w:color w:val="auto"/>
                <w:sz w:val="22"/>
                <w:szCs w:val="22"/>
                <w:lang w:val="en-US" w:eastAsia="en-GB"/>
              </w:rPr>
              <w:t xml:space="preserve"> MEAT enables tender evaluation </w:t>
            </w:r>
            <w:proofErr w:type="gramStart"/>
            <w:r w:rsidRPr="005A2406">
              <w:rPr>
                <w:rFonts w:eastAsia="Times New Roman" w:cstheme="minorHAnsi"/>
                <w:b w:val="0"/>
                <w:bCs w:val="0"/>
                <w:color w:val="auto"/>
                <w:sz w:val="22"/>
                <w:szCs w:val="22"/>
                <w:lang w:val="en-US" w:eastAsia="en-GB"/>
              </w:rPr>
              <w:t>on the basis of</w:t>
            </w:r>
            <w:proofErr w:type="gramEnd"/>
            <w:r w:rsidRPr="005A2406">
              <w:rPr>
                <w:rFonts w:eastAsia="Times New Roman" w:cstheme="minorHAnsi"/>
                <w:b w:val="0"/>
                <w:bCs w:val="0"/>
                <w:color w:val="auto"/>
                <w:sz w:val="22"/>
                <w:szCs w:val="22"/>
                <w:lang w:val="en-US" w:eastAsia="en-GB"/>
              </w:rPr>
              <w:t xml:space="preserve"> the quality of the tender offer as well as the price. The quality is scored against a set of award criteria identified for each tender.</w:t>
            </w:r>
          </w:p>
        </w:tc>
      </w:tr>
      <w:tr w:rsidR="001E12C4" w:rsidRPr="009D29F9" w:rsidDel="00984CCB" w14:paraId="4E05D0B9" w14:textId="77777777" w:rsidTr="009D29F9">
        <w:trPr>
          <w:trHeight w:hRule="exact" w:val="227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7ECF4444"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Mini-Competition</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357E6C19" w14:textId="43515B0A" w:rsidR="001E12C4" w:rsidRPr="005A2406" w:rsidDel="00984CCB" w:rsidRDefault="00962E4F" w:rsidP="00FD3597">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A</w:t>
            </w:r>
            <w:r w:rsidR="001E12C4" w:rsidRPr="005A2406">
              <w:rPr>
                <w:rFonts w:eastAsia="Times New Roman" w:cstheme="minorHAnsi"/>
                <w:b w:val="0"/>
                <w:bCs w:val="0"/>
                <w:color w:val="auto"/>
                <w:sz w:val="22"/>
                <w:szCs w:val="22"/>
                <w:lang w:val="en-US" w:eastAsia="en-GB"/>
              </w:rPr>
              <w:t xml:space="preserve"> mini competition is held with all those suppliers within a framework agreement who can meet a particular need when the details of the framework agreement are not sufficient to enable an immediate call-off. Where a procuring party wishes to procure under a framework agreement, but the framework has insufficient information to allow the procuring party to confirm which supplier would offer the most economically advantageous tender, then a mini competition is the method used to select a supplier.</w:t>
            </w:r>
          </w:p>
        </w:tc>
      </w:tr>
      <w:tr w:rsidR="001E12C4" w:rsidRPr="009D29F9" w:rsidDel="00984CCB" w14:paraId="63B764D0" w14:textId="77777777" w:rsidTr="009D29F9">
        <w:trPr>
          <w:cnfStyle w:val="000000100000" w:firstRow="0" w:lastRow="0" w:firstColumn="0" w:lastColumn="0" w:oddVBand="0" w:evenVBand="0" w:oddHBand="1" w:evenHBand="0" w:firstRowFirstColumn="0" w:firstRowLastColumn="0" w:lastRowFirstColumn="0" w:lastRowLastColumn="0"/>
          <w:trHeight w:hRule="exact" w:val="1713"/>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50253AA6" w14:textId="256B69A9"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 xml:space="preserve">Prior </w:t>
            </w:r>
            <w:r w:rsidR="00A93F78">
              <w:rPr>
                <w:rFonts w:eastAsia="Times New Roman" w:cstheme="minorHAnsi"/>
                <w:color w:val="auto"/>
                <w:sz w:val="22"/>
                <w:szCs w:val="22"/>
                <w:lang w:val="en-US" w:eastAsia="en-GB"/>
              </w:rPr>
              <w:t>I</w:t>
            </w:r>
            <w:r w:rsidRPr="005A2406">
              <w:rPr>
                <w:rFonts w:eastAsia="Times New Roman" w:cstheme="minorHAnsi"/>
                <w:color w:val="auto"/>
                <w:sz w:val="22"/>
                <w:szCs w:val="22"/>
                <w:lang w:val="en-US" w:eastAsia="en-GB"/>
              </w:rPr>
              <w:t xml:space="preserve">nformation </w:t>
            </w:r>
            <w:r w:rsidR="00425BF2">
              <w:rPr>
                <w:rFonts w:eastAsia="Times New Roman" w:cstheme="minorHAnsi"/>
                <w:color w:val="auto"/>
                <w:sz w:val="22"/>
                <w:szCs w:val="22"/>
                <w:lang w:val="en-US" w:eastAsia="en-GB"/>
              </w:rPr>
              <w:t>N</w:t>
            </w:r>
            <w:r w:rsidRPr="005A2406">
              <w:rPr>
                <w:rFonts w:eastAsia="Times New Roman" w:cstheme="minorHAnsi"/>
                <w:color w:val="auto"/>
                <w:sz w:val="22"/>
                <w:szCs w:val="22"/>
                <w:lang w:val="en-US" w:eastAsia="en-GB"/>
              </w:rPr>
              <w:t>otice (PIN)</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3F47CC4B" w14:textId="77777777" w:rsidR="001E12C4" w:rsidRPr="005A2406" w:rsidRDefault="001E12C4" w:rsidP="00FD3597">
            <w:pPr>
              <w:widowControl w:val="0"/>
              <w:spacing w:before="0" w:after="8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A PIN can have three meanings:</w:t>
            </w:r>
          </w:p>
          <w:p w14:paraId="407538DB" w14:textId="2A1C97FC" w:rsidR="001E12C4" w:rsidRPr="005A2406" w:rsidRDefault="001E12C4" w:rsidP="00A956F5">
            <w:pPr>
              <w:pStyle w:val="ListParagraph"/>
              <w:widowControl w:val="0"/>
              <w:numPr>
                <w:ilvl w:val="0"/>
                <w:numId w:val="16"/>
              </w:numPr>
              <w:spacing w:before="0" w:after="0"/>
              <w:ind w:left="447" w:hanging="283"/>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 xml:space="preserve">Publication by an </w:t>
            </w:r>
            <w:hyperlink r:id="rId15" w:anchor="Authority" w:history="1">
              <w:r w:rsidRPr="005A2406">
                <w:rPr>
                  <w:rFonts w:eastAsia="Times New Roman" w:cstheme="minorHAnsi"/>
                  <w:b w:val="0"/>
                  <w:bCs w:val="0"/>
                  <w:color w:val="auto"/>
                  <w:sz w:val="22"/>
                  <w:szCs w:val="22"/>
                  <w:lang w:val="en-US" w:eastAsia="en-GB"/>
                </w:rPr>
                <w:t>authority</w:t>
              </w:r>
            </w:hyperlink>
            <w:r w:rsidRPr="005A2406">
              <w:rPr>
                <w:rFonts w:eastAsia="Times New Roman" w:cstheme="minorHAnsi"/>
                <w:b w:val="0"/>
                <w:bCs w:val="0"/>
                <w:color w:val="auto"/>
                <w:sz w:val="22"/>
                <w:szCs w:val="22"/>
                <w:lang w:val="en-US" w:eastAsia="en-GB"/>
              </w:rPr>
              <w:t xml:space="preserve"> in Find a Tender Service of details of what they intend to procure in future. </w:t>
            </w:r>
          </w:p>
          <w:p w14:paraId="6C12FAB4" w14:textId="530DF2E8" w:rsidR="001E12C4" w:rsidRPr="005A2406" w:rsidRDefault="001E12C4" w:rsidP="00A956F5">
            <w:pPr>
              <w:pStyle w:val="ListParagraph"/>
              <w:widowControl w:val="0"/>
              <w:numPr>
                <w:ilvl w:val="0"/>
                <w:numId w:val="16"/>
              </w:numPr>
              <w:spacing w:before="0" w:after="0"/>
              <w:ind w:left="447" w:hanging="283"/>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 xml:space="preserve">Use of a PIN can reduce some of the </w:t>
            </w:r>
            <w:hyperlink r:id="rId16" w:tgtFrame="_blank" w:tooltip="Timescale tracker" w:history="1">
              <w:r w:rsidRPr="005A2406">
                <w:rPr>
                  <w:rFonts w:eastAsia="Times New Roman" w:cstheme="minorHAnsi"/>
                  <w:b w:val="0"/>
                  <w:bCs w:val="0"/>
                  <w:color w:val="auto"/>
                  <w:sz w:val="22"/>
                  <w:szCs w:val="22"/>
                  <w:lang w:val="en-US" w:eastAsia="en-GB"/>
                </w:rPr>
                <w:t xml:space="preserve">timescales </w:t>
              </w:r>
            </w:hyperlink>
            <w:r w:rsidRPr="005A2406">
              <w:rPr>
                <w:rFonts w:eastAsia="Times New Roman" w:cstheme="minorHAnsi"/>
                <w:b w:val="0"/>
                <w:bCs w:val="0"/>
                <w:color w:val="auto"/>
                <w:sz w:val="22"/>
                <w:szCs w:val="22"/>
                <w:lang w:val="en-US" w:eastAsia="en-GB"/>
              </w:rPr>
              <w:t xml:space="preserve">in a procurement. </w:t>
            </w:r>
          </w:p>
          <w:p w14:paraId="2F28C0BB" w14:textId="1C663F53" w:rsidR="001E12C4" w:rsidRPr="005A2406" w:rsidRDefault="001E12C4" w:rsidP="00A956F5">
            <w:pPr>
              <w:pStyle w:val="ListParagraph"/>
              <w:widowControl w:val="0"/>
              <w:numPr>
                <w:ilvl w:val="0"/>
                <w:numId w:val="16"/>
              </w:numPr>
              <w:spacing w:before="0" w:after="0"/>
              <w:ind w:left="447" w:hanging="283"/>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The ICB can use as a Call for Competition.</w:t>
            </w:r>
          </w:p>
          <w:p w14:paraId="49768ACB" w14:textId="77777777" w:rsidR="001E12C4" w:rsidRPr="005A2406" w:rsidDel="00984CCB" w:rsidRDefault="001E12C4" w:rsidP="001E12C4">
            <w:pPr>
              <w:widowControl w:val="0"/>
              <w:spacing w:before="0" w:after="0"/>
              <w:ind w:left="102"/>
              <w:rPr>
                <w:rFonts w:eastAsia="Times New Roman" w:cstheme="minorHAnsi"/>
                <w:b w:val="0"/>
                <w:bCs w:val="0"/>
                <w:color w:val="auto"/>
                <w:sz w:val="22"/>
                <w:szCs w:val="22"/>
                <w:lang w:val="en-US" w:eastAsia="en-GB"/>
              </w:rPr>
            </w:pPr>
          </w:p>
        </w:tc>
      </w:tr>
      <w:tr w:rsidR="001E12C4" w:rsidRPr="009D29F9" w:rsidDel="00984CCB" w14:paraId="2C3E1982" w14:textId="77777777" w:rsidTr="009D29F9">
        <w:trPr>
          <w:trHeight w:hRule="exact" w:val="2262"/>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0DA35BF4" w14:textId="2A36C980"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Public Contracts Regulations 2015 (PCR</w:t>
            </w:r>
            <w:r w:rsidR="005853D7">
              <w:rPr>
                <w:rFonts w:eastAsia="Times New Roman" w:cstheme="minorHAnsi"/>
                <w:color w:val="auto"/>
                <w:sz w:val="22"/>
                <w:szCs w:val="22"/>
                <w:lang w:val="en-US" w:eastAsia="en-GB"/>
              </w:rPr>
              <w:t xml:space="preserve"> </w:t>
            </w:r>
            <w:r w:rsidRPr="005A2406">
              <w:rPr>
                <w:rFonts w:eastAsia="Times New Roman" w:cstheme="minorHAnsi"/>
                <w:color w:val="auto"/>
                <w:sz w:val="22"/>
                <w:szCs w:val="22"/>
                <w:lang w:val="en-US" w:eastAsia="en-GB"/>
              </w:rPr>
              <w:t>2015) as amended by the Public Procurement (Amendment etc.) (EU Exit) Regulations 2020 (‘PPAR 2020’)</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4F0B51B1" w14:textId="22AE50D3" w:rsidR="001E12C4" w:rsidRPr="005A2406" w:rsidRDefault="00425BF2" w:rsidP="001E12C4">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T</w:t>
            </w:r>
            <w:r w:rsidR="001E12C4" w:rsidRPr="005A2406">
              <w:rPr>
                <w:rFonts w:eastAsia="Times New Roman" w:cstheme="minorHAnsi"/>
                <w:b w:val="0"/>
                <w:bCs w:val="0"/>
                <w:color w:val="auto"/>
                <w:sz w:val="22"/>
                <w:szCs w:val="22"/>
                <w:lang w:val="en-US" w:eastAsia="en-GB"/>
              </w:rPr>
              <w:t xml:space="preserve">he </w:t>
            </w:r>
            <w:hyperlink r:id="rId17" w:tgtFrame="_blank" w:tooltip="Public Contracts Regulations 2006 " w:history="1">
              <w:r w:rsidR="001E12C4" w:rsidRPr="005A2406">
                <w:rPr>
                  <w:rFonts w:eastAsia="Times New Roman" w:cstheme="minorHAnsi"/>
                  <w:b w:val="0"/>
                  <w:bCs w:val="0"/>
                  <w:color w:val="auto"/>
                  <w:sz w:val="22"/>
                  <w:szCs w:val="22"/>
                  <w:lang w:val="en-US" w:eastAsia="en-GB"/>
                </w:rPr>
                <w:t xml:space="preserve">Public Contracts Regulations 2015 </w:t>
              </w:r>
              <w:r w:rsidR="001E12C4" w:rsidRPr="005A2406">
                <w:rPr>
                  <w:rFonts w:eastAsia="Calibri" w:cstheme="minorHAnsi"/>
                  <w:b w:val="0"/>
                  <w:bCs w:val="0"/>
                  <w:i/>
                  <w:iCs/>
                  <w:color w:val="auto"/>
                  <w:sz w:val="22"/>
                  <w:szCs w:val="22"/>
                  <w:lang w:val="en-US"/>
                </w:rPr>
                <w:t>(as amended by The Public Procurement (Amendment etc.) (EU Exit) Regulations 2020)</w:t>
              </w:r>
            </w:hyperlink>
            <w:r w:rsidR="001E12C4" w:rsidRPr="005A2406">
              <w:rPr>
                <w:rFonts w:eastAsia="Times New Roman" w:cstheme="minorHAnsi"/>
                <w:b w:val="0"/>
                <w:bCs w:val="0"/>
                <w:color w:val="auto"/>
                <w:sz w:val="22"/>
                <w:szCs w:val="22"/>
                <w:lang w:val="en-US" w:eastAsia="en-GB"/>
              </w:rPr>
              <w:t xml:space="preserve">. This is the UK procurement legislation setting out procedures for the award of contracts for supplies, </w:t>
            </w:r>
            <w:proofErr w:type="gramStart"/>
            <w:r w:rsidR="001E12C4" w:rsidRPr="005A2406">
              <w:rPr>
                <w:rFonts w:eastAsia="Times New Roman" w:cstheme="minorHAnsi"/>
                <w:b w:val="0"/>
                <w:bCs w:val="0"/>
                <w:color w:val="auto"/>
                <w:sz w:val="22"/>
                <w:szCs w:val="22"/>
                <w:lang w:val="en-US" w:eastAsia="en-GB"/>
              </w:rPr>
              <w:t>services</w:t>
            </w:r>
            <w:proofErr w:type="gramEnd"/>
            <w:r w:rsidR="001E12C4" w:rsidRPr="005A2406">
              <w:rPr>
                <w:rFonts w:eastAsia="Times New Roman" w:cstheme="minorHAnsi"/>
                <w:b w:val="0"/>
                <w:bCs w:val="0"/>
                <w:color w:val="auto"/>
                <w:sz w:val="22"/>
                <w:szCs w:val="22"/>
                <w:lang w:val="en-US" w:eastAsia="en-GB"/>
              </w:rPr>
              <w:t xml:space="preserve"> and works.</w:t>
            </w:r>
          </w:p>
          <w:p w14:paraId="0049DA08" w14:textId="77777777" w:rsidR="001E12C4" w:rsidRPr="005A2406" w:rsidDel="00984CCB" w:rsidRDefault="001E12C4" w:rsidP="001E12C4">
            <w:pPr>
              <w:widowControl w:val="0"/>
              <w:spacing w:before="0" w:after="0"/>
              <w:ind w:left="102"/>
              <w:rPr>
                <w:rFonts w:eastAsia="Times New Roman" w:cstheme="minorHAnsi"/>
                <w:b w:val="0"/>
                <w:bCs w:val="0"/>
                <w:color w:val="auto"/>
                <w:sz w:val="22"/>
                <w:szCs w:val="22"/>
                <w:lang w:val="en-US" w:eastAsia="en-GB"/>
              </w:rPr>
            </w:pPr>
          </w:p>
        </w:tc>
      </w:tr>
      <w:tr w:rsidR="001E12C4" w:rsidRPr="009D29F9" w:rsidDel="00984CCB" w14:paraId="4051AE53" w14:textId="77777777" w:rsidTr="009D29F9">
        <w:trPr>
          <w:cnfStyle w:val="000000100000" w:firstRow="0" w:lastRow="0" w:firstColumn="0" w:lastColumn="0" w:oddVBand="0" w:evenVBand="0" w:oddHBand="1" w:evenHBand="0" w:firstRowFirstColumn="0" w:firstRowLastColumn="0" w:lastRowFirstColumn="0" w:lastRowLastColumn="0"/>
          <w:trHeight w:hRule="exact" w:val="1422"/>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65655755"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Selection criteria</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7BD44E90" w14:textId="38347146" w:rsidR="001E12C4" w:rsidRPr="005A2406" w:rsidRDefault="003A7001" w:rsidP="001E12C4">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C</w:t>
            </w:r>
            <w:r w:rsidR="001E12C4" w:rsidRPr="005A2406">
              <w:rPr>
                <w:rFonts w:eastAsia="Times New Roman" w:cstheme="minorHAnsi"/>
                <w:b w:val="0"/>
                <w:bCs w:val="0"/>
                <w:color w:val="auto"/>
                <w:sz w:val="22"/>
                <w:szCs w:val="22"/>
                <w:lang w:val="en-US" w:eastAsia="en-GB"/>
              </w:rPr>
              <w:t>riteria used at the Selection Questionnaire stage to select the bidders that are to proceed to the next stage. Selection criteria should only relate to technical and professional capability and financial and economic standing and certain grounds for disqualification.</w:t>
            </w:r>
          </w:p>
          <w:p w14:paraId="1AD6DFBA" w14:textId="77777777" w:rsidR="001E12C4" w:rsidRPr="005A2406" w:rsidDel="00984CCB" w:rsidRDefault="001E12C4" w:rsidP="001E12C4">
            <w:pPr>
              <w:widowControl w:val="0"/>
              <w:spacing w:before="0" w:after="0"/>
              <w:ind w:left="102"/>
              <w:rPr>
                <w:rFonts w:eastAsia="Times New Roman" w:cstheme="minorHAnsi"/>
                <w:b w:val="0"/>
                <w:bCs w:val="0"/>
                <w:color w:val="auto"/>
                <w:sz w:val="22"/>
                <w:szCs w:val="22"/>
                <w:lang w:val="en-US" w:eastAsia="en-GB"/>
              </w:rPr>
            </w:pPr>
          </w:p>
        </w:tc>
      </w:tr>
      <w:tr w:rsidR="001E12C4" w:rsidRPr="009D29F9" w14:paraId="415F360D" w14:textId="77777777" w:rsidTr="009D29F9">
        <w:trPr>
          <w:trHeight w:hRule="exact" w:val="1902"/>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18997222" w14:textId="77777777" w:rsidR="001E12C4" w:rsidRPr="005A2406" w:rsidRDefault="001E12C4" w:rsidP="001E12C4">
            <w:pPr>
              <w:widowControl w:val="0"/>
              <w:spacing w:before="0" w:after="0"/>
              <w:ind w:left="102"/>
              <w:rPr>
                <w:rFonts w:eastAsia="Times New Roman" w:cstheme="minorHAnsi"/>
                <w:b w:val="0"/>
                <w:color w:val="auto"/>
                <w:sz w:val="22"/>
                <w:szCs w:val="22"/>
                <w:lang w:val="en-US" w:eastAsia="en-GB"/>
              </w:rPr>
            </w:pPr>
            <w:r w:rsidRPr="005A2406">
              <w:rPr>
                <w:rFonts w:eastAsia="Times New Roman" w:cstheme="minorHAnsi"/>
                <w:color w:val="auto"/>
                <w:sz w:val="22"/>
                <w:szCs w:val="22"/>
                <w:lang w:val="en-US" w:eastAsia="en-GB"/>
              </w:rPr>
              <w:t xml:space="preserve">Selection Questionnaire </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51BC3CDF" w14:textId="0D6C66E7" w:rsidR="001E12C4" w:rsidRPr="005A2406" w:rsidRDefault="003A7001" w:rsidP="001E12C4">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A</w:t>
            </w:r>
            <w:r w:rsidR="001E12C4" w:rsidRPr="005A2406">
              <w:rPr>
                <w:rFonts w:eastAsia="Times New Roman" w:cstheme="minorHAnsi"/>
                <w:b w:val="0"/>
                <w:bCs w:val="0"/>
                <w:color w:val="auto"/>
                <w:sz w:val="22"/>
                <w:szCs w:val="22"/>
                <w:lang w:val="en-US" w:eastAsia="en-GB"/>
              </w:rPr>
              <w:t xml:space="preserve"> Selection Questionnaire (SQ) enables a </w:t>
            </w:r>
            <w:hyperlink r:id="rId18" w:anchor="Contracting authority" w:history="1">
              <w:r w:rsidR="001E12C4" w:rsidRPr="005A2406">
                <w:rPr>
                  <w:rFonts w:eastAsia="Times New Roman" w:cstheme="minorHAnsi"/>
                  <w:b w:val="0"/>
                  <w:bCs w:val="0"/>
                  <w:color w:val="auto"/>
                  <w:sz w:val="22"/>
                  <w:szCs w:val="22"/>
                  <w:lang w:val="en-US" w:eastAsia="en-GB"/>
                </w:rPr>
                <w:t xml:space="preserve">contracting authority </w:t>
              </w:r>
            </w:hyperlink>
            <w:r w:rsidR="001E12C4" w:rsidRPr="005A2406">
              <w:rPr>
                <w:rFonts w:eastAsia="Times New Roman" w:cstheme="minorHAnsi"/>
                <w:b w:val="0"/>
                <w:bCs w:val="0"/>
                <w:color w:val="auto"/>
                <w:sz w:val="22"/>
                <w:szCs w:val="22"/>
                <w:lang w:val="en-US" w:eastAsia="en-GB"/>
              </w:rPr>
              <w:t xml:space="preserve">to evaluate the suitability of potential suppliers in relation to their technical knowledge and experience, capability and financial and economic standing. SQs are used in the </w:t>
            </w:r>
            <w:hyperlink r:id="rId19" w:anchor="Restricted procedure" w:history="1">
              <w:r w:rsidR="001E12C4" w:rsidRPr="005A2406">
                <w:rPr>
                  <w:rFonts w:eastAsia="Times New Roman" w:cstheme="minorHAnsi"/>
                  <w:b w:val="0"/>
                  <w:bCs w:val="0"/>
                  <w:color w:val="auto"/>
                  <w:sz w:val="22"/>
                  <w:szCs w:val="22"/>
                  <w:lang w:val="en-US" w:eastAsia="en-GB"/>
                </w:rPr>
                <w:t>restricted procedure</w:t>
              </w:r>
            </w:hyperlink>
            <w:r w:rsidR="001E12C4" w:rsidRPr="005A2406">
              <w:rPr>
                <w:rFonts w:eastAsia="Times New Roman" w:cstheme="minorHAnsi"/>
                <w:b w:val="0"/>
                <w:bCs w:val="0"/>
                <w:color w:val="auto"/>
                <w:sz w:val="22"/>
                <w:szCs w:val="22"/>
                <w:lang w:val="en-US" w:eastAsia="en-GB"/>
              </w:rPr>
              <w:t xml:space="preserve">, </w:t>
            </w:r>
            <w:hyperlink r:id="rId20" w:anchor="Negotiated procedure" w:history="1">
              <w:r w:rsidR="001E12C4" w:rsidRPr="005A2406">
                <w:rPr>
                  <w:rFonts w:eastAsia="Times New Roman" w:cstheme="minorHAnsi"/>
                  <w:b w:val="0"/>
                  <w:bCs w:val="0"/>
                  <w:color w:val="auto"/>
                  <w:sz w:val="22"/>
                  <w:szCs w:val="22"/>
                  <w:lang w:val="en-US" w:eastAsia="en-GB"/>
                </w:rPr>
                <w:t xml:space="preserve">negotiated procedure </w:t>
              </w:r>
            </w:hyperlink>
            <w:r w:rsidR="001E12C4" w:rsidRPr="005A2406">
              <w:rPr>
                <w:rFonts w:eastAsia="Times New Roman" w:cstheme="minorHAnsi"/>
                <w:b w:val="0"/>
                <w:bCs w:val="0"/>
                <w:color w:val="auto"/>
                <w:sz w:val="22"/>
                <w:szCs w:val="22"/>
                <w:lang w:val="en-US" w:eastAsia="en-GB"/>
              </w:rPr>
              <w:t xml:space="preserve">and </w:t>
            </w:r>
            <w:hyperlink r:id="rId21" w:anchor="Competitive dialogue procedure" w:history="1">
              <w:r w:rsidR="001E12C4" w:rsidRPr="005A2406">
                <w:rPr>
                  <w:rFonts w:eastAsia="Times New Roman" w:cstheme="minorHAnsi"/>
                  <w:b w:val="0"/>
                  <w:bCs w:val="0"/>
                  <w:color w:val="auto"/>
                  <w:sz w:val="22"/>
                  <w:szCs w:val="22"/>
                  <w:lang w:val="en-US" w:eastAsia="en-GB"/>
                </w:rPr>
                <w:t>competitive dialogue procedure</w:t>
              </w:r>
            </w:hyperlink>
            <w:r w:rsidR="001E12C4" w:rsidRPr="005A2406">
              <w:rPr>
                <w:rFonts w:eastAsia="Times New Roman" w:cstheme="minorHAnsi"/>
                <w:b w:val="0"/>
                <w:bCs w:val="0"/>
                <w:color w:val="auto"/>
                <w:sz w:val="22"/>
                <w:szCs w:val="22"/>
                <w:lang w:val="en-US" w:eastAsia="en-GB"/>
              </w:rPr>
              <w:t xml:space="preserve"> as a means of selecting the bidder to go forward to the next stage of the procurement process.</w:t>
            </w:r>
          </w:p>
          <w:p w14:paraId="3D780B88" w14:textId="77777777" w:rsidR="001E12C4" w:rsidRPr="005A2406" w:rsidRDefault="001E12C4" w:rsidP="001E12C4">
            <w:pPr>
              <w:widowControl w:val="0"/>
              <w:spacing w:before="0" w:after="0"/>
              <w:ind w:left="102"/>
              <w:rPr>
                <w:rFonts w:eastAsia="Times New Roman" w:cstheme="minorHAnsi"/>
                <w:b w:val="0"/>
                <w:bCs w:val="0"/>
                <w:color w:val="auto"/>
                <w:sz w:val="22"/>
                <w:szCs w:val="22"/>
                <w:lang w:val="en-US" w:eastAsia="en-GB"/>
              </w:rPr>
            </w:pPr>
          </w:p>
        </w:tc>
      </w:tr>
      <w:tr w:rsidR="001E12C4" w:rsidRPr="009D29F9" w14:paraId="7F04EC75" w14:textId="77777777" w:rsidTr="00F53C2E">
        <w:trPr>
          <w:cnfStyle w:val="000000100000" w:firstRow="0" w:lastRow="0" w:firstColumn="0" w:lastColumn="0" w:oddVBand="0" w:evenVBand="0" w:oddHBand="1" w:evenHBand="0" w:firstRowFirstColumn="0" w:firstRowLastColumn="0" w:lastRowFirstColumn="0" w:lastRowLastColumn="0"/>
          <w:trHeight w:hRule="exact" w:val="595"/>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7CA95BCC" w14:textId="211827D8" w:rsidR="001E12C4" w:rsidRPr="005A2406" w:rsidRDefault="001E12C4" w:rsidP="001E12C4">
            <w:pPr>
              <w:widowControl w:val="0"/>
              <w:spacing w:before="0" w:after="0"/>
              <w:ind w:left="102"/>
              <w:rPr>
                <w:rFonts w:eastAsia="Times New Roman" w:cstheme="minorHAnsi"/>
                <w:b w:val="0"/>
                <w:color w:val="auto"/>
                <w:sz w:val="22"/>
                <w:szCs w:val="22"/>
                <w:lang w:val="en-US" w:eastAsia="en-GB"/>
              </w:rPr>
            </w:pPr>
            <w:r w:rsidRPr="005A2406">
              <w:rPr>
                <w:rFonts w:eastAsia="Times New Roman" w:cstheme="minorHAnsi"/>
                <w:color w:val="auto"/>
                <w:sz w:val="22"/>
                <w:szCs w:val="22"/>
                <w:lang w:val="en-US" w:eastAsia="en-GB"/>
              </w:rPr>
              <w:t>SLA</w:t>
            </w:r>
          </w:p>
          <w:p w14:paraId="0833A177" w14:textId="77777777" w:rsidR="001E12C4" w:rsidRPr="005A2406" w:rsidRDefault="001E12C4" w:rsidP="001E12C4">
            <w:pPr>
              <w:spacing w:before="0"/>
              <w:ind w:left="0"/>
              <w:rPr>
                <w:rFonts w:eastAsia="Calibri" w:cstheme="minorHAnsi"/>
                <w:color w:val="auto"/>
                <w:sz w:val="22"/>
                <w:szCs w:val="22"/>
                <w:lang w:val="en-US" w:eastAsia="en-GB"/>
              </w:rPr>
            </w:pPr>
          </w:p>
          <w:p w14:paraId="3FC60B8D" w14:textId="77777777" w:rsidR="001E12C4" w:rsidRPr="005A2406" w:rsidRDefault="001E12C4" w:rsidP="001E12C4">
            <w:pPr>
              <w:spacing w:before="0"/>
              <w:ind w:left="0"/>
              <w:jc w:val="center"/>
              <w:rPr>
                <w:rFonts w:eastAsia="Calibri" w:cstheme="minorHAnsi"/>
                <w:color w:val="auto"/>
                <w:sz w:val="22"/>
                <w:szCs w:val="22"/>
                <w:lang w:val="en-US" w:eastAsia="en-GB"/>
              </w:rPr>
            </w:pP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2BB5F857" w14:textId="4EDEE798" w:rsidR="001E12C4" w:rsidRPr="005A2406" w:rsidRDefault="009F1AF2"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 xml:space="preserve">Service Level </w:t>
            </w:r>
            <w:r w:rsidR="001E12C4" w:rsidRPr="005A2406">
              <w:rPr>
                <w:rFonts w:eastAsia="Times New Roman" w:cstheme="minorHAnsi"/>
                <w:b w:val="0"/>
                <w:bCs w:val="0"/>
                <w:color w:val="auto"/>
                <w:sz w:val="22"/>
                <w:szCs w:val="22"/>
                <w:lang w:val="en-US" w:eastAsia="en-GB"/>
              </w:rPr>
              <w:t>Agreement between the ICB and Attain. Attain is an agent of the ICB.</w:t>
            </w:r>
          </w:p>
        </w:tc>
      </w:tr>
      <w:tr w:rsidR="001E12C4" w:rsidRPr="009D29F9" w:rsidDel="00984CCB" w14:paraId="5AB7E6B2" w14:textId="77777777" w:rsidTr="00F53C2E">
        <w:trPr>
          <w:trHeight w:hRule="exact" w:val="1015"/>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7AF02FF3"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SME</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39144C17" w14:textId="51536511" w:rsidR="001E12C4" w:rsidRPr="005A2406" w:rsidDel="00984CCB" w:rsidRDefault="003A7001" w:rsidP="00F53C2E">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S</w:t>
            </w:r>
            <w:r w:rsidR="001E12C4" w:rsidRPr="005A2406">
              <w:rPr>
                <w:rFonts w:eastAsia="Times New Roman" w:cstheme="minorHAnsi"/>
                <w:b w:val="0"/>
                <w:bCs w:val="0"/>
                <w:color w:val="auto"/>
                <w:sz w:val="22"/>
                <w:szCs w:val="22"/>
                <w:lang w:val="en-US" w:eastAsia="en-GB"/>
              </w:rPr>
              <w:t xml:space="preserve">mall and </w:t>
            </w:r>
            <w:r>
              <w:rPr>
                <w:rFonts w:eastAsia="Times New Roman" w:cstheme="minorHAnsi"/>
                <w:b w:val="0"/>
                <w:bCs w:val="0"/>
                <w:color w:val="auto"/>
                <w:sz w:val="22"/>
                <w:szCs w:val="22"/>
                <w:lang w:val="en-US" w:eastAsia="en-GB"/>
              </w:rPr>
              <w:t>M</w:t>
            </w:r>
            <w:r w:rsidR="001E12C4" w:rsidRPr="005A2406">
              <w:rPr>
                <w:rFonts w:eastAsia="Times New Roman" w:cstheme="minorHAnsi"/>
                <w:b w:val="0"/>
                <w:bCs w:val="0"/>
                <w:color w:val="auto"/>
                <w:sz w:val="22"/>
                <w:szCs w:val="22"/>
                <w:lang w:val="en-US" w:eastAsia="en-GB"/>
              </w:rPr>
              <w:t xml:space="preserve">edium-sized </w:t>
            </w:r>
            <w:r>
              <w:rPr>
                <w:rFonts w:eastAsia="Times New Roman" w:cstheme="minorHAnsi"/>
                <w:b w:val="0"/>
                <w:bCs w:val="0"/>
                <w:color w:val="auto"/>
                <w:sz w:val="22"/>
                <w:szCs w:val="22"/>
                <w:lang w:val="en-US" w:eastAsia="en-GB"/>
              </w:rPr>
              <w:t>E</w:t>
            </w:r>
            <w:r w:rsidR="001E12C4" w:rsidRPr="005A2406">
              <w:rPr>
                <w:rFonts w:eastAsia="Times New Roman" w:cstheme="minorHAnsi"/>
                <w:b w:val="0"/>
                <w:bCs w:val="0"/>
                <w:color w:val="auto"/>
                <w:sz w:val="22"/>
                <w:szCs w:val="22"/>
                <w:lang w:val="en-US" w:eastAsia="en-GB"/>
              </w:rPr>
              <w:t>nterprises – as defined in EU law: EU recommendation 2003/361. The main factors determining whether a company is an SME are number of employees and either turnover or balance sheet total.</w:t>
            </w:r>
          </w:p>
        </w:tc>
      </w:tr>
      <w:tr w:rsidR="001E12C4" w:rsidRPr="009D29F9" w:rsidDel="00984CCB" w14:paraId="406B9086" w14:textId="77777777" w:rsidTr="009D29F9">
        <w:trPr>
          <w:cnfStyle w:val="000000100000" w:firstRow="0" w:lastRow="0" w:firstColumn="0" w:lastColumn="0" w:oddVBand="0" w:evenVBand="0" w:oddHBand="1" w:evenHBand="0" w:firstRowFirstColumn="0" w:firstRowLastColumn="0" w:lastRowFirstColumn="0" w:lastRowLastColumn="0"/>
          <w:trHeight w:hRule="exact" w:val="863"/>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5C1A1A6C"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Sub-procurement thresholds</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70748051" w14:textId="459F9DBE" w:rsidR="001E12C4" w:rsidRPr="005A2406" w:rsidDel="00984CCB" w:rsidRDefault="00F53C2E" w:rsidP="001E12C4">
            <w:pPr>
              <w:widowControl w:val="0"/>
              <w:spacing w:before="0" w:after="0"/>
              <w:ind w:left="102"/>
              <w:rPr>
                <w:rFonts w:eastAsia="Times New Roman" w:cstheme="minorHAnsi"/>
                <w:b w:val="0"/>
                <w:bCs w:val="0"/>
                <w:color w:val="auto"/>
                <w:sz w:val="22"/>
                <w:szCs w:val="22"/>
                <w:lang w:val="en-US" w:eastAsia="en-GB"/>
              </w:rPr>
            </w:pPr>
            <w:r>
              <w:rPr>
                <w:rFonts w:eastAsia="Times New Roman" w:cstheme="minorHAnsi"/>
                <w:b w:val="0"/>
                <w:bCs w:val="0"/>
                <w:color w:val="auto"/>
                <w:sz w:val="22"/>
                <w:szCs w:val="22"/>
                <w:lang w:val="en-US" w:eastAsia="en-GB"/>
              </w:rPr>
              <w:t>A</w:t>
            </w:r>
            <w:r w:rsidR="001E12C4" w:rsidRPr="005A2406">
              <w:rPr>
                <w:rFonts w:eastAsia="Times New Roman" w:cstheme="minorHAnsi"/>
                <w:b w:val="0"/>
                <w:bCs w:val="0"/>
                <w:color w:val="auto"/>
                <w:sz w:val="22"/>
                <w:szCs w:val="22"/>
                <w:lang w:val="en-US" w:eastAsia="en-GB"/>
              </w:rPr>
              <w:t xml:space="preserve"> contract for supplies, </w:t>
            </w:r>
            <w:proofErr w:type="gramStart"/>
            <w:r w:rsidR="001E12C4" w:rsidRPr="005A2406">
              <w:rPr>
                <w:rFonts w:eastAsia="Times New Roman" w:cstheme="minorHAnsi"/>
                <w:b w:val="0"/>
                <w:bCs w:val="0"/>
                <w:color w:val="auto"/>
                <w:sz w:val="22"/>
                <w:szCs w:val="22"/>
                <w:lang w:val="en-US" w:eastAsia="en-GB"/>
              </w:rPr>
              <w:t>works</w:t>
            </w:r>
            <w:proofErr w:type="gramEnd"/>
            <w:r w:rsidR="001E12C4" w:rsidRPr="005A2406">
              <w:rPr>
                <w:rFonts w:eastAsia="Times New Roman" w:cstheme="minorHAnsi"/>
                <w:b w:val="0"/>
                <w:bCs w:val="0"/>
                <w:color w:val="auto"/>
                <w:sz w:val="22"/>
                <w:szCs w:val="22"/>
                <w:lang w:val="en-US" w:eastAsia="en-GB"/>
              </w:rPr>
              <w:t xml:space="preserve"> or services that falls below the public procurement financial thresholds</w:t>
            </w:r>
          </w:p>
        </w:tc>
      </w:tr>
      <w:tr w:rsidR="001E12C4" w:rsidRPr="009D29F9" w:rsidDel="00984CCB" w14:paraId="50CC5230" w14:textId="77777777" w:rsidTr="009D29F9">
        <w:trPr>
          <w:trHeight w:hRule="exact" w:val="995"/>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79942A23"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TFEU</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4421692A" w14:textId="29B64518" w:rsidR="001E12C4" w:rsidRPr="005A2406" w:rsidDel="00984CCB" w:rsidRDefault="001E12C4"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 xml:space="preserve">Treaty on the Functioning of the European Union. The TFEU sets out </w:t>
            </w:r>
            <w:proofErr w:type="spellStart"/>
            <w:r w:rsidRPr="005A2406">
              <w:rPr>
                <w:rFonts w:eastAsia="Times New Roman" w:cstheme="minorHAnsi"/>
                <w:b w:val="0"/>
                <w:bCs w:val="0"/>
                <w:color w:val="auto"/>
                <w:sz w:val="22"/>
                <w:szCs w:val="22"/>
                <w:lang w:val="en-US" w:eastAsia="en-GB"/>
              </w:rPr>
              <w:t>organisational</w:t>
            </w:r>
            <w:proofErr w:type="spellEnd"/>
            <w:r w:rsidRPr="005A2406">
              <w:rPr>
                <w:rFonts w:eastAsia="Times New Roman" w:cstheme="minorHAnsi"/>
                <w:b w:val="0"/>
                <w:bCs w:val="0"/>
                <w:color w:val="auto"/>
                <w:sz w:val="22"/>
                <w:szCs w:val="22"/>
                <w:lang w:val="en-US" w:eastAsia="en-GB"/>
              </w:rPr>
              <w:t xml:space="preserve"> and functional details of the European Union.</w:t>
            </w:r>
          </w:p>
        </w:tc>
      </w:tr>
      <w:tr w:rsidR="001E12C4" w:rsidRPr="009D29F9" w14:paraId="26DB0BFD" w14:textId="77777777" w:rsidTr="009D29F9">
        <w:trPr>
          <w:cnfStyle w:val="000000100000" w:firstRow="0" w:lastRow="0" w:firstColumn="0" w:lastColumn="0" w:oddVBand="0" w:evenVBand="0" w:oddHBand="1" w:evenHBand="0" w:firstRowFirstColumn="0" w:firstRowLastColumn="0" w:lastRowFirstColumn="0" w:lastRowLastColumn="0"/>
          <w:trHeight w:hRule="exact" w:val="772"/>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003087" w:themeColor="accent1"/>
            </w:tcBorders>
          </w:tcPr>
          <w:p w14:paraId="4979E4C9" w14:textId="77777777" w:rsidR="001E12C4" w:rsidRPr="005A2406" w:rsidRDefault="001E12C4" w:rsidP="001E12C4">
            <w:pPr>
              <w:widowControl w:val="0"/>
              <w:spacing w:before="0" w:after="0"/>
              <w:ind w:left="102"/>
              <w:rPr>
                <w:rFonts w:eastAsia="Times New Roman" w:cstheme="minorHAnsi"/>
                <w:b w:val="0"/>
                <w:color w:val="auto"/>
                <w:sz w:val="22"/>
                <w:szCs w:val="22"/>
                <w:lang w:val="en-US" w:eastAsia="en-GB"/>
              </w:rPr>
            </w:pPr>
            <w:r w:rsidRPr="005A2406">
              <w:rPr>
                <w:rFonts w:eastAsia="Times New Roman" w:cstheme="minorHAnsi"/>
                <w:color w:val="auto"/>
                <w:sz w:val="22"/>
                <w:szCs w:val="22"/>
                <w:lang w:val="en-US" w:eastAsia="en-GB"/>
              </w:rPr>
              <w:t>TUPE</w:t>
            </w:r>
          </w:p>
        </w:tc>
        <w:tc>
          <w:tcPr>
            <w:cnfStyle w:val="000100000000" w:firstRow="0" w:lastRow="0" w:firstColumn="0" w:lastColumn="1" w:oddVBand="0" w:evenVBand="0" w:oddHBand="0" w:evenHBand="0" w:firstRowFirstColumn="0" w:firstRowLastColumn="0" w:lastRowFirstColumn="0" w:lastRowLastColumn="0"/>
            <w:tcW w:w="6691" w:type="dxa"/>
            <w:tcBorders>
              <w:left w:val="single" w:sz="4" w:space="0" w:color="003087" w:themeColor="accent1"/>
            </w:tcBorders>
          </w:tcPr>
          <w:p w14:paraId="644ADBB1" w14:textId="334F17D4" w:rsidR="001E12C4" w:rsidRPr="005A2406" w:rsidRDefault="001E12C4" w:rsidP="001E12C4">
            <w:pPr>
              <w:widowControl w:val="0"/>
              <w:spacing w:before="0" w:after="0"/>
              <w:ind w:left="102"/>
              <w:rPr>
                <w:rFonts w:eastAsia="Times New Roman" w:cstheme="minorHAnsi"/>
                <w:b w:val="0"/>
                <w:bCs w:val="0"/>
                <w:color w:val="auto"/>
                <w:sz w:val="22"/>
                <w:szCs w:val="22"/>
                <w:lang w:val="en-US" w:eastAsia="en-GB"/>
              </w:rPr>
            </w:pPr>
            <w:r w:rsidRPr="005A2406">
              <w:rPr>
                <w:rFonts w:eastAsia="Times New Roman" w:cstheme="minorHAnsi"/>
                <w:b w:val="0"/>
                <w:bCs w:val="0"/>
                <w:color w:val="auto"/>
                <w:sz w:val="22"/>
                <w:szCs w:val="22"/>
                <w:lang w:val="en-US" w:eastAsia="en-GB"/>
              </w:rPr>
              <w:t>Transfer of Undertakings (Protection of Employment) Regulations 2006 (SI/2006/246) as amended</w:t>
            </w:r>
          </w:p>
        </w:tc>
      </w:tr>
      <w:tr w:rsidR="001E12C4" w:rsidRPr="009D29F9" w:rsidDel="00984CCB" w14:paraId="3DACEC3A" w14:textId="77777777" w:rsidTr="008B4A3B">
        <w:trPr>
          <w:cnfStyle w:val="010000000000" w:firstRow="0" w:lastRow="1" w:firstColumn="0" w:lastColumn="0" w:oddVBand="0" w:evenVBand="0" w:oddHBand="0" w:evenHBand="0" w:firstRowFirstColumn="0" w:firstRowLastColumn="0" w:lastRowFirstColumn="0" w:lastRowLastColumn="0"/>
          <w:trHeight w:hRule="exact" w:val="2900"/>
        </w:trPr>
        <w:tc>
          <w:tcPr>
            <w:cnfStyle w:val="001000000001" w:firstRow="0" w:lastRow="0" w:firstColumn="1" w:lastColumn="0" w:oddVBand="0" w:evenVBand="0" w:oddHBand="0" w:evenHBand="0" w:firstRowFirstColumn="0" w:firstRowLastColumn="0" w:lastRowFirstColumn="1" w:lastRowLastColumn="0"/>
            <w:tcW w:w="0" w:type="dxa"/>
            <w:tcBorders>
              <w:right w:val="single" w:sz="4" w:space="0" w:color="003087" w:themeColor="accent1"/>
            </w:tcBorders>
          </w:tcPr>
          <w:p w14:paraId="3C67B7F6" w14:textId="77777777" w:rsidR="001E12C4" w:rsidRPr="005A2406" w:rsidRDefault="001E12C4" w:rsidP="001E12C4">
            <w:pPr>
              <w:widowControl w:val="0"/>
              <w:spacing w:before="0" w:after="0"/>
              <w:ind w:left="102"/>
              <w:rPr>
                <w:rFonts w:eastAsia="Calibri" w:cstheme="minorHAnsi"/>
                <w:b w:val="0"/>
                <w:color w:val="auto"/>
                <w:sz w:val="22"/>
                <w:szCs w:val="22"/>
                <w:lang w:val="en-US"/>
              </w:rPr>
            </w:pPr>
            <w:r w:rsidRPr="005A2406">
              <w:rPr>
                <w:rFonts w:eastAsia="Times New Roman" w:cstheme="minorHAnsi"/>
                <w:color w:val="auto"/>
                <w:sz w:val="22"/>
                <w:szCs w:val="22"/>
                <w:lang w:val="en-US" w:eastAsia="en-GB"/>
              </w:rPr>
              <w:t>Value for Money or VFM</w:t>
            </w:r>
          </w:p>
        </w:tc>
        <w:tc>
          <w:tcPr>
            <w:cnfStyle w:val="000100000010" w:firstRow="0" w:lastRow="0" w:firstColumn="0" w:lastColumn="1" w:oddVBand="0" w:evenVBand="0" w:oddHBand="0" w:evenHBand="0" w:firstRowFirstColumn="0" w:firstRowLastColumn="0" w:lastRowFirstColumn="0" w:lastRowLastColumn="1"/>
            <w:tcW w:w="0" w:type="dxa"/>
            <w:tcBorders>
              <w:left w:val="single" w:sz="4" w:space="0" w:color="003087" w:themeColor="accent1"/>
            </w:tcBorders>
          </w:tcPr>
          <w:p w14:paraId="638BADED" w14:textId="53C7EABC" w:rsidR="0085111E" w:rsidRDefault="00D959CF" w:rsidP="001E12C4">
            <w:pPr>
              <w:widowControl w:val="0"/>
              <w:spacing w:before="0" w:after="0"/>
              <w:ind w:left="102"/>
              <w:rPr>
                <w:rFonts w:eastAsia="Times New Roman" w:cstheme="minorHAnsi"/>
                <w:color w:val="auto"/>
                <w:sz w:val="22"/>
                <w:szCs w:val="22"/>
                <w:lang w:val="en-US" w:eastAsia="en-GB"/>
              </w:rPr>
            </w:pPr>
            <w:r>
              <w:rPr>
                <w:rFonts w:eastAsia="Times New Roman" w:cstheme="minorHAnsi"/>
                <w:b w:val="0"/>
                <w:bCs w:val="0"/>
                <w:color w:val="auto"/>
                <w:sz w:val="22"/>
                <w:szCs w:val="22"/>
                <w:lang w:val="en-US" w:eastAsia="en-GB"/>
              </w:rPr>
              <w:t xml:space="preserve">A </w:t>
            </w:r>
            <w:r w:rsidR="001E12C4" w:rsidRPr="005A2406">
              <w:rPr>
                <w:rFonts w:eastAsia="Times New Roman" w:cstheme="minorHAnsi"/>
                <w:b w:val="0"/>
                <w:bCs w:val="0"/>
                <w:color w:val="auto"/>
                <w:sz w:val="22"/>
                <w:szCs w:val="22"/>
                <w:lang w:val="en-US" w:eastAsia="en-GB"/>
              </w:rPr>
              <w:t xml:space="preserve">term used to assess </w:t>
            </w:r>
            <w:proofErr w:type="gramStart"/>
            <w:r w:rsidR="001E12C4" w:rsidRPr="005A2406">
              <w:rPr>
                <w:rFonts w:eastAsia="Times New Roman" w:cstheme="minorHAnsi"/>
                <w:b w:val="0"/>
                <w:bCs w:val="0"/>
                <w:color w:val="auto"/>
                <w:sz w:val="22"/>
                <w:szCs w:val="22"/>
                <w:lang w:val="en-US" w:eastAsia="en-GB"/>
              </w:rPr>
              <w:t>whether or not</w:t>
            </w:r>
            <w:proofErr w:type="gramEnd"/>
            <w:r w:rsidR="001E12C4" w:rsidRPr="005A2406">
              <w:rPr>
                <w:rFonts w:eastAsia="Times New Roman" w:cstheme="minorHAnsi"/>
                <w:b w:val="0"/>
                <w:bCs w:val="0"/>
                <w:color w:val="auto"/>
                <w:sz w:val="22"/>
                <w:szCs w:val="22"/>
                <w:lang w:val="en-US" w:eastAsia="en-GB"/>
              </w:rPr>
              <w:t xml:space="preserve"> an </w:t>
            </w:r>
            <w:proofErr w:type="spellStart"/>
            <w:r w:rsidR="001E12C4" w:rsidRPr="005A2406">
              <w:rPr>
                <w:rFonts w:eastAsia="Times New Roman" w:cstheme="minorHAnsi"/>
                <w:b w:val="0"/>
                <w:bCs w:val="0"/>
                <w:color w:val="auto"/>
                <w:sz w:val="22"/>
                <w:szCs w:val="22"/>
                <w:lang w:val="en-US" w:eastAsia="en-GB"/>
              </w:rPr>
              <w:t>organisation</w:t>
            </w:r>
            <w:proofErr w:type="spellEnd"/>
            <w:r w:rsidR="001E12C4" w:rsidRPr="005A2406">
              <w:rPr>
                <w:rFonts w:eastAsia="Times New Roman" w:cstheme="minorHAnsi"/>
                <w:b w:val="0"/>
                <w:bCs w:val="0"/>
                <w:color w:val="auto"/>
                <w:sz w:val="22"/>
                <w:szCs w:val="22"/>
                <w:lang w:val="en-US" w:eastAsia="en-GB"/>
              </w:rPr>
              <w:t xml:space="preserve"> has obtained the maximum benefit from the supplies and services it both acquires and provides, within the resources available to it. </w:t>
            </w:r>
            <w:r w:rsidR="0085111E">
              <w:rPr>
                <w:rFonts w:eastAsia="Times New Roman" w:cstheme="minorHAnsi"/>
                <w:b w:val="0"/>
                <w:bCs w:val="0"/>
                <w:color w:val="auto"/>
                <w:sz w:val="22"/>
                <w:szCs w:val="22"/>
                <w:lang w:val="en-US" w:eastAsia="en-GB"/>
              </w:rPr>
              <w:t>Value for Money is assessed against three factors:</w:t>
            </w:r>
          </w:p>
          <w:p w14:paraId="0CFD5066" w14:textId="77777777" w:rsidR="0085111E" w:rsidRPr="008B4A3B" w:rsidRDefault="001E12C4" w:rsidP="008B4A3B">
            <w:pPr>
              <w:pStyle w:val="ListParagraph"/>
              <w:widowControl w:val="0"/>
              <w:numPr>
                <w:ilvl w:val="0"/>
                <w:numId w:val="48"/>
              </w:numPr>
              <w:spacing w:before="0" w:after="0"/>
              <w:ind w:left="489" w:hanging="284"/>
              <w:rPr>
                <w:rFonts w:eastAsia="Times New Roman" w:cstheme="minorHAnsi"/>
                <w:b w:val="0"/>
                <w:bCs w:val="0"/>
                <w:color w:val="auto"/>
                <w:sz w:val="22"/>
                <w:szCs w:val="22"/>
                <w:lang w:val="en-US" w:eastAsia="en-GB"/>
              </w:rPr>
            </w:pPr>
            <w:r w:rsidRPr="008B4A3B">
              <w:rPr>
                <w:rFonts w:eastAsia="Times New Roman" w:cstheme="minorHAnsi"/>
                <w:color w:val="auto"/>
                <w:sz w:val="22"/>
                <w:szCs w:val="22"/>
                <w:lang w:val="en-US" w:eastAsia="en-GB"/>
              </w:rPr>
              <w:t xml:space="preserve">Economy </w:t>
            </w:r>
            <w:r w:rsidRPr="008B4A3B">
              <w:rPr>
                <w:rFonts w:eastAsia="Times New Roman" w:cstheme="minorHAnsi"/>
                <w:b w:val="0"/>
                <w:bCs w:val="0"/>
                <w:color w:val="auto"/>
                <w:sz w:val="22"/>
                <w:szCs w:val="22"/>
                <w:lang w:val="en-US" w:eastAsia="en-GB"/>
              </w:rPr>
              <w:t xml:space="preserve">- careful use of resources to save expense, </w:t>
            </w:r>
            <w:proofErr w:type="gramStart"/>
            <w:r w:rsidRPr="008B4A3B">
              <w:rPr>
                <w:rFonts w:eastAsia="Times New Roman" w:cstheme="minorHAnsi"/>
                <w:b w:val="0"/>
                <w:bCs w:val="0"/>
                <w:color w:val="auto"/>
                <w:sz w:val="22"/>
                <w:szCs w:val="22"/>
                <w:lang w:val="en-US" w:eastAsia="en-GB"/>
              </w:rPr>
              <w:t>time</w:t>
            </w:r>
            <w:proofErr w:type="gramEnd"/>
            <w:r w:rsidRPr="008B4A3B">
              <w:rPr>
                <w:rFonts w:eastAsia="Times New Roman" w:cstheme="minorHAnsi"/>
                <w:b w:val="0"/>
                <w:bCs w:val="0"/>
                <w:color w:val="auto"/>
                <w:sz w:val="22"/>
                <w:szCs w:val="22"/>
                <w:lang w:val="en-US" w:eastAsia="en-GB"/>
              </w:rPr>
              <w:t xml:space="preserve"> or effort.</w:t>
            </w:r>
          </w:p>
          <w:p w14:paraId="2B73C64B" w14:textId="6C90E064" w:rsidR="0085111E" w:rsidRPr="008B4A3B" w:rsidRDefault="001E12C4" w:rsidP="008B4A3B">
            <w:pPr>
              <w:pStyle w:val="ListParagraph"/>
              <w:widowControl w:val="0"/>
              <w:numPr>
                <w:ilvl w:val="0"/>
                <w:numId w:val="48"/>
              </w:numPr>
              <w:spacing w:before="0" w:after="0"/>
              <w:ind w:left="489" w:hanging="284"/>
              <w:rPr>
                <w:rFonts w:eastAsia="Times New Roman" w:cstheme="minorHAnsi"/>
                <w:b w:val="0"/>
                <w:bCs w:val="0"/>
                <w:color w:val="auto"/>
                <w:sz w:val="22"/>
                <w:szCs w:val="22"/>
                <w:lang w:val="en-US" w:eastAsia="en-GB"/>
              </w:rPr>
            </w:pPr>
            <w:r w:rsidRPr="008B4A3B">
              <w:rPr>
                <w:rFonts w:eastAsia="Times New Roman" w:cstheme="minorHAnsi"/>
                <w:color w:val="auto"/>
                <w:sz w:val="22"/>
                <w:szCs w:val="22"/>
                <w:lang w:val="en-US" w:eastAsia="en-GB"/>
              </w:rPr>
              <w:t xml:space="preserve">Efficiency </w:t>
            </w:r>
            <w:r w:rsidRPr="008B4A3B">
              <w:rPr>
                <w:rFonts w:eastAsia="Times New Roman" w:cstheme="minorHAnsi"/>
                <w:b w:val="0"/>
                <w:bCs w:val="0"/>
                <w:color w:val="auto"/>
                <w:sz w:val="22"/>
                <w:szCs w:val="22"/>
                <w:lang w:val="en-US" w:eastAsia="en-GB"/>
              </w:rPr>
              <w:t xml:space="preserve">- delivering the same level of service for less cost, </w:t>
            </w:r>
            <w:proofErr w:type="gramStart"/>
            <w:r w:rsidRPr="008B4A3B">
              <w:rPr>
                <w:rFonts w:eastAsia="Times New Roman" w:cstheme="minorHAnsi"/>
                <w:b w:val="0"/>
                <w:bCs w:val="0"/>
                <w:color w:val="auto"/>
                <w:sz w:val="22"/>
                <w:szCs w:val="22"/>
                <w:lang w:val="en-US" w:eastAsia="en-GB"/>
              </w:rPr>
              <w:t>time</w:t>
            </w:r>
            <w:proofErr w:type="gramEnd"/>
            <w:r w:rsidRPr="008B4A3B">
              <w:rPr>
                <w:rFonts w:eastAsia="Times New Roman" w:cstheme="minorHAnsi"/>
                <w:b w:val="0"/>
                <w:bCs w:val="0"/>
                <w:color w:val="auto"/>
                <w:sz w:val="22"/>
                <w:szCs w:val="22"/>
                <w:lang w:val="en-US" w:eastAsia="en-GB"/>
              </w:rPr>
              <w:t xml:space="preserve"> or effort.</w:t>
            </w:r>
          </w:p>
          <w:p w14:paraId="63B8A55E" w14:textId="08D5FEFF" w:rsidR="001E12C4" w:rsidRPr="005A2406" w:rsidDel="00984CCB" w:rsidRDefault="001E12C4" w:rsidP="00BF1E1C">
            <w:pPr>
              <w:pStyle w:val="ListParagraph"/>
              <w:widowControl w:val="0"/>
              <w:numPr>
                <w:ilvl w:val="0"/>
                <w:numId w:val="48"/>
              </w:numPr>
              <w:spacing w:before="0" w:after="0"/>
              <w:ind w:left="489" w:hanging="284"/>
              <w:rPr>
                <w:rFonts w:eastAsia="Times New Roman" w:cstheme="minorHAnsi"/>
                <w:b w:val="0"/>
                <w:bCs w:val="0"/>
                <w:color w:val="auto"/>
                <w:sz w:val="22"/>
                <w:szCs w:val="22"/>
                <w:lang w:val="en-US" w:eastAsia="en-GB"/>
              </w:rPr>
            </w:pPr>
            <w:r w:rsidRPr="008B4A3B">
              <w:rPr>
                <w:rFonts w:eastAsia="Times New Roman" w:cstheme="minorHAnsi"/>
                <w:color w:val="auto"/>
                <w:sz w:val="22"/>
                <w:szCs w:val="22"/>
                <w:lang w:val="en-US" w:eastAsia="en-GB"/>
              </w:rPr>
              <w:t xml:space="preserve">Effectiveness </w:t>
            </w:r>
            <w:r w:rsidRPr="008B4A3B">
              <w:rPr>
                <w:rFonts w:eastAsia="Times New Roman" w:cstheme="minorHAnsi"/>
                <w:b w:val="0"/>
                <w:bCs w:val="0"/>
                <w:color w:val="auto"/>
                <w:sz w:val="22"/>
                <w:szCs w:val="22"/>
                <w:lang w:val="en-US" w:eastAsia="en-GB"/>
              </w:rPr>
              <w:t xml:space="preserve">- delivering a better service or getting a better return for the same amount of expense, </w:t>
            </w:r>
            <w:proofErr w:type="gramStart"/>
            <w:r w:rsidRPr="008B4A3B">
              <w:rPr>
                <w:rFonts w:eastAsia="Times New Roman" w:cstheme="minorHAnsi"/>
                <w:b w:val="0"/>
                <w:bCs w:val="0"/>
                <w:color w:val="auto"/>
                <w:sz w:val="22"/>
                <w:szCs w:val="22"/>
                <w:lang w:val="en-US" w:eastAsia="en-GB"/>
              </w:rPr>
              <w:t>time</w:t>
            </w:r>
            <w:proofErr w:type="gramEnd"/>
            <w:r w:rsidRPr="008B4A3B">
              <w:rPr>
                <w:rFonts w:eastAsia="Times New Roman" w:cstheme="minorHAnsi"/>
                <w:b w:val="0"/>
                <w:bCs w:val="0"/>
                <w:color w:val="auto"/>
                <w:sz w:val="22"/>
                <w:szCs w:val="22"/>
                <w:lang w:val="en-US" w:eastAsia="en-GB"/>
              </w:rPr>
              <w:t xml:space="preserve"> or effort. </w:t>
            </w:r>
          </w:p>
        </w:tc>
      </w:tr>
    </w:tbl>
    <w:p w14:paraId="0E72F2F5" w14:textId="77777777" w:rsidR="00F913CD" w:rsidRPr="0015255F" w:rsidRDefault="00F913CD" w:rsidP="00C94305">
      <w:pPr>
        <w:pStyle w:val="Heading2"/>
      </w:pPr>
      <w:bookmarkStart w:id="11" w:name="_Toc89326547"/>
      <w:bookmarkStart w:id="12" w:name="_Toc124497566"/>
      <w:r w:rsidRPr="0015255F">
        <w:t>Roles and Responsibilities</w:t>
      </w:r>
      <w:bookmarkStart w:id="13" w:name="_Toc84611047"/>
      <w:bookmarkEnd w:id="11"/>
      <w:bookmarkEnd w:id="12"/>
    </w:p>
    <w:p w14:paraId="01A41CC2" w14:textId="77777777" w:rsidR="00F913CD" w:rsidRPr="004B7710" w:rsidRDefault="00F913CD" w:rsidP="005A2406">
      <w:pPr>
        <w:pStyle w:val="Heading3"/>
      </w:pPr>
      <w:bookmarkStart w:id="14" w:name="_Toc84611048"/>
      <w:bookmarkStart w:id="15" w:name="_Toc124497567"/>
      <w:bookmarkEnd w:id="13"/>
      <w:r w:rsidRPr="004B7710">
        <w:t>Integrated Care Board</w:t>
      </w:r>
      <w:bookmarkEnd w:id="14"/>
      <w:bookmarkEnd w:id="15"/>
    </w:p>
    <w:p w14:paraId="0FEFFE52" w14:textId="2F067E7D" w:rsidR="00F913CD" w:rsidRPr="0015255F" w:rsidRDefault="00515D3D" w:rsidP="005A2406">
      <w:pPr>
        <w:pStyle w:val="Style2"/>
      </w:pPr>
      <w:r>
        <w:t>The Board of the ICB is responsible for</w:t>
      </w:r>
      <w:r w:rsidR="002C7064">
        <w:t xml:space="preserve"> setting the appropriate governance arrangements for procurement and contracting as well as making procurement decisions in accordance with the scheme of reservation and delegation.</w:t>
      </w:r>
    </w:p>
    <w:p w14:paraId="04FC39FB" w14:textId="65682DAF" w:rsidR="00F913CD" w:rsidRPr="004B7710" w:rsidRDefault="00515D3D" w:rsidP="005A2406">
      <w:pPr>
        <w:pStyle w:val="Heading3"/>
      </w:pPr>
      <w:bookmarkStart w:id="16" w:name="_Toc124497568"/>
      <w:r w:rsidRPr="004B7710">
        <w:t>Audit</w:t>
      </w:r>
      <w:r w:rsidR="00F913CD" w:rsidRPr="004B7710">
        <w:t xml:space="preserve"> Committee</w:t>
      </w:r>
      <w:bookmarkEnd w:id="16"/>
    </w:p>
    <w:p w14:paraId="446A79A9" w14:textId="209DF460" w:rsidR="00515D3D" w:rsidRDefault="00515D3D" w:rsidP="005A2406">
      <w:pPr>
        <w:pStyle w:val="Style2"/>
      </w:pPr>
      <w:r w:rsidRPr="00515D3D">
        <w:t xml:space="preserve">The Audit Committee </w:t>
      </w:r>
      <w:r w:rsidR="003F5905">
        <w:t>is</w:t>
      </w:r>
      <w:r w:rsidRPr="00515D3D">
        <w:t xml:space="preserve"> responsible for monitoring compliance with this Policy through regular review </w:t>
      </w:r>
      <w:r w:rsidR="00AE57A3">
        <w:t xml:space="preserve">of the Register of Procurement Decisions and </w:t>
      </w:r>
      <w:r w:rsidR="006366C0">
        <w:t xml:space="preserve">through regular </w:t>
      </w:r>
      <w:r w:rsidR="00AE57A3">
        <w:t xml:space="preserve">review of all non-compliant </w:t>
      </w:r>
      <w:r w:rsidR="006366C0">
        <w:t>procurement routes used</w:t>
      </w:r>
      <w:r w:rsidR="002C774D">
        <w:t>,</w:t>
      </w:r>
      <w:r w:rsidRPr="00515D3D">
        <w:t xml:space="preserve"> with support from the ICB Purchase of Healthcare Team.</w:t>
      </w:r>
    </w:p>
    <w:p w14:paraId="66B4D639" w14:textId="50A4D5A5" w:rsidR="002C7064" w:rsidRPr="00515D3D" w:rsidRDefault="002C7064" w:rsidP="005A2406">
      <w:pPr>
        <w:pStyle w:val="Style2"/>
      </w:pPr>
      <w:r>
        <w:t xml:space="preserve">The Audit Committee must also be notified, </w:t>
      </w:r>
      <w:proofErr w:type="gramStart"/>
      <w:r>
        <w:t>in order to</w:t>
      </w:r>
      <w:proofErr w:type="gramEnd"/>
      <w:r>
        <w:t xml:space="preserve"> review and scrutinise, all waivers that have been approved on behalf of the ICB.</w:t>
      </w:r>
    </w:p>
    <w:p w14:paraId="18E882F9" w14:textId="2F5B2183" w:rsidR="00F913CD" w:rsidRPr="004B7710" w:rsidRDefault="00AE57A3" w:rsidP="005A2406">
      <w:pPr>
        <w:pStyle w:val="Heading3"/>
      </w:pPr>
      <w:bookmarkStart w:id="17" w:name="_Toc124497569"/>
      <w:r w:rsidRPr="004B7710">
        <w:t>Finance &amp; Investment</w:t>
      </w:r>
      <w:r w:rsidR="00F913CD" w:rsidRPr="004B7710">
        <w:t xml:space="preserve"> Committee</w:t>
      </w:r>
      <w:bookmarkEnd w:id="17"/>
      <w:r w:rsidR="00F913CD" w:rsidRPr="004B7710">
        <w:t xml:space="preserve"> </w:t>
      </w:r>
    </w:p>
    <w:p w14:paraId="7A1B8525" w14:textId="22BA2AD1" w:rsidR="002C7064" w:rsidRDefault="002C7064" w:rsidP="005A2406">
      <w:pPr>
        <w:pStyle w:val="Style2"/>
      </w:pPr>
      <w:r>
        <w:t>The Finance &amp; Investment Committee (F&amp;IC) is responsible for decision making as set out in the Scheme of Reservation and Delegation and for oversight of the ICB finances.</w:t>
      </w:r>
    </w:p>
    <w:p w14:paraId="3A836AA5" w14:textId="0495BFD3" w:rsidR="002C774D" w:rsidRDefault="00576AC8" w:rsidP="005A2406">
      <w:pPr>
        <w:pStyle w:val="Style2"/>
      </w:pPr>
      <w:r>
        <w:t>The F</w:t>
      </w:r>
      <w:r w:rsidR="002C7064">
        <w:t>&amp;</w:t>
      </w:r>
      <w:r>
        <w:t xml:space="preserve">IC </w:t>
      </w:r>
      <w:r w:rsidR="002C7064">
        <w:t>also ha</w:t>
      </w:r>
      <w:r w:rsidR="002C774D">
        <w:t>s</w:t>
      </w:r>
      <w:r>
        <w:t xml:space="preserve"> </w:t>
      </w:r>
      <w:r w:rsidR="00566B0F">
        <w:t>responsibility</w:t>
      </w:r>
      <w:r>
        <w:t xml:space="preserve"> for reviewing </w:t>
      </w:r>
      <w:r w:rsidR="002C774D">
        <w:t>all requests for non-compliant procurement routes to ensure that</w:t>
      </w:r>
      <w:r>
        <w:t xml:space="preserve"> </w:t>
      </w:r>
      <w:r w:rsidR="002C774D">
        <w:t xml:space="preserve">they are in line with the criteria as set out </w:t>
      </w:r>
      <w:r w:rsidR="002C7064">
        <w:t>within</w:t>
      </w:r>
      <w:r w:rsidR="002C774D">
        <w:t xml:space="preserve"> this Policy and that </w:t>
      </w:r>
      <w:r w:rsidR="00DA78EE">
        <w:t>appropriate</w:t>
      </w:r>
      <w:r w:rsidR="002C774D">
        <w:t xml:space="preserve"> support from Attain</w:t>
      </w:r>
      <w:r w:rsidR="00DA78EE">
        <w:t xml:space="preserve"> and the Purchase of Healthcare Team has been sought</w:t>
      </w:r>
      <w:r w:rsidR="002C7064">
        <w:t xml:space="preserve"> prior to decisions being made</w:t>
      </w:r>
      <w:r w:rsidR="002C774D">
        <w:t>.</w:t>
      </w:r>
    </w:p>
    <w:p w14:paraId="2032CA85" w14:textId="77777777" w:rsidR="00F913CD" w:rsidRPr="004B7710" w:rsidRDefault="00F913CD" w:rsidP="005A2406">
      <w:pPr>
        <w:pStyle w:val="Heading3"/>
      </w:pPr>
      <w:bookmarkStart w:id="18" w:name="_Toc124497570"/>
      <w:r w:rsidRPr="004B7710">
        <w:t>Chief Executive</w:t>
      </w:r>
      <w:bookmarkEnd w:id="18"/>
    </w:p>
    <w:p w14:paraId="57901AA5" w14:textId="2C79CCE4" w:rsidR="00F913CD" w:rsidRPr="0015255F" w:rsidRDefault="00AE57A3" w:rsidP="005A2406">
      <w:pPr>
        <w:pStyle w:val="Style2"/>
      </w:pPr>
      <w:r>
        <w:t>T</w:t>
      </w:r>
      <w:r w:rsidR="00F913CD" w:rsidRPr="0015255F">
        <w:t>he Chief Executive is accountable for</w:t>
      </w:r>
      <w:r>
        <w:t xml:space="preserve"> </w:t>
      </w:r>
      <w:r w:rsidR="003F5905">
        <w:t>implementation of this Policy and shall ensure the ICB is operationally fit for purpose to comply with it</w:t>
      </w:r>
      <w:r w:rsidR="00F913CD" w:rsidRPr="0015255F">
        <w:t>.</w:t>
      </w:r>
      <w:bookmarkStart w:id="19" w:name="_Toc84611052"/>
    </w:p>
    <w:p w14:paraId="6D12178A" w14:textId="591BCD55" w:rsidR="00DA1DBD" w:rsidRPr="004B7710" w:rsidRDefault="00DA1DBD" w:rsidP="005A2406">
      <w:pPr>
        <w:pStyle w:val="Heading3"/>
      </w:pPr>
      <w:bookmarkStart w:id="20" w:name="_Toc124497571"/>
      <w:r w:rsidRPr="004B7710">
        <w:t xml:space="preserve">Director of </w:t>
      </w:r>
      <w:r w:rsidR="00391A9C" w:rsidRPr="004B7710">
        <w:t>Resources</w:t>
      </w:r>
      <w:bookmarkEnd w:id="20"/>
    </w:p>
    <w:p w14:paraId="54BADD83" w14:textId="1C11E52F" w:rsidR="00DA1DBD" w:rsidRDefault="002362EE" w:rsidP="005A2406">
      <w:pPr>
        <w:pStyle w:val="Style2"/>
      </w:pPr>
      <w:r w:rsidRPr="002362EE">
        <w:t xml:space="preserve">The Director of Resources </w:t>
      </w:r>
      <w:r w:rsidR="002C774D">
        <w:t>is</w:t>
      </w:r>
      <w:r w:rsidRPr="002362EE">
        <w:t xml:space="preserve"> responsible for monitoring operational compliance with this Policy </w:t>
      </w:r>
      <w:r w:rsidR="002C7064">
        <w:t>with</w:t>
      </w:r>
      <w:r w:rsidR="002C7064" w:rsidRPr="002362EE">
        <w:t xml:space="preserve"> </w:t>
      </w:r>
      <w:r w:rsidRPr="002362EE">
        <w:t>support from the Purchase of Healthcare Team and Attain.</w:t>
      </w:r>
    </w:p>
    <w:p w14:paraId="55616814" w14:textId="7591ECA0" w:rsidR="002C774D" w:rsidRPr="00DA1DBD" w:rsidRDefault="003F5905" w:rsidP="005A2406">
      <w:pPr>
        <w:pStyle w:val="Style2"/>
      </w:pPr>
      <w:r>
        <w:t xml:space="preserve">The Director of Resources is responsible for sign off (waiver) of all </w:t>
      </w:r>
      <w:r w:rsidRPr="003F5905">
        <w:t>non-compliant procurement routes</w:t>
      </w:r>
      <w:r>
        <w:t>.</w:t>
      </w:r>
    </w:p>
    <w:p w14:paraId="4E5B0CF9" w14:textId="30489F40" w:rsidR="00F913CD" w:rsidRPr="004B7710" w:rsidRDefault="00F913CD" w:rsidP="005A2406">
      <w:pPr>
        <w:pStyle w:val="Heading3"/>
      </w:pPr>
      <w:bookmarkStart w:id="21" w:name="_Toc124497572"/>
      <w:r w:rsidRPr="004B7710">
        <w:t>Policy Authors</w:t>
      </w:r>
      <w:bookmarkEnd w:id="19"/>
      <w:bookmarkEnd w:id="21"/>
    </w:p>
    <w:p w14:paraId="160D8EEA" w14:textId="643CCB59" w:rsidR="00F913CD" w:rsidRPr="0015255F" w:rsidRDefault="002362EE" w:rsidP="005A2406">
      <w:pPr>
        <w:pStyle w:val="Style2"/>
      </w:pPr>
      <w:r>
        <w:t>T</w:t>
      </w:r>
      <w:r w:rsidR="00F913CD" w:rsidRPr="0015255F">
        <w:t xml:space="preserve">he Policy Authors </w:t>
      </w:r>
      <w:r w:rsidR="00DA78EE">
        <w:t>are</w:t>
      </w:r>
      <w:r w:rsidR="00F913CD" w:rsidRPr="0015255F">
        <w:t xml:space="preserve"> </w:t>
      </w:r>
      <w:r w:rsidR="00515D3D">
        <w:t>responsible</w:t>
      </w:r>
      <w:r w:rsidR="00F913CD" w:rsidRPr="0015255F">
        <w:t xml:space="preserve"> for</w:t>
      </w:r>
      <w:r>
        <w:t xml:space="preserve"> the accuracy</w:t>
      </w:r>
      <w:r w:rsidR="00515D3D">
        <w:t xml:space="preserve"> and completeness</w:t>
      </w:r>
      <w:r>
        <w:t xml:space="preserve"> of information contained within this Policy and for recommendation of amendments </w:t>
      </w:r>
      <w:r w:rsidR="00515D3D">
        <w:t>to ensure ongoing compliance</w:t>
      </w:r>
      <w:r>
        <w:t xml:space="preserve"> with national guidance, </w:t>
      </w:r>
      <w:proofErr w:type="gramStart"/>
      <w:r>
        <w:t>regulation</w:t>
      </w:r>
      <w:proofErr w:type="gramEnd"/>
      <w:r>
        <w:t xml:space="preserve"> or local system </w:t>
      </w:r>
      <w:bookmarkStart w:id="22" w:name="_Toc84611053"/>
      <w:r w:rsidR="003F5905">
        <w:t>requirements.</w:t>
      </w:r>
    </w:p>
    <w:p w14:paraId="11484268" w14:textId="53BADE90" w:rsidR="00F913CD" w:rsidRPr="004B7710" w:rsidRDefault="00204467" w:rsidP="005A2406">
      <w:pPr>
        <w:pStyle w:val="Heading3"/>
      </w:pPr>
      <w:bookmarkStart w:id="23" w:name="_Toc84611054"/>
      <w:bookmarkStart w:id="24" w:name="_Toc124497573"/>
      <w:bookmarkEnd w:id="22"/>
      <w:r>
        <w:t>Purchase of Healthcare Team</w:t>
      </w:r>
      <w:bookmarkEnd w:id="23"/>
      <w:bookmarkEnd w:id="24"/>
    </w:p>
    <w:p w14:paraId="1C28462F" w14:textId="7840CC5F" w:rsidR="00F913CD" w:rsidRPr="0015255F" w:rsidRDefault="00515D3D" w:rsidP="005A2406">
      <w:pPr>
        <w:pStyle w:val="Style2"/>
      </w:pPr>
      <w:r>
        <w:t>T</w:t>
      </w:r>
      <w:r w:rsidR="00204467">
        <w:t xml:space="preserve">he Purchase of Healthcare Team, alongside procurement advisors (Attain) are operationally responsible for establishing </w:t>
      </w:r>
      <w:r w:rsidR="00CB1B6C">
        <w:t xml:space="preserve">the framework underpinning well governed procurements made in accordance with ICB Policies, appropriate Legislation and Procurement Regulations. </w:t>
      </w:r>
    </w:p>
    <w:p w14:paraId="5019279B" w14:textId="77777777" w:rsidR="00F913CD" w:rsidRPr="004B7710" w:rsidRDefault="00F913CD" w:rsidP="005A2406">
      <w:pPr>
        <w:pStyle w:val="Heading3"/>
      </w:pPr>
      <w:bookmarkStart w:id="25" w:name="_Toc124497574"/>
      <w:r w:rsidRPr="004B7710">
        <w:t>Line Managers</w:t>
      </w:r>
      <w:bookmarkEnd w:id="25"/>
      <w:r w:rsidRPr="004B7710">
        <w:t xml:space="preserve"> </w:t>
      </w:r>
    </w:p>
    <w:p w14:paraId="7011376D" w14:textId="3669A873" w:rsidR="00F913CD" w:rsidRPr="0015255F" w:rsidRDefault="00DA1DBD" w:rsidP="005A2406">
      <w:pPr>
        <w:pStyle w:val="Style2"/>
      </w:pPr>
      <w:r>
        <w:t xml:space="preserve">Line Managers are </w:t>
      </w:r>
      <w:r w:rsidR="00F913CD" w:rsidRPr="0015255F">
        <w:t>accountable for</w:t>
      </w:r>
      <w:r w:rsidR="00DA78EE">
        <w:t xml:space="preserve"> </w:t>
      </w:r>
      <w:r w:rsidR="00DA78EE" w:rsidRPr="00DA78EE">
        <w:t>recognising when a purchasing decision may have potential procurement implications and for seeking appropriate procurement support</w:t>
      </w:r>
      <w:r w:rsidR="00F913CD" w:rsidRPr="0015255F">
        <w:t>.</w:t>
      </w:r>
      <w:bookmarkStart w:id="26" w:name="_Toc84611055"/>
    </w:p>
    <w:p w14:paraId="21FF09C1" w14:textId="77777777" w:rsidR="005A2406" w:rsidRDefault="00F913CD" w:rsidP="005A2406">
      <w:pPr>
        <w:pStyle w:val="Heading3"/>
      </w:pPr>
      <w:bookmarkStart w:id="27" w:name="_Toc124497575"/>
      <w:r w:rsidRPr="004B7710">
        <w:t>All Staff</w:t>
      </w:r>
      <w:bookmarkStart w:id="28" w:name="_Toc84611056"/>
      <w:bookmarkStart w:id="29" w:name="_Toc89326548"/>
      <w:bookmarkEnd w:id="26"/>
      <w:bookmarkEnd w:id="27"/>
    </w:p>
    <w:p w14:paraId="0C03950D" w14:textId="75793DE8" w:rsidR="00250FB0" w:rsidRDefault="00AB7447" w:rsidP="005A2406">
      <w:pPr>
        <w:pStyle w:val="Style2"/>
      </w:pPr>
      <w:r w:rsidRPr="005A2406">
        <w:t>All staff must read and understand this Policy, comply with it and be aware of its implications. It is not intended that staff will develop procurement expertise; however</w:t>
      </w:r>
      <w:r w:rsidR="00204467">
        <w:t>,</w:t>
      </w:r>
      <w:r w:rsidRPr="005A2406">
        <w:t xml:space="preserve"> they will need to know when and how to seek further support.</w:t>
      </w:r>
    </w:p>
    <w:p w14:paraId="58707009" w14:textId="77777777" w:rsidR="005A2406" w:rsidRDefault="00AF58A5" w:rsidP="005A2406">
      <w:pPr>
        <w:pStyle w:val="Heading2"/>
      </w:pPr>
      <w:bookmarkStart w:id="30" w:name="_Toc124497576"/>
      <w:bookmarkEnd w:id="28"/>
      <w:bookmarkEnd w:id="29"/>
      <w:r>
        <w:t>Policy</w:t>
      </w:r>
      <w:r w:rsidR="000448A0">
        <w:t xml:space="preserve"> Detail</w:t>
      </w:r>
      <w:bookmarkEnd w:id="30"/>
    </w:p>
    <w:p w14:paraId="1BB48D0F" w14:textId="7923408E" w:rsidR="005A2406" w:rsidRPr="005A2406" w:rsidRDefault="005A2406" w:rsidP="005A2406">
      <w:pPr>
        <w:pStyle w:val="Heading3"/>
      </w:pPr>
      <w:bookmarkStart w:id="31" w:name="_Toc124497577"/>
      <w:r w:rsidRPr="005A2406">
        <w:t>Guiding principles that underpin the policy</w:t>
      </w:r>
      <w:bookmarkEnd w:id="31"/>
    </w:p>
    <w:p w14:paraId="78942B8C" w14:textId="77777777" w:rsidR="005A2406" w:rsidRDefault="005A2406" w:rsidP="00436FFD">
      <w:pPr>
        <w:pStyle w:val="Style2"/>
      </w:pPr>
      <w:r w:rsidRPr="0009666E">
        <w:t xml:space="preserve">The ICB will demonstrate compliance with the four over-arching principles of public sector </w:t>
      </w:r>
      <w:r>
        <w:t xml:space="preserve">procurement </w:t>
      </w:r>
      <w:r w:rsidRPr="0009666E">
        <w:t>in the following ways:</w:t>
      </w:r>
    </w:p>
    <w:p w14:paraId="6757956A" w14:textId="267FEC4A" w:rsidR="005A2406" w:rsidRPr="005A2406" w:rsidRDefault="005A2406" w:rsidP="005A2406">
      <w:pPr>
        <w:rPr>
          <w:u w:val="single"/>
        </w:rPr>
      </w:pPr>
      <w:r w:rsidRPr="005A2406">
        <w:rPr>
          <w:u w:val="single"/>
        </w:rPr>
        <w:t xml:space="preserve">Transparency </w:t>
      </w:r>
    </w:p>
    <w:p w14:paraId="260BF194" w14:textId="77777777" w:rsidR="005A2406" w:rsidRDefault="005A2406" w:rsidP="005A2406">
      <w:pPr>
        <w:pStyle w:val="ListParagraph"/>
        <w:numPr>
          <w:ilvl w:val="0"/>
          <w:numId w:val="8"/>
        </w:numPr>
        <w:spacing w:after="120"/>
        <w:ind w:left="1418" w:hanging="284"/>
        <w:contextualSpacing w:val="0"/>
        <w:jc w:val="both"/>
      </w:pPr>
      <w:r>
        <w:t>Stating and publishing commissioning strategies and intentions.</w:t>
      </w:r>
    </w:p>
    <w:p w14:paraId="333F8E16" w14:textId="77777777" w:rsidR="005A2406" w:rsidRDefault="005A2406" w:rsidP="005A2406">
      <w:pPr>
        <w:pStyle w:val="ListParagraph"/>
        <w:numPr>
          <w:ilvl w:val="0"/>
          <w:numId w:val="8"/>
        </w:numPr>
        <w:spacing w:after="120"/>
        <w:ind w:left="1418" w:hanging="284"/>
        <w:contextualSpacing w:val="0"/>
        <w:jc w:val="both"/>
      </w:pPr>
      <w:r>
        <w:t>Stating the outcome of service reviews including how service provision will be secured.</w:t>
      </w:r>
    </w:p>
    <w:p w14:paraId="283ABB3C" w14:textId="77777777" w:rsidR="005A2406" w:rsidRDefault="005A2406" w:rsidP="005A2406">
      <w:pPr>
        <w:pStyle w:val="ListParagraph"/>
        <w:numPr>
          <w:ilvl w:val="0"/>
          <w:numId w:val="8"/>
        </w:numPr>
        <w:spacing w:after="120"/>
        <w:ind w:left="1418" w:hanging="284"/>
        <w:contextualSpacing w:val="0"/>
        <w:jc w:val="both"/>
      </w:pPr>
      <w:r>
        <w:t>Advertising of Procurement (where applicable) and notification of Contract Award.</w:t>
      </w:r>
    </w:p>
    <w:p w14:paraId="702DAD15" w14:textId="1CF2C0E2" w:rsidR="005A2406" w:rsidRDefault="005A2406" w:rsidP="005A2406">
      <w:pPr>
        <w:pStyle w:val="ListParagraph"/>
        <w:numPr>
          <w:ilvl w:val="0"/>
          <w:numId w:val="8"/>
        </w:numPr>
        <w:spacing w:after="120"/>
        <w:ind w:left="1418" w:hanging="284"/>
        <w:contextualSpacing w:val="0"/>
        <w:jc w:val="both"/>
      </w:pPr>
      <w:r>
        <w:t>Ensuring transparency of documentation, processes, and decisions.</w:t>
      </w:r>
    </w:p>
    <w:p w14:paraId="27DE5F4A" w14:textId="40241FE3" w:rsidR="006D331A" w:rsidRDefault="006D331A" w:rsidP="005A2406">
      <w:pPr>
        <w:pStyle w:val="ListParagraph"/>
        <w:numPr>
          <w:ilvl w:val="0"/>
          <w:numId w:val="8"/>
        </w:numPr>
        <w:spacing w:after="120"/>
        <w:ind w:left="1418" w:hanging="284"/>
        <w:contextualSpacing w:val="0"/>
        <w:jc w:val="both"/>
      </w:pPr>
      <w:r>
        <w:t>Publishing a register of procurement decisions, in accordance with requirements (as outlined below).</w:t>
      </w:r>
    </w:p>
    <w:p w14:paraId="2355F8FD" w14:textId="77777777" w:rsidR="005A2406" w:rsidRDefault="005A2406" w:rsidP="005A2406">
      <w:pPr>
        <w:pStyle w:val="ListParagraph"/>
        <w:numPr>
          <w:ilvl w:val="0"/>
          <w:numId w:val="8"/>
        </w:numPr>
        <w:spacing w:after="120"/>
        <w:ind w:left="1418" w:hanging="284"/>
        <w:contextualSpacing w:val="0"/>
        <w:jc w:val="both"/>
      </w:pPr>
      <w:r>
        <w:t xml:space="preserve">Robust management of potential conflicts of interest to ensure that these do not prejudice fair and transparent procurement processes. </w:t>
      </w:r>
    </w:p>
    <w:p w14:paraId="343DCD37" w14:textId="77777777" w:rsidR="005A2406" w:rsidRDefault="005A2406" w:rsidP="005A2406">
      <w:pPr>
        <w:pStyle w:val="ListParagraph"/>
        <w:numPr>
          <w:ilvl w:val="0"/>
          <w:numId w:val="8"/>
        </w:numPr>
        <w:spacing w:after="120"/>
        <w:ind w:left="1418" w:hanging="284"/>
        <w:contextualSpacing w:val="0"/>
        <w:jc w:val="both"/>
      </w:pPr>
      <w:r>
        <w:t xml:space="preserve">Provision of feedback to all unsuccessful bidders; and </w:t>
      </w:r>
    </w:p>
    <w:p w14:paraId="288697D6" w14:textId="1CE7FDBE" w:rsidR="005A2406" w:rsidRDefault="005A2406" w:rsidP="005A2406">
      <w:pPr>
        <w:pStyle w:val="ListParagraph"/>
        <w:numPr>
          <w:ilvl w:val="0"/>
          <w:numId w:val="8"/>
        </w:numPr>
        <w:spacing w:after="120"/>
        <w:ind w:left="1418" w:hanging="284"/>
        <w:contextualSpacing w:val="0"/>
        <w:jc w:val="both"/>
      </w:pPr>
      <w:r>
        <w:t>Any complaints regarding a procurement process will be handled through an explicit and publicised dispute resolution process.</w:t>
      </w:r>
    </w:p>
    <w:p w14:paraId="4E7BBF03" w14:textId="5AFAAAA4" w:rsidR="005A2406" w:rsidRPr="005A2406" w:rsidRDefault="005A2406" w:rsidP="005A2406">
      <w:pPr>
        <w:rPr>
          <w:u w:val="single"/>
        </w:rPr>
      </w:pPr>
      <w:r w:rsidRPr="005A2406">
        <w:rPr>
          <w:u w:val="single"/>
        </w:rPr>
        <w:t xml:space="preserve">Proportionality </w:t>
      </w:r>
    </w:p>
    <w:p w14:paraId="7C5BC0DC" w14:textId="77777777" w:rsidR="005A2406" w:rsidRDefault="005A2406" w:rsidP="005A2406">
      <w:pPr>
        <w:pStyle w:val="ListParagraph"/>
        <w:numPr>
          <w:ilvl w:val="0"/>
          <w:numId w:val="8"/>
        </w:numPr>
        <w:spacing w:after="120"/>
        <w:ind w:left="1418" w:hanging="284"/>
        <w:contextualSpacing w:val="0"/>
        <w:jc w:val="both"/>
      </w:pPr>
      <w:r>
        <w:t xml:space="preserve">The ICB will ensure that procurement processes are proportionate to the value, complexity, and risk of the products to be procured, and will be cognisant of bidder capacity; and </w:t>
      </w:r>
    </w:p>
    <w:p w14:paraId="6702B1E7" w14:textId="77777777" w:rsidR="005A2406" w:rsidRDefault="005A2406" w:rsidP="005A2406">
      <w:pPr>
        <w:pStyle w:val="ListParagraph"/>
        <w:numPr>
          <w:ilvl w:val="0"/>
          <w:numId w:val="8"/>
        </w:numPr>
        <w:spacing w:after="120"/>
        <w:ind w:left="1418" w:hanging="284"/>
        <w:contextualSpacing w:val="0"/>
        <w:jc w:val="both"/>
      </w:pPr>
      <w:r>
        <w:t>The ICB will define and document procurement routes, including any streamlined processes for low value/local supplies and services, considering available guidance.</w:t>
      </w:r>
    </w:p>
    <w:p w14:paraId="6D6FE007" w14:textId="77C44D61" w:rsidR="005A2406" w:rsidRPr="005A2406" w:rsidRDefault="005A2406" w:rsidP="005A2406">
      <w:pPr>
        <w:rPr>
          <w:u w:val="single"/>
        </w:rPr>
      </w:pPr>
      <w:r w:rsidRPr="005A2406">
        <w:rPr>
          <w:u w:val="single"/>
        </w:rPr>
        <w:t xml:space="preserve">Non-Discrimination </w:t>
      </w:r>
    </w:p>
    <w:p w14:paraId="77F26912" w14:textId="7B60687C" w:rsidR="005A2406" w:rsidRPr="00BF1E1C" w:rsidRDefault="005A2406" w:rsidP="005A2406">
      <w:pPr>
        <w:pStyle w:val="ListParagraph"/>
        <w:numPr>
          <w:ilvl w:val="0"/>
          <w:numId w:val="8"/>
        </w:numPr>
        <w:spacing w:after="120"/>
        <w:ind w:left="1418" w:hanging="284"/>
        <w:contextualSpacing w:val="0"/>
        <w:jc w:val="both"/>
      </w:pPr>
      <w:r w:rsidRPr="00BF1E1C">
        <w:t xml:space="preserve">The ICB will ensure that tender processes and documents will always be non-discriminatory and transparent. This includes our obligations under our </w:t>
      </w:r>
      <w:r w:rsidR="0085111E" w:rsidRPr="00BF1E1C">
        <w:t>Public Sector Equality Duty.</w:t>
      </w:r>
    </w:p>
    <w:p w14:paraId="29B5D38C" w14:textId="77777777" w:rsidR="005A2406" w:rsidRDefault="005A2406" w:rsidP="005A2406">
      <w:pPr>
        <w:pStyle w:val="ListParagraph"/>
        <w:numPr>
          <w:ilvl w:val="0"/>
          <w:numId w:val="8"/>
        </w:numPr>
        <w:spacing w:after="120"/>
        <w:ind w:left="1418" w:hanging="284"/>
        <w:contextualSpacing w:val="0"/>
        <w:jc w:val="both"/>
      </w:pPr>
      <w:r>
        <w:t>The ICB will inform all participants of the applicable rules in advance and ensure that the rules are applied equally to all. Reasonable timescales will be determined and applied across the whole process.</w:t>
      </w:r>
    </w:p>
    <w:p w14:paraId="3F816D03" w14:textId="77777777" w:rsidR="005A2406" w:rsidRDefault="005A2406" w:rsidP="005A2406">
      <w:pPr>
        <w:pStyle w:val="ListParagraph"/>
        <w:numPr>
          <w:ilvl w:val="0"/>
          <w:numId w:val="8"/>
        </w:numPr>
        <w:spacing w:after="120"/>
        <w:ind w:left="1418" w:hanging="284"/>
        <w:contextualSpacing w:val="0"/>
        <w:jc w:val="both"/>
      </w:pPr>
      <w:r>
        <w:t>The ICB will ensure that shortlist criteria are neither discriminatory nor particularly favour one potential provider.</w:t>
      </w:r>
    </w:p>
    <w:p w14:paraId="633FED0C" w14:textId="50BECA22" w:rsidR="005A2406" w:rsidRPr="005A2406" w:rsidRDefault="005A2406" w:rsidP="005A2406">
      <w:pPr>
        <w:rPr>
          <w:u w:val="single"/>
        </w:rPr>
      </w:pPr>
      <w:r w:rsidRPr="005A2406">
        <w:rPr>
          <w:u w:val="single"/>
        </w:rPr>
        <w:t xml:space="preserve">Equality of Treatment </w:t>
      </w:r>
    </w:p>
    <w:p w14:paraId="2675C0D9" w14:textId="77777777" w:rsidR="005A2406" w:rsidRDefault="005A2406" w:rsidP="005A2406">
      <w:pPr>
        <w:pStyle w:val="ListParagraph"/>
        <w:numPr>
          <w:ilvl w:val="0"/>
          <w:numId w:val="8"/>
        </w:numPr>
        <w:spacing w:after="120"/>
        <w:ind w:left="1418" w:hanging="284"/>
        <w:contextualSpacing w:val="0"/>
        <w:jc w:val="both"/>
      </w:pPr>
      <w:r>
        <w:t xml:space="preserve">The ICB will ensure that no sector of the provider market is given any unfair advantage during a procurement process. </w:t>
      </w:r>
    </w:p>
    <w:p w14:paraId="0E74165B" w14:textId="77777777" w:rsidR="005A2406" w:rsidRDefault="005A2406" w:rsidP="005A2406">
      <w:pPr>
        <w:pStyle w:val="ListParagraph"/>
        <w:numPr>
          <w:ilvl w:val="0"/>
          <w:numId w:val="8"/>
        </w:numPr>
        <w:spacing w:after="120"/>
        <w:ind w:left="1418" w:hanging="284"/>
        <w:contextualSpacing w:val="0"/>
        <w:jc w:val="both"/>
      </w:pPr>
      <w:r>
        <w:t xml:space="preserve">The ICB will ensure that basic financial and quality assurance checks apply equally to all types of providers. </w:t>
      </w:r>
    </w:p>
    <w:p w14:paraId="168A6C84" w14:textId="77777777" w:rsidR="005A2406" w:rsidRDefault="005A2406" w:rsidP="005A2406">
      <w:pPr>
        <w:pStyle w:val="ListParagraph"/>
        <w:numPr>
          <w:ilvl w:val="0"/>
          <w:numId w:val="8"/>
        </w:numPr>
        <w:spacing w:after="120"/>
        <w:ind w:left="1418" w:hanging="284"/>
        <w:contextualSpacing w:val="0"/>
        <w:jc w:val="both"/>
      </w:pPr>
      <w:r>
        <w:t xml:space="preserve">The ICB will ensure that all pricing and payment regimes are transparent and fair (according to the Department of Health &amp; Social Care Principles and Rules). </w:t>
      </w:r>
    </w:p>
    <w:p w14:paraId="5771B40E" w14:textId="77777777" w:rsidR="005A2406" w:rsidRDefault="005A2406" w:rsidP="005A2406">
      <w:pPr>
        <w:pStyle w:val="ListParagraph"/>
        <w:numPr>
          <w:ilvl w:val="0"/>
          <w:numId w:val="8"/>
        </w:numPr>
        <w:spacing w:after="120"/>
        <w:ind w:left="1418" w:hanging="284"/>
        <w:contextualSpacing w:val="0"/>
        <w:jc w:val="both"/>
      </w:pPr>
      <w:r>
        <w:t>The ICB will retain an auditable documentation trail for all key decisions.</w:t>
      </w:r>
    </w:p>
    <w:p w14:paraId="40156E74" w14:textId="77777777" w:rsidR="005A2406" w:rsidRDefault="005A2406" w:rsidP="005A2406">
      <w:pPr>
        <w:pStyle w:val="ListParagraph"/>
        <w:numPr>
          <w:ilvl w:val="0"/>
          <w:numId w:val="8"/>
        </w:numPr>
        <w:spacing w:after="120"/>
        <w:ind w:left="1418" w:hanging="284"/>
        <w:contextualSpacing w:val="0"/>
        <w:jc w:val="both"/>
      </w:pPr>
      <w:r>
        <w:t xml:space="preserve">The ICB will hold all providers to account, in a proportionate manner, through contractual agreements, for the quality of their services. </w:t>
      </w:r>
    </w:p>
    <w:p w14:paraId="0795DFBA" w14:textId="77945442" w:rsidR="005A2406" w:rsidRDefault="005A2406" w:rsidP="005A2406">
      <w:pPr>
        <w:pStyle w:val="Style2"/>
      </w:pPr>
      <w:r w:rsidRPr="00BC6EA1">
        <w:t>The NHSE Statutory Guidance for Managing Conflicts of Interest (first published June 2017) states</w:t>
      </w:r>
      <w:r>
        <w:t xml:space="preserve"> that a ‘Register of Procurement Decisions and Contracts Awarded’ should document key procurement decisions and cover key aspects such as Procurement Description, Existing Contract or New Procurement, Type of Procurement, ICB Clinical Lead, ICB Contract Manager, Decision Making Process, Summary of Conflicts declared &amp; how these conflicts were managed, Contract Award Details, Contract Value. A Register of Procurement Decisions will therefore be published on the ICB’s website. The ICB Purchase of Healthcare Team will maintain ownership of the Register to ensure accuracy.</w:t>
      </w:r>
    </w:p>
    <w:p w14:paraId="5A20E99B" w14:textId="74E17016" w:rsidR="00F913CD" w:rsidRPr="005C4F66" w:rsidRDefault="00AF58A5" w:rsidP="005A2406">
      <w:pPr>
        <w:pStyle w:val="Heading3"/>
      </w:pPr>
      <w:bookmarkStart w:id="32" w:name="_Toc124497578"/>
      <w:r w:rsidRPr="005C4F66">
        <w:t>Governance</w:t>
      </w:r>
      <w:bookmarkEnd w:id="32"/>
    </w:p>
    <w:p w14:paraId="125B7D3C" w14:textId="5BF67B87" w:rsidR="00AF58A5" w:rsidRPr="00311AE4" w:rsidRDefault="00AF58A5" w:rsidP="005A2406">
      <w:pPr>
        <w:pStyle w:val="Style2"/>
      </w:pPr>
      <w:r w:rsidRPr="005A2406">
        <w:t>Standing</w:t>
      </w:r>
      <w:r w:rsidRPr="00311AE4">
        <w:t xml:space="preserve"> Orders</w:t>
      </w:r>
    </w:p>
    <w:p w14:paraId="725F59B3" w14:textId="77777777" w:rsidR="00F00DD7" w:rsidRDefault="00BE12C5" w:rsidP="00F00DD7">
      <w:pPr>
        <w:pStyle w:val="ListParagraph"/>
        <w:numPr>
          <w:ilvl w:val="0"/>
          <w:numId w:val="8"/>
        </w:numPr>
        <w:spacing w:after="120"/>
        <w:ind w:left="1418" w:hanging="284"/>
        <w:contextualSpacing w:val="0"/>
        <w:jc w:val="both"/>
      </w:pPr>
      <w:r w:rsidRPr="00BE12C5">
        <w:t xml:space="preserve">The ICB will comply with the appropriate Standing Orders (and any other relevant governance documents) to ensure the procurement of supplies and services </w:t>
      </w:r>
      <w:r w:rsidR="001D1D90">
        <w:t>are undertaken</w:t>
      </w:r>
      <w:r w:rsidRPr="00BE12C5">
        <w:t xml:space="preserve"> in accordance with all the regulations, guidance, and local delegated authorities, reducing the risk of any challenge of inappropriate application of the rules regulations or the principles set out therein.</w:t>
      </w:r>
    </w:p>
    <w:p w14:paraId="3BAEB807" w14:textId="75A5BD62" w:rsidR="00F913CD" w:rsidRDefault="00BE12C5" w:rsidP="00F00DD7">
      <w:pPr>
        <w:pStyle w:val="ListParagraph"/>
        <w:numPr>
          <w:ilvl w:val="0"/>
          <w:numId w:val="8"/>
        </w:numPr>
        <w:spacing w:after="120"/>
        <w:ind w:left="1418" w:hanging="284"/>
        <w:contextualSpacing w:val="0"/>
        <w:jc w:val="both"/>
      </w:pPr>
      <w:r w:rsidRPr="00BE12C5">
        <w:t xml:space="preserve">The ICB will ensure it has access to specialist legal advice for large and complex procurements to facilitate and monitor compliance with these rules and regulations, as well as to demonstrate effective procurement processes.  </w:t>
      </w:r>
    </w:p>
    <w:p w14:paraId="02396762" w14:textId="4C6F4688" w:rsidR="00326494" w:rsidRPr="00311AE4" w:rsidRDefault="00AB1CB6" w:rsidP="00436FFD">
      <w:pPr>
        <w:pStyle w:val="Style2"/>
      </w:pPr>
      <w:r w:rsidRPr="00311AE4">
        <w:t xml:space="preserve">Scheme of </w:t>
      </w:r>
      <w:r w:rsidR="006D39CC" w:rsidRPr="00436FFD">
        <w:t>Reservat</w:t>
      </w:r>
      <w:r w:rsidR="00E27C81" w:rsidRPr="00436FFD">
        <w:t>ion</w:t>
      </w:r>
      <w:r w:rsidR="00E27C81" w:rsidRPr="00311AE4">
        <w:t xml:space="preserve"> and </w:t>
      </w:r>
      <w:r w:rsidRPr="00311AE4">
        <w:t>Delegation</w:t>
      </w:r>
    </w:p>
    <w:p w14:paraId="51A40A94" w14:textId="7331ED8B" w:rsidR="00AB1CB6" w:rsidRDefault="00AB1CB6" w:rsidP="00F00DD7">
      <w:pPr>
        <w:pStyle w:val="ListParagraph"/>
        <w:numPr>
          <w:ilvl w:val="0"/>
          <w:numId w:val="8"/>
        </w:numPr>
        <w:spacing w:after="120"/>
        <w:ind w:left="1418" w:hanging="284"/>
        <w:contextualSpacing w:val="0"/>
        <w:jc w:val="both"/>
      </w:pPr>
      <w:r>
        <w:t xml:space="preserve">The ICB has </w:t>
      </w:r>
      <w:r w:rsidR="006D331A">
        <w:t xml:space="preserve">approved </w:t>
      </w:r>
      <w:r>
        <w:t xml:space="preserve">a </w:t>
      </w:r>
      <w:r w:rsidR="00CC1DBD">
        <w:t>Scheme of Reservation and Delegation</w:t>
      </w:r>
      <w:r>
        <w:t xml:space="preserve"> which includes delegated limits of financial authority </w:t>
      </w:r>
      <w:r w:rsidR="006A62A5">
        <w:t xml:space="preserve">for procurement </w:t>
      </w:r>
      <w:r>
        <w:t xml:space="preserve">which are set out </w:t>
      </w:r>
      <w:r w:rsidR="006D331A">
        <w:t>within</w:t>
      </w:r>
      <w:r w:rsidR="00BC4E8A">
        <w:t xml:space="preserve"> this policy</w:t>
      </w:r>
      <w:r>
        <w:t xml:space="preserve"> for completeness.</w:t>
      </w:r>
    </w:p>
    <w:p w14:paraId="158913B2" w14:textId="77777777" w:rsidR="00C72C5B" w:rsidRPr="001B71EB" w:rsidRDefault="00C72C5B" w:rsidP="00436FFD">
      <w:pPr>
        <w:pStyle w:val="Heading3"/>
      </w:pPr>
      <w:bookmarkStart w:id="33" w:name="_Toc124497579"/>
      <w:r w:rsidRPr="001B71EB">
        <w:t>When is procurement required?</w:t>
      </w:r>
      <w:bookmarkEnd w:id="33"/>
    </w:p>
    <w:p w14:paraId="46C55E25" w14:textId="77777777" w:rsidR="00C72C5B" w:rsidRDefault="00C72C5B" w:rsidP="00436FFD">
      <w:pPr>
        <w:pStyle w:val="Style2"/>
      </w:pPr>
      <w:r>
        <w:t xml:space="preserve">The following must </w:t>
      </w:r>
      <w:r w:rsidRPr="00436FFD">
        <w:t>apply</w:t>
      </w:r>
      <w:r>
        <w:t>:</w:t>
      </w:r>
    </w:p>
    <w:p w14:paraId="1CB97A0D" w14:textId="0688D3BA" w:rsidR="00C72C5B" w:rsidRDefault="00C72C5B" w:rsidP="001B71EB">
      <w:pPr>
        <w:pStyle w:val="ListParagraph"/>
        <w:numPr>
          <w:ilvl w:val="0"/>
          <w:numId w:val="8"/>
        </w:numPr>
        <w:spacing w:after="120"/>
        <w:ind w:left="1418" w:hanging="284"/>
        <w:contextualSpacing w:val="0"/>
        <w:jc w:val="both"/>
      </w:pPr>
      <w:r w:rsidRPr="001B71EB">
        <w:t>All non-clinical contracts</w:t>
      </w:r>
      <w:r>
        <w:t xml:space="preserve"> for the supply of Goods and Services with an anticipated value of more than £213,477 (inclusive of VAT) over the life of the contract must be subject to a formal procurement, in accordance with The Public Contracts Regulations 2015 (as amended by The Public Procurement (Amendment etc.) (EU Exit) Regulations 2020).</w:t>
      </w:r>
    </w:p>
    <w:p w14:paraId="693D7D6A" w14:textId="77777777" w:rsidR="00E12FA5" w:rsidRDefault="00C72C5B" w:rsidP="003E577E">
      <w:pPr>
        <w:pStyle w:val="ListParagraph"/>
        <w:numPr>
          <w:ilvl w:val="0"/>
          <w:numId w:val="8"/>
        </w:numPr>
        <w:spacing w:after="120"/>
        <w:ind w:left="1418" w:hanging="284"/>
        <w:contextualSpacing w:val="0"/>
        <w:jc w:val="both"/>
      </w:pPr>
      <w:r w:rsidRPr="003E577E">
        <w:t>All healthcare contracts</w:t>
      </w:r>
      <w:r>
        <w:t xml:space="preserve"> that are subject to the National Health Service (Procurement, Patient </w:t>
      </w:r>
      <w:proofErr w:type="gramStart"/>
      <w:r>
        <w:t>Choice</w:t>
      </w:r>
      <w:proofErr w:type="gramEnd"/>
      <w:r>
        <w:t xml:space="preserve"> and Competition) (No 2) Regulations 2013</w:t>
      </w:r>
      <w:r w:rsidR="00536DE5">
        <w:t xml:space="preserve"> </w:t>
      </w:r>
      <w:r>
        <w:t>with an anticipated value of more than £663,540 (inclusive of VAT) over the life of the contract must be subject to a formal procurement.</w:t>
      </w:r>
    </w:p>
    <w:p w14:paraId="128BF893" w14:textId="5D72D5F2" w:rsidR="00C72C5B" w:rsidRDefault="00C72C5B" w:rsidP="003E577E">
      <w:pPr>
        <w:pStyle w:val="ListParagraph"/>
        <w:numPr>
          <w:ilvl w:val="0"/>
          <w:numId w:val="8"/>
        </w:numPr>
        <w:spacing w:after="120"/>
        <w:ind w:left="1418" w:hanging="284"/>
        <w:contextualSpacing w:val="0"/>
        <w:jc w:val="both"/>
      </w:pPr>
      <w:r>
        <w:t xml:space="preserve">Typically, this will reflect the key principles of a procurement approach under The Public Contracts Regulations 2015 (as amended by The Public Procurement (Amendment etc.) (EU Exit) Regulations 2020) (“Light Touch Regime”), however the ICB may choose to design </w:t>
      </w:r>
      <w:r w:rsidR="00E12FA5">
        <w:t>its</w:t>
      </w:r>
      <w:r>
        <w:t xml:space="preserve"> own appropriate procurement procedures </w:t>
      </w:r>
      <w:proofErr w:type="gramStart"/>
      <w:r>
        <w:t>as long as</w:t>
      </w:r>
      <w:proofErr w:type="gramEnd"/>
      <w:r>
        <w:t xml:space="preserve"> these are in keeping with </w:t>
      </w:r>
      <w:r w:rsidR="00713CBE">
        <w:t>guid</w:t>
      </w:r>
      <w:r w:rsidR="006C3C03">
        <w:t>i</w:t>
      </w:r>
      <w:r w:rsidR="00713CBE">
        <w:t xml:space="preserve">ng </w:t>
      </w:r>
      <w:r>
        <w:t xml:space="preserve">principles </w:t>
      </w:r>
      <w:r w:rsidR="00713CBE">
        <w:t xml:space="preserve">as outlined </w:t>
      </w:r>
      <w:r w:rsidR="006D331A">
        <w:t>with</w:t>
      </w:r>
      <w:r w:rsidR="00713CBE">
        <w:t>in this policy</w:t>
      </w:r>
      <w:r>
        <w:t>.</w:t>
      </w:r>
    </w:p>
    <w:p w14:paraId="7FE0E2FF" w14:textId="7DA2C463" w:rsidR="00C52933" w:rsidRDefault="00C72C5B" w:rsidP="006C3C03">
      <w:pPr>
        <w:pStyle w:val="ListParagraph"/>
        <w:numPr>
          <w:ilvl w:val="0"/>
          <w:numId w:val="8"/>
        </w:numPr>
        <w:spacing w:after="120"/>
        <w:ind w:left="1418" w:hanging="284"/>
        <w:contextualSpacing w:val="0"/>
        <w:jc w:val="both"/>
      </w:pPr>
      <w:r>
        <w:t xml:space="preserve">Where potential contract values are below </w:t>
      </w:r>
      <w:r w:rsidR="006C3C03">
        <w:t>defined</w:t>
      </w:r>
      <w:r>
        <w:t xml:space="preserve"> </w:t>
      </w:r>
      <w:r w:rsidR="00622771">
        <w:t xml:space="preserve">upper </w:t>
      </w:r>
      <w:r>
        <w:t>thresholds, the decision relating to where to advertise and who to invite to bid should be well reasoned and documented.</w:t>
      </w:r>
    </w:p>
    <w:p w14:paraId="7A4843AF" w14:textId="77E258AB" w:rsidR="00A41598" w:rsidRPr="006C7632" w:rsidRDefault="00E6323F" w:rsidP="006C7632">
      <w:pPr>
        <w:pStyle w:val="ListParagraph"/>
        <w:numPr>
          <w:ilvl w:val="0"/>
          <w:numId w:val="8"/>
        </w:numPr>
        <w:spacing w:before="0" w:after="0"/>
        <w:ind w:left="1418" w:hanging="284"/>
        <w:contextualSpacing w:val="0"/>
        <w:jc w:val="both"/>
      </w:pPr>
      <w:r w:rsidRPr="004A5432">
        <w:rPr>
          <w:rFonts w:ascii="Arial" w:hAnsi="Arial" w:cs="Arial"/>
          <w:bCs/>
          <w:color w:val="000000"/>
        </w:rPr>
        <w:t xml:space="preserve">Where potential contract values are below defined </w:t>
      </w:r>
      <w:r w:rsidR="00622771" w:rsidRPr="004A5432">
        <w:rPr>
          <w:rFonts w:ascii="Arial" w:hAnsi="Arial" w:cs="Arial"/>
          <w:bCs/>
          <w:color w:val="000000"/>
        </w:rPr>
        <w:t xml:space="preserve">upper </w:t>
      </w:r>
      <w:r w:rsidRPr="004A5432">
        <w:rPr>
          <w:rFonts w:ascii="Arial" w:hAnsi="Arial" w:cs="Arial"/>
          <w:bCs/>
          <w:color w:val="000000"/>
        </w:rPr>
        <w:t>thresholds, a</w:t>
      </w:r>
      <w:r w:rsidR="004A6984" w:rsidRPr="004A5432">
        <w:rPr>
          <w:rFonts w:ascii="Arial" w:hAnsi="Arial" w:cs="Arial"/>
          <w:bCs/>
          <w:color w:val="000000"/>
        </w:rPr>
        <w:t xml:space="preserve"> structured competitive quotation process must be used as follows:</w:t>
      </w:r>
    </w:p>
    <w:p w14:paraId="21495D9E" w14:textId="77777777" w:rsidR="006C7632" w:rsidRPr="006C7632" w:rsidRDefault="006C7632" w:rsidP="006C7632">
      <w:pPr>
        <w:pStyle w:val="ListParagraph"/>
        <w:numPr>
          <w:ilvl w:val="0"/>
          <w:numId w:val="0"/>
        </w:numPr>
        <w:spacing w:before="0" w:after="0"/>
        <w:ind w:left="1418"/>
        <w:contextualSpacing w:val="0"/>
        <w:jc w:val="both"/>
      </w:pPr>
    </w:p>
    <w:tbl>
      <w:tblPr>
        <w:tblStyle w:val="ListTable3-Accent1"/>
        <w:tblW w:w="0" w:type="auto"/>
        <w:tblInd w:w="1418" w:type="dxa"/>
        <w:tblBorders>
          <w:insideH w:val="single" w:sz="4" w:space="0" w:color="003087" w:themeColor="accent1"/>
          <w:insideV w:val="single" w:sz="4" w:space="0" w:color="003087" w:themeColor="accent1"/>
        </w:tblBorders>
        <w:tblLook w:val="04A0" w:firstRow="1" w:lastRow="0" w:firstColumn="1" w:lastColumn="0" w:noHBand="0" w:noVBand="1"/>
      </w:tblPr>
      <w:tblGrid>
        <w:gridCol w:w="1838"/>
        <w:gridCol w:w="1842"/>
        <w:gridCol w:w="3918"/>
      </w:tblGrid>
      <w:tr w:rsidR="00A41598" w14:paraId="7E094294" w14:textId="77777777" w:rsidTr="004A5432">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tcPr>
          <w:p w14:paraId="7E364E66" w14:textId="67CB94CC" w:rsidR="00A41598" w:rsidRDefault="00A35A25" w:rsidP="004A5432">
            <w:pPr>
              <w:pStyle w:val="ListParagraph"/>
              <w:numPr>
                <w:ilvl w:val="0"/>
                <w:numId w:val="0"/>
              </w:numPr>
              <w:spacing w:before="0" w:after="0"/>
              <w:contextualSpacing w:val="0"/>
              <w:jc w:val="both"/>
            </w:pPr>
            <w:r w:rsidRPr="00C410A2">
              <w:rPr>
                <w:rFonts w:ascii="Arial" w:hAnsi="Arial" w:cs="Arial"/>
                <w:color w:val="FFFFFF" w:themeColor="background1"/>
                <w:sz w:val="20"/>
                <w:szCs w:val="20"/>
              </w:rPr>
              <w:t>Value (£)</w:t>
            </w:r>
          </w:p>
        </w:tc>
        <w:tc>
          <w:tcPr>
            <w:tcW w:w="1842" w:type="dxa"/>
          </w:tcPr>
          <w:p w14:paraId="046A9A8A" w14:textId="0DE76848" w:rsidR="00A41598" w:rsidRDefault="00A35A25" w:rsidP="004A5432">
            <w:pPr>
              <w:pStyle w:val="ListParagraph"/>
              <w:numPr>
                <w:ilvl w:val="0"/>
                <w:numId w:val="0"/>
              </w:numPr>
              <w:spacing w:before="0" w:after="0"/>
              <w:contextualSpacing w:val="0"/>
              <w:jc w:val="center"/>
              <w:cnfStyle w:val="100000000000" w:firstRow="1" w:lastRow="0" w:firstColumn="0" w:lastColumn="0" w:oddVBand="0" w:evenVBand="0" w:oddHBand="0" w:evenHBand="0" w:firstRowFirstColumn="0" w:firstRowLastColumn="0" w:lastRowFirstColumn="0" w:lastRowLastColumn="0"/>
            </w:pPr>
            <w:r w:rsidRPr="00C410A2">
              <w:rPr>
                <w:rFonts w:ascii="Arial" w:hAnsi="Arial" w:cs="Arial"/>
                <w:color w:val="FFFFFF" w:themeColor="background1"/>
                <w:sz w:val="20"/>
                <w:szCs w:val="20"/>
              </w:rPr>
              <w:t>N</w:t>
            </w:r>
            <w:r w:rsidR="004A5432">
              <w:rPr>
                <w:rFonts w:ascii="Arial" w:hAnsi="Arial" w:cs="Arial"/>
                <w:color w:val="FFFFFF" w:themeColor="background1"/>
                <w:sz w:val="20"/>
                <w:szCs w:val="20"/>
              </w:rPr>
              <w:t xml:space="preserve">o </w:t>
            </w:r>
            <w:r w:rsidRPr="00C410A2">
              <w:rPr>
                <w:rFonts w:ascii="Arial" w:hAnsi="Arial" w:cs="Arial"/>
                <w:color w:val="FFFFFF" w:themeColor="background1"/>
                <w:sz w:val="20"/>
                <w:szCs w:val="20"/>
              </w:rPr>
              <w:t>of quotations required</w:t>
            </w:r>
          </w:p>
        </w:tc>
        <w:tc>
          <w:tcPr>
            <w:tcW w:w="3918" w:type="dxa"/>
          </w:tcPr>
          <w:p w14:paraId="08B760CD" w14:textId="3AAA739E" w:rsidR="00A41598" w:rsidRDefault="00A35A25" w:rsidP="004A5432">
            <w:pPr>
              <w:pStyle w:val="ListParagraph"/>
              <w:numPr>
                <w:ilvl w:val="0"/>
                <w:numId w:val="0"/>
              </w:numPr>
              <w:spacing w:before="0" w:after="0"/>
              <w:contextualSpacing w:val="0"/>
              <w:jc w:val="both"/>
              <w:cnfStyle w:val="100000000000" w:firstRow="1" w:lastRow="0" w:firstColumn="0" w:lastColumn="0" w:oddVBand="0" w:evenVBand="0" w:oddHBand="0" w:evenHBand="0" w:firstRowFirstColumn="0" w:firstRowLastColumn="0" w:lastRowFirstColumn="0" w:lastRowLastColumn="0"/>
            </w:pPr>
            <w:r w:rsidRPr="00C410A2">
              <w:rPr>
                <w:rFonts w:ascii="Arial" w:hAnsi="Arial" w:cs="Arial"/>
                <w:color w:val="FFFFFF" w:themeColor="background1"/>
                <w:sz w:val="20"/>
                <w:szCs w:val="20"/>
              </w:rPr>
              <w:t>Process</w:t>
            </w:r>
          </w:p>
        </w:tc>
      </w:tr>
      <w:tr w:rsidR="00A41598" w14:paraId="11A56EB4" w14:textId="77777777" w:rsidTr="00A35A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shd w:val="clear" w:color="auto" w:fill="auto"/>
          </w:tcPr>
          <w:p w14:paraId="2DB1D4B9" w14:textId="0A1B97B4" w:rsidR="00A41598" w:rsidRDefault="00A35A25" w:rsidP="004A5432">
            <w:pPr>
              <w:pStyle w:val="ListParagraph"/>
              <w:numPr>
                <w:ilvl w:val="0"/>
                <w:numId w:val="0"/>
              </w:numPr>
              <w:spacing w:before="0" w:after="0"/>
              <w:contextualSpacing w:val="0"/>
            </w:pPr>
            <w:r w:rsidRPr="00750B46">
              <w:rPr>
                <w:rFonts w:ascii="Arial" w:hAnsi="Arial" w:cs="Arial"/>
                <w:color w:val="000000"/>
                <w:sz w:val="20"/>
                <w:szCs w:val="20"/>
              </w:rPr>
              <w:t>Up to 5,000 (inclusive of VAT)</w:t>
            </w:r>
          </w:p>
        </w:tc>
        <w:tc>
          <w:tcPr>
            <w:tcW w:w="1842" w:type="dxa"/>
            <w:shd w:val="clear" w:color="auto" w:fill="auto"/>
          </w:tcPr>
          <w:p w14:paraId="1A3A909B" w14:textId="376B8D48" w:rsidR="00A41598" w:rsidRDefault="00A35A25" w:rsidP="004A5432">
            <w:pPr>
              <w:pStyle w:val="ListParagraph"/>
              <w:numPr>
                <w:ilvl w:val="0"/>
                <w:numId w:val="0"/>
              </w:numPr>
              <w:spacing w:before="0" w:after="0"/>
              <w:contextualSpacing w:val="0"/>
              <w:jc w:val="center"/>
              <w:cnfStyle w:val="100000000000" w:firstRow="1" w:lastRow="0" w:firstColumn="0" w:lastColumn="0" w:oddVBand="0" w:evenVBand="0" w:oddHBand="0" w:evenHBand="0" w:firstRowFirstColumn="0" w:firstRowLastColumn="0" w:lastRowFirstColumn="0" w:lastRowLastColumn="0"/>
            </w:pPr>
            <w:r w:rsidRPr="00750B46">
              <w:rPr>
                <w:rFonts w:ascii="Arial" w:hAnsi="Arial" w:cs="Arial"/>
                <w:sz w:val="20"/>
                <w:szCs w:val="20"/>
              </w:rPr>
              <w:t xml:space="preserve">2 </w:t>
            </w:r>
            <w:proofErr w:type="gramStart"/>
            <w:r w:rsidRPr="00750B46">
              <w:rPr>
                <w:rFonts w:ascii="Arial" w:hAnsi="Arial" w:cs="Arial"/>
                <w:sz w:val="20"/>
                <w:szCs w:val="20"/>
              </w:rPr>
              <w:t>verbal</w:t>
            </w:r>
            <w:proofErr w:type="gramEnd"/>
          </w:p>
        </w:tc>
        <w:tc>
          <w:tcPr>
            <w:tcW w:w="3918" w:type="dxa"/>
            <w:shd w:val="clear" w:color="auto" w:fill="auto"/>
          </w:tcPr>
          <w:p w14:paraId="53CA4427" w14:textId="10B72B5D" w:rsidR="00A41598" w:rsidRPr="00A35A25" w:rsidRDefault="00A35A25" w:rsidP="004A5432">
            <w:pPr>
              <w:pStyle w:val="ListParagraph"/>
              <w:numPr>
                <w:ilvl w:val="0"/>
                <w:numId w:val="0"/>
              </w:numPr>
              <w:spacing w:before="0" w:after="0"/>
              <w:contextualSpacing w:val="0"/>
              <w:jc w:val="both"/>
              <w:cnfStyle w:val="100000000000" w:firstRow="1" w:lastRow="0" w:firstColumn="0" w:lastColumn="0" w:oddVBand="0" w:evenVBand="0" w:oddHBand="0" w:evenHBand="0" w:firstRowFirstColumn="0" w:firstRowLastColumn="0" w:lastRowFirstColumn="0" w:lastRowLastColumn="0"/>
              <w:rPr>
                <w:b w:val="0"/>
                <w:bCs w:val="0"/>
              </w:rPr>
            </w:pPr>
            <w:r w:rsidRPr="00A35A25">
              <w:rPr>
                <w:rFonts w:ascii="Arial" w:eastAsia="Times New Roman" w:hAnsi="Arial" w:cs="Arial"/>
                <w:b w:val="0"/>
                <w:bCs w:val="0"/>
                <w:sz w:val="20"/>
                <w:szCs w:val="20"/>
              </w:rPr>
              <w:t>The resulting requisition must be accompanied by an appropriately signed record of the quotations received.</w:t>
            </w:r>
          </w:p>
        </w:tc>
      </w:tr>
      <w:tr w:rsidR="00A35A25" w14:paraId="710CC541" w14:textId="77777777" w:rsidTr="008C0CA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shd w:val="clear" w:color="auto" w:fill="auto"/>
          </w:tcPr>
          <w:p w14:paraId="13824D21" w14:textId="4C51E678" w:rsidR="00A35A25" w:rsidRDefault="00A35A25" w:rsidP="004A5432">
            <w:pPr>
              <w:pStyle w:val="ListParagraph"/>
              <w:numPr>
                <w:ilvl w:val="0"/>
                <w:numId w:val="0"/>
              </w:numPr>
              <w:spacing w:before="0" w:after="0"/>
              <w:contextualSpacing w:val="0"/>
            </w:pPr>
            <w:r w:rsidRPr="00750B46">
              <w:rPr>
                <w:rFonts w:ascii="Arial" w:hAnsi="Arial" w:cs="Arial"/>
                <w:color w:val="000000"/>
                <w:sz w:val="20"/>
                <w:szCs w:val="20"/>
              </w:rPr>
              <w:t>5</w:t>
            </w:r>
            <w:r>
              <w:rPr>
                <w:rFonts w:ascii="Arial" w:hAnsi="Arial" w:cs="Arial"/>
                <w:color w:val="000000"/>
                <w:sz w:val="20"/>
                <w:szCs w:val="20"/>
              </w:rPr>
              <w:t>,</w:t>
            </w:r>
            <w:r w:rsidRPr="00750B46">
              <w:rPr>
                <w:rFonts w:ascii="Arial" w:hAnsi="Arial" w:cs="Arial"/>
                <w:color w:val="000000"/>
                <w:sz w:val="20"/>
                <w:szCs w:val="20"/>
              </w:rPr>
              <w:t>001 -50,000 (inclusive of VAT)</w:t>
            </w:r>
          </w:p>
        </w:tc>
        <w:tc>
          <w:tcPr>
            <w:tcW w:w="1842" w:type="dxa"/>
            <w:shd w:val="clear" w:color="auto" w:fill="auto"/>
          </w:tcPr>
          <w:p w14:paraId="08D5B88B" w14:textId="1A7A27C5" w:rsidR="00A35A25" w:rsidRDefault="00A35A25" w:rsidP="004A5432">
            <w:pPr>
              <w:pStyle w:val="ListParagraph"/>
              <w:numPr>
                <w:ilvl w:val="0"/>
                <w:numId w:val="0"/>
              </w:numPr>
              <w:spacing w:before="0" w:after="0"/>
              <w:contextualSpacing w:val="0"/>
              <w:jc w:val="center"/>
              <w:cnfStyle w:val="100000000000" w:firstRow="1" w:lastRow="0" w:firstColumn="0" w:lastColumn="0" w:oddVBand="0" w:evenVBand="0" w:oddHBand="0" w:evenHBand="0" w:firstRowFirstColumn="0" w:firstRowLastColumn="0" w:lastRowFirstColumn="0" w:lastRowLastColumn="0"/>
            </w:pPr>
            <w:r w:rsidRPr="00750B46">
              <w:rPr>
                <w:rFonts w:ascii="Arial" w:hAnsi="Arial" w:cs="Arial"/>
                <w:color w:val="000000"/>
                <w:sz w:val="20"/>
                <w:szCs w:val="20"/>
              </w:rPr>
              <w:t>3 written</w:t>
            </w:r>
          </w:p>
        </w:tc>
        <w:tc>
          <w:tcPr>
            <w:tcW w:w="3918" w:type="dxa"/>
            <w:shd w:val="clear" w:color="auto" w:fill="auto"/>
          </w:tcPr>
          <w:p w14:paraId="0A155FE7" w14:textId="0733B8E4" w:rsidR="00A35A25" w:rsidRPr="00566806" w:rsidRDefault="00A35A25" w:rsidP="004A5432">
            <w:pPr>
              <w:pStyle w:val="ListParagraph"/>
              <w:numPr>
                <w:ilvl w:val="0"/>
                <w:numId w:val="0"/>
              </w:numPr>
              <w:spacing w:before="0" w:after="0"/>
              <w:contextualSpacing w:val="0"/>
              <w:jc w:val="both"/>
              <w:cnfStyle w:val="100000000000" w:firstRow="1" w:lastRow="0" w:firstColumn="0" w:lastColumn="0" w:oddVBand="0" w:evenVBand="0" w:oddHBand="0" w:evenHBand="0" w:firstRowFirstColumn="0" w:firstRowLastColumn="0" w:lastRowFirstColumn="0" w:lastRowLastColumn="0"/>
              <w:rPr>
                <w:b w:val="0"/>
                <w:bCs w:val="0"/>
              </w:rPr>
            </w:pPr>
            <w:r w:rsidRPr="00566806">
              <w:rPr>
                <w:rFonts w:ascii="Arial" w:hAnsi="Arial" w:cs="Arial"/>
                <w:b w:val="0"/>
                <w:bCs w:val="0"/>
                <w:sz w:val="20"/>
                <w:szCs w:val="20"/>
              </w:rPr>
              <w:t>Based on a written specification or terms of reference prepared by, or on behalf of, the ICB with options.</w:t>
            </w:r>
          </w:p>
        </w:tc>
      </w:tr>
      <w:tr w:rsidR="00A41598" w14:paraId="33CB36E6" w14:textId="77777777" w:rsidTr="00A35A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shd w:val="clear" w:color="auto" w:fill="auto"/>
          </w:tcPr>
          <w:p w14:paraId="4A5E7071" w14:textId="73A92489" w:rsidR="00A41598" w:rsidRDefault="00A35A25" w:rsidP="004A5432">
            <w:pPr>
              <w:pStyle w:val="ListParagraph"/>
              <w:numPr>
                <w:ilvl w:val="0"/>
                <w:numId w:val="0"/>
              </w:numPr>
              <w:spacing w:before="0" w:after="0"/>
              <w:contextualSpacing w:val="0"/>
            </w:pPr>
            <w:r w:rsidRPr="00750B46">
              <w:rPr>
                <w:rFonts w:ascii="Arial" w:hAnsi="Arial" w:cs="Arial"/>
                <w:color w:val="000000"/>
                <w:sz w:val="20"/>
                <w:szCs w:val="20"/>
              </w:rPr>
              <w:t>50,001-</w:t>
            </w:r>
            <w:r w:rsidRPr="00750B46">
              <w:rPr>
                <w:rFonts w:ascii="Arial" w:hAnsi="Arial" w:cs="Arial"/>
                <w:sz w:val="20"/>
                <w:szCs w:val="20"/>
              </w:rPr>
              <w:t xml:space="preserve"> </w:t>
            </w:r>
            <w:r w:rsidRPr="00750B46">
              <w:rPr>
                <w:rFonts w:ascii="Arial" w:hAnsi="Arial" w:cs="Arial"/>
                <w:color w:val="000000"/>
                <w:sz w:val="20"/>
                <w:szCs w:val="20"/>
              </w:rPr>
              <w:t>663,540 (inclusive of VAT)</w:t>
            </w:r>
          </w:p>
        </w:tc>
        <w:tc>
          <w:tcPr>
            <w:tcW w:w="1842" w:type="dxa"/>
            <w:shd w:val="clear" w:color="auto" w:fill="auto"/>
          </w:tcPr>
          <w:p w14:paraId="3AA14E9E" w14:textId="77777777" w:rsidR="00A35A25" w:rsidRDefault="00A35A25" w:rsidP="004A5432">
            <w:pPr>
              <w:autoSpaceDE w:val="0"/>
              <w:autoSpaceDN w:val="0"/>
              <w:adjustRightInd w:val="0"/>
              <w:spacing w:before="0" w:after="0"/>
              <w:ind w:left="85"/>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Pr>
                <w:rFonts w:ascii="Arial" w:hAnsi="Arial" w:cs="Arial"/>
                <w:color w:val="000000"/>
                <w:sz w:val="20"/>
                <w:szCs w:val="20"/>
              </w:rPr>
              <w:t>At least</w:t>
            </w:r>
          </w:p>
          <w:p w14:paraId="240C8747" w14:textId="5951CA34" w:rsidR="00A41598" w:rsidRDefault="00A35A25" w:rsidP="004A5432">
            <w:pPr>
              <w:pStyle w:val="ListParagraph"/>
              <w:numPr>
                <w:ilvl w:val="0"/>
                <w:numId w:val="0"/>
              </w:numPr>
              <w:spacing w:before="0" w:after="0"/>
              <w:contextualSpacing w:val="0"/>
              <w:jc w:val="center"/>
              <w:cnfStyle w:val="100000000000" w:firstRow="1" w:lastRow="0" w:firstColumn="0" w:lastColumn="0" w:oddVBand="0" w:evenVBand="0" w:oddHBand="0" w:evenHBand="0" w:firstRowFirstColumn="0" w:firstRowLastColumn="0" w:lastRowFirstColumn="0" w:lastRowLastColumn="0"/>
            </w:pPr>
            <w:r w:rsidRPr="00750B46">
              <w:rPr>
                <w:rFonts w:ascii="Arial" w:hAnsi="Arial" w:cs="Arial"/>
                <w:color w:val="000000"/>
                <w:sz w:val="20"/>
                <w:szCs w:val="20"/>
              </w:rPr>
              <w:t>4 written</w:t>
            </w:r>
          </w:p>
        </w:tc>
        <w:tc>
          <w:tcPr>
            <w:tcW w:w="3918" w:type="dxa"/>
            <w:shd w:val="clear" w:color="auto" w:fill="auto"/>
          </w:tcPr>
          <w:p w14:paraId="0FAE7BAC" w14:textId="7FA8BE23" w:rsidR="00A41598" w:rsidRPr="00566806" w:rsidRDefault="00A35A25" w:rsidP="004A5432">
            <w:pPr>
              <w:pStyle w:val="ListParagraph"/>
              <w:numPr>
                <w:ilvl w:val="0"/>
                <w:numId w:val="0"/>
              </w:numPr>
              <w:spacing w:before="0" w:after="0"/>
              <w:contextualSpacing w:val="0"/>
              <w:jc w:val="both"/>
              <w:cnfStyle w:val="100000000000" w:firstRow="1" w:lastRow="0" w:firstColumn="0" w:lastColumn="0" w:oddVBand="0" w:evenVBand="0" w:oddHBand="0" w:evenHBand="0" w:firstRowFirstColumn="0" w:firstRowLastColumn="0" w:lastRowFirstColumn="0" w:lastRowLastColumn="0"/>
              <w:rPr>
                <w:b w:val="0"/>
                <w:bCs w:val="0"/>
              </w:rPr>
            </w:pPr>
            <w:r w:rsidRPr="00566806">
              <w:rPr>
                <w:rFonts w:ascii="Arial" w:eastAsia="Times New Roman" w:hAnsi="Arial" w:cs="Arial"/>
                <w:b w:val="0"/>
                <w:bCs w:val="0"/>
                <w:sz w:val="20"/>
                <w:szCs w:val="20"/>
              </w:rPr>
              <w:t xml:space="preserve">For Light Touch Regime Services including Healthcare Services: Competitive Quote procedure with a written specification and a detailed option appraisal.  </w:t>
            </w:r>
          </w:p>
        </w:tc>
      </w:tr>
      <w:tr w:rsidR="00A35A25" w14:paraId="6B276205" w14:textId="77777777" w:rsidTr="008C0CA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shd w:val="clear" w:color="auto" w:fill="auto"/>
          </w:tcPr>
          <w:p w14:paraId="1D1BDBB9" w14:textId="2AF07258" w:rsidR="00A35A25" w:rsidRPr="00750B46" w:rsidRDefault="00A35A25" w:rsidP="004A5432">
            <w:pPr>
              <w:pStyle w:val="ListParagraph"/>
              <w:numPr>
                <w:ilvl w:val="0"/>
                <w:numId w:val="0"/>
              </w:numPr>
              <w:spacing w:before="0" w:after="0"/>
              <w:contextualSpacing w:val="0"/>
              <w:rPr>
                <w:rFonts w:ascii="Arial" w:hAnsi="Arial" w:cs="Arial"/>
                <w:color w:val="000000"/>
                <w:sz w:val="20"/>
                <w:szCs w:val="20"/>
              </w:rPr>
            </w:pPr>
            <w:r w:rsidRPr="00750B46">
              <w:rPr>
                <w:rFonts w:ascii="Arial" w:hAnsi="Arial" w:cs="Arial"/>
                <w:sz w:val="20"/>
                <w:szCs w:val="20"/>
              </w:rPr>
              <w:t>50,000- 213,477 (inclusive of VAT)</w:t>
            </w:r>
          </w:p>
        </w:tc>
        <w:tc>
          <w:tcPr>
            <w:tcW w:w="1842" w:type="dxa"/>
            <w:shd w:val="clear" w:color="auto" w:fill="auto"/>
          </w:tcPr>
          <w:p w14:paraId="49DBBFAE" w14:textId="77777777" w:rsidR="00A35A25" w:rsidRDefault="00A35A25" w:rsidP="004A5432">
            <w:pPr>
              <w:autoSpaceDE w:val="0"/>
              <w:autoSpaceDN w:val="0"/>
              <w:adjustRightInd w:val="0"/>
              <w:spacing w:before="0" w:after="0"/>
              <w:ind w:left="85"/>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Pr>
                <w:rFonts w:ascii="Arial" w:hAnsi="Arial" w:cs="Arial"/>
                <w:color w:val="000000"/>
                <w:sz w:val="20"/>
                <w:szCs w:val="20"/>
              </w:rPr>
              <w:t>At least</w:t>
            </w:r>
          </w:p>
          <w:p w14:paraId="50C911C9" w14:textId="0E5563AF" w:rsidR="00A35A25" w:rsidRDefault="00A35A25" w:rsidP="004A5432">
            <w:pPr>
              <w:autoSpaceDE w:val="0"/>
              <w:autoSpaceDN w:val="0"/>
              <w:adjustRightInd w:val="0"/>
              <w:spacing w:before="0" w:after="0"/>
              <w:ind w:left="85"/>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sidRPr="00750B46">
              <w:rPr>
                <w:rFonts w:ascii="Arial" w:hAnsi="Arial" w:cs="Arial"/>
                <w:color w:val="000000"/>
                <w:sz w:val="20"/>
                <w:szCs w:val="20"/>
              </w:rPr>
              <w:t>4 written</w:t>
            </w:r>
          </w:p>
        </w:tc>
        <w:tc>
          <w:tcPr>
            <w:tcW w:w="3918" w:type="dxa"/>
            <w:shd w:val="clear" w:color="auto" w:fill="auto"/>
          </w:tcPr>
          <w:p w14:paraId="0C3B8516" w14:textId="77777777" w:rsidR="00A35A25" w:rsidRPr="00566806" w:rsidRDefault="00A35A25" w:rsidP="004A5432">
            <w:pPr>
              <w:pStyle w:val="ListParagraph"/>
              <w:numPr>
                <w:ilvl w:val="0"/>
                <w:numId w:val="0"/>
              </w:numPr>
              <w:spacing w:before="0" w:after="0"/>
              <w:contextualSpacing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566806">
              <w:rPr>
                <w:rFonts w:ascii="Arial" w:eastAsia="Times New Roman" w:hAnsi="Arial" w:cs="Arial"/>
                <w:b w:val="0"/>
                <w:bCs w:val="0"/>
                <w:sz w:val="20"/>
                <w:szCs w:val="20"/>
              </w:rPr>
              <w:t>For Non-Light Touch Regime Services such as IT services:</w:t>
            </w:r>
          </w:p>
          <w:p w14:paraId="4CBC3418" w14:textId="626D66CB" w:rsidR="00A35A25" w:rsidRPr="00566806" w:rsidRDefault="00A35A25" w:rsidP="004A5432">
            <w:pPr>
              <w:pStyle w:val="ListParagraph"/>
              <w:numPr>
                <w:ilvl w:val="0"/>
                <w:numId w:val="0"/>
              </w:numPr>
              <w:spacing w:before="0" w:after="0"/>
              <w:contextualSpacing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566806">
              <w:rPr>
                <w:rFonts w:ascii="Arial" w:eastAsia="Times New Roman" w:hAnsi="Arial" w:cs="Arial"/>
                <w:b w:val="0"/>
                <w:bCs w:val="0"/>
                <w:sz w:val="20"/>
                <w:szCs w:val="20"/>
              </w:rPr>
              <w:t>Competitive Quote procedure with a written specification and a detailed option appraisal.</w:t>
            </w:r>
          </w:p>
        </w:tc>
      </w:tr>
    </w:tbl>
    <w:p w14:paraId="16FB1346" w14:textId="2321B222" w:rsidR="004A6984" w:rsidRDefault="0045367A" w:rsidP="001E7853">
      <w:pPr>
        <w:pStyle w:val="ListParagraph"/>
        <w:numPr>
          <w:ilvl w:val="0"/>
          <w:numId w:val="8"/>
        </w:numPr>
        <w:spacing w:after="120"/>
        <w:ind w:left="1418" w:hanging="284"/>
        <w:contextualSpacing w:val="0"/>
        <w:jc w:val="both"/>
        <w:rPr>
          <w:rFonts w:ascii="Arial" w:hAnsi="Arial" w:cs="Arial"/>
          <w:bCs/>
          <w:color w:val="000000"/>
        </w:rPr>
      </w:pPr>
      <w:r w:rsidRPr="00CE2FAC">
        <w:rPr>
          <w:rFonts w:ascii="Arial" w:hAnsi="Arial" w:cs="Arial"/>
          <w:bCs/>
          <w:color w:val="000000"/>
        </w:rPr>
        <w:t>If</w:t>
      </w:r>
      <w:r w:rsidR="004A6984" w:rsidRPr="00CE2FAC">
        <w:rPr>
          <w:rFonts w:ascii="Arial" w:hAnsi="Arial" w:cs="Arial"/>
          <w:bCs/>
          <w:color w:val="000000"/>
        </w:rPr>
        <w:t xml:space="preserve"> the financial threshold for procurement is subsequently exceeded </w:t>
      </w:r>
      <w:r w:rsidR="004A6984" w:rsidRPr="001E7853">
        <w:t>within</w:t>
      </w:r>
      <w:r w:rsidR="004A6984" w:rsidRPr="00CE2FAC">
        <w:rPr>
          <w:rFonts w:ascii="Arial" w:hAnsi="Arial" w:cs="Arial"/>
          <w:bCs/>
          <w:color w:val="000000"/>
        </w:rPr>
        <w:t xml:space="preserve"> a competitive quotation process, this shall be reported to the </w:t>
      </w:r>
      <w:r w:rsidR="004A6984">
        <w:rPr>
          <w:rFonts w:ascii="Arial" w:eastAsia="Times New Roman" w:hAnsi="Arial" w:cs="Arial"/>
          <w:lang w:eastAsia="en-GB"/>
        </w:rPr>
        <w:t xml:space="preserve">Director of </w:t>
      </w:r>
      <w:r w:rsidR="005935AC">
        <w:rPr>
          <w:rFonts w:ascii="Arial" w:eastAsia="Times New Roman" w:hAnsi="Arial" w:cs="Arial"/>
          <w:lang w:eastAsia="en-GB"/>
        </w:rPr>
        <w:t>Resources</w:t>
      </w:r>
      <w:r w:rsidR="004A6984" w:rsidRPr="00CE2FAC">
        <w:rPr>
          <w:rFonts w:ascii="Arial" w:hAnsi="Arial" w:cs="Arial"/>
          <w:bCs/>
          <w:color w:val="000000"/>
        </w:rPr>
        <w:t xml:space="preserve"> </w:t>
      </w:r>
      <w:r w:rsidR="001E7853">
        <w:rPr>
          <w:rFonts w:ascii="Arial" w:hAnsi="Arial" w:cs="Arial"/>
          <w:bCs/>
          <w:color w:val="000000"/>
        </w:rPr>
        <w:t xml:space="preserve">for approval </w:t>
      </w:r>
      <w:r w:rsidR="001E7853" w:rsidRPr="008E0C1C">
        <w:rPr>
          <w:rFonts w:ascii="Arial" w:hAnsi="Arial" w:cs="Arial"/>
          <w:bCs/>
          <w:i/>
          <w:iCs/>
          <w:color w:val="000000"/>
        </w:rPr>
        <w:t>before</w:t>
      </w:r>
      <w:r w:rsidR="001E7853">
        <w:rPr>
          <w:rFonts w:ascii="Arial" w:hAnsi="Arial" w:cs="Arial"/>
          <w:bCs/>
          <w:color w:val="000000"/>
        </w:rPr>
        <w:t xml:space="preserve"> expenditure is committed </w:t>
      </w:r>
      <w:r w:rsidR="004A6984" w:rsidRPr="00CE2FAC">
        <w:rPr>
          <w:rFonts w:ascii="Arial" w:hAnsi="Arial" w:cs="Arial"/>
          <w:bCs/>
          <w:color w:val="000000"/>
        </w:rPr>
        <w:t xml:space="preserve">and </w:t>
      </w:r>
      <w:r w:rsidR="00696F90">
        <w:rPr>
          <w:rFonts w:ascii="Arial" w:hAnsi="Arial" w:cs="Arial"/>
          <w:bCs/>
          <w:color w:val="000000"/>
        </w:rPr>
        <w:t xml:space="preserve">subsequently </w:t>
      </w:r>
      <w:r w:rsidR="008E0C1C">
        <w:rPr>
          <w:rFonts w:ascii="Arial" w:hAnsi="Arial" w:cs="Arial"/>
          <w:bCs/>
          <w:color w:val="000000"/>
        </w:rPr>
        <w:t xml:space="preserve">to </w:t>
      </w:r>
      <w:r w:rsidR="004A6984" w:rsidRPr="00CE2FAC">
        <w:rPr>
          <w:rFonts w:ascii="Arial" w:hAnsi="Arial" w:cs="Arial"/>
          <w:bCs/>
          <w:color w:val="000000"/>
        </w:rPr>
        <w:t xml:space="preserve">the </w:t>
      </w:r>
      <w:r w:rsidR="004A6984">
        <w:rPr>
          <w:rFonts w:ascii="Arial" w:hAnsi="Arial" w:cs="Arial"/>
          <w:bCs/>
          <w:color w:val="000000"/>
        </w:rPr>
        <w:t>ICB</w:t>
      </w:r>
      <w:r w:rsidR="004A6984" w:rsidRPr="00CE2FAC">
        <w:rPr>
          <w:rFonts w:ascii="Arial" w:hAnsi="Arial" w:cs="Arial"/>
          <w:bCs/>
          <w:color w:val="000000"/>
        </w:rPr>
        <w:t xml:space="preserve"> Audit Committee</w:t>
      </w:r>
      <w:r w:rsidR="001E7853">
        <w:rPr>
          <w:rFonts w:ascii="Arial" w:hAnsi="Arial" w:cs="Arial"/>
          <w:bCs/>
          <w:color w:val="000000"/>
        </w:rPr>
        <w:t xml:space="preserve"> for information.</w:t>
      </w:r>
    </w:p>
    <w:p w14:paraId="625CB19E" w14:textId="5BED42B6" w:rsidR="00C27033" w:rsidRPr="00EA61D6" w:rsidRDefault="00C27033" w:rsidP="00A956F5">
      <w:pPr>
        <w:pStyle w:val="Heading3"/>
      </w:pPr>
      <w:bookmarkStart w:id="34" w:name="_Toc124497580"/>
      <w:r w:rsidRPr="00EA61D6">
        <w:t>Splitting or disaggregation of contracts</w:t>
      </w:r>
      <w:bookmarkEnd w:id="34"/>
      <w:r w:rsidRPr="00EA61D6">
        <w:t xml:space="preserve"> </w:t>
      </w:r>
    </w:p>
    <w:p w14:paraId="3DE0D2A5" w14:textId="7DEF39C6" w:rsidR="004A6984" w:rsidRDefault="00C27033" w:rsidP="00A956F5">
      <w:pPr>
        <w:pStyle w:val="Style2"/>
      </w:pPr>
      <w:r>
        <w:t xml:space="preserve">There </w:t>
      </w:r>
      <w:r w:rsidRPr="00EA61D6">
        <w:rPr>
          <w:rFonts w:cs="Arial"/>
          <w:lang w:eastAsia="en-GB"/>
        </w:rPr>
        <w:t>shall</w:t>
      </w:r>
      <w:r>
        <w:t xml:space="preserve"> be no splitting of procurements simply to avoid the application of a fuller procurement process.</w:t>
      </w:r>
    </w:p>
    <w:p w14:paraId="571A7949" w14:textId="0F40360E" w:rsidR="00EC7294" w:rsidRPr="00EA61D6" w:rsidRDefault="00EC7294" w:rsidP="00A956F5">
      <w:pPr>
        <w:pStyle w:val="Heading3"/>
      </w:pPr>
      <w:bookmarkStart w:id="35" w:name="_Toc124497581"/>
      <w:r w:rsidRPr="00EA61D6">
        <w:t>False quotations and tenders, and bid rigging</w:t>
      </w:r>
      <w:bookmarkEnd w:id="35"/>
    </w:p>
    <w:p w14:paraId="2DABD7C9" w14:textId="752B9B9D" w:rsidR="00EC7294" w:rsidRDefault="00EC7294" w:rsidP="00A956F5">
      <w:pPr>
        <w:pStyle w:val="Style2"/>
      </w:pPr>
      <w:r>
        <w:t xml:space="preserve">For </w:t>
      </w:r>
      <w:r w:rsidRPr="00EA61D6">
        <w:rPr>
          <w:rFonts w:cs="Arial"/>
          <w:lang w:eastAsia="en-GB"/>
        </w:rPr>
        <w:t>procurements</w:t>
      </w:r>
      <w:r>
        <w:t xml:space="preserve"> under the Public Procurement threshold, the ICB will have the right to use </w:t>
      </w:r>
      <w:r w:rsidR="00EA61D6">
        <w:t>its</w:t>
      </w:r>
      <w:r>
        <w:t xml:space="preserve"> discretion in deciding which individuals or companies should be invited to bid. To minimise fraud:</w:t>
      </w:r>
    </w:p>
    <w:p w14:paraId="348213EF" w14:textId="5DC9B8D5" w:rsidR="00EC7294" w:rsidRDefault="00EC7294" w:rsidP="00402253">
      <w:pPr>
        <w:pStyle w:val="Style2"/>
        <w:numPr>
          <w:ilvl w:val="0"/>
          <w:numId w:val="47"/>
        </w:numPr>
      </w:pPr>
      <w:r>
        <w:t>Suppliers should be selected from an approved list (where available) according to predetermined and justifiable criteria.</w:t>
      </w:r>
    </w:p>
    <w:p w14:paraId="7D439076" w14:textId="1C2709CE" w:rsidR="00EC7294" w:rsidRDefault="00EC7294" w:rsidP="00402253">
      <w:pPr>
        <w:pStyle w:val="Style2"/>
        <w:numPr>
          <w:ilvl w:val="0"/>
          <w:numId w:val="47"/>
        </w:numPr>
      </w:pPr>
      <w:r>
        <w:t>The use of negotiated or restricted tendering should be justified.</w:t>
      </w:r>
    </w:p>
    <w:p w14:paraId="2409FA80" w14:textId="20AFE866" w:rsidR="00EC7294" w:rsidRDefault="00EC7294" w:rsidP="00402253">
      <w:pPr>
        <w:pStyle w:val="Style2"/>
        <w:numPr>
          <w:ilvl w:val="0"/>
          <w:numId w:val="47"/>
        </w:numPr>
      </w:pPr>
      <w:r>
        <w:t>The time and date for the return of tenders will be specified at the outset.</w:t>
      </w:r>
    </w:p>
    <w:p w14:paraId="2DDBCF40" w14:textId="17734C40" w:rsidR="00EC7294" w:rsidRDefault="00EC7294" w:rsidP="00402253">
      <w:pPr>
        <w:pStyle w:val="Style2"/>
        <w:numPr>
          <w:ilvl w:val="0"/>
          <w:numId w:val="47"/>
        </w:numPr>
      </w:pPr>
      <w:r>
        <w:t>Invitations to submit quotes or tenders will be retained. This will include all correspondence with potential suppliers.</w:t>
      </w:r>
    </w:p>
    <w:p w14:paraId="64AAA06A" w14:textId="3D40F9C2" w:rsidR="00EC7294" w:rsidRDefault="00EC7294" w:rsidP="00402253">
      <w:pPr>
        <w:pStyle w:val="Style2"/>
        <w:numPr>
          <w:ilvl w:val="0"/>
          <w:numId w:val="47"/>
        </w:numPr>
      </w:pPr>
      <w:r>
        <w:t>Bids will be received within the required timeframe.</w:t>
      </w:r>
    </w:p>
    <w:p w14:paraId="00D8FE5E" w14:textId="00BA5E66" w:rsidR="00EC7294" w:rsidRDefault="00EC7294" w:rsidP="00402253">
      <w:pPr>
        <w:pStyle w:val="Style2"/>
        <w:numPr>
          <w:ilvl w:val="0"/>
          <w:numId w:val="47"/>
        </w:numPr>
      </w:pPr>
      <w:r>
        <w:t>Exceptional decisions to include bids submitted after the deadline must be justified in writing.</w:t>
      </w:r>
    </w:p>
    <w:p w14:paraId="1FA3194B" w14:textId="08C41725" w:rsidR="00EC7294" w:rsidRDefault="00EC7294" w:rsidP="00402253">
      <w:pPr>
        <w:pStyle w:val="Style2"/>
        <w:numPr>
          <w:ilvl w:val="0"/>
          <w:numId w:val="47"/>
        </w:numPr>
      </w:pPr>
      <w:r>
        <w:t>A record of quotes/tenders should be maintained, including the names of contractors and the number of tenders submitted by each.</w:t>
      </w:r>
    </w:p>
    <w:p w14:paraId="4F0E0E1D" w14:textId="65B8A0BC" w:rsidR="00EC7294" w:rsidRDefault="00EC7294" w:rsidP="00402253">
      <w:pPr>
        <w:pStyle w:val="Style2"/>
        <w:numPr>
          <w:ilvl w:val="0"/>
          <w:numId w:val="47"/>
        </w:numPr>
      </w:pPr>
      <w:r>
        <w:t>An e-procurement system may be used.</w:t>
      </w:r>
    </w:p>
    <w:p w14:paraId="694058E5" w14:textId="5734D471" w:rsidR="00EC7294" w:rsidRDefault="00EC7294" w:rsidP="00A956F5">
      <w:pPr>
        <w:pStyle w:val="Style2"/>
      </w:pPr>
      <w:r>
        <w:t>Bid rigging occurs when bidders agree among themselves to eliminate competition in the procurement process, thereby denying the public a fair price. The ICB will undertake relevant checks to assist in detection of false tenders or quotes.</w:t>
      </w:r>
    </w:p>
    <w:p w14:paraId="6F75D064" w14:textId="77824BE6" w:rsidR="00AE3B4E" w:rsidRDefault="00EC7294" w:rsidP="00A956F5">
      <w:pPr>
        <w:pStyle w:val="Style2"/>
      </w:pPr>
      <w:r>
        <w:t xml:space="preserve">Any concerns identified during the procurement process relating to fraud or bribery shall be brought to the attention of the Local Counter Fraud Specialist or the NHS Counter Fraud Authority either via the NHS Fraud Reporting Line 0800 028 4060 or online </w:t>
      </w:r>
      <w:hyperlink r:id="rId22" w:history="1">
        <w:r w:rsidR="0033513D" w:rsidRPr="00A84C3B">
          <w:rPr>
            <w:rStyle w:val="Hyperlink"/>
          </w:rPr>
          <w:t>https://cfa.nhs.uk/reportfraud</w:t>
        </w:r>
      </w:hyperlink>
      <w:r w:rsidR="0033513D">
        <w:t xml:space="preserve"> </w:t>
      </w:r>
    </w:p>
    <w:p w14:paraId="13FF7642" w14:textId="77777777" w:rsidR="00E42701" w:rsidRPr="00B20946" w:rsidRDefault="00E42701" w:rsidP="00A956F5">
      <w:pPr>
        <w:pStyle w:val="Heading3"/>
      </w:pPr>
      <w:bookmarkStart w:id="36" w:name="_Toc124497582"/>
      <w:r w:rsidRPr="00B20946">
        <w:t>Collaboration</w:t>
      </w:r>
      <w:bookmarkEnd w:id="36"/>
    </w:p>
    <w:p w14:paraId="44A54C23" w14:textId="43AB1136" w:rsidR="0016639C" w:rsidRDefault="0016639C" w:rsidP="00A956F5">
      <w:pPr>
        <w:pStyle w:val="Style2"/>
      </w:pPr>
      <w:r w:rsidRPr="0016639C">
        <w:t xml:space="preserve">The ICB is committed to operating in a sustainable environment where all opportunities for efficiencies and economies of scale are considered and applied where applicable. This includes the sharing of operational resources or </w:t>
      </w:r>
      <w:r w:rsidR="001B16B1">
        <w:t xml:space="preserve">a </w:t>
      </w:r>
      <w:r w:rsidRPr="0016639C">
        <w:t xml:space="preserve">commitment to specific joint projects/contracts across the Mid and South Essex footprint for example, where this serves the best interest of the </w:t>
      </w:r>
      <w:r w:rsidR="001B16B1">
        <w:t>system</w:t>
      </w:r>
      <w:r w:rsidRPr="0016639C">
        <w:t xml:space="preserve"> population. The move towards further integration will necessitate the development of new types of contracts for accountable care and stewardship models and the ICB will follow guidance from NHS England and Improvement on their application.</w:t>
      </w:r>
    </w:p>
    <w:p w14:paraId="300DD533" w14:textId="77777777" w:rsidR="003B4A36" w:rsidRPr="001B16B1" w:rsidRDefault="003B4A36" w:rsidP="00A956F5">
      <w:pPr>
        <w:pStyle w:val="Heading3"/>
      </w:pPr>
      <w:bookmarkStart w:id="37" w:name="_Toc124497583"/>
      <w:r w:rsidRPr="001B16B1">
        <w:t>Non-Compliant Procurement Route</w:t>
      </w:r>
      <w:bookmarkEnd w:id="37"/>
    </w:p>
    <w:p w14:paraId="1DB8E450" w14:textId="77777777" w:rsidR="003B4A36" w:rsidRDefault="003B4A36" w:rsidP="00A956F5">
      <w:pPr>
        <w:pStyle w:val="Style2"/>
      </w:pPr>
      <w:r>
        <w:t xml:space="preserve">The ICB is committed to ensuring that services are procured in accordance with legislation. A waiver represents a formal declaration that the ICB is not following a competitive procurement process with prior notification to the market. </w:t>
      </w:r>
    </w:p>
    <w:p w14:paraId="591BA249" w14:textId="3226A2AE" w:rsidR="003B4A36" w:rsidRDefault="003B4A36" w:rsidP="00A956F5">
      <w:pPr>
        <w:pStyle w:val="Style2"/>
      </w:pPr>
      <w:r>
        <w:t>In limited circumstances</w:t>
      </w:r>
      <w:r w:rsidR="00C344F2">
        <w:t>,</w:t>
      </w:r>
      <w:r>
        <w:t xml:space="preserve"> the need to request quotations or competitive tenders may be waived. Regulation 32 of the PCR 2015 (as amended by The Public Procurement (Amendment etc.) (EU Exit) Regulations 2020) and the ICB </w:t>
      </w:r>
      <w:r w:rsidR="00486790">
        <w:t>Scheme of Reservation &amp; Delegation</w:t>
      </w:r>
      <w:r>
        <w:t xml:space="preserve"> outline the following circumstances where contracts may be awarded without a competitive procurement process with prior notification to the market.</w:t>
      </w:r>
    </w:p>
    <w:p w14:paraId="3571B5D2" w14:textId="77777777" w:rsidR="003B4A36" w:rsidRDefault="003B4A36" w:rsidP="00A956F5">
      <w:pPr>
        <w:pStyle w:val="Style2"/>
      </w:pPr>
      <w:r>
        <w:t>The only exceptions where formal tendering need not be applied are:</w:t>
      </w:r>
    </w:p>
    <w:p w14:paraId="33B096F9" w14:textId="719BDCA6" w:rsidR="00845FB7" w:rsidRDefault="003B4A36" w:rsidP="00A956F5">
      <w:pPr>
        <w:pStyle w:val="ListParagraph"/>
        <w:numPr>
          <w:ilvl w:val="0"/>
          <w:numId w:val="31"/>
        </w:numPr>
      </w:pPr>
      <w:r>
        <w:t xml:space="preserve">in very exceptional circumstances where the </w:t>
      </w:r>
      <w:r w:rsidR="00FB537C">
        <w:t xml:space="preserve">ICB </w:t>
      </w:r>
      <w:r w:rsidRPr="00FB537C">
        <w:t>Executive Team</w:t>
      </w:r>
      <w:r>
        <w:t xml:space="preserve"> jointly decides that formal tendering procedures would not be practicable or the estimated expenditure or income would not warrant formal tendering procedures, and the circumstances are detailed in an appropriate ICB record.</w:t>
      </w:r>
    </w:p>
    <w:p w14:paraId="4B1DED86" w14:textId="77777777" w:rsidR="00845FB7" w:rsidRDefault="003B4A36" w:rsidP="00A956F5">
      <w:pPr>
        <w:pStyle w:val="ListParagraph"/>
        <w:numPr>
          <w:ilvl w:val="0"/>
          <w:numId w:val="31"/>
        </w:numPr>
      </w:pPr>
      <w:r>
        <w:t>where the requirement is covered by an existing contract and there is an agreed and signed record of a contestability and value for money assessment.</w:t>
      </w:r>
    </w:p>
    <w:p w14:paraId="19A9EF4D" w14:textId="1E65379B" w:rsidR="00455D96" w:rsidRDefault="003B4A36" w:rsidP="00A956F5">
      <w:pPr>
        <w:pStyle w:val="ListParagraph"/>
        <w:numPr>
          <w:ilvl w:val="0"/>
          <w:numId w:val="31"/>
        </w:numPr>
      </w:pPr>
      <w:r>
        <w:t xml:space="preserve">where a </w:t>
      </w:r>
      <w:r w:rsidR="00472C2C">
        <w:t>collaborative or partnership</w:t>
      </w:r>
      <w:r>
        <w:t xml:space="preserve"> arrangement is in place and a lead organisation has been appointed to carry out tendering activity on behalf of the </w:t>
      </w:r>
      <w:r w:rsidR="002E6BEF">
        <w:t>collaborative members or partners</w:t>
      </w:r>
      <w:r>
        <w:t>.</w:t>
      </w:r>
    </w:p>
    <w:p w14:paraId="74087D4E" w14:textId="77777777" w:rsidR="00455D96" w:rsidRDefault="003B4A36" w:rsidP="00A956F5">
      <w:pPr>
        <w:pStyle w:val="ListParagraph"/>
        <w:numPr>
          <w:ilvl w:val="0"/>
          <w:numId w:val="31"/>
        </w:numPr>
      </w:pPr>
      <w:r>
        <w:t>where the timescale genuinely precludes competitive tendering (failure to plan the work properly would not be regarded as a justification for a single tender).</w:t>
      </w:r>
    </w:p>
    <w:p w14:paraId="2141AD08" w14:textId="77777777" w:rsidR="00455D96" w:rsidRDefault="003B4A36" w:rsidP="00A956F5">
      <w:pPr>
        <w:pStyle w:val="ListParagraph"/>
        <w:numPr>
          <w:ilvl w:val="0"/>
          <w:numId w:val="31"/>
        </w:numPr>
      </w:pPr>
      <w:r>
        <w:t>where specialist expertise is required and is available from only one source and this has been evidenced by market consultation.</w:t>
      </w:r>
    </w:p>
    <w:p w14:paraId="0BE789DB" w14:textId="1E6300E4" w:rsidR="00455D96" w:rsidRDefault="003B4A36" w:rsidP="00A956F5">
      <w:pPr>
        <w:pStyle w:val="ListParagraph"/>
        <w:numPr>
          <w:ilvl w:val="0"/>
          <w:numId w:val="31"/>
        </w:numPr>
      </w:pPr>
      <w:r>
        <w:t xml:space="preserve">when the task is essential to complete the project and arises </w:t>
      </w:r>
      <w:r w:rsidR="006476BE">
        <w:t>because of</w:t>
      </w:r>
      <w:r>
        <w:t xml:space="preserve"> a recently completed assignment and engaging different consultants for the new task would be inappropriate.</w:t>
      </w:r>
    </w:p>
    <w:p w14:paraId="1435A15B" w14:textId="5021CA26" w:rsidR="00455D96" w:rsidRDefault="003B4A36" w:rsidP="00A956F5">
      <w:pPr>
        <w:pStyle w:val="ListParagraph"/>
        <w:numPr>
          <w:ilvl w:val="0"/>
          <w:numId w:val="31"/>
        </w:numPr>
      </w:pPr>
      <w:r>
        <w:t>there is a clear benefit to be gained from maintaining continuity with an earlier project. However, in such cases the benefits of such continuity must outweigh any potential financial advantage to be gained by competitive tendering.</w:t>
      </w:r>
    </w:p>
    <w:p w14:paraId="0C4A1E6F" w14:textId="23FF7D90" w:rsidR="00576AC8" w:rsidRPr="00576AC8" w:rsidRDefault="00063F1A" w:rsidP="00402253">
      <w:pPr>
        <w:pStyle w:val="ListParagraph"/>
        <w:numPr>
          <w:ilvl w:val="0"/>
          <w:numId w:val="31"/>
        </w:numPr>
      </w:pPr>
      <w:r>
        <w:t>p</w:t>
      </w:r>
      <w:r w:rsidR="00E97BED" w:rsidRPr="00E97BED">
        <w:t xml:space="preserve">rovision of legal advice </w:t>
      </w:r>
      <w:r>
        <w:t>where</w:t>
      </w:r>
      <w:r w:rsidR="00E97BED" w:rsidRPr="00E97BED">
        <w:t xml:space="preserve"> any legal firm or partnership commissioned by the ICB is regulated by the Law Society for England and Wales for the conduct of their business (or by the Bar Council for England and Wales in relation to the obtaining of Counsel’s opinion) and are generally recognised as having sufficient expertise </w:t>
      </w:r>
      <w:proofErr w:type="gramStart"/>
      <w:r w:rsidR="00E97BED" w:rsidRPr="00E97BED">
        <w:t>in the area of</w:t>
      </w:r>
      <w:proofErr w:type="gramEnd"/>
      <w:r w:rsidR="00E97BED" w:rsidRPr="00E97BED">
        <w:t xml:space="preserve"> work for which they are commissioned. </w:t>
      </w:r>
    </w:p>
    <w:p w14:paraId="1B2AC89F" w14:textId="71420559" w:rsidR="003B4A36" w:rsidRDefault="00AB2ABA" w:rsidP="00A956F5">
      <w:pPr>
        <w:pStyle w:val="Style2"/>
      </w:pPr>
      <w:r>
        <w:t>T</w:t>
      </w:r>
      <w:r w:rsidR="003B4A36">
        <w:t xml:space="preserve">he </w:t>
      </w:r>
      <w:r w:rsidR="001C0F09">
        <w:t xml:space="preserve">ICB </w:t>
      </w:r>
      <w:r>
        <w:t>Purchase of Healthcare</w:t>
      </w:r>
      <w:r w:rsidR="003B4A36">
        <w:t xml:space="preserve"> Team </w:t>
      </w:r>
      <w:r>
        <w:t xml:space="preserve">must be approached </w:t>
      </w:r>
      <w:r w:rsidR="003B4A36">
        <w:t xml:space="preserve">for advice and guidance </w:t>
      </w:r>
      <w:r>
        <w:t xml:space="preserve">where there </w:t>
      </w:r>
      <w:r w:rsidR="000B031D">
        <w:t>may be the need to</w:t>
      </w:r>
      <w:r>
        <w:t xml:space="preserve"> use </w:t>
      </w:r>
      <w:r w:rsidR="001C0F09">
        <w:t>a non-compliant procurement route and</w:t>
      </w:r>
      <w:r w:rsidR="000B031D">
        <w:t xml:space="preserve"> </w:t>
      </w:r>
      <w:r w:rsidR="00CF4308">
        <w:t>additionally</w:t>
      </w:r>
      <w:r w:rsidR="001C0F09">
        <w:t xml:space="preserve"> before</w:t>
      </w:r>
      <w:r w:rsidR="0018768B">
        <w:t xml:space="preserve"> any </w:t>
      </w:r>
      <w:r w:rsidR="004F447C">
        <w:t>formalised intentions are communicated to providers</w:t>
      </w:r>
      <w:r w:rsidR="003B4A36">
        <w:t>.</w:t>
      </w:r>
    </w:p>
    <w:p w14:paraId="299F8303" w14:textId="77777777" w:rsidR="00690195" w:rsidRDefault="003B4A36" w:rsidP="00A956F5">
      <w:pPr>
        <w:pStyle w:val="Style2"/>
      </w:pPr>
      <w:r>
        <w:t xml:space="preserve">The waiving of competitive tendering procedures must not be used to avoid competition or for administrative convenience or to award further work to a consultant or contractor originally appointed through a competitive procedure. </w:t>
      </w:r>
    </w:p>
    <w:p w14:paraId="5D00CF41" w14:textId="77777777" w:rsidR="008A7ACE" w:rsidRDefault="00690195" w:rsidP="00A956F5">
      <w:pPr>
        <w:pStyle w:val="Style2"/>
      </w:pPr>
      <w:r w:rsidRPr="00690195">
        <w:t xml:space="preserve">In addition, tender waivers over the Public Procurement Thresholds usually require the publication of a Voluntary Ex-Ante Transparency (VEAT) notice in the Find a Tender Service platform prior to the award. The advice from the </w:t>
      </w:r>
      <w:r w:rsidR="008A7ACE">
        <w:t>ICB Purchase of Healthcare</w:t>
      </w:r>
      <w:r w:rsidRPr="00690195">
        <w:t xml:space="preserve"> Team must be sought in these circumstances.</w:t>
      </w:r>
    </w:p>
    <w:p w14:paraId="535F4EC8" w14:textId="11409C88" w:rsidR="003B4A36" w:rsidRDefault="008A7ACE" w:rsidP="00A956F5">
      <w:pPr>
        <w:pStyle w:val="Style2"/>
      </w:pPr>
      <w:r>
        <w:t>All</w:t>
      </w:r>
      <w:r w:rsidR="00690195" w:rsidRPr="00690195">
        <w:t xml:space="preserve"> waiver</w:t>
      </w:r>
      <w:r>
        <w:t>s</w:t>
      </w:r>
      <w:r w:rsidR="002A51EB">
        <w:t>,</w:t>
      </w:r>
      <w:r w:rsidR="00690195" w:rsidRPr="00690195">
        <w:t xml:space="preserve"> and the reasons</w:t>
      </w:r>
      <w:r w:rsidR="002A51EB">
        <w:t xml:space="preserve"> for using a non-compliant procurement route,</w:t>
      </w:r>
      <w:r w:rsidR="00690195" w:rsidRPr="00690195">
        <w:t xml:space="preserve"> must be recorded in an appropriate ICB record and reported to the </w:t>
      </w:r>
      <w:r w:rsidR="002A51EB">
        <w:t xml:space="preserve">ICB </w:t>
      </w:r>
      <w:r w:rsidR="00690195" w:rsidRPr="002A51EB">
        <w:t>Audit Committe</w:t>
      </w:r>
      <w:r w:rsidR="00690195" w:rsidRPr="00DA37C4">
        <w:t>e.</w:t>
      </w:r>
    </w:p>
    <w:p w14:paraId="70A39983" w14:textId="746C38CB" w:rsidR="00690195" w:rsidRPr="00063F1A" w:rsidRDefault="00690195" w:rsidP="00A956F5">
      <w:pPr>
        <w:pStyle w:val="Heading3"/>
      </w:pPr>
      <w:bookmarkStart w:id="38" w:name="_Toc124497584"/>
      <w:r w:rsidRPr="00063F1A">
        <w:t>Pilots</w:t>
      </w:r>
      <w:r w:rsidR="00063F1A">
        <w:t xml:space="preserve"> &amp; Proof of Concept Projects</w:t>
      </w:r>
      <w:bookmarkEnd w:id="38"/>
    </w:p>
    <w:p w14:paraId="477E6FE6" w14:textId="77777777" w:rsidR="00F95E31" w:rsidRPr="00F95E31" w:rsidRDefault="00E20ED4" w:rsidP="00A956F5">
      <w:pPr>
        <w:pStyle w:val="Style2"/>
        <w:rPr>
          <w:color w:val="000000"/>
        </w:rPr>
      </w:pPr>
      <w:r w:rsidRPr="028D3E4B">
        <w:t xml:space="preserve">A pilot must only be used where the ICB is developing an innovative service </w:t>
      </w:r>
      <w:r w:rsidR="00F95E31">
        <w:t>or</w:t>
      </w:r>
      <w:r w:rsidRPr="028D3E4B">
        <w:t xml:space="preserve"> </w:t>
      </w:r>
      <w:r w:rsidR="00F95E31">
        <w:t>new</w:t>
      </w:r>
      <w:r w:rsidRPr="028D3E4B">
        <w:t xml:space="preserve"> commercial models and there is a clear and documented need to test the service for a short-term period to ensure that it meets the requirements.</w:t>
      </w:r>
    </w:p>
    <w:p w14:paraId="7C7786F5" w14:textId="6947F726" w:rsidR="00E20ED4" w:rsidRPr="00CE2FAC" w:rsidRDefault="00E20ED4" w:rsidP="00A956F5">
      <w:pPr>
        <w:pStyle w:val="Style2"/>
        <w:rPr>
          <w:color w:val="000000"/>
        </w:rPr>
      </w:pPr>
      <w:r w:rsidRPr="028D3E4B">
        <w:t>A pilot can only run for a maximum of 18 months then up to 6 months to evaluate and decide on next steps. The contract duration must be justified and should be sufficient</w:t>
      </w:r>
      <w:r w:rsidR="00F95E31">
        <w:t xml:space="preserve"> only</w:t>
      </w:r>
      <w:r w:rsidRPr="028D3E4B">
        <w:t xml:space="preserve"> to gather evidence to assess the outcomes. Guidance to providers within the pilot specification should include evaluation criteria to evaluate necessary outcomes. Pilot projects must comply with UK Procurement regulations.</w:t>
      </w:r>
    </w:p>
    <w:p w14:paraId="4C2ED55E" w14:textId="58A68A4D" w:rsidR="00E20ED4" w:rsidRPr="00CE2FAC" w:rsidRDefault="00E20ED4" w:rsidP="00A956F5">
      <w:pPr>
        <w:pStyle w:val="Style2"/>
        <w:rPr>
          <w:color w:val="000000"/>
        </w:rPr>
      </w:pPr>
      <w:r w:rsidRPr="00CE2FAC">
        <w:rPr>
          <w:color w:val="000000"/>
        </w:rPr>
        <w:t xml:space="preserve">Once </w:t>
      </w:r>
      <w:r w:rsidR="006C52F6">
        <w:rPr>
          <w:color w:val="000000"/>
        </w:rPr>
        <w:t>a</w:t>
      </w:r>
      <w:r w:rsidRPr="00CE2FAC">
        <w:rPr>
          <w:color w:val="000000"/>
        </w:rPr>
        <w:t xml:space="preserve"> pilot has relevant approval, the following </w:t>
      </w:r>
      <w:r w:rsidR="006C52F6">
        <w:rPr>
          <w:color w:val="000000"/>
        </w:rPr>
        <w:t>must</w:t>
      </w:r>
      <w:r w:rsidRPr="00CE2FAC">
        <w:rPr>
          <w:color w:val="000000"/>
        </w:rPr>
        <w:t xml:space="preserve"> be considered:</w:t>
      </w:r>
    </w:p>
    <w:p w14:paraId="0B1D729C" w14:textId="77777777" w:rsidR="00E20ED4" w:rsidRDefault="00E20ED4" w:rsidP="00A956F5">
      <w:pPr>
        <w:pStyle w:val="Style2"/>
        <w:numPr>
          <w:ilvl w:val="0"/>
          <w:numId w:val="32"/>
        </w:numPr>
      </w:pPr>
      <w:r w:rsidRPr="00E20ED4">
        <w:t xml:space="preserve">Market Engagement activities should be developed to let the market know </w:t>
      </w:r>
      <w:r w:rsidRPr="006C52F6">
        <w:t>that</w:t>
      </w:r>
      <w:r w:rsidRPr="00E20ED4">
        <w:t xml:space="preserve"> the pilot is being undertaken. </w:t>
      </w:r>
    </w:p>
    <w:p w14:paraId="41D23336" w14:textId="24C094E9" w:rsidR="00E20ED4" w:rsidRPr="00E20ED4" w:rsidRDefault="00E20ED4" w:rsidP="00A956F5">
      <w:pPr>
        <w:pStyle w:val="Style2"/>
        <w:numPr>
          <w:ilvl w:val="0"/>
          <w:numId w:val="32"/>
        </w:numPr>
      </w:pPr>
      <w:r w:rsidRPr="00E20ED4">
        <w:t xml:space="preserve">It is important to identify the rationale for the pilot and the expected </w:t>
      </w:r>
      <w:r w:rsidRPr="006C52F6">
        <w:t>outcomes</w:t>
      </w:r>
      <w:r w:rsidRPr="00E20ED4">
        <w:t>.  Pilot contracts should have a clear end date and include a process for evaluating success at intervals during the pilot period.</w:t>
      </w:r>
    </w:p>
    <w:p w14:paraId="7A10FC93" w14:textId="4F0A354D" w:rsidR="00E20ED4" w:rsidRPr="00CE2FAC" w:rsidRDefault="00E20ED4" w:rsidP="00A956F5">
      <w:pPr>
        <w:pStyle w:val="Style2"/>
      </w:pPr>
      <w:r w:rsidRPr="00CE2FAC">
        <w:t xml:space="preserve">Once the Pilot has closed, the </w:t>
      </w:r>
      <w:r w:rsidR="006C52F6">
        <w:t>only o</w:t>
      </w:r>
      <w:r w:rsidRPr="00CE2FAC">
        <w:t>ptions are:</w:t>
      </w:r>
    </w:p>
    <w:p w14:paraId="78B6957A" w14:textId="393D7548" w:rsidR="00E20ED4" w:rsidRPr="00CE2FAC" w:rsidRDefault="00E20ED4" w:rsidP="00A956F5">
      <w:pPr>
        <w:pStyle w:val="Style2"/>
        <w:numPr>
          <w:ilvl w:val="0"/>
          <w:numId w:val="26"/>
        </w:numPr>
      </w:pPr>
      <w:r w:rsidRPr="00CE2FAC">
        <w:t>Do nothing</w:t>
      </w:r>
      <w:r>
        <w:t>.</w:t>
      </w:r>
    </w:p>
    <w:p w14:paraId="0F914FC0" w14:textId="07CF37FD" w:rsidR="00E20ED4" w:rsidRDefault="00E20ED4" w:rsidP="00A956F5">
      <w:pPr>
        <w:pStyle w:val="Style2"/>
        <w:numPr>
          <w:ilvl w:val="0"/>
          <w:numId w:val="26"/>
        </w:numPr>
      </w:pPr>
      <w:r>
        <w:t xml:space="preserve">Run a radically different pilot </w:t>
      </w:r>
      <w:r w:rsidR="00A146A8">
        <w:t>(</w:t>
      </w:r>
      <w:r w:rsidR="00A97F3C">
        <w:t>due to</w:t>
      </w:r>
      <w:r>
        <w:t xml:space="preserve"> findings of the first pilot</w:t>
      </w:r>
      <w:r w:rsidR="00A97F3C">
        <w:t>)</w:t>
      </w:r>
      <w:r>
        <w:t>.</w:t>
      </w:r>
    </w:p>
    <w:p w14:paraId="54AD37EA" w14:textId="4F983002" w:rsidR="00E20ED4" w:rsidRDefault="00E20ED4" w:rsidP="00A956F5">
      <w:pPr>
        <w:pStyle w:val="Style2"/>
        <w:numPr>
          <w:ilvl w:val="0"/>
          <w:numId w:val="26"/>
        </w:numPr>
      </w:pPr>
      <w:r w:rsidRPr="00CE2FAC">
        <w:t>Go out to full Procurement</w:t>
      </w:r>
      <w:r>
        <w:t>.</w:t>
      </w:r>
    </w:p>
    <w:p w14:paraId="25392495" w14:textId="77777777" w:rsidR="00FC4CFC" w:rsidRPr="00A97F3C" w:rsidRDefault="008C5A67" w:rsidP="00A956F5">
      <w:pPr>
        <w:pStyle w:val="Heading3"/>
      </w:pPr>
      <w:bookmarkStart w:id="39" w:name="_Toc124497585"/>
      <w:r w:rsidRPr="00A97F3C">
        <w:t>Grants</w:t>
      </w:r>
      <w:bookmarkEnd w:id="39"/>
      <w:r w:rsidR="005879AB" w:rsidRPr="00A97F3C">
        <w:tab/>
      </w:r>
      <w:r w:rsidR="00FC4CFC" w:rsidRPr="00A97F3C">
        <w:t xml:space="preserve"> </w:t>
      </w:r>
    </w:p>
    <w:p w14:paraId="5C21D51D" w14:textId="433C0C22" w:rsidR="00FC4CFC" w:rsidRDefault="00FC4CFC" w:rsidP="00A956F5">
      <w:pPr>
        <w:pStyle w:val="Style2"/>
      </w:pPr>
      <w:r>
        <w:t xml:space="preserve">Where </w:t>
      </w:r>
      <w:r w:rsidR="007C2F6E">
        <w:t>voluntary</w:t>
      </w:r>
      <w:r>
        <w:t xml:space="preserve"> sector organisations </w:t>
      </w:r>
      <w:r w:rsidR="001349CB">
        <w:t>support</w:t>
      </w:r>
      <w:r>
        <w:t xml:space="preserve"> healthcare </w:t>
      </w:r>
      <w:r w:rsidR="001349CB">
        <w:t>related provision</w:t>
      </w:r>
      <w:r>
        <w:t>, the ICB may elect to provide funding through a grant agreement. Use of grants can be considered where:</w:t>
      </w:r>
    </w:p>
    <w:p w14:paraId="18F99746" w14:textId="71AA4BF1" w:rsidR="00FC4CFC" w:rsidRPr="006A2D9B" w:rsidRDefault="00FC4CFC" w:rsidP="00A956F5">
      <w:pPr>
        <w:pStyle w:val="Style2"/>
        <w:numPr>
          <w:ilvl w:val="0"/>
          <w:numId w:val="33"/>
        </w:numPr>
      </w:pPr>
      <w:r w:rsidRPr="006A2D9B">
        <w:t xml:space="preserve">The ICB is only making a partial contribution to the costs of </w:t>
      </w:r>
      <w:r w:rsidR="00215C8C">
        <w:t>delivering a project</w:t>
      </w:r>
      <w:r w:rsidRPr="006A2D9B">
        <w:t xml:space="preserve"> (</w:t>
      </w:r>
      <w:proofErr w:type="gramStart"/>
      <w:r w:rsidRPr="006A2D9B">
        <w:t>e.g</w:t>
      </w:r>
      <w:r w:rsidR="00215C8C">
        <w:t>.</w:t>
      </w:r>
      <w:proofErr w:type="gramEnd"/>
      <w:r w:rsidR="00215C8C">
        <w:t xml:space="preserve"> it</w:t>
      </w:r>
      <w:r w:rsidRPr="006A2D9B">
        <w:t xml:space="preserve"> is also supported by or other funding streams)</w:t>
      </w:r>
      <w:r w:rsidR="001349CB">
        <w:t>.</w:t>
      </w:r>
    </w:p>
    <w:p w14:paraId="3A2D14D3" w14:textId="2D30435B" w:rsidR="00FC4CFC" w:rsidRPr="006A2D9B" w:rsidRDefault="00FC4CFC" w:rsidP="00A956F5">
      <w:pPr>
        <w:pStyle w:val="Style2"/>
        <w:numPr>
          <w:ilvl w:val="0"/>
          <w:numId w:val="33"/>
        </w:numPr>
      </w:pPr>
      <w:r w:rsidRPr="006A2D9B">
        <w:t>Funding is provided for development or strategic purposes</w:t>
      </w:r>
      <w:r w:rsidR="001349CB">
        <w:t>.</w:t>
      </w:r>
    </w:p>
    <w:p w14:paraId="6E84A590" w14:textId="2F94B5A1" w:rsidR="00FC4CFC" w:rsidRPr="006A2D9B" w:rsidRDefault="00FC4CFC" w:rsidP="00A956F5">
      <w:pPr>
        <w:pStyle w:val="Style2"/>
        <w:numPr>
          <w:ilvl w:val="0"/>
          <w:numId w:val="33"/>
        </w:numPr>
      </w:pPr>
      <w:r w:rsidRPr="006A2D9B">
        <w:t>The provider market is not well developed</w:t>
      </w:r>
      <w:r w:rsidR="001349CB">
        <w:t>.</w:t>
      </w:r>
    </w:p>
    <w:p w14:paraId="71D06704" w14:textId="1488CD90" w:rsidR="00FC4CFC" w:rsidRPr="006A2D9B" w:rsidRDefault="00FC4CFC" w:rsidP="00A956F5">
      <w:pPr>
        <w:pStyle w:val="Style2"/>
        <w:numPr>
          <w:ilvl w:val="0"/>
          <w:numId w:val="33"/>
        </w:numPr>
      </w:pPr>
      <w:r w:rsidRPr="006A2D9B">
        <w:t>The services are innovative or experimental</w:t>
      </w:r>
      <w:r w:rsidR="006041EB">
        <w:t>.</w:t>
      </w:r>
    </w:p>
    <w:p w14:paraId="630CFF42" w14:textId="075E8C53" w:rsidR="00FC4CFC" w:rsidRPr="006A2D9B" w:rsidRDefault="00FC4CFC" w:rsidP="00A956F5">
      <w:pPr>
        <w:pStyle w:val="Style2"/>
        <w:numPr>
          <w:ilvl w:val="0"/>
          <w:numId w:val="33"/>
        </w:numPr>
      </w:pPr>
      <w:r w:rsidRPr="006A2D9B">
        <w:t>Where funding is non-contestable (</w:t>
      </w:r>
      <w:proofErr w:type="gramStart"/>
      <w:r w:rsidRPr="006A2D9B">
        <w:t>i.e.</w:t>
      </w:r>
      <w:proofErr w:type="gramEnd"/>
      <w:r w:rsidR="006041EB">
        <w:t xml:space="preserve"> </w:t>
      </w:r>
      <w:r w:rsidRPr="006A2D9B">
        <w:t>only one provider)</w:t>
      </w:r>
      <w:r w:rsidR="006041EB">
        <w:t>.</w:t>
      </w:r>
    </w:p>
    <w:p w14:paraId="04A97C18" w14:textId="45C53B5D" w:rsidR="00FC4CFC" w:rsidRDefault="00FC4CFC" w:rsidP="00A956F5">
      <w:pPr>
        <w:pStyle w:val="Style2"/>
      </w:pPr>
      <w:r>
        <w:t xml:space="preserve">Grants </w:t>
      </w:r>
      <w:r w:rsidR="006041EB">
        <w:t>must</w:t>
      </w:r>
      <w:r>
        <w:t xml:space="preserve"> not be used to avoid competition where it is appropriate for a formal procurement to be undertaken. </w:t>
      </w:r>
      <w:r w:rsidRPr="006041EB">
        <w:t xml:space="preserve">Where relevant, the ICB will undertake a mini competition </w:t>
      </w:r>
      <w:r w:rsidR="006041EB" w:rsidRPr="006041EB">
        <w:t>to</w:t>
      </w:r>
      <w:r w:rsidRPr="006041EB">
        <w:t xml:space="preserve"> identify the most suitable organisation.</w:t>
      </w:r>
    </w:p>
    <w:p w14:paraId="3A8340CB" w14:textId="3ABACE0C" w:rsidR="00F82922" w:rsidRPr="006041EB" w:rsidRDefault="000A0E60" w:rsidP="00A956F5">
      <w:pPr>
        <w:pStyle w:val="Style2"/>
      </w:pPr>
      <w:r>
        <w:t>T</w:t>
      </w:r>
      <w:r w:rsidR="00F82922">
        <w:t xml:space="preserve">he ICB may procure the services of a third party to </w:t>
      </w:r>
      <w:r w:rsidR="00877404">
        <w:t>run a grant application and award process</w:t>
      </w:r>
      <w:r w:rsidR="007D25B5">
        <w:t xml:space="preserve"> for specific projects</w:t>
      </w:r>
      <w:r w:rsidR="00877404">
        <w:t xml:space="preserve"> however</w:t>
      </w:r>
      <w:r>
        <w:t xml:space="preserve"> normal procurement </w:t>
      </w:r>
      <w:r w:rsidR="00FB595B">
        <w:t>rules</w:t>
      </w:r>
      <w:r>
        <w:t xml:space="preserve"> shall apply to </w:t>
      </w:r>
      <w:r w:rsidR="007D25B5">
        <w:t>secure services of the third party.</w:t>
      </w:r>
    </w:p>
    <w:p w14:paraId="750A5485" w14:textId="48940F4A" w:rsidR="00FC4CFC" w:rsidRDefault="00FC4CFC" w:rsidP="00A956F5">
      <w:pPr>
        <w:pStyle w:val="Style2"/>
      </w:pPr>
      <w:r>
        <w:t xml:space="preserve">The ICB </w:t>
      </w:r>
      <w:r w:rsidR="00FB595B">
        <w:t>shall</w:t>
      </w:r>
      <w:r>
        <w:t xml:space="preserve"> </w:t>
      </w:r>
      <w:r w:rsidRPr="00504711">
        <w:t>follow</w:t>
      </w:r>
      <w:r>
        <w:t xml:space="preserve"> NHS England</w:t>
      </w:r>
      <w:r w:rsidR="00FB595B">
        <w:t xml:space="preserve"> and </w:t>
      </w:r>
      <w:r>
        <w:t xml:space="preserve">Improvement Grant Agreement Guidance on the use of the model Grant Funding Agreement although </w:t>
      </w:r>
      <w:r w:rsidR="008605B5">
        <w:t>it</w:t>
      </w:r>
      <w:r>
        <w:t xml:space="preserve"> is non-mandatory and is for local adaptation as required.</w:t>
      </w:r>
    </w:p>
    <w:p w14:paraId="61BD6E96" w14:textId="11BA1612" w:rsidR="0033513D" w:rsidRPr="00504711" w:rsidRDefault="003B4CBC" w:rsidP="00A956F5">
      <w:pPr>
        <w:pStyle w:val="Heading3"/>
      </w:pPr>
      <w:bookmarkStart w:id="40" w:name="_Toc124497586"/>
      <w:r w:rsidRPr="00504711">
        <w:t>Spot Purchasing</w:t>
      </w:r>
      <w:bookmarkEnd w:id="40"/>
    </w:p>
    <w:p w14:paraId="140478E6" w14:textId="198686D9" w:rsidR="004A393B" w:rsidRDefault="004A393B" w:rsidP="00A956F5">
      <w:pPr>
        <w:pStyle w:val="Style2"/>
      </w:pPr>
      <w:r>
        <w:t>Spot purchasing occurs when there is an immediate</w:t>
      </w:r>
      <w:r w:rsidR="00792FCB">
        <w:t>,</w:t>
      </w:r>
      <w:r>
        <w:t xml:space="preserve"> </w:t>
      </w:r>
      <w:r w:rsidR="00796317">
        <w:t xml:space="preserve">recognised </w:t>
      </w:r>
      <w:r>
        <w:t xml:space="preserve">requirement and a </w:t>
      </w:r>
      <w:r w:rsidR="00792FCB">
        <w:t>decision</w:t>
      </w:r>
      <w:r>
        <w:t xml:space="preserve"> must be made “on the spot”, reactively and without time to plan. </w:t>
      </w:r>
      <w:r w:rsidR="00792FCB">
        <w:t>At these times, a competitive process may be waived using the same process described in</w:t>
      </w:r>
      <w:r w:rsidR="00C344F2">
        <w:t xml:space="preserve"> this policy</w:t>
      </w:r>
      <w:r w:rsidR="00A467AF">
        <w:t xml:space="preserve"> </w:t>
      </w:r>
      <w:r w:rsidR="00A467AF" w:rsidRPr="00A467AF">
        <w:t xml:space="preserve">and the reason for it must be recorded and reported to the </w:t>
      </w:r>
      <w:r w:rsidR="00A467AF">
        <w:t>ICB A</w:t>
      </w:r>
      <w:r w:rsidR="00A467AF" w:rsidRPr="00A467AF">
        <w:t xml:space="preserve">udit </w:t>
      </w:r>
      <w:r w:rsidR="00A467AF">
        <w:t>C</w:t>
      </w:r>
      <w:r w:rsidR="00A467AF" w:rsidRPr="00A467AF">
        <w:t>ommittee.</w:t>
      </w:r>
    </w:p>
    <w:p w14:paraId="7A3EB7B0" w14:textId="4AF43192" w:rsidR="00A466DA" w:rsidRDefault="00A467AF" w:rsidP="00A956F5">
      <w:pPr>
        <w:pStyle w:val="Style2"/>
      </w:pPr>
      <w:r>
        <w:t>Spot purchasing must not be used as a ‘business as usual’ process</w:t>
      </w:r>
      <w:r w:rsidR="00243BBE">
        <w:t xml:space="preserve"> and a</w:t>
      </w:r>
      <w:r w:rsidR="00A75BAB">
        <w:t>ny resultant</w:t>
      </w:r>
      <w:r w:rsidR="00A466DA">
        <w:t xml:space="preserve"> </w:t>
      </w:r>
      <w:r w:rsidR="00292F74">
        <w:t>agreements</w:t>
      </w:r>
      <w:r w:rsidR="00A466DA">
        <w:t xml:space="preserve"> </w:t>
      </w:r>
      <w:r w:rsidR="00A75BAB">
        <w:t>must</w:t>
      </w:r>
      <w:r w:rsidR="00A466DA">
        <w:t xml:space="preserve"> undergo </w:t>
      </w:r>
      <w:r w:rsidR="00080F28">
        <w:t xml:space="preserve">ongoing </w:t>
      </w:r>
      <w:r w:rsidR="00A466DA">
        <w:t xml:space="preserve">best value reviews to ensure that the ICB is </w:t>
      </w:r>
      <w:r w:rsidR="00A75BAB">
        <w:t>receiving</w:t>
      </w:r>
      <w:r w:rsidR="00A466DA">
        <w:t xml:space="preserve"> value </w:t>
      </w:r>
      <w:r w:rsidR="00292F74">
        <w:t>for money</w:t>
      </w:r>
      <w:r w:rsidR="00A466DA">
        <w:t xml:space="preserve">. </w:t>
      </w:r>
    </w:p>
    <w:p w14:paraId="13CA59A3" w14:textId="62CFBB57" w:rsidR="005736B1" w:rsidRDefault="00080F28" w:rsidP="00A956F5">
      <w:pPr>
        <w:pStyle w:val="Style2"/>
      </w:pPr>
      <w:r>
        <w:t>Approval</w:t>
      </w:r>
      <w:r w:rsidR="00A466DA">
        <w:t xml:space="preserve"> of spot purchase agreements should follow the </w:t>
      </w:r>
      <w:r w:rsidR="000E4E0F">
        <w:t>ICB</w:t>
      </w:r>
      <w:r w:rsidR="00A466DA">
        <w:t xml:space="preserve"> Scheme of </w:t>
      </w:r>
      <w:r w:rsidR="000E4E0F">
        <w:t xml:space="preserve">Reservation and </w:t>
      </w:r>
      <w:r w:rsidR="00A466DA">
        <w:t xml:space="preserve">Delegation. In all cases the ICB should ensure that the provider is fit for purpose to provide the </w:t>
      </w:r>
      <w:r w:rsidR="000E4E0F">
        <w:t>service</w:t>
      </w:r>
      <w:r w:rsidR="00514EFC">
        <w:t xml:space="preserve"> and</w:t>
      </w:r>
      <w:r w:rsidR="00A466DA">
        <w:t xml:space="preserve"> process </w:t>
      </w:r>
      <w:r w:rsidR="000E4E0F">
        <w:t>must</w:t>
      </w:r>
      <w:r w:rsidR="00A466DA">
        <w:t xml:space="preserve"> follow UK Public Procurement rules.</w:t>
      </w:r>
    </w:p>
    <w:p w14:paraId="1B69A3FF" w14:textId="4E1EF27D" w:rsidR="00FC4CFC" w:rsidRPr="00661246" w:rsidRDefault="00B411CB" w:rsidP="00A956F5">
      <w:pPr>
        <w:pStyle w:val="Heading3"/>
      </w:pPr>
      <w:bookmarkStart w:id="41" w:name="_Toc124497587"/>
      <w:r w:rsidRPr="00661246">
        <w:t>Integration</w:t>
      </w:r>
      <w:bookmarkEnd w:id="41"/>
    </w:p>
    <w:p w14:paraId="1C46039D" w14:textId="55A81AD5" w:rsidR="00533833" w:rsidRPr="00CE2FAC" w:rsidRDefault="00533833" w:rsidP="00A956F5">
      <w:pPr>
        <w:pStyle w:val="Style2"/>
      </w:pPr>
      <w:r w:rsidRPr="00CE2FAC">
        <w:t xml:space="preserve">The NHS (Procurement, Patient </w:t>
      </w:r>
      <w:proofErr w:type="gramStart"/>
      <w:r w:rsidRPr="00CE2FAC">
        <w:t>Choice</w:t>
      </w:r>
      <w:proofErr w:type="gramEnd"/>
      <w:r w:rsidRPr="00CE2FAC">
        <w:t xml:space="preserve"> and Competition) (No.2) Regulations 2013) require</w:t>
      </w:r>
      <w:r w:rsidR="00E84FBA">
        <w:t>s</w:t>
      </w:r>
      <w:r w:rsidRPr="00CE2FAC">
        <w:t xml:space="preserve"> </w:t>
      </w:r>
      <w:r w:rsidR="00E84FBA">
        <w:t>contracting authorities</w:t>
      </w:r>
      <w:r w:rsidRPr="00CE2FAC">
        <w:t xml:space="preserve"> to consider how they can procure </w:t>
      </w:r>
      <w:r w:rsidRPr="000F47CC">
        <w:t>services</w:t>
      </w:r>
      <w:r w:rsidRPr="00CE2FAC">
        <w:t xml:space="preserve"> in a more integrated fashion. When procuring services, </w:t>
      </w:r>
      <w:r w:rsidR="005736B1">
        <w:t>contracting authorities</w:t>
      </w:r>
      <w:r w:rsidRPr="00CE2FAC">
        <w:t xml:space="preserve"> should</w:t>
      </w:r>
      <w:r w:rsidR="005736B1">
        <w:t xml:space="preserve"> </w:t>
      </w:r>
      <w:r w:rsidRPr="00CE2FAC">
        <w:t xml:space="preserve">consider the impact on </w:t>
      </w:r>
      <w:r w:rsidR="005736B1">
        <w:t xml:space="preserve">the </w:t>
      </w:r>
      <w:r w:rsidR="008C6563">
        <w:t>needs of the population</w:t>
      </w:r>
      <w:r w:rsidRPr="00CE2FAC">
        <w:t xml:space="preserve"> who may have multiple health</w:t>
      </w:r>
      <w:r w:rsidR="005D2439">
        <w:t xml:space="preserve"> and </w:t>
      </w:r>
      <w:r w:rsidRPr="00CE2FAC">
        <w:t>care needs and hence may traditionally have had to:</w:t>
      </w:r>
    </w:p>
    <w:p w14:paraId="45056AD7" w14:textId="3688B338" w:rsidR="00533833" w:rsidRPr="008C6563" w:rsidRDefault="00533833" w:rsidP="00A956F5">
      <w:pPr>
        <w:pStyle w:val="ListParagraph"/>
        <w:numPr>
          <w:ilvl w:val="0"/>
          <w:numId w:val="34"/>
        </w:numPr>
      </w:pPr>
      <w:r w:rsidRPr="008C6563">
        <w:t xml:space="preserve">Receive treatment from </w:t>
      </w:r>
      <w:r w:rsidR="008C6563" w:rsidRPr="008C6563">
        <w:t>several</w:t>
      </w:r>
      <w:r w:rsidRPr="008C6563">
        <w:t xml:space="preserve"> different health</w:t>
      </w:r>
      <w:r w:rsidR="008C6563">
        <w:t xml:space="preserve"> and </w:t>
      </w:r>
      <w:r w:rsidRPr="008C6563">
        <w:t>care teams across a range of disciplines.</w:t>
      </w:r>
    </w:p>
    <w:p w14:paraId="7BE082EF" w14:textId="0777239D" w:rsidR="00533833" w:rsidRPr="008C6563" w:rsidRDefault="00533833" w:rsidP="00A956F5">
      <w:pPr>
        <w:pStyle w:val="ListParagraph"/>
        <w:numPr>
          <w:ilvl w:val="0"/>
          <w:numId w:val="34"/>
        </w:numPr>
      </w:pPr>
      <w:r w:rsidRPr="008C6563">
        <w:t xml:space="preserve">Receive treatment over </w:t>
      </w:r>
      <w:r w:rsidR="008C6563" w:rsidRPr="008C6563">
        <w:t>several</w:t>
      </w:r>
      <w:r w:rsidRPr="008C6563">
        <w:t xml:space="preserve"> different sites; or</w:t>
      </w:r>
    </w:p>
    <w:p w14:paraId="6F0BF9F1" w14:textId="2F27A2A6" w:rsidR="00533833" w:rsidRPr="008C6563" w:rsidRDefault="00533833" w:rsidP="00A956F5">
      <w:pPr>
        <w:pStyle w:val="ListParagraph"/>
        <w:numPr>
          <w:ilvl w:val="0"/>
          <w:numId w:val="34"/>
        </w:numPr>
      </w:pPr>
      <w:r w:rsidRPr="008C6563">
        <w:t xml:space="preserve">Receive treatment from </w:t>
      </w:r>
      <w:r w:rsidR="008C6563" w:rsidRPr="008C6563">
        <w:t>several</w:t>
      </w:r>
      <w:r w:rsidRPr="008C6563">
        <w:t xml:space="preserve"> different health</w:t>
      </w:r>
      <w:r w:rsidR="008C6563">
        <w:t xml:space="preserve"> and </w:t>
      </w:r>
      <w:r w:rsidRPr="008C6563">
        <w:t>care providers.</w:t>
      </w:r>
    </w:p>
    <w:p w14:paraId="174095C9" w14:textId="77777777" w:rsidR="007D2A4C" w:rsidRDefault="00856272" w:rsidP="00A956F5">
      <w:pPr>
        <w:pStyle w:val="Style2"/>
      </w:pPr>
      <w:r>
        <w:t>W</w:t>
      </w:r>
      <w:r w:rsidR="00533833" w:rsidRPr="00CE2FAC">
        <w:t xml:space="preserve">hen procuring services, </w:t>
      </w:r>
      <w:r>
        <w:t>the ICB must</w:t>
      </w:r>
      <w:r w:rsidR="00533833" w:rsidRPr="00CE2FAC">
        <w:t xml:space="preserve"> interface </w:t>
      </w:r>
      <w:r>
        <w:t xml:space="preserve">with partners </w:t>
      </w:r>
      <w:r w:rsidR="00533833" w:rsidRPr="00CE2FAC">
        <w:t xml:space="preserve">in a way which gives </w:t>
      </w:r>
      <w:r>
        <w:t>its population</w:t>
      </w:r>
      <w:r w:rsidR="00533833" w:rsidRPr="00CE2FAC">
        <w:t xml:space="preserve"> a seamless </w:t>
      </w:r>
      <w:r w:rsidR="00356870">
        <w:t>experience across system and place level services</w:t>
      </w:r>
      <w:r w:rsidR="00533833" w:rsidRPr="00CE2FAC">
        <w:t xml:space="preserve">. </w:t>
      </w:r>
    </w:p>
    <w:p w14:paraId="4D00160E" w14:textId="77777777" w:rsidR="00FB0E2A" w:rsidRDefault="00533833" w:rsidP="00A956F5">
      <w:pPr>
        <w:pStyle w:val="Style2"/>
      </w:pPr>
      <w:r w:rsidRPr="00CE2FAC">
        <w:t xml:space="preserve">Consideration </w:t>
      </w:r>
      <w:r w:rsidR="007D2A4C">
        <w:t>shall</w:t>
      </w:r>
      <w:r w:rsidRPr="00CE2FAC">
        <w:t xml:space="preserve"> be given by the </w:t>
      </w:r>
      <w:r>
        <w:t>ICB</w:t>
      </w:r>
      <w:r w:rsidRPr="00CE2FAC">
        <w:t xml:space="preserve"> to identifying and creating opportunities for the integration of services where such integration</w:t>
      </w:r>
      <w:r>
        <w:t xml:space="preserve"> and/or stewardship</w:t>
      </w:r>
      <w:r w:rsidRPr="00CE2FAC">
        <w:t xml:space="preserve"> can deliver improved benefit to </w:t>
      </w:r>
      <w:r>
        <w:t xml:space="preserve">the </w:t>
      </w:r>
      <w:r w:rsidR="00FB0E2A">
        <w:t>Mid &amp; South Essex</w:t>
      </w:r>
      <w:r>
        <w:t xml:space="preserve"> health and care system</w:t>
      </w:r>
      <w:r w:rsidRPr="00CE2FAC">
        <w:t>.</w:t>
      </w:r>
    </w:p>
    <w:p w14:paraId="74549C1F" w14:textId="41D53523" w:rsidR="00895B3D" w:rsidRDefault="00533833" w:rsidP="00A956F5">
      <w:pPr>
        <w:pStyle w:val="Style2"/>
      </w:pPr>
      <w:r w:rsidRPr="00CE2FAC">
        <w:t xml:space="preserve">Consideration </w:t>
      </w:r>
      <w:r w:rsidR="00FB0E2A">
        <w:t>shall</w:t>
      </w:r>
      <w:r w:rsidRPr="00CE2FAC">
        <w:t xml:space="preserve"> be given as to how the </w:t>
      </w:r>
      <w:r>
        <w:t>ICB</w:t>
      </w:r>
      <w:r w:rsidRPr="00CE2FAC">
        <w:t xml:space="preserve"> can make best use of resources to support the establishment of provider </w:t>
      </w:r>
      <w:r w:rsidR="002823BC">
        <w:t xml:space="preserve">and </w:t>
      </w:r>
      <w:r w:rsidRPr="00CE2FAC">
        <w:t xml:space="preserve">partnership solutions. Thus, when reviewing a contract for health </w:t>
      </w:r>
      <w:r w:rsidR="00FB0E2A">
        <w:t xml:space="preserve">and </w:t>
      </w:r>
      <w:r w:rsidRPr="00CE2FAC">
        <w:t xml:space="preserve">care services, whether for a new or existing service, the </w:t>
      </w:r>
      <w:r>
        <w:t>ICB</w:t>
      </w:r>
      <w:r w:rsidRPr="00CE2FAC">
        <w:t xml:space="preserve"> will consider the contractual relationship the service will need to have with any existing or Integrated Care System (ICS), or some other Alliance or collaborative arrangement of providers.</w:t>
      </w:r>
    </w:p>
    <w:p w14:paraId="14497523" w14:textId="42890EC8" w:rsidR="005762B7" w:rsidRPr="00436FFD" w:rsidRDefault="00533833" w:rsidP="00A956F5">
      <w:pPr>
        <w:pStyle w:val="Style2"/>
      </w:pPr>
      <w:r w:rsidRPr="00CE2FAC">
        <w:t xml:space="preserve">The need to comply with regulatory obligations </w:t>
      </w:r>
      <w:r w:rsidR="00C41BE6">
        <w:t>must</w:t>
      </w:r>
      <w:r w:rsidRPr="00CE2FAC">
        <w:t xml:space="preserve"> be considered when establishing Collaborative Arrangement</w:t>
      </w:r>
      <w:r w:rsidR="00895B3D">
        <w:t>s</w:t>
      </w:r>
      <w:r w:rsidRPr="00CE2FAC">
        <w:t xml:space="preserve"> and any contracts that are likely to fall within their scope</w:t>
      </w:r>
      <w:r>
        <w:t>.</w:t>
      </w:r>
    </w:p>
    <w:p w14:paraId="5F09B5AA" w14:textId="61F516E1" w:rsidR="00B411CB" w:rsidRPr="00315BB6" w:rsidRDefault="005762B7" w:rsidP="00A956F5">
      <w:pPr>
        <w:pStyle w:val="Heading3"/>
      </w:pPr>
      <w:bookmarkStart w:id="42" w:name="_Toc124497588"/>
      <w:r w:rsidRPr="00315BB6">
        <w:t xml:space="preserve">Integrated Support and Assurance </w:t>
      </w:r>
      <w:r w:rsidR="00860CE4">
        <w:t>P</w:t>
      </w:r>
      <w:r w:rsidRPr="00315BB6">
        <w:t>rocess (ISAP)</w:t>
      </w:r>
      <w:bookmarkEnd w:id="42"/>
    </w:p>
    <w:p w14:paraId="74A6A1E0" w14:textId="77777777" w:rsidR="0093556E" w:rsidRDefault="0093556E" w:rsidP="00A956F5">
      <w:pPr>
        <w:pStyle w:val="Style2"/>
      </w:pPr>
      <w:r w:rsidRPr="00CE2FAC">
        <w:t xml:space="preserve">Proactive consideration </w:t>
      </w:r>
      <w:r>
        <w:t xml:space="preserve">by the relevant Procurement Project Group </w:t>
      </w:r>
      <w:r w:rsidRPr="00CE2FAC">
        <w:t>regarding the applicability of the Integrated Support and Assurance Process (ISAP) to any Procurement should be given via proactive liaison with appropriate NHS England and NHS Improvement colleagues to enable those organisations to reach a decision regarding potential applicability</w:t>
      </w:r>
      <w:r>
        <w:t>.</w:t>
      </w:r>
    </w:p>
    <w:p w14:paraId="329A2FDC" w14:textId="79C1B004" w:rsidR="008A7C5A" w:rsidRPr="00436FFD" w:rsidRDefault="00DA7E94" w:rsidP="00A956F5">
      <w:pPr>
        <w:pStyle w:val="Style2"/>
        <w:numPr>
          <w:ilvl w:val="0"/>
          <w:numId w:val="0"/>
        </w:numPr>
        <w:ind w:left="1134"/>
        <w:rPr>
          <w:color w:val="0000FF"/>
          <w:u w:val="single"/>
        </w:rPr>
      </w:pPr>
      <w:hyperlink r:id="rId23" w:history="1">
        <w:r w:rsidR="0093556E" w:rsidRPr="00B90500">
          <w:rPr>
            <w:color w:val="0000FF"/>
            <w:u w:val="single"/>
          </w:rPr>
          <w:t>integrated-support-assurance-process-part-a.pdf (england.nhs.uk)</w:t>
        </w:r>
      </w:hyperlink>
    </w:p>
    <w:p w14:paraId="56F59E95" w14:textId="1EC436B2" w:rsidR="001E2CD4" w:rsidRPr="00EE1FE2" w:rsidRDefault="00A010AE" w:rsidP="00A956F5">
      <w:pPr>
        <w:pStyle w:val="Heading3"/>
      </w:pPr>
      <w:bookmarkStart w:id="43" w:name="_Toc124497589"/>
      <w:r w:rsidRPr="00EE1FE2">
        <w:t>Contract and Tendering Procedures</w:t>
      </w:r>
      <w:bookmarkEnd w:id="43"/>
    </w:p>
    <w:p w14:paraId="6F77B970" w14:textId="77777777" w:rsidR="00707352" w:rsidRDefault="00381197" w:rsidP="00A956F5">
      <w:pPr>
        <w:pStyle w:val="Style2"/>
      </w:pPr>
      <w:r w:rsidRPr="00CE2FAC">
        <w:t xml:space="preserve">The </w:t>
      </w:r>
      <w:r>
        <w:t>ICB</w:t>
      </w:r>
      <w:r w:rsidRPr="00CE2FAC">
        <w:t xml:space="preserve"> requires all detailed procurement procedures adopted within the </w:t>
      </w:r>
      <w:r>
        <w:t>ICB</w:t>
      </w:r>
      <w:r w:rsidRPr="00CE2FAC">
        <w:t xml:space="preserve"> and by any third party to be compliant with regulation and best practice, managed in electronic format and to be fully auditable in the event of a request by </w:t>
      </w:r>
      <w:r>
        <w:t>ICB</w:t>
      </w:r>
      <w:r w:rsidRPr="00CE2FAC">
        <w:t xml:space="preserve"> appointed auditors or in the event of a competition complaint.</w:t>
      </w:r>
    </w:p>
    <w:p w14:paraId="15F8E2F8" w14:textId="77777777" w:rsidR="00707352" w:rsidRDefault="00381197" w:rsidP="00A956F5">
      <w:pPr>
        <w:pStyle w:val="Style2"/>
      </w:pPr>
      <w:r w:rsidRPr="00CE2FAC">
        <w:t xml:space="preserve">There </w:t>
      </w:r>
      <w:r w:rsidR="00707352">
        <w:t>shall</w:t>
      </w:r>
      <w:r w:rsidRPr="00CE2FAC">
        <w:t xml:space="preserve"> be no variation from use of NHS National Standard contracts </w:t>
      </w:r>
      <w:r>
        <w:t xml:space="preserve">or NHS Supply of Goods and Services Contracts </w:t>
      </w:r>
      <w:r w:rsidRPr="00CE2FAC">
        <w:t xml:space="preserve">without the formal agreement of the </w:t>
      </w:r>
      <w:r>
        <w:t>ICB</w:t>
      </w:r>
      <w:r w:rsidRPr="00CE2FAC">
        <w:t xml:space="preserve"> </w:t>
      </w:r>
      <w:r>
        <w:t>Governing Body</w:t>
      </w:r>
      <w:r w:rsidRPr="00CE2FAC">
        <w:t xml:space="preserve">, and NHS England </w:t>
      </w:r>
      <w:r>
        <w:t xml:space="preserve">and Improvement </w:t>
      </w:r>
      <w:r w:rsidRPr="00CE2FAC">
        <w:t>if required.</w:t>
      </w:r>
    </w:p>
    <w:p w14:paraId="4AB1D2EA" w14:textId="7D4417CA" w:rsidR="006E7914" w:rsidRPr="00436FFD" w:rsidRDefault="00381197" w:rsidP="00A956F5">
      <w:pPr>
        <w:pStyle w:val="Style2"/>
      </w:pPr>
      <w:r w:rsidRPr="00CE2FAC">
        <w:t xml:space="preserve">The archiving </w:t>
      </w:r>
      <w:r>
        <w:t xml:space="preserve">and destruction </w:t>
      </w:r>
      <w:r w:rsidRPr="00CE2FAC">
        <w:t xml:space="preserve">of documentation </w:t>
      </w:r>
      <w:r w:rsidR="000C691E">
        <w:t>shall</w:t>
      </w:r>
      <w:r w:rsidRPr="00CE2FAC">
        <w:t xml:space="preserve"> be in accordance with the NHS Retention of Non-Clinical Records guidance. </w:t>
      </w:r>
    </w:p>
    <w:p w14:paraId="5D030FCC" w14:textId="6963AAE6" w:rsidR="00A010AE" w:rsidRPr="000C691E" w:rsidRDefault="00A010AE" w:rsidP="00A956F5">
      <w:pPr>
        <w:pStyle w:val="Heading3"/>
      </w:pPr>
      <w:bookmarkStart w:id="44" w:name="_Toc124497590"/>
      <w:r w:rsidRPr="000C691E">
        <w:t>Specifications</w:t>
      </w:r>
      <w:bookmarkEnd w:id="44"/>
    </w:p>
    <w:p w14:paraId="2E4256C4" w14:textId="1D4CA8DD" w:rsidR="003E4BEC" w:rsidRPr="00CE2FAC" w:rsidRDefault="003E4BEC" w:rsidP="00A956F5">
      <w:pPr>
        <w:pStyle w:val="Style2"/>
        <w:rPr>
          <w:color w:val="000000"/>
        </w:rPr>
      </w:pPr>
      <w:r w:rsidRPr="028D3E4B">
        <w:t xml:space="preserve">Specifications </w:t>
      </w:r>
      <w:r w:rsidR="00A50E61">
        <w:t>shall</w:t>
      </w:r>
      <w:r w:rsidRPr="028D3E4B">
        <w:t xml:space="preserve"> be developed and approved by the appropriate </w:t>
      </w:r>
      <w:r w:rsidRPr="00A50E61">
        <w:rPr>
          <w:color w:val="000000"/>
        </w:rPr>
        <w:t>procurement</w:t>
      </w:r>
      <w:r w:rsidRPr="028D3E4B">
        <w:t xml:space="preserve"> lead </w:t>
      </w:r>
      <w:r w:rsidR="00A50E61">
        <w:t>and s</w:t>
      </w:r>
      <w:r w:rsidRPr="028D3E4B">
        <w:t>ubject matter experts will be used to ensure specification validity where specific expertise is required or where this is agreed to manage a real or perceived conflict of interest.</w:t>
      </w:r>
    </w:p>
    <w:p w14:paraId="31102DF5" w14:textId="77777777" w:rsidR="003E4BEC" w:rsidRDefault="003E4BEC" w:rsidP="00A956F5">
      <w:pPr>
        <w:pStyle w:val="Style2"/>
        <w:rPr>
          <w:color w:val="000000"/>
        </w:rPr>
      </w:pPr>
      <w:r w:rsidRPr="028D3E4B">
        <w:t>The specification and evaluation model should be based on a study of essential needs, and this should be documented. The requirements and evaluation model may be derived from past procurements and historic service use. All decisions should have a rationale and an audit trail reflecting how they are arrived at. Key service stakeholders should be involved in the process.</w:t>
      </w:r>
    </w:p>
    <w:p w14:paraId="3C7FB914" w14:textId="342AAA89" w:rsidR="00A010AE" w:rsidRPr="00952D61" w:rsidRDefault="00A010AE" w:rsidP="00A956F5">
      <w:pPr>
        <w:pStyle w:val="Heading3"/>
      </w:pPr>
      <w:bookmarkStart w:id="45" w:name="_Toc124497591"/>
      <w:r w:rsidRPr="00952D61">
        <w:t>Confidentiality and Conflicts of Inter</w:t>
      </w:r>
      <w:r w:rsidR="00D228C1" w:rsidRPr="00952D61">
        <w:t>est</w:t>
      </w:r>
      <w:bookmarkEnd w:id="45"/>
    </w:p>
    <w:p w14:paraId="4BBA2390" w14:textId="5536CBCF" w:rsidR="00AA368D" w:rsidRPr="007F51F5" w:rsidRDefault="00AA368D" w:rsidP="00A956F5">
      <w:pPr>
        <w:pStyle w:val="Style2"/>
      </w:pPr>
      <w:r w:rsidRPr="028D3E4B">
        <w:t xml:space="preserve">The ICB </w:t>
      </w:r>
      <w:r w:rsidR="00952D61">
        <w:t>shall</w:t>
      </w:r>
      <w:r w:rsidRPr="028D3E4B">
        <w:t xml:space="preserve"> take appropriate measures to effectively prevent, identify and remedy conflicts of interest arising in the conduct of procurement procedures to avoid any distortion of competition and to ensure equal treatment of all economic operators in line with Regulation 24 of the Public Contract Regulations 2015 </w:t>
      </w:r>
      <w:r w:rsidRPr="007F51F5">
        <w:rPr>
          <w:i/>
          <w:iCs/>
        </w:rPr>
        <w:t>(as amended by The Public Procurement (Amendment etc.) (EU Exit) Regulations 2020)</w:t>
      </w:r>
      <w:r w:rsidRPr="028D3E4B">
        <w:t>.</w:t>
      </w:r>
    </w:p>
    <w:p w14:paraId="6F2117A8" w14:textId="4155CDF4" w:rsidR="00053324" w:rsidRPr="00053324" w:rsidRDefault="00AA368D" w:rsidP="00A956F5">
      <w:pPr>
        <w:pStyle w:val="Style2"/>
        <w:rPr>
          <w:color w:val="000000"/>
        </w:rPr>
      </w:pPr>
      <w:r w:rsidRPr="028D3E4B">
        <w:t xml:space="preserve">Section 75 of </w:t>
      </w:r>
      <w:r w:rsidRPr="00FE5514">
        <w:t>the Health and Social Care Act 20</w:t>
      </w:r>
      <w:r w:rsidR="00FE5514" w:rsidRPr="00FE5514">
        <w:t>2</w:t>
      </w:r>
      <w:r w:rsidRPr="00FE5514">
        <w:t>2 places</w:t>
      </w:r>
      <w:r w:rsidRPr="028D3E4B">
        <w:t xml:space="preserve"> a requirement on commissioners to ensure that they adhere to good practice in relation to procurement such as do not engage in anti-competitive behaviour and promote the right of patients to make choices about their healthcare. </w:t>
      </w:r>
    </w:p>
    <w:p w14:paraId="3EF31AE3" w14:textId="523E2B32" w:rsidR="00AA368D" w:rsidRPr="00CE2FAC" w:rsidRDefault="00AA368D" w:rsidP="00A956F5">
      <w:pPr>
        <w:pStyle w:val="Style2"/>
        <w:rPr>
          <w:color w:val="000000"/>
        </w:rPr>
      </w:pPr>
      <w:r w:rsidRPr="028D3E4B">
        <w:t>Every tender must require suppliers to:</w:t>
      </w:r>
    </w:p>
    <w:p w14:paraId="0F5B4C90" w14:textId="7720B32C" w:rsidR="00AA368D" w:rsidRPr="00CE2FAC" w:rsidRDefault="00053324" w:rsidP="00A956F5">
      <w:pPr>
        <w:pStyle w:val="ListParagraph"/>
        <w:numPr>
          <w:ilvl w:val="0"/>
          <w:numId w:val="35"/>
        </w:numPr>
      </w:pPr>
      <w:r>
        <w:t>p</w:t>
      </w:r>
      <w:r w:rsidR="00AA368D" w:rsidRPr="00CE2FAC">
        <w:t>rovide a written undertaking to maintain confidentiality</w:t>
      </w:r>
      <w:r>
        <w:t>.</w:t>
      </w:r>
    </w:p>
    <w:p w14:paraId="3C94D879" w14:textId="2E4A10E6" w:rsidR="00AA368D" w:rsidRPr="00CE2FAC" w:rsidRDefault="00053324" w:rsidP="00A956F5">
      <w:pPr>
        <w:pStyle w:val="ListParagraph"/>
        <w:numPr>
          <w:ilvl w:val="0"/>
          <w:numId w:val="35"/>
        </w:numPr>
      </w:pPr>
      <w:r>
        <w:t>a</w:t>
      </w:r>
      <w:r w:rsidR="00AA368D" w:rsidRPr="00CE2FAC">
        <w:t>gree not engage in collusive tendering or other restrictive practice</w:t>
      </w:r>
      <w:r>
        <w:t>.</w:t>
      </w:r>
    </w:p>
    <w:p w14:paraId="35418195" w14:textId="77777777" w:rsidR="00AA368D" w:rsidRPr="00CE2FAC" w:rsidRDefault="00AA368D" w:rsidP="00A956F5">
      <w:pPr>
        <w:pStyle w:val="ListParagraph"/>
        <w:numPr>
          <w:ilvl w:val="0"/>
          <w:numId w:val="35"/>
        </w:numPr>
      </w:pPr>
      <w:r w:rsidRPr="00CE2FAC">
        <w:t xml:space="preserve">complete a declaration under </w:t>
      </w:r>
      <w:r w:rsidRPr="00EB069E">
        <w:t>Regulation 57 of the Public Contracts Regulations 2015 (as amended by The Public Procurement (Amendment etc.) (EU Exit) Regulations 2020).</w:t>
      </w:r>
    </w:p>
    <w:p w14:paraId="2A7E665C" w14:textId="77777777" w:rsidR="00F30AE3" w:rsidRPr="00F30AE3" w:rsidRDefault="00AA368D" w:rsidP="00A956F5">
      <w:pPr>
        <w:pStyle w:val="Style2"/>
        <w:rPr>
          <w:color w:val="000000"/>
        </w:rPr>
      </w:pPr>
      <w:r w:rsidRPr="028D3E4B">
        <w:t xml:space="preserve">All those engaged in development and evaluation of a tender should be reminded that all documentation, including emails, may be called upon as part of any investigation of a complaint, and that the use of non-secure email or social media for any communication is not permissible. </w:t>
      </w:r>
    </w:p>
    <w:p w14:paraId="776C2848" w14:textId="58EFF5D1" w:rsidR="00F30AE3" w:rsidRPr="00F30AE3" w:rsidRDefault="00AA368D" w:rsidP="00A956F5">
      <w:pPr>
        <w:pStyle w:val="Style2"/>
        <w:rPr>
          <w:color w:val="000000"/>
        </w:rPr>
      </w:pPr>
      <w:r w:rsidRPr="028D3E4B">
        <w:t xml:space="preserve">All those participating in the development and evaluation of a tender, including third parties, will be required to sign a specific declaration of interest and a confidentiality agreement in accordance with the </w:t>
      </w:r>
      <w:r w:rsidR="00872AD4" w:rsidRPr="00872AD4">
        <w:t xml:space="preserve">Conflicts of Interest, </w:t>
      </w:r>
      <w:r w:rsidR="00C344F2">
        <w:t xml:space="preserve">Standards of Business Conduct, </w:t>
      </w:r>
      <w:r w:rsidR="00872AD4" w:rsidRPr="00872AD4">
        <w:t>Gifts, Hospitality and Commercial Sponsorship Polic</w:t>
      </w:r>
      <w:r w:rsidR="00C344F2">
        <w:t>ies</w:t>
      </w:r>
      <w:r w:rsidRPr="028D3E4B">
        <w:t xml:space="preserve">. </w:t>
      </w:r>
    </w:p>
    <w:p w14:paraId="63DD1179" w14:textId="03EB960F" w:rsidR="00DC55E6" w:rsidRPr="00436FFD" w:rsidRDefault="00AA368D" w:rsidP="00A956F5">
      <w:pPr>
        <w:pStyle w:val="Style2"/>
        <w:rPr>
          <w:color w:val="000000"/>
        </w:rPr>
      </w:pPr>
      <w:r w:rsidRPr="00CE2FAC">
        <w:t xml:space="preserve">Any concerns identified </w:t>
      </w:r>
      <w:r>
        <w:t>regarding</w:t>
      </w:r>
      <w:r w:rsidRPr="00CE2FAC">
        <w:t xml:space="preserve"> fraud</w:t>
      </w:r>
      <w:r>
        <w:t xml:space="preserve"> or bribery </w:t>
      </w:r>
      <w:r w:rsidR="00F30AE3">
        <w:t>because of</w:t>
      </w:r>
      <w:r>
        <w:t xml:space="preserve"> conflicts of interest or gifts and hospitality</w:t>
      </w:r>
      <w:r w:rsidRPr="00CE2FAC">
        <w:t xml:space="preserve"> shall be brought to the attention of the L</w:t>
      </w:r>
      <w:r>
        <w:t xml:space="preserve">ocal </w:t>
      </w:r>
      <w:r w:rsidRPr="00CE2FAC">
        <w:t>C</w:t>
      </w:r>
      <w:r>
        <w:t xml:space="preserve">ounter </w:t>
      </w:r>
      <w:r w:rsidRPr="00CE2FAC">
        <w:t>F</w:t>
      </w:r>
      <w:r>
        <w:t xml:space="preserve">raud </w:t>
      </w:r>
      <w:r w:rsidRPr="00CE2FAC">
        <w:t>S</w:t>
      </w:r>
      <w:r>
        <w:t>pecialist</w:t>
      </w:r>
      <w:r w:rsidRPr="00CE2FAC">
        <w:t xml:space="preserve"> for </w:t>
      </w:r>
      <w:r w:rsidR="00C344F2">
        <w:t xml:space="preserve">the </w:t>
      </w:r>
      <w:r>
        <w:t xml:space="preserve">ICB or the NHS Counter Fraud Authority either via the NHS Fraud Reporting Line 0800 028 4060 or online </w:t>
      </w:r>
      <w:hyperlink r:id="rId24">
        <w:r w:rsidRPr="028D3E4B">
          <w:rPr>
            <w:rStyle w:val="Hyperlink"/>
            <w:rFonts w:cs="Arial"/>
          </w:rPr>
          <w:t>https://cfa.nhs.uk/reportfraud</w:t>
        </w:r>
      </w:hyperlink>
    </w:p>
    <w:p w14:paraId="0E0D423B" w14:textId="3375B824" w:rsidR="00D228C1" w:rsidRPr="00820C92" w:rsidRDefault="003E4BEC" w:rsidP="00A956F5">
      <w:pPr>
        <w:pStyle w:val="Heading3"/>
      </w:pPr>
      <w:bookmarkStart w:id="46" w:name="_Toc124497592"/>
      <w:r w:rsidRPr="00820C92">
        <w:t>Complaints and Dispute Resolution</w:t>
      </w:r>
      <w:bookmarkEnd w:id="46"/>
    </w:p>
    <w:p w14:paraId="46260FA6" w14:textId="3673ECD8" w:rsidR="00AA368D" w:rsidRPr="00436FFD" w:rsidRDefault="00AD73E6" w:rsidP="00A956F5">
      <w:pPr>
        <w:pStyle w:val="Style2"/>
      </w:pPr>
      <w:r w:rsidRPr="00CE2FAC">
        <w:t xml:space="preserve">The </w:t>
      </w:r>
      <w:r>
        <w:t>ICB</w:t>
      </w:r>
      <w:r w:rsidRPr="00CE2FAC">
        <w:t xml:space="preserve"> </w:t>
      </w:r>
      <w:r w:rsidR="00820C92">
        <w:t>should have</w:t>
      </w:r>
      <w:r w:rsidRPr="00CE2FAC">
        <w:t xml:space="preserve"> in place a Competition Dispute Resolution process to hear any complaints from organisations who consider that the </w:t>
      </w:r>
      <w:r>
        <w:t>ICB</w:t>
      </w:r>
      <w:r w:rsidR="00820C92">
        <w:t>,</w:t>
      </w:r>
      <w:r w:rsidRPr="00CE2FAC">
        <w:t xml:space="preserve"> or its procurement support agent</w:t>
      </w:r>
      <w:r w:rsidR="00820C92">
        <w:t>,</w:t>
      </w:r>
      <w:r w:rsidRPr="00CE2FAC">
        <w:t xml:space="preserve"> has not complied with applicable regulation or legislation, this Policy, or any other relevant</w:t>
      </w:r>
      <w:r w:rsidR="00820C92">
        <w:t xml:space="preserve"> p</w:t>
      </w:r>
      <w:r w:rsidRPr="00CE2FAC">
        <w:t>olicies.</w:t>
      </w:r>
    </w:p>
    <w:p w14:paraId="7CFC4226" w14:textId="5EC2FFAD" w:rsidR="0048053F" w:rsidRPr="00820C92" w:rsidRDefault="00DC55E6" w:rsidP="00A956F5">
      <w:pPr>
        <w:pStyle w:val="Heading3"/>
      </w:pPr>
      <w:bookmarkStart w:id="47" w:name="_Toc124497593"/>
      <w:r w:rsidRPr="00820C92">
        <w:t>Premises and Equipment</w:t>
      </w:r>
      <w:bookmarkEnd w:id="47"/>
    </w:p>
    <w:p w14:paraId="25E7AB88" w14:textId="77777777" w:rsidR="00C32902" w:rsidRDefault="00CC4125" w:rsidP="00A956F5">
      <w:pPr>
        <w:pStyle w:val="Style2"/>
      </w:pPr>
      <w:r w:rsidRPr="00CC4125">
        <w:t xml:space="preserve">The ICB will be responsible for liaising with NHS Property Services to ensure that the impact on utilisation of existing premises and/or associated equipment or contracts has been fully reviewed and incorporated </w:t>
      </w:r>
      <w:r w:rsidRPr="00820C92">
        <w:rPr>
          <w:rFonts w:cs="Arial"/>
          <w:color w:val="000000"/>
        </w:rPr>
        <w:t>into</w:t>
      </w:r>
      <w:r w:rsidRPr="00CC4125">
        <w:t xml:space="preserve"> any proposed procurement arrangements.</w:t>
      </w:r>
    </w:p>
    <w:p w14:paraId="79D7711A" w14:textId="3E15F13D" w:rsidR="00CC4125" w:rsidRPr="00CC4125" w:rsidRDefault="00CC4125" w:rsidP="00A956F5">
      <w:pPr>
        <w:pStyle w:val="Style2"/>
      </w:pPr>
      <w:r w:rsidRPr="00CC4125">
        <w:t>Where applicable</w:t>
      </w:r>
      <w:r w:rsidR="00C32902">
        <w:t>,</w:t>
      </w:r>
      <w:r w:rsidRPr="00CC4125">
        <w:t xml:space="preserve"> representatives of NHS Property Services should be included as full project team members from an early stage. Where GP premises are, or may be, utilised as part of a procurement, then the </w:t>
      </w:r>
      <w:r w:rsidR="00C32902">
        <w:t xml:space="preserve">Procurement </w:t>
      </w:r>
      <w:r w:rsidRPr="00CC4125">
        <w:t xml:space="preserve">Project Lead will ensure that this information is discussed with </w:t>
      </w:r>
      <w:r w:rsidR="00C32902">
        <w:t>the Director of P</w:t>
      </w:r>
      <w:r w:rsidRPr="00CC4125">
        <w:t xml:space="preserve">rimary </w:t>
      </w:r>
      <w:r w:rsidR="00C32902">
        <w:t>C</w:t>
      </w:r>
      <w:r w:rsidRPr="00CC4125">
        <w:t xml:space="preserve">are </w:t>
      </w:r>
      <w:r w:rsidR="00C32902">
        <w:t>Finance &amp; Strategic Projects</w:t>
      </w:r>
      <w:r w:rsidRPr="00CC4125">
        <w:t>.</w:t>
      </w:r>
    </w:p>
    <w:p w14:paraId="4B13B5A1" w14:textId="1A18B41A" w:rsidR="00AD73E6" w:rsidRPr="005C4F66" w:rsidRDefault="0048053F" w:rsidP="00436FFD">
      <w:pPr>
        <w:pStyle w:val="Heading3"/>
      </w:pPr>
      <w:bookmarkStart w:id="48" w:name="_Toc124497594"/>
      <w:r w:rsidRPr="005C4F66">
        <w:t>Decommissioning Services</w:t>
      </w:r>
      <w:bookmarkEnd w:id="48"/>
    </w:p>
    <w:p w14:paraId="40C1FAAC" w14:textId="421703C4" w:rsidR="00CC4125" w:rsidRPr="00CC4125" w:rsidRDefault="0003396E" w:rsidP="00436FFD">
      <w:pPr>
        <w:pStyle w:val="Style2"/>
      </w:pPr>
      <w:r w:rsidRPr="0003396E">
        <w:t>Where services are decommissioned, the ICB will ensure where necessary that contingency plans are developed to maintain patient care. Where decommissioning involves Human Resource issues, such as TUPE, then providers will be expected to co-operate and be involved in discussions to deal with such issues.</w:t>
      </w:r>
    </w:p>
    <w:p w14:paraId="31C5B0B3" w14:textId="3C83550D" w:rsidR="0003396E" w:rsidRPr="005C4F66" w:rsidRDefault="00663DCA" w:rsidP="00436FFD">
      <w:pPr>
        <w:pStyle w:val="Heading3"/>
      </w:pPr>
      <w:bookmarkStart w:id="49" w:name="_Toc124497595"/>
      <w:r w:rsidRPr="005C4F66">
        <w:t>Wider Stakeholder Consultation and Engagement</w:t>
      </w:r>
      <w:bookmarkEnd w:id="49"/>
    </w:p>
    <w:p w14:paraId="04674D79" w14:textId="77BE1B3A" w:rsidR="00A86B64" w:rsidRPr="00CE2FAC" w:rsidRDefault="00A86B64" w:rsidP="00436FFD">
      <w:pPr>
        <w:pStyle w:val="Style2"/>
      </w:pPr>
      <w:r w:rsidRPr="00CE2FAC">
        <w:t xml:space="preserve">The </w:t>
      </w:r>
      <w:r>
        <w:t>ICB</w:t>
      </w:r>
      <w:r w:rsidRPr="00CE2FAC">
        <w:t xml:space="preserve"> </w:t>
      </w:r>
      <w:r w:rsidR="000072D6">
        <w:t>shall</w:t>
      </w:r>
      <w:r w:rsidRPr="00CE2FAC">
        <w:t xml:space="preserve"> </w:t>
      </w:r>
      <w:r w:rsidRPr="000072D6">
        <w:t>adhere</w:t>
      </w:r>
      <w:r w:rsidRPr="00CE2FAC">
        <w:t xml:space="preserve"> to the following principles on involvement during a procurement process</w:t>
      </w:r>
      <w:r w:rsidRPr="028D3E4B">
        <w:t>:</w:t>
      </w:r>
    </w:p>
    <w:p w14:paraId="0A13CF30" w14:textId="248C7C8B" w:rsidR="00A86B64" w:rsidRPr="000072D6" w:rsidRDefault="00A86B64" w:rsidP="00A956F5">
      <w:pPr>
        <w:pStyle w:val="ListParagraph"/>
        <w:numPr>
          <w:ilvl w:val="0"/>
          <w:numId w:val="27"/>
        </w:numPr>
      </w:pPr>
      <w:r w:rsidRPr="000072D6">
        <w:t xml:space="preserve">Engage widely throughout the process. </w:t>
      </w:r>
    </w:p>
    <w:p w14:paraId="350008B4" w14:textId="61EC9EF8" w:rsidR="00A86B64" w:rsidRPr="000072D6" w:rsidRDefault="00A86B64" w:rsidP="00A956F5">
      <w:pPr>
        <w:pStyle w:val="ListParagraph"/>
        <w:numPr>
          <w:ilvl w:val="0"/>
          <w:numId w:val="27"/>
        </w:numPr>
      </w:pPr>
      <w:r w:rsidRPr="000072D6">
        <w:t xml:space="preserve">Be clear about what the proposals are, who may be affected, what questions are being asked and the timetable for responses. </w:t>
      </w:r>
    </w:p>
    <w:p w14:paraId="5D5AB7EE" w14:textId="5E0DC990" w:rsidR="00A86B64" w:rsidRPr="000072D6" w:rsidRDefault="00A86B64" w:rsidP="00A956F5">
      <w:pPr>
        <w:pStyle w:val="ListParagraph"/>
        <w:numPr>
          <w:ilvl w:val="0"/>
          <w:numId w:val="27"/>
        </w:numPr>
      </w:pPr>
      <w:r w:rsidRPr="000072D6">
        <w:t xml:space="preserve">Ensure that the engagement is clear, </w:t>
      </w:r>
      <w:proofErr w:type="gramStart"/>
      <w:r w:rsidRPr="000072D6">
        <w:t>concise</w:t>
      </w:r>
      <w:proofErr w:type="gramEnd"/>
      <w:r w:rsidRPr="000072D6">
        <w:t xml:space="preserve"> and widely accessible. </w:t>
      </w:r>
    </w:p>
    <w:p w14:paraId="7C4F1DCB" w14:textId="14310207" w:rsidR="00A86B64" w:rsidRPr="000072D6" w:rsidRDefault="00A86B64" w:rsidP="00A956F5">
      <w:pPr>
        <w:pStyle w:val="ListParagraph"/>
        <w:numPr>
          <w:ilvl w:val="0"/>
          <w:numId w:val="27"/>
        </w:numPr>
      </w:pPr>
      <w:r w:rsidRPr="000072D6">
        <w:t xml:space="preserve">Give feedback regarding the responses received and how the engagement process influenced the procurement. </w:t>
      </w:r>
    </w:p>
    <w:p w14:paraId="0236EA03" w14:textId="01165CC4" w:rsidR="00A86B64" w:rsidRPr="000072D6" w:rsidRDefault="00A86B64" w:rsidP="00A956F5">
      <w:pPr>
        <w:pStyle w:val="ListParagraph"/>
        <w:numPr>
          <w:ilvl w:val="0"/>
          <w:numId w:val="27"/>
        </w:numPr>
      </w:pPr>
      <w:r w:rsidRPr="000072D6">
        <w:t xml:space="preserve">Implement a formal consultation process should there be any variations to the delivery of service. </w:t>
      </w:r>
    </w:p>
    <w:p w14:paraId="0C744D78" w14:textId="179F1F3F" w:rsidR="00230704" w:rsidRPr="005C4F66" w:rsidRDefault="00230704" w:rsidP="00436FFD">
      <w:pPr>
        <w:pStyle w:val="Heading2"/>
        <w:numPr>
          <w:ilvl w:val="0"/>
          <w:numId w:val="0"/>
        </w:numPr>
        <w:ind w:left="1134"/>
      </w:pPr>
      <w:bookmarkStart w:id="50" w:name="_Toc124497596"/>
      <w:r w:rsidRPr="005C4F66">
        <w:t>Procurement Arrangements</w:t>
      </w:r>
      <w:bookmarkEnd w:id="50"/>
    </w:p>
    <w:p w14:paraId="4E7E7AEB" w14:textId="3FFA0328" w:rsidR="00FE350B" w:rsidRPr="00436FFD" w:rsidRDefault="00914BCF" w:rsidP="00436FFD">
      <w:pPr>
        <w:pStyle w:val="Heading3"/>
        <w:rPr>
          <w:bCs/>
        </w:rPr>
      </w:pPr>
      <w:bookmarkStart w:id="51" w:name="_Toc124497597"/>
      <w:r w:rsidRPr="000072D6">
        <w:t>Background</w:t>
      </w:r>
      <w:bookmarkEnd w:id="51"/>
    </w:p>
    <w:p w14:paraId="5261CC56" w14:textId="29AE3E1F" w:rsidR="00D562AD" w:rsidRPr="00D562AD" w:rsidRDefault="00D562AD" w:rsidP="00436FFD">
      <w:pPr>
        <w:pStyle w:val="Style2"/>
        <w:rPr>
          <w:rFonts w:eastAsia="Calibri"/>
        </w:rPr>
      </w:pPr>
      <w:r w:rsidRPr="00D562AD">
        <w:rPr>
          <w:rFonts w:eastAsia="Calibri"/>
        </w:rPr>
        <w:t>The NHS is governed by the requirements of the following:</w:t>
      </w:r>
    </w:p>
    <w:p w14:paraId="0CE8D87C" w14:textId="77777777" w:rsidR="00D562AD" w:rsidRPr="000072D6" w:rsidRDefault="00D562AD" w:rsidP="00A956F5">
      <w:pPr>
        <w:pStyle w:val="ListParagraph"/>
        <w:numPr>
          <w:ilvl w:val="0"/>
          <w:numId w:val="28"/>
        </w:numPr>
      </w:pPr>
      <w:r w:rsidRPr="000072D6">
        <w:t xml:space="preserve">NHS (Procurement, Patient </w:t>
      </w:r>
      <w:proofErr w:type="gramStart"/>
      <w:r w:rsidRPr="000072D6">
        <w:t>Choice</w:t>
      </w:r>
      <w:proofErr w:type="gramEnd"/>
      <w:r w:rsidRPr="000072D6">
        <w:t xml:space="preserve"> and Competition) (No. 2) Regulations 2013 (where the commissioner is NHS England and NHS Improvement or an ICB) (PCCR 2013)</w:t>
      </w:r>
    </w:p>
    <w:p w14:paraId="5BC5CD55" w14:textId="3019DDE5" w:rsidR="00D562AD" w:rsidRPr="000072D6" w:rsidRDefault="00D562AD" w:rsidP="00A956F5">
      <w:pPr>
        <w:pStyle w:val="ListParagraph"/>
        <w:numPr>
          <w:ilvl w:val="0"/>
          <w:numId w:val="28"/>
        </w:numPr>
      </w:pPr>
      <w:r w:rsidRPr="000072D6">
        <w:t>The Public Contracts Regulations 2015 (as amended by The Public Procurement (Amendment etc.) (EU Exit) Regulations 2020 for services</w:t>
      </w:r>
      <w:r w:rsidR="000072D6">
        <w:t>.</w:t>
      </w:r>
    </w:p>
    <w:p w14:paraId="4E63303C" w14:textId="77777777" w:rsidR="00D562AD" w:rsidRPr="000072D6" w:rsidRDefault="00D562AD" w:rsidP="00A956F5">
      <w:pPr>
        <w:pStyle w:val="ListParagraph"/>
        <w:numPr>
          <w:ilvl w:val="0"/>
          <w:numId w:val="28"/>
        </w:numPr>
      </w:pPr>
      <w:r w:rsidRPr="000072D6">
        <w:t>Operational Guidance to the NHS-Extending Patient Choice of Provider (Department of Health &amp; Social Care)</w:t>
      </w:r>
    </w:p>
    <w:p w14:paraId="49DE40E4" w14:textId="77777777" w:rsidR="00D562AD" w:rsidRPr="000072D6" w:rsidRDefault="00D562AD" w:rsidP="00A956F5">
      <w:pPr>
        <w:pStyle w:val="ListParagraph"/>
        <w:numPr>
          <w:ilvl w:val="0"/>
          <w:numId w:val="28"/>
        </w:numPr>
      </w:pPr>
      <w:r w:rsidRPr="000072D6">
        <w:t>NHS England and NHS Improvement Guidelines</w:t>
      </w:r>
    </w:p>
    <w:p w14:paraId="6E6C4231" w14:textId="77777777" w:rsidR="00D562AD" w:rsidRPr="000072D6" w:rsidRDefault="00D562AD" w:rsidP="00A956F5">
      <w:pPr>
        <w:pStyle w:val="ListParagraph"/>
        <w:numPr>
          <w:ilvl w:val="0"/>
          <w:numId w:val="28"/>
        </w:numPr>
      </w:pPr>
      <w:r w:rsidRPr="000072D6">
        <w:t>Cabinet Office Guidelines</w:t>
      </w:r>
    </w:p>
    <w:p w14:paraId="4A344A0F" w14:textId="35F28C6C" w:rsidR="00D562AD" w:rsidRDefault="00D562AD" w:rsidP="00A956F5">
      <w:pPr>
        <w:pStyle w:val="ListParagraph"/>
        <w:numPr>
          <w:ilvl w:val="0"/>
          <w:numId w:val="28"/>
        </w:numPr>
      </w:pPr>
      <w:r w:rsidRPr="000072D6">
        <w:t>Crown Commercial Service Guidance.</w:t>
      </w:r>
    </w:p>
    <w:p w14:paraId="02515709" w14:textId="42722413" w:rsidR="006F7071" w:rsidRDefault="006F7071" w:rsidP="006F7071">
      <w:r w:rsidRPr="006F7071">
        <w:t>The Provider Selection Regime (“PSR”) is a proposed new set of rules that will govern the arrangement of healthcare services in England and will be introduced by regulations made under the Health and Care Bill.</w:t>
      </w:r>
      <w:r>
        <w:t xml:space="preserve"> </w:t>
      </w:r>
      <w:r w:rsidRPr="00004656">
        <w:rPr>
          <w:b/>
          <w:bCs/>
        </w:rPr>
        <w:t>Appendix B</w:t>
      </w:r>
      <w:r>
        <w:t xml:space="preserve"> outlines the forthcoming changes.</w:t>
      </w:r>
    </w:p>
    <w:p w14:paraId="440DB41F" w14:textId="77777777" w:rsidR="00D562AD" w:rsidRPr="00D562AD" w:rsidRDefault="00D562AD" w:rsidP="00436FFD">
      <w:pPr>
        <w:pStyle w:val="Style2"/>
        <w:rPr>
          <w:rFonts w:eastAsia="Calibri"/>
        </w:rPr>
      </w:pPr>
      <w:r w:rsidRPr="00D562AD">
        <w:rPr>
          <w:rFonts w:eastAsia="Calibri"/>
        </w:rPr>
        <w:t>National procurement rules apply to all public bodies. A public body in this context means the State, regional, local authorities, associations formed by one or more of such authorities or bodies governed by public law. Body governed by public law means anybody:</w:t>
      </w:r>
    </w:p>
    <w:p w14:paraId="5CC3D204" w14:textId="70B6078D" w:rsidR="00D562AD" w:rsidRPr="00B058BE" w:rsidRDefault="00B058BE" w:rsidP="00A956F5">
      <w:pPr>
        <w:pStyle w:val="Style2"/>
        <w:numPr>
          <w:ilvl w:val="0"/>
          <w:numId w:val="29"/>
        </w:numPr>
      </w:pPr>
      <w:r>
        <w:t>e</w:t>
      </w:r>
      <w:r w:rsidR="00D562AD" w:rsidRPr="00B058BE">
        <w:t xml:space="preserve">stablished for the specific purpose of meeting needs in the general interest, not having an industrial or commercial character. </w:t>
      </w:r>
    </w:p>
    <w:p w14:paraId="5F5CCB9A" w14:textId="210CD41B" w:rsidR="00D562AD" w:rsidRPr="00B058BE" w:rsidRDefault="00B058BE" w:rsidP="00A956F5">
      <w:pPr>
        <w:pStyle w:val="Style2"/>
        <w:numPr>
          <w:ilvl w:val="0"/>
          <w:numId w:val="29"/>
        </w:numPr>
      </w:pPr>
      <w:r>
        <w:t>h</w:t>
      </w:r>
      <w:r w:rsidR="00D562AD" w:rsidRPr="00B058BE">
        <w:t xml:space="preserve">aving legal personality. </w:t>
      </w:r>
    </w:p>
    <w:p w14:paraId="05FBBF38" w14:textId="2FBF87C2" w:rsidR="00D562AD" w:rsidRPr="00B058BE" w:rsidDel="001202C6" w:rsidRDefault="00B058BE" w:rsidP="00A956F5">
      <w:pPr>
        <w:pStyle w:val="Style2"/>
        <w:numPr>
          <w:ilvl w:val="0"/>
          <w:numId w:val="29"/>
        </w:numPr>
      </w:pPr>
      <w:r>
        <w:t>is</w:t>
      </w:r>
      <w:r w:rsidR="00D562AD" w:rsidRPr="00B058BE">
        <w:t xml:space="preserve"> financed, for the most part, by the State, or regional or local authorities, or other bodies governed by public law; or subject to management supervision by those bodies; or having an administrative, </w:t>
      </w:r>
      <w:proofErr w:type="gramStart"/>
      <w:r w:rsidR="00D562AD" w:rsidRPr="00B058BE">
        <w:t>managerial</w:t>
      </w:r>
      <w:proofErr w:type="gramEnd"/>
      <w:r w:rsidR="00D562AD" w:rsidRPr="00B058BE">
        <w:t xml:space="preserve"> or supervisory board, more than half of whose members are appointed by the State, regional or local authorities or by other bodies governed by public law.</w:t>
      </w:r>
    </w:p>
    <w:p w14:paraId="4074400A" w14:textId="2EAA6C2E" w:rsidR="00A42FAA" w:rsidRPr="00B058BE" w:rsidRDefault="00A42FAA" w:rsidP="00436FFD">
      <w:pPr>
        <w:pStyle w:val="Heading3"/>
      </w:pPr>
      <w:bookmarkStart w:id="52" w:name="_Toc345499582"/>
      <w:bookmarkStart w:id="53" w:name="_Toc104909056"/>
      <w:bookmarkStart w:id="54" w:name="_Toc124497598"/>
      <w:r w:rsidRPr="00B058BE">
        <w:t xml:space="preserve">Procurement Law in the Public </w:t>
      </w:r>
      <w:r w:rsidRPr="00436FFD">
        <w:t>Sector</w:t>
      </w:r>
      <w:bookmarkEnd w:id="52"/>
      <w:bookmarkEnd w:id="53"/>
      <w:bookmarkEnd w:id="54"/>
    </w:p>
    <w:p w14:paraId="46C9A41D" w14:textId="77777777" w:rsidR="00A42FAA" w:rsidRPr="00A42FAA" w:rsidRDefault="00A42FAA" w:rsidP="00436FFD">
      <w:pPr>
        <w:pStyle w:val="Style2"/>
        <w:rPr>
          <w:rFonts w:eastAsia="Calibri"/>
        </w:rPr>
      </w:pPr>
      <w:r w:rsidRPr="00A42FAA">
        <w:rPr>
          <w:rFonts w:eastAsia="Calibri"/>
        </w:rPr>
        <w:t xml:space="preserve">Public sector procurement is subject to national procurement rules and regulations, </w:t>
      </w:r>
      <w:r w:rsidRPr="00B058BE">
        <w:rPr>
          <w:rFonts w:eastAsia="Calibri"/>
        </w:rPr>
        <w:t>and</w:t>
      </w:r>
      <w:r w:rsidRPr="00A42FAA">
        <w:rPr>
          <w:rFonts w:eastAsia="Calibri"/>
        </w:rPr>
        <w:t xml:space="preserve"> it is therefore critical that all procurement activity is conducted consistently, accurately, and effectively. The legal framework for public procurement is set out in The Public Contracts Regulations 2015 </w:t>
      </w:r>
      <w:r w:rsidRPr="00A42FAA">
        <w:rPr>
          <w:rFonts w:eastAsia="Calibri"/>
          <w:i/>
          <w:iCs/>
        </w:rPr>
        <w:t>(as amended by The Public Procurement (Amendment etc.) (EU Exit) Regulations 2020)</w:t>
      </w:r>
      <w:r w:rsidRPr="00A42FAA">
        <w:rPr>
          <w:rFonts w:eastAsia="Calibri"/>
        </w:rPr>
        <w:t xml:space="preserve"> (the "Regulations"). Where Contracting Authorities (including NHS organisations) wish to purchase Supplies, Services or Works which are over the relevant public procurement thresholds (as set out below) (the "Thresholds") they must also consider the definitions of Supplies, Works and Services that are as follows: -</w:t>
      </w:r>
    </w:p>
    <w:p w14:paraId="40A9B644" w14:textId="77777777" w:rsidR="00A42FAA" w:rsidRPr="00B058BE" w:rsidRDefault="00A42FAA" w:rsidP="00A956F5">
      <w:pPr>
        <w:pStyle w:val="Style2"/>
        <w:numPr>
          <w:ilvl w:val="0"/>
          <w:numId w:val="30"/>
        </w:numPr>
      </w:pPr>
      <w:r w:rsidRPr="00B058BE">
        <w:t>"</w:t>
      </w:r>
      <w:r w:rsidRPr="006261F7">
        <w:rPr>
          <w:b/>
        </w:rPr>
        <w:t>Supplies</w:t>
      </w:r>
      <w:r w:rsidRPr="00B058BE">
        <w:t xml:space="preserve">" contracts are those for the supply (including purchasing, </w:t>
      </w:r>
      <w:proofErr w:type="gramStart"/>
      <w:r w:rsidRPr="00B058BE">
        <w:t>leasing</w:t>
      </w:r>
      <w:proofErr w:type="gramEnd"/>
      <w:r w:rsidRPr="00B058BE">
        <w:t xml:space="preserve"> and installation where appropriate) or hire of products. </w:t>
      </w:r>
    </w:p>
    <w:p w14:paraId="49C21E5A" w14:textId="77777777" w:rsidR="00A42FAA" w:rsidRPr="00B058BE" w:rsidRDefault="00A42FAA" w:rsidP="00A956F5">
      <w:pPr>
        <w:pStyle w:val="Style2"/>
        <w:numPr>
          <w:ilvl w:val="0"/>
          <w:numId w:val="30"/>
        </w:numPr>
      </w:pPr>
      <w:r w:rsidRPr="00B058BE">
        <w:t>"</w:t>
      </w:r>
      <w:r w:rsidRPr="006261F7">
        <w:rPr>
          <w:b/>
        </w:rPr>
        <w:t>Works</w:t>
      </w:r>
      <w:r w:rsidRPr="00B058BE">
        <w:t xml:space="preserve">" is the execution and/or design of works, working being defined as "the outcome of building or civil engineering, works taken that is sufficient of itself to fulfil an economic and technical function". </w:t>
      </w:r>
    </w:p>
    <w:p w14:paraId="37133FC2" w14:textId="6035B41D" w:rsidR="00A42FAA" w:rsidRPr="00B058BE" w:rsidRDefault="00A42FAA" w:rsidP="00A956F5">
      <w:pPr>
        <w:pStyle w:val="Style2"/>
        <w:numPr>
          <w:ilvl w:val="0"/>
          <w:numId w:val="30"/>
        </w:numPr>
      </w:pPr>
      <w:r w:rsidRPr="00B058BE">
        <w:t>"</w:t>
      </w:r>
      <w:r w:rsidRPr="006261F7">
        <w:rPr>
          <w:b/>
        </w:rPr>
        <w:t>Services</w:t>
      </w:r>
      <w:r w:rsidRPr="00B058BE">
        <w:t>" includes, for example, services such as maintenance of equipment, transportation, consultancy, technical services, health services etc.</w:t>
      </w:r>
    </w:p>
    <w:p w14:paraId="155B6F92" w14:textId="3121B193" w:rsidR="009F1356" w:rsidRPr="006261F7" w:rsidRDefault="009F1356" w:rsidP="00A956F5">
      <w:pPr>
        <w:pStyle w:val="Heading3"/>
        <w:rPr>
          <w:rFonts w:eastAsia="Calibri"/>
        </w:rPr>
      </w:pPr>
      <w:bookmarkStart w:id="55" w:name="_Toc104909057"/>
      <w:bookmarkStart w:id="56" w:name="_Toc124497599"/>
      <w:r w:rsidRPr="006261F7">
        <w:rPr>
          <w:rFonts w:eastAsia="Calibri"/>
        </w:rPr>
        <w:t>Thresholds</w:t>
      </w:r>
      <w:bookmarkEnd w:id="55"/>
      <w:bookmarkEnd w:id="56"/>
    </w:p>
    <w:p w14:paraId="6FD3F560" w14:textId="61407D3C" w:rsidR="009F1356" w:rsidRPr="00A956F5" w:rsidRDefault="009F1356" w:rsidP="00A956F5">
      <w:pPr>
        <w:pStyle w:val="Style2"/>
        <w:rPr>
          <w:rFonts w:eastAsia="Calibri"/>
        </w:rPr>
      </w:pPr>
      <w:r w:rsidRPr="00A956F5">
        <w:rPr>
          <w:rFonts w:eastAsia="Calibri"/>
        </w:rPr>
        <w:t>Where public sector bodies are purchasing supplies or services or commissioning works, which are over the relevant Public Procurement Threshold, then the Regulations must be complied with insofar as they apply to the subject of the procurement.  The Public Procurement Thresholds are current as of January 2022</w:t>
      </w:r>
      <w:r w:rsidR="00DF7FA2" w:rsidRPr="00A956F5">
        <w:rPr>
          <w:rFonts w:eastAsia="Calibri"/>
        </w:rPr>
        <w:t>,</w:t>
      </w:r>
      <w:r w:rsidRPr="00A956F5">
        <w:rPr>
          <w:rFonts w:eastAsia="Calibri"/>
        </w:rPr>
        <w:t xml:space="preserve"> are generally recalculated every 2 years and are communicated via a Procurement Policy Note (PPN) on the </w:t>
      </w:r>
      <w:hyperlink r:id="rId25" w:history="1">
        <w:r w:rsidR="000F2DDB" w:rsidRPr="0082032D">
          <w:rPr>
            <w:rStyle w:val="Hyperlink"/>
            <w:rFonts w:eastAsia="Calibri"/>
          </w:rPr>
          <w:t>www.gov.uk</w:t>
        </w:r>
      </w:hyperlink>
      <w:r w:rsidR="000F2DDB">
        <w:rPr>
          <w:rFonts w:eastAsia="Calibri"/>
        </w:rPr>
        <w:t xml:space="preserve"> </w:t>
      </w:r>
      <w:r w:rsidRPr="00A956F5">
        <w:rPr>
          <w:rFonts w:eastAsia="Calibri"/>
        </w:rPr>
        <w:t>website</w:t>
      </w:r>
      <w:r w:rsidR="00DF7FA2" w:rsidRPr="00A956F5">
        <w:rPr>
          <w:rFonts w:eastAsia="Calibri"/>
        </w:rPr>
        <w:t>.</w:t>
      </w:r>
    </w:p>
    <w:p w14:paraId="31794CB3" w14:textId="77777777" w:rsidR="009F1356" w:rsidRPr="00DF7FA2" w:rsidRDefault="009F1356" w:rsidP="00A956F5">
      <w:pPr>
        <w:pStyle w:val="Style2"/>
        <w:numPr>
          <w:ilvl w:val="0"/>
          <w:numId w:val="36"/>
        </w:numPr>
      </w:pPr>
      <w:r w:rsidRPr="00DF7FA2">
        <w:t>Supplies and Services e.g., IT Services or Patient Transport Services that are not part of the Light Touch Regime: £213,477</w:t>
      </w:r>
    </w:p>
    <w:p w14:paraId="15804D5D" w14:textId="77777777" w:rsidR="009F1356" w:rsidRPr="00DF7FA2" w:rsidRDefault="009F1356" w:rsidP="00A956F5">
      <w:pPr>
        <w:pStyle w:val="Style2"/>
        <w:numPr>
          <w:ilvl w:val="0"/>
          <w:numId w:val="36"/>
        </w:numPr>
      </w:pPr>
      <w:r w:rsidRPr="00DF7FA2">
        <w:t>Light Touch Regime Services including Healthcare services: £663,540</w:t>
      </w:r>
    </w:p>
    <w:p w14:paraId="7624B68F" w14:textId="77777777" w:rsidR="009F1356" w:rsidRPr="00DF7FA2" w:rsidRDefault="009F1356" w:rsidP="00A956F5">
      <w:pPr>
        <w:pStyle w:val="Style2"/>
        <w:numPr>
          <w:ilvl w:val="0"/>
          <w:numId w:val="36"/>
        </w:numPr>
      </w:pPr>
      <w:r w:rsidRPr="00DF7FA2">
        <w:t>Works £5,336,937.</w:t>
      </w:r>
    </w:p>
    <w:p w14:paraId="797C7A9D" w14:textId="59452544" w:rsidR="009F1356" w:rsidRPr="00DF7FA2" w:rsidRDefault="005B1384" w:rsidP="00A956F5">
      <w:pPr>
        <w:pStyle w:val="Style2"/>
      </w:pPr>
      <w:r>
        <w:t>F</w:t>
      </w:r>
      <w:r w:rsidR="009F1356" w:rsidRPr="00DF7FA2">
        <w:t xml:space="preserve">igures are inclusive of VAT and should include all extensions, prizes and renewals and reflect the cumulative annual contract value if the contract is for a period more than one year. </w:t>
      </w:r>
      <w:r w:rsidR="009F1356" w:rsidRPr="005B1384">
        <w:rPr>
          <w:rFonts w:eastAsia="Calibri"/>
        </w:rPr>
        <w:t>Contracts</w:t>
      </w:r>
      <w:r w:rsidR="009F1356" w:rsidRPr="00DF7FA2">
        <w:t xml:space="preserve"> must not be artificially broken down to avoid the application of the Regulations. However, even where NHS organisations make purchases which are below this limit then they will still need to ensure that they comply with the general principles of transparency, </w:t>
      </w:r>
      <w:proofErr w:type="gramStart"/>
      <w:r w:rsidR="009F1356" w:rsidRPr="00DF7FA2">
        <w:t>non-discrimination</w:t>
      </w:r>
      <w:proofErr w:type="gramEnd"/>
      <w:r w:rsidR="009F1356" w:rsidRPr="00DF7FA2">
        <w:t xml:space="preserve"> and proportionality by using those procedures (as set out below) (“the Procedures”). </w:t>
      </w:r>
    </w:p>
    <w:p w14:paraId="3778E42E" w14:textId="63712D69" w:rsidR="009F1356" w:rsidRPr="005A2406" w:rsidRDefault="009F1356" w:rsidP="00A956F5">
      <w:pPr>
        <w:pStyle w:val="Heading3"/>
        <w:rPr>
          <w:rFonts w:eastAsia="Calibri"/>
        </w:rPr>
      </w:pPr>
      <w:bookmarkStart w:id="57" w:name="_Toc104909058"/>
      <w:bookmarkStart w:id="58" w:name="_Toc124497600"/>
      <w:r w:rsidRPr="005A2406">
        <w:rPr>
          <w:rFonts w:eastAsia="Calibri"/>
        </w:rPr>
        <w:t xml:space="preserve">“Light Touch” Regime and </w:t>
      </w:r>
      <w:r w:rsidR="0027012F" w:rsidRPr="005A2406">
        <w:rPr>
          <w:rFonts w:eastAsia="Calibri"/>
        </w:rPr>
        <w:t>“</w:t>
      </w:r>
      <w:r w:rsidR="0037246E" w:rsidRPr="005A2406">
        <w:rPr>
          <w:rFonts w:eastAsia="Calibri"/>
        </w:rPr>
        <w:t>non-Light</w:t>
      </w:r>
      <w:r w:rsidRPr="005A2406">
        <w:rPr>
          <w:rFonts w:eastAsia="Calibri"/>
        </w:rPr>
        <w:t xml:space="preserve"> Touch” Regime Services</w:t>
      </w:r>
      <w:bookmarkEnd w:id="57"/>
      <w:bookmarkEnd w:id="58"/>
    </w:p>
    <w:p w14:paraId="33D67807" w14:textId="77777777" w:rsidR="009F1356" w:rsidRPr="009F1356" w:rsidRDefault="009F1356" w:rsidP="00A956F5">
      <w:pPr>
        <w:pStyle w:val="Style2"/>
        <w:rPr>
          <w:rFonts w:eastAsia="Calibri"/>
        </w:rPr>
      </w:pPr>
      <w:r w:rsidRPr="009F1356">
        <w:rPr>
          <w:rFonts w:eastAsia="Calibri"/>
        </w:rPr>
        <w:t xml:space="preserve">PCR 2015 </w:t>
      </w:r>
      <w:r w:rsidRPr="009F1356">
        <w:rPr>
          <w:rFonts w:eastAsia="Calibri"/>
          <w:i/>
          <w:iCs/>
        </w:rPr>
        <w:t>(as amended by The Public Procurement (Amendment etc.) (EU Exit) Regulations 2020)</w:t>
      </w:r>
      <w:r w:rsidRPr="009F1356">
        <w:rPr>
          <w:rFonts w:eastAsia="Calibri"/>
        </w:rPr>
        <w:t xml:space="preserve"> splits categories of Services into Schedule 3 (the “Light Touch” Regime) and Non-Schedule 3 (the non - “Light Touch” Regime). </w:t>
      </w:r>
    </w:p>
    <w:p w14:paraId="45C76AAD" w14:textId="2F28779D" w:rsidR="009F1356" w:rsidRPr="0027012F" w:rsidRDefault="009F1356" w:rsidP="00A956F5">
      <w:pPr>
        <w:pStyle w:val="ListParagraph"/>
        <w:numPr>
          <w:ilvl w:val="0"/>
          <w:numId w:val="37"/>
        </w:numPr>
      </w:pPr>
      <w:r w:rsidRPr="0027012F">
        <w:t>“</w:t>
      </w:r>
      <w:r w:rsidRPr="00A956F5">
        <w:rPr>
          <w:b/>
        </w:rPr>
        <w:t>Light Touch</w:t>
      </w:r>
      <w:r w:rsidRPr="0027012F">
        <w:t xml:space="preserve">” Regime Services </w:t>
      </w:r>
      <w:r w:rsidR="000D54DD">
        <w:t>define that</w:t>
      </w:r>
      <w:r w:rsidRPr="0027012F">
        <w:t xml:space="preserve"> only some of the procurement rules as set out in PCR 2015 (as amended by The Public Procurement (Amendment etc.) (EU Exit) Regulations 2020) apply. Healthcare Services fall under this category.</w:t>
      </w:r>
    </w:p>
    <w:p w14:paraId="0E54494A" w14:textId="0B310352" w:rsidR="009F1356" w:rsidRPr="0027012F" w:rsidRDefault="000D54DD" w:rsidP="00A956F5">
      <w:pPr>
        <w:pStyle w:val="ListParagraph"/>
        <w:numPr>
          <w:ilvl w:val="0"/>
          <w:numId w:val="37"/>
        </w:numPr>
      </w:pPr>
      <w:r w:rsidRPr="00A956F5">
        <w:rPr>
          <w:b/>
        </w:rPr>
        <w:t>“</w:t>
      </w:r>
      <w:r w:rsidR="009F1356" w:rsidRPr="00A956F5">
        <w:rPr>
          <w:b/>
        </w:rPr>
        <w:t>Non-Light Touch”</w:t>
      </w:r>
      <w:r w:rsidR="009F1356" w:rsidRPr="0027012F">
        <w:t xml:space="preserve"> Regime Services </w:t>
      </w:r>
      <w:r>
        <w:t>are those which</w:t>
      </w:r>
      <w:r w:rsidR="009F1356" w:rsidRPr="0027012F">
        <w:t xml:space="preserve"> are subject to the full rigour of the PCR 2015 (as amended by The Public Procurement (Amendment etc.) (EU Exit) Regulations 2020) and case law around the procurement rules. IT Services and Patient Transport Services </w:t>
      </w:r>
      <w:r w:rsidR="00994BF5">
        <w:t>a</w:t>
      </w:r>
      <w:r w:rsidR="009F1356" w:rsidRPr="0027012F">
        <w:t>re examples of services that may fall under this category.</w:t>
      </w:r>
    </w:p>
    <w:p w14:paraId="4C7035B7" w14:textId="261D6E15" w:rsidR="00136625" w:rsidRPr="005A2406" w:rsidRDefault="00676DC5" w:rsidP="00A956F5">
      <w:pPr>
        <w:pStyle w:val="Heading3"/>
        <w:rPr>
          <w:rFonts w:eastAsia="Calibri"/>
        </w:rPr>
      </w:pPr>
      <w:bookmarkStart w:id="59" w:name="_Toc124497601"/>
      <w:r w:rsidRPr="005A2406">
        <w:rPr>
          <w:rFonts w:eastAsia="Calibri"/>
        </w:rPr>
        <w:t>Joint Procurements</w:t>
      </w:r>
      <w:bookmarkEnd w:id="59"/>
    </w:p>
    <w:p w14:paraId="3012470A" w14:textId="399244F5" w:rsidR="00CC54CD" w:rsidRPr="00CE2FAC" w:rsidRDefault="00CC54CD" w:rsidP="00A956F5">
      <w:pPr>
        <w:pStyle w:val="Style2"/>
      </w:pPr>
      <w:r w:rsidRPr="00CE2FAC">
        <w:t xml:space="preserve">Where a </w:t>
      </w:r>
      <w:r w:rsidRPr="001274CD">
        <w:rPr>
          <w:rFonts w:eastAsia="Calibri"/>
          <w:color w:val="000000"/>
        </w:rPr>
        <w:t>joint</w:t>
      </w:r>
      <w:r w:rsidRPr="00CE2FAC">
        <w:t xml:space="preserve"> procurement is to be pursued by two or more </w:t>
      </w:r>
      <w:r>
        <w:t>ICB</w:t>
      </w:r>
      <w:r w:rsidRPr="00CE2FAC">
        <w:t>s</w:t>
      </w:r>
      <w:r>
        <w:t>, or 2 or more stakeholders within an ICS</w:t>
      </w:r>
      <w:r w:rsidRPr="00CE2FAC">
        <w:t xml:space="preserve">, then the procurement </w:t>
      </w:r>
      <w:r>
        <w:t>must</w:t>
      </w:r>
      <w:r w:rsidRPr="00CE2FAC">
        <w:t xml:space="preserve"> be underpinned by a Memorandum of Understanding and a Collaborative Agreement between the parties that will, as a minimum, set out</w:t>
      </w:r>
      <w:r w:rsidR="00A956F5">
        <w:t>:</w:t>
      </w:r>
    </w:p>
    <w:p w14:paraId="483C0BF8" w14:textId="77777777" w:rsidR="00CC54CD" w:rsidRPr="00CE2FAC" w:rsidRDefault="00CC54CD" w:rsidP="00A956F5">
      <w:pPr>
        <w:pStyle w:val="ListParagraph"/>
        <w:numPr>
          <w:ilvl w:val="0"/>
          <w:numId w:val="14"/>
        </w:numPr>
        <w:spacing w:before="0"/>
        <w:ind w:left="1701"/>
        <w:jc w:val="both"/>
        <w:rPr>
          <w:rFonts w:ascii="Arial" w:hAnsi="Arial" w:cs="Arial"/>
        </w:rPr>
      </w:pPr>
      <w:r w:rsidRPr="00CE2FAC">
        <w:rPr>
          <w:rFonts w:ascii="Arial" w:hAnsi="Arial" w:cs="Arial"/>
        </w:rPr>
        <w:t xml:space="preserve">the objectives of the procurement, </w:t>
      </w:r>
    </w:p>
    <w:p w14:paraId="42A411EB" w14:textId="77777777" w:rsidR="00CC54CD" w:rsidRPr="00CE2FAC" w:rsidRDefault="00CC54CD" w:rsidP="00A956F5">
      <w:pPr>
        <w:pStyle w:val="ListParagraph"/>
        <w:numPr>
          <w:ilvl w:val="0"/>
          <w:numId w:val="14"/>
        </w:numPr>
        <w:spacing w:before="0"/>
        <w:ind w:left="1701"/>
        <w:jc w:val="both"/>
        <w:rPr>
          <w:rFonts w:ascii="Arial" w:hAnsi="Arial" w:cs="Arial"/>
        </w:rPr>
      </w:pPr>
      <w:r w:rsidRPr="00CE2FAC">
        <w:rPr>
          <w:rFonts w:ascii="Arial" w:hAnsi="Arial" w:cs="Arial"/>
        </w:rPr>
        <w:t xml:space="preserve">identify which </w:t>
      </w:r>
      <w:r>
        <w:rPr>
          <w:rFonts w:ascii="Arial" w:hAnsi="Arial" w:cs="Arial"/>
        </w:rPr>
        <w:t>ICB</w:t>
      </w:r>
      <w:r w:rsidRPr="00CE2FAC">
        <w:rPr>
          <w:rFonts w:ascii="Arial" w:hAnsi="Arial" w:cs="Arial"/>
        </w:rPr>
        <w:t xml:space="preserve"> will act as the lead, </w:t>
      </w:r>
    </w:p>
    <w:p w14:paraId="2B5042A2" w14:textId="77777777" w:rsidR="00CC54CD" w:rsidRPr="00CE2FAC" w:rsidRDefault="00CC54CD" w:rsidP="00A956F5">
      <w:pPr>
        <w:pStyle w:val="ListParagraph"/>
        <w:numPr>
          <w:ilvl w:val="0"/>
          <w:numId w:val="14"/>
        </w:numPr>
        <w:spacing w:before="0"/>
        <w:ind w:left="1701"/>
        <w:jc w:val="both"/>
        <w:rPr>
          <w:rFonts w:ascii="Arial" w:hAnsi="Arial" w:cs="Arial"/>
        </w:rPr>
      </w:pPr>
      <w:r w:rsidRPr="00CE2FAC">
        <w:rPr>
          <w:rFonts w:ascii="Arial" w:hAnsi="Arial" w:cs="Arial"/>
        </w:rPr>
        <w:t xml:space="preserve">the approvals and reporting processes, </w:t>
      </w:r>
    </w:p>
    <w:p w14:paraId="411907A9" w14:textId="77777777" w:rsidR="00CC54CD" w:rsidRPr="00CE2FAC" w:rsidRDefault="00CC54CD" w:rsidP="00A956F5">
      <w:pPr>
        <w:pStyle w:val="ListParagraph"/>
        <w:numPr>
          <w:ilvl w:val="0"/>
          <w:numId w:val="14"/>
        </w:numPr>
        <w:spacing w:before="0"/>
        <w:ind w:left="1701"/>
        <w:jc w:val="both"/>
        <w:rPr>
          <w:rFonts w:ascii="Arial" w:hAnsi="Arial" w:cs="Arial"/>
        </w:rPr>
      </w:pPr>
      <w:r w:rsidRPr="00CE2FAC">
        <w:rPr>
          <w:rFonts w:ascii="Arial" w:hAnsi="Arial" w:cs="Arial"/>
        </w:rPr>
        <w:t xml:space="preserve">roles and responsibilities within the project, </w:t>
      </w:r>
    </w:p>
    <w:p w14:paraId="7847AAD1" w14:textId="77777777" w:rsidR="00CC54CD" w:rsidRPr="00CE2FAC" w:rsidRDefault="00CC54CD" w:rsidP="00A956F5">
      <w:pPr>
        <w:pStyle w:val="ListParagraph"/>
        <w:numPr>
          <w:ilvl w:val="0"/>
          <w:numId w:val="14"/>
        </w:numPr>
        <w:spacing w:before="0"/>
        <w:ind w:left="1701"/>
        <w:jc w:val="both"/>
        <w:rPr>
          <w:rFonts w:ascii="Arial" w:hAnsi="Arial" w:cs="Arial"/>
        </w:rPr>
      </w:pPr>
      <w:r w:rsidRPr="00CE2FAC">
        <w:rPr>
          <w:rFonts w:ascii="Arial" w:hAnsi="Arial" w:cs="Arial"/>
        </w:rPr>
        <w:t xml:space="preserve">how legal costs will be shared, </w:t>
      </w:r>
    </w:p>
    <w:p w14:paraId="70711E9E" w14:textId="77777777" w:rsidR="00CC54CD" w:rsidRPr="00CE2FAC" w:rsidRDefault="00CC54CD" w:rsidP="00A956F5">
      <w:pPr>
        <w:pStyle w:val="ListParagraph"/>
        <w:numPr>
          <w:ilvl w:val="0"/>
          <w:numId w:val="14"/>
        </w:numPr>
        <w:spacing w:before="0"/>
        <w:ind w:left="1701"/>
        <w:jc w:val="both"/>
        <w:rPr>
          <w:rFonts w:ascii="Arial" w:hAnsi="Arial" w:cs="Arial"/>
        </w:rPr>
      </w:pPr>
      <w:r w:rsidRPr="00CE2FAC">
        <w:rPr>
          <w:rFonts w:ascii="Arial" w:hAnsi="Arial" w:cs="Arial"/>
        </w:rPr>
        <w:t>how risks and benefits are shared</w:t>
      </w:r>
    </w:p>
    <w:p w14:paraId="3EB075A1" w14:textId="77777777" w:rsidR="00CC54CD" w:rsidRPr="00CE2FAC" w:rsidRDefault="00CC54CD" w:rsidP="00A956F5">
      <w:pPr>
        <w:pStyle w:val="ListParagraph"/>
        <w:numPr>
          <w:ilvl w:val="0"/>
          <w:numId w:val="14"/>
        </w:numPr>
        <w:spacing w:before="0"/>
        <w:ind w:left="1701"/>
        <w:jc w:val="both"/>
        <w:rPr>
          <w:rFonts w:ascii="Arial" w:hAnsi="Arial" w:cs="Arial"/>
        </w:rPr>
      </w:pPr>
      <w:r w:rsidRPr="00CE2FAC">
        <w:rPr>
          <w:rFonts w:ascii="Arial" w:hAnsi="Arial" w:cs="Arial"/>
        </w:rPr>
        <w:t xml:space="preserve">dispute resolution arrangements and </w:t>
      </w:r>
    </w:p>
    <w:p w14:paraId="129D806D" w14:textId="77777777" w:rsidR="00CC54CD" w:rsidRDefault="00CC54CD" w:rsidP="00A956F5">
      <w:pPr>
        <w:pStyle w:val="ListParagraph"/>
        <w:numPr>
          <w:ilvl w:val="0"/>
          <w:numId w:val="14"/>
        </w:numPr>
        <w:spacing w:before="0"/>
        <w:ind w:left="1701"/>
        <w:jc w:val="both"/>
        <w:rPr>
          <w:rFonts w:ascii="Arial" w:hAnsi="Arial" w:cs="Arial"/>
        </w:rPr>
      </w:pPr>
      <w:r w:rsidRPr="00CE2FAC">
        <w:rPr>
          <w:rFonts w:ascii="Arial" w:hAnsi="Arial" w:cs="Arial"/>
        </w:rPr>
        <w:t>exit arrangements from the procurement.</w:t>
      </w:r>
    </w:p>
    <w:p w14:paraId="00F5A26C" w14:textId="55885794" w:rsidR="00676DC5" w:rsidRPr="005A2406" w:rsidRDefault="00676DC5" w:rsidP="00A956F5">
      <w:pPr>
        <w:pStyle w:val="Heading3"/>
        <w:rPr>
          <w:rFonts w:eastAsia="Calibri"/>
        </w:rPr>
      </w:pPr>
      <w:bookmarkStart w:id="60" w:name="_Toc124497602"/>
      <w:r w:rsidRPr="005A2406">
        <w:rPr>
          <w:rFonts w:eastAsia="Calibri"/>
        </w:rPr>
        <w:t>Contract Extensions</w:t>
      </w:r>
      <w:bookmarkEnd w:id="60"/>
    </w:p>
    <w:p w14:paraId="79029151" w14:textId="77777777" w:rsidR="00F13A4A" w:rsidRPr="00F13A4A" w:rsidRDefault="00F13A4A" w:rsidP="00A956F5">
      <w:pPr>
        <w:pStyle w:val="Style2"/>
        <w:rPr>
          <w:rFonts w:eastAsia="Calibri"/>
        </w:rPr>
      </w:pPr>
      <w:r w:rsidRPr="00F13A4A">
        <w:rPr>
          <w:rFonts w:eastAsia="Calibri"/>
        </w:rPr>
        <w:t xml:space="preserve">A contract can be extended by mutual agreement between the ICB and a provider, only when </w:t>
      </w:r>
      <w:r w:rsidRPr="00F13A4A">
        <w:t>there</w:t>
      </w:r>
      <w:r w:rsidRPr="00F13A4A">
        <w:rPr>
          <w:rFonts w:eastAsia="Calibri"/>
        </w:rPr>
        <w:t xml:space="preserve"> is a valid extension provision available within the existing contract.</w:t>
      </w:r>
    </w:p>
    <w:p w14:paraId="453EC599" w14:textId="52195345" w:rsidR="00F13A4A" w:rsidRPr="00F13A4A" w:rsidRDefault="00F13A4A" w:rsidP="00A956F5">
      <w:pPr>
        <w:pStyle w:val="Style2"/>
        <w:rPr>
          <w:rFonts w:eastAsia="Calibri"/>
        </w:rPr>
      </w:pPr>
      <w:r w:rsidRPr="00F13A4A">
        <w:rPr>
          <w:rFonts w:eastAsia="Calibri"/>
        </w:rPr>
        <w:t>If there is no valid extension provision, or all extension provision has been fully utilised already</w:t>
      </w:r>
      <w:r w:rsidR="00C17484">
        <w:rPr>
          <w:rFonts w:eastAsia="Calibri"/>
        </w:rPr>
        <w:t>,</w:t>
      </w:r>
      <w:r w:rsidRPr="00F13A4A">
        <w:rPr>
          <w:rFonts w:eastAsia="Calibri"/>
        </w:rPr>
        <w:t xml:space="preserve"> and has or is expiring, the ICB cannot extend the contract further, unless one of the provisions of Regulation 72 applies (see ‘Modifications </w:t>
      </w:r>
      <w:r w:rsidR="00EF36AD">
        <w:rPr>
          <w:rFonts w:eastAsia="Calibri"/>
        </w:rPr>
        <w:t xml:space="preserve">(Variation) </w:t>
      </w:r>
      <w:r w:rsidRPr="00F13A4A">
        <w:rPr>
          <w:rFonts w:eastAsia="Calibri"/>
        </w:rPr>
        <w:t>of contracts during their term’).</w:t>
      </w:r>
    </w:p>
    <w:p w14:paraId="772C3B3B" w14:textId="1ED0F7F2" w:rsidR="00F13A4A" w:rsidRPr="00F13A4A" w:rsidRDefault="00F13A4A" w:rsidP="00A956F5">
      <w:pPr>
        <w:pStyle w:val="Style2"/>
        <w:rPr>
          <w:rFonts w:eastAsia="Calibri"/>
        </w:rPr>
      </w:pPr>
      <w:r w:rsidRPr="00F13A4A">
        <w:rPr>
          <w:rFonts w:eastAsia="Calibri"/>
        </w:rPr>
        <w:t xml:space="preserve">Where the ICB wishes to continue a Service with the same provider and there is no extension provision, or Regulation 72 is not met, the ICB must consider the procurement implications of such </w:t>
      </w:r>
      <w:r w:rsidR="004A7309">
        <w:rPr>
          <w:rFonts w:eastAsia="Calibri"/>
        </w:rPr>
        <w:t xml:space="preserve">a </w:t>
      </w:r>
      <w:r w:rsidRPr="00F13A4A">
        <w:rPr>
          <w:rFonts w:eastAsia="Calibri"/>
        </w:rPr>
        <w:t>decision, in accordance with PCR 2015 and the ICB Procurement Strategy and relevant Policies.</w:t>
      </w:r>
    </w:p>
    <w:p w14:paraId="0F320AB4" w14:textId="6DD4B222" w:rsidR="00BB4716" w:rsidRDefault="00F13A4A" w:rsidP="00A956F5">
      <w:pPr>
        <w:pStyle w:val="Style2"/>
        <w:rPr>
          <w:rFonts w:eastAsia="Calibri"/>
        </w:rPr>
      </w:pPr>
      <w:r w:rsidRPr="00F13A4A">
        <w:rPr>
          <w:rFonts w:eastAsia="Calibri"/>
        </w:rPr>
        <w:t>Any decision to single source to a provider for an additional term for delivery of the same service should be considered a direct award and should be accompanied by appropriate governance arrangements and Procurement Notices to the market accordingly.</w:t>
      </w:r>
    </w:p>
    <w:p w14:paraId="2C216864" w14:textId="4C79C50A" w:rsidR="0093475F" w:rsidRPr="00FD3F9B" w:rsidRDefault="000A6F86" w:rsidP="00A956F5">
      <w:pPr>
        <w:pStyle w:val="Heading3"/>
        <w:rPr>
          <w:rFonts w:eastAsia="Calibri"/>
        </w:rPr>
      </w:pPr>
      <w:bookmarkStart w:id="61" w:name="_Toc124497603"/>
      <w:r w:rsidRPr="000A6F86">
        <w:rPr>
          <w:rFonts w:eastAsia="Calibri"/>
        </w:rPr>
        <w:t>Modification (Variation) of contracts during their term</w:t>
      </w:r>
      <w:bookmarkEnd w:id="61"/>
    </w:p>
    <w:p w14:paraId="773A5E42" w14:textId="77777777" w:rsidR="00FA3C05" w:rsidRPr="00FA3C05" w:rsidRDefault="00FA3C05" w:rsidP="00A956F5">
      <w:pPr>
        <w:pStyle w:val="Style2"/>
        <w:rPr>
          <w:rFonts w:eastAsia="Calibri"/>
        </w:rPr>
      </w:pPr>
      <w:r w:rsidRPr="00FA3C05">
        <w:rPr>
          <w:rFonts w:eastAsia="Calibri"/>
        </w:rPr>
        <w:t>In accordance with regulation 72 of the PCR 2015 (as amended by The Public Procurement (Amendment etc.) (EU Exit) Regulations 2020), contracts over the Public Procurement Threshold may only be varied without a new procurement procedure in accordance with Regulation 72 (‘Part' 1) in any of the following cases:</w:t>
      </w:r>
    </w:p>
    <w:p w14:paraId="2E007DD6" w14:textId="3AD6ED1B" w:rsidR="00FA3C05" w:rsidRPr="00FA3C05" w:rsidRDefault="00FA3C05" w:rsidP="00402253">
      <w:pPr>
        <w:pStyle w:val="ListParagraph"/>
        <w:numPr>
          <w:ilvl w:val="0"/>
          <w:numId w:val="18"/>
        </w:numPr>
        <w:spacing w:before="0" w:after="120"/>
        <w:ind w:left="1491" w:hanging="357"/>
        <w:contextualSpacing w:val="0"/>
        <w:jc w:val="both"/>
        <w:rPr>
          <w:rFonts w:ascii="Arial" w:eastAsia="Calibri" w:hAnsi="Arial" w:cs="Arial"/>
          <w:color w:val="auto"/>
        </w:rPr>
      </w:pPr>
      <w:r w:rsidRPr="00FA3C05">
        <w:rPr>
          <w:rFonts w:ascii="Arial" w:eastAsia="Calibri" w:hAnsi="Arial" w:cs="Arial"/>
          <w:color w:val="auto"/>
        </w:rPr>
        <w:t xml:space="preserve">where modifications (irrespective of their monetary value) have been provided for in the original procurement documents and/or would not alter the nature of the contract. </w:t>
      </w:r>
    </w:p>
    <w:p w14:paraId="619A59F7" w14:textId="4D59E947" w:rsidR="00FA3C05" w:rsidRPr="00FA3C05" w:rsidRDefault="00FA3C05" w:rsidP="00402253">
      <w:pPr>
        <w:pStyle w:val="ListParagraph"/>
        <w:numPr>
          <w:ilvl w:val="0"/>
          <w:numId w:val="18"/>
        </w:numPr>
        <w:spacing w:before="0" w:after="120"/>
        <w:ind w:left="1491" w:hanging="357"/>
        <w:contextualSpacing w:val="0"/>
        <w:jc w:val="both"/>
        <w:rPr>
          <w:rFonts w:ascii="Arial" w:eastAsia="Calibri" w:hAnsi="Arial" w:cs="Arial"/>
          <w:color w:val="auto"/>
        </w:rPr>
      </w:pPr>
      <w:r w:rsidRPr="00FA3C05">
        <w:rPr>
          <w:rFonts w:ascii="Arial" w:eastAsia="Calibri" w:hAnsi="Arial" w:cs="Arial"/>
          <w:color w:val="auto"/>
        </w:rPr>
        <w:t>for additional services or supplies by the original contractor that have become necessary and were not included in the initial procurement and where a change of contractor</w:t>
      </w:r>
      <w:r w:rsidR="00B11471">
        <w:rPr>
          <w:rFonts w:ascii="Arial" w:eastAsia="Calibri" w:hAnsi="Arial" w:cs="Arial"/>
          <w:color w:val="auto"/>
        </w:rPr>
        <w:t>:</w:t>
      </w:r>
    </w:p>
    <w:p w14:paraId="6257212A" w14:textId="42D99789" w:rsidR="00FA3C05" w:rsidRPr="00B134FD" w:rsidRDefault="00FA3C05" w:rsidP="00402253">
      <w:pPr>
        <w:pStyle w:val="ListParagraph"/>
        <w:numPr>
          <w:ilvl w:val="0"/>
          <w:numId w:val="41"/>
        </w:numPr>
      </w:pPr>
      <w:r w:rsidRPr="00B134FD">
        <w:t xml:space="preserve">cannot be made for economic or technical reasons such as requirements of interchangeability or interoperability with existing equipment, services or installation procured under the initial procurement, or  </w:t>
      </w:r>
    </w:p>
    <w:p w14:paraId="43A0264B" w14:textId="59E5C5FA" w:rsidR="00FA3C05" w:rsidRDefault="00FA3C05" w:rsidP="00402253">
      <w:pPr>
        <w:pStyle w:val="ListParagraph"/>
        <w:numPr>
          <w:ilvl w:val="0"/>
          <w:numId w:val="41"/>
        </w:numPr>
      </w:pPr>
      <w:r w:rsidRPr="00FA3C05">
        <w:t xml:space="preserve">would cause significant inconvenience or substantial duplication of costs for the ICB. </w:t>
      </w:r>
    </w:p>
    <w:p w14:paraId="5EE8FF8E" w14:textId="5D49653A" w:rsidR="00B11471" w:rsidRPr="00B11471" w:rsidRDefault="005F3A45" w:rsidP="00402253">
      <w:pPr>
        <w:pStyle w:val="ListParagraph"/>
        <w:numPr>
          <w:ilvl w:val="0"/>
          <w:numId w:val="41"/>
        </w:numPr>
      </w:pPr>
      <w:r>
        <w:t xml:space="preserve">does not lead to </w:t>
      </w:r>
      <w:r w:rsidR="00B11471" w:rsidRPr="00B11471">
        <w:t xml:space="preserve">any increase in price </w:t>
      </w:r>
      <w:r>
        <w:t>which</w:t>
      </w:r>
      <w:r w:rsidR="00B11471" w:rsidRPr="00B11471">
        <w:t xml:space="preserve"> exceed</w:t>
      </w:r>
      <w:r>
        <w:t>s</w:t>
      </w:r>
      <w:r w:rsidR="00B11471" w:rsidRPr="00B11471">
        <w:t xml:space="preserve"> 50% of the value of the original contract</w:t>
      </w:r>
      <w:r>
        <w:t>.</w:t>
      </w:r>
    </w:p>
    <w:p w14:paraId="423DF985" w14:textId="00693928" w:rsidR="00FA3C05" w:rsidRPr="00FA3C05" w:rsidRDefault="00FA3C05" w:rsidP="00402253">
      <w:pPr>
        <w:pStyle w:val="ListParagraph"/>
        <w:numPr>
          <w:ilvl w:val="0"/>
          <w:numId w:val="18"/>
        </w:numPr>
        <w:spacing w:before="0" w:after="120"/>
        <w:ind w:left="1491" w:hanging="357"/>
        <w:contextualSpacing w:val="0"/>
        <w:jc w:val="both"/>
        <w:rPr>
          <w:rFonts w:ascii="Arial" w:eastAsia="Calibri" w:hAnsi="Arial" w:cs="Arial"/>
          <w:color w:val="auto"/>
        </w:rPr>
      </w:pPr>
      <w:r w:rsidRPr="00FA3C05">
        <w:rPr>
          <w:rFonts w:ascii="Arial" w:eastAsia="Calibri" w:hAnsi="Arial" w:cs="Arial"/>
          <w:color w:val="auto"/>
        </w:rPr>
        <w:t xml:space="preserve">where </w:t>
      </w:r>
      <w:r w:rsidR="00E73189" w:rsidRPr="00FA3C05">
        <w:rPr>
          <w:rFonts w:ascii="Arial" w:eastAsia="Calibri" w:hAnsi="Arial" w:cs="Arial"/>
          <w:color w:val="auto"/>
        </w:rPr>
        <w:t>all</w:t>
      </w:r>
      <w:r w:rsidRPr="00FA3C05">
        <w:rPr>
          <w:rFonts w:ascii="Arial" w:eastAsia="Calibri" w:hAnsi="Arial" w:cs="Arial"/>
          <w:color w:val="auto"/>
        </w:rPr>
        <w:t xml:space="preserve"> the following conditions are fulfilled: </w:t>
      </w:r>
    </w:p>
    <w:p w14:paraId="5C48EECD" w14:textId="106E35C6" w:rsidR="00FA3C05" w:rsidRPr="00402253" w:rsidRDefault="00FA3C05" w:rsidP="00402253">
      <w:pPr>
        <w:pStyle w:val="ListParagraph"/>
        <w:numPr>
          <w:ilvl w:val="0"/>
          <w:numId w:val="43"/>
        </w:numPr>
      </w:pPr>
      <w:r w:rsidRPr="00402253">
        <w:t xml:space="preserve">the need for modification has been brought about by circumstances which a diligent contracting authority could not have foreseen. </w:t>
      </w:r>
    </w:p>
    <w:p w14:paraId="74FE0589" w14:textId="1A8DDF40" w:rsidR="00FA3C05" w:rsidRPr="00402253" w:rsidRDefault="00FA3C05" w:rsidP="00402253">
      <w:pPr>
        <w:pStyle w:val="ListParagraph"/>
        <w:numPr>
          <w:ilvl w:val="0"/>
          <w:numId w:val="43"/>
        </w:numPr>
      </w:pPr>
      <w:r w:rsidRPr="00402253">
        <w:t xml:space="preserve">the modification does not alter the overall nature of the contract. </w:t>
      </w:r>
    </w:p>
    <w:p w14:paraId="50275B85" w14:textId="58976FEB" w:rsidR="00FA3C05" w:rsidRPr="00402253" w:rsidRDefault="00FA3C05" w:rsidP="00402253">
      <w:pPr>
        <w:pStyle w:val="ListParagraph"/>
        <w:numPr>
          <w:ilvl w:val="0"/>
          <w:numId w:val="43"/>
        </w:numPr>
      </w:pPr>
      <w:r w:rsidRPr="00402253">
        <w:t xml:space="preserve">any increase in price does not exceed 50% of the value of the original contract </w:t>
      </w:r>
    </w:p>
    <w:p w14:paraId="10EED5CF" w14:textId="7BD5523D" w:rsidR="00FA3C05" w:rsidRPr="00FA3C05" w:rsidRDefault="00854F79" w:rsidP="00402253">
      <w:pPr>
        <w:pStyle w:val="ListParagraph"/>
        <w:numPr>
          <w:ilvl w:val="0"/>
          <w:numId w:val="18"/>
        </w:numPr>
        <w:spacing w:before="0" w:after="120"/>
        <w:ind w:left="1491" w:hanging="357"/>
        <w:contextualSpacing w:val="0"/>
        <w:jc w:val="both"/>
        <w:rPr>
          <w:rFonts w:ascii="Arial" w:eastAsia="Calibri" w:hAnsi="Arial" w:cs="Arial"/>
          <w:color w:val="auto"/>
        </w:rPr>
      </w:pPr>
      <w:r>
        <w:rPr>
          <w:rFonts w:ascii="Arial" w:eastAsia="Calibri" w:hAnsi="Arial" w:cs="Arial"/>
          <w:color w:val="auto"/>
        </w:rPr>
        <w:t>w</w:t>
      </w:r>
      <w:r w:rsidR="00FA3C05" w:rsidRPr="00FA3C05">
        <w:rPr>
          <w:rFonts w:ascii="Arial" w:eastAsia="Calibri" w:hAnsi="Arial" w:cs="Arial"/>
          <w:color w:val="auto"/>
        </w:rPr>
        <w:t xml:space="preserve">here a new contractor replaces the original contractor e.g., in the case of a merger or takeover. </w:t>
      </w:r>
    </w:p>
    <w:p w14:paraId="04189141" w14:textId="2DE937C4" w:rsidR="00FA3C05" w:rsidRPr="00FA3C05" w:rsidRDefault="00FA3C05" w:rsidP="00402253">
      <w:pPr>
        <w:pStyle w:val="ListParagraph"/>
        <w:numPr>
          <w:ilvl w:val="0"/>
          <w:numId w:val="18"/>
        </w:numPr>
        <w:spacing w:before="0" w:after="120"/>
        <w:ind w:left="1491" w:hanging="357"/>
        <w:contextualSpacing w:val="0"/>
        <w:jc w:val="both"/>
        <w:rPr>
          <w:rFonts w:ascii="Arial" w:eastAsia="Calibri" w:hAnsi="Arial" w:cs="Arial"/>
          <w:color w:val="auto"/>
        </w:rPr>
      </w:pPr>
      <w:r w:rsidRPr="00FA3C05">
        <w:rPr>
          <w:rFonts w:ascii="Arial" w:eastAsia="Calibri" w:hAnsi="Arial" w:cs="Arial"/>
          <w:color w:val="auto"/>
        </w:rPr>
        <w:t xml:space="preserve">where the variation is not substantial (see list below at (f) defining what substantial means within the PCR 2015), represents less than 10% of the original value of the contract (for supply and service contracts) provided that the variation does not alter the overall nature of the contract. </w:t>
      </w:r>
    </w:p>
    <w:p w14:paraId="4D93E9B6" w14:textId="67781582" w:rsidR="00FA3C05" w:rsidRPr="00FA3C05" w:rsidRDefault="00854F79" w:rsidP="00402253">
      <w:pPr>
        <w:pStyle w:val="ListParagraph"/>
        <w:numPr>
          <w:ilvl w:val="0"/>
          <w:numId w:val="18"/>
        </w:numPr>
        <w:spacing w:before="0" w:after="120"/>
        <w:ind w:left="1491" w:hanging="357"/>
        <w:contextualSpacing w:val="0"/>
        <w:jc w:val="both"/>
        <w:rPr>
          <w:rFonts w:ascii="Arial" w:eastAsia="Calibri" w:hAnsi="Arial" w:cs="Arial"/>
          <w:color w:val="auto"/>
        </w:rPr>
      </w:pPr>
      <w:r>
        <w:rPr>
          <w:rFonts w:ascii="Arial" w:eastAsia="Calibri" w:hAnsi="Arial" w:cs="Arial"/>
          <w:color w:val="auto"/>
        </w:rPr>
        <w:t xml:space="preserve">A </w:t>
      </w:r>
      <w:r w:rsidR="00FA3C05" w:rsidRPr="00FA3C05">
        <w:rPr>
          <w:rFonts w:ascii="Arial" w:eastAsia="Calibri" w:hAnsi="Arial" w:cs="Arial"/>
          <w:color w:val="auto"/>
        </w:rPr>
        <w:t>variation of a contract during its term is considered substantial where one or more of the following conditions is met:</w:t>
      </w:r>
    </w:p>
    <w:p w14:paraId="3E79D0B8" w14:textId="6D78E166" w:rsidR="00FA3C05" w:rsidRPr="00FA3C05" w:rsidRDefault="00FA3C05" w:rsidP="00402253">
      <w:pPr>
        <w:spacing w:before="0" w:after="120"/>
        <w:ind w:left="1916" w:hanging="425"/>
        <w:jc w:val="both"/>
        <w:rPr>
          <w:rFonts w:ascii="Arial" w:eastAsia="Calibri" w:hAnsi="Arial" w:cs="Arial"/>
          <w:color w:val="auto"/>
        </w:rPr>
      </w:pPr>
      <w:r w:rsidRPr="00FA3C05">
        <w:rPr>
          <w:rFonts w:ascii="Arial" w:eastAsia="Calibri" w:hAnsi="Arial" w:cs="Arial"/>
          <w:color w:val="auto"/>
        </w:rPr>
        <w:t>(a)</w:t>
      </w:r>
      <w:r w:rsidR="00C00E70">
        <w:rPr>
          <w:rFonts w:ascii="Arial" w:eastAsia="Calibri" w:hAnsi="Arial" w:cs="Arial"/>
          <w:color w:val="auto"/>
        </w:rPr>
        <w:tab/>
      </w:r>
      <w:r w:rsidRPr="00FA3C05">
        <w:rPr>
          <w:rFonts w:ascii="Arial" w:eastAsia="Calibri" w:hAnsi="Arial" w:cs="Arial"/>
          <w:color w:val="auto"/>
        </w:rPr>
        <w:t>the variation renders the contract materially different in character from the one initially concluded</w:t>
      </w:r>
      <w:r w:rsidR="000F2DDB">
        <w:rPr>
          <w:rFonts w:ascii="Arial" w:eastAsia="Calibri" w:hAnsi="Arial" w:cs="Arial"/>
          <w:color w:val="auto"/>
        </w:rPr>
        <w:t>.</w:t>
      </w:r>
    </w:p>
    <w:p w14:paraId="6249085F" w14:textId="231FD40C" w:rsidR="00FA3C05" w:rsidRPr="00FA3C05" w:rsidRDefault="00FA3C05" w:rsidP="00402253">
      <w:pPr>
        <w:spacing w:before="0" w:after="120"/>
        <w:ind w:left="1916" w:hanging="425"/>
        <w:jc w:val="both"/>
        <w:rPr>
          <w:rFonts w:ascii="Arial" w:eastAsia="Calibri" w:hAnsi="Arial" w:cs="Arial"/>
          <w:color w:val="auto"/>
        </w:rPr>
      </w:pPr>
      <w:r w:rsidRPr="00FA3C05">
        <w:rPr>
          <w:rFonts w:ascii="Arial" w:eastAsia="Calibri" w:hAnsi="Arial" w:cs="Arial"/>
          <w:color w:val="auto"/>
        </w:rPr>
        <w:t>(b)</w:t>
      </w:r>
      <w:r w:rsidR="00897BF0">
        <w:rPr>
          <w:rFonts w:ascii="Arial" w:eastAsia="Calibri" w:hAnsi="Arial" w:cs="Arial"/>
          <w:color w:val="auto"/>
        </w:rPr>
        <w:tab/>
      </w:r>
      <w:r w:rsidRPr="00FA3C05">
        <w:rPr>
          <w:rFonts w:ascii="Arial" w:eastAsia="Calibri" w:hAnsi="Arial" w:cs="Arial"/>
          <w:color w:val="auto"/>
        </w:rPr>
        <w:t>the variation introduces conditions which, had they been part of the initial procurement procedure, would have:</w:t>
      </w:r>
    </w:p>
    <w:p w14:paraId="26D30313" w14:textId="61061401" w:rsidR="00FA3C05" w:rsidRPr="00402253" w:rsidRDefault="00FA3C05" w:rsidP="00402253">
      <w:pPr>
        <w:pStyle w:val="ListParagraph"/>
        <w:numPr>
          <w:ilvl w:val="0"/>
          <w:numId w:val="45"/>
        </w:numPr>
      </w:pPr>
      <w:r w:rsidRPr="00402253">
        <w:t>allowed for the admission of other candidates than those initially selected,</w:t>
      </w:r>
    </w:p>
    <w:p w14:paraId="0829AC39" w14:textId="63CCFCB4" w:rsidR="00FA3C05" w:rsidRPr="00402253" w:rsidRDefault="00FA3C05" w:rsidP="00402253">
      <w:pPr>
        <w:pStyle w:val="ListParagraph"/>
        <w:numPr>
          <w:ilvl w:val="0"/>
          <w:numId w:val="45"/>
        </w:numPr>
      </w:pPr>
      <w:r w:rsidRPr="00402253">
        <w:t>allowed for the acceptance of a tender other than that originally accepted, or</w:t>
      </w:r>
    </w:p>
    <w:p w14:paraId="41C0C2A6" w14:textId="35535C05" w:rsidR="00FA3C05" w:rsidRPr="00402253" w:rsidRDefault="00F84D7B" w:rsidP="00402253">
      <w:pPr>
        <w:pStyle w:val="ListParagraph"/>
        <w:numPr>
          <w:ilvl w:val="0"/>
          <w:numId w:val="45"/>
        </w:numPr>
      </w:pPr>
      <w:r w:rsidRPr="00402253">
        <w:t>attrac</w:t>
      </w:r>
      <w:r w:rsidR="00FA3C05" w:rsidRPr="00402253">
        <w:t>ted</w:t>
      </w:r>
      <w:r w:rsidRPr="00402253">
        <w:t xml:space="preserve"> </w:t>
      </w:r>
      <w:r w:rsidR="00FA3C05" w:rsidRPr="00402253">
        <w:t>additional participants in the procurement procedure</w:t>
      </w:r>
      <w:r w:rsidR="000F2DDB">
        <w:t>.</w:t>
      </w:r>
    </w:p>
    <w:p w14:paraId="1AF84023" w14:textId="0CC46FEA" w:rsidR="00FA3C05" w:rsidRPr="00FA3C05" w:rsidRDefault="00FA3C05" w:rsidP="00402253">
      <w:pPr>
        <w:spacing w:before="0" w:after="120"/>
        <w:ind w:left="1916" w:hanging="425"/>
        <w:jc w:val="both"/>
        <w:rPr>
          <w:rFonts w:ascii="Arial" w:eastAsia="Calibri" w:hAnsi="Arial" w:cs="Arial"/>
          <w:color w:val="auto"/>
        </w:rPr>
      </w:pPr>
      <w:r w:rsidRPr="00FA3C05">
        <w:rPr>
          <w:rFonts w:ascii="Arial" w:eastAsia="Calibri" w:hAnsi="Arial" w:cs="Arial"/>
          <w:color w:val="auto"/>
        </w:rPr>
        <w:t xml:space="preserve">(c) </w:t>
      </w:r>
      <w:r w:rsidR="0050750B">
        <w:rPr>
          <w:rFonts w:ascii="Arial" w:eastAsia="Calibri" w:hAnsi="Arial" w:cs="Arial"/>
          <w:color w:val="auto"/>
        </w:rPr>
        <w:t xml:space="preserve">  </w:t>
      </w:r>
      <w:r w:rsidRPr="00FA3C05">
        <w:rPr>
          <w:rFonts w:ascii="Arial" w:eastAsia="Calibri" w:hAnsi="Arial" w:cs="Arial"/>
          <w:color w:val="auto"/>
        </w:rPr>
        <w:t>the variation changes the economic balance of the contract in favour of the contractor in a manner which was not provided for in the initial contract</w:t>
      </w:r>
      <w:r w:rsidR="000F2DDB">
        <w:rPr>
          <w:rFonts w:ascii="Arial" w:eastAsia="Calibri" w:hAnsi="Arial" w:cs="Arial"/>
          <w:color w:val="auto"/>
        </w:rPr>
        <w:t>.</w:t>
      </w:r>
    </w:p>
    <w:p w14:paraId="40C12C6C" w14:textId="7678A0F9" w:rsidR="00FA3C05" w:rsidRPr="00FA3C05" w:rsidRDefault="00FA3C05" w:rsidP="00402253">
      <w:pPr>
        <w:spacing w:before="0" w:after="120"/>
        <w:ind w:left="1916" w:hanging="425"/>
        <w:jc w:val="both"/>
        <w:rPr>
          <w:rFonts w:ascii="Arial" w:eastAsia="Calibri" w:hAnsi="Arial" w:cs="Arial"/>
          <w:color w:val="auto"/>
        </w:rPr>
      </w:pPr>
      <w:r w:rsidRPr="00FA3C05">
        <w:rPr>
          <w:rFonts w:ascii="Arial" w:eastAsia="Calibri" w:hAnsi="Arial" w:cs="Arial"/>
          <w:color w:val="auto"/>
        </w:rPr>
        <w:t xml:space="preserve">(d) </w:t>
      </w:r>
      <w:r w:rsidR="0050750B">
        <w:rPr>
          <w:rFonts w:ascii="Arial" w:eastAsia="Calibri" w:hAnsi="Arial" w:cs="Arial"/>
          <w:color w:val="auto"/>
        </w:rPr>
        <w:t xml:space="preserve"> </w:t>
      </w:r>
      <w:r w:rsidRPr="00FA3C05">
        <w:rPr>
          <w:rFonts w:ascii="Arial" w:eastAsia="Calibri" w:hAnsi="Arial" w:cs="Arial"/>
          <w:color w:val="auto"/>
        </w:rPr>
        <w:t>the variation extends the scope of the contract considerably</w:t>
      </w:r>
      <w:r w:rsidR="000F2DDB">
        <w:rPr>
          <w:rFonts w:ascii="Arial" w:eastAsia="Calibri" w:hAnsi="Arial" w:cs="Arial"/>
          <w:color w:val="auto"/>
        </w:rPr>
        <w:t>.</w:t>
      </w:r>
    </w:p>
    <w:p w14:paraId="3363B0F6" w14:textId="059F24F6" w:rsidR="00BB4716" w:rsidRDefault="00FA3C05" w:rsidP="00402253">
      <w:pPr>
        <w:spacing w:before="0"/>
        <w:ind w:left="1916" w:hanging="425"/>
        <w:jc w:val="both"/>
        <w:rPr>
          <w:rFonts w:ascii="Arial" w:eastAsia="Calibri" w:hAnsi="Arial" w:cs="Arial"/>
          <w:color w:val="auto"/>
        </w:rPr>
      </w:pPr>
      <w:r w:rsidRPr="00FA3C05">
        <w:rPr>
          <w:rFonts w:ascii="Arial" w:eastAsia="Calibri" w:hAnsi="Arial" w:cs="Arial"/>
          <w:color w:val="auto"/>
        </w:rPr>
        <w:t xml:space="preserve">(e) </w:t>
      </w:r>
      <w:r w:rsidR="00402253">
        <w:rPr>
          <w:rFonts w:ascii="Arial" w:eastAsia="Calibri" w:hAnsi="Arial" w:cs="Arial"/>
          <w:color w:val="auto"/>
        </w:rPr>
        <w:t xml:space="preserve"> </w:t>
      </w:r>
      <w:r w:rsidRPr="00FA3C05">
        <w:rPr>
          <w:rFonts w:ascii="Arial" w:eastAsia="Calibri" w:hAnsi="Arial" w:cs="Arial"/>
          <w:color w:val="auto"/>
        </w:rPr>
        <w:t xml:space="preserve">a new contractor replaces the one to which the contracting authority had initially awarded the contract in cases other than those provided for in paragraph </w:t>
      </w:r>
      <w:r w:rsidR="00C95A6E">
        <w:rPr>
          <w:rFonts w:ascii="Arial" w:eastAsia="Calibri" w:hAnsi="Arial" w:cs="Arial"/>
          <w:color w:val="auto"/>
        </w:rPr>
        <w:t>6.4.7</w:t>
      </w:r>
      <w:r w:rsidR="00EF36AD">
        <w:rPr>
          <w:rFonts w:ascii="Arial" w:eastAsia="Calibri" w:hAnsi="Arial" w:cs="Arial"/>
          <w:color w:val="auto"/>
        </w:rPr>
        <w:t xml:space="preserve"> </w:t>
      </w:r>
      <w:r w:rsidRPr="00FA3C05">
        <w:rPr>
          <w:rFonts w:ascii="Arial" w:eastAsia="Calibri" w:hAnsi="Arial" w:cs="Arial"/>
          <w:color w:val="auto"/>
        </w:rPr>
        <w:t>(d).</w:t>
      </w:r>
    </w:p>
    <w:p w14:paraId="728C6386" w14:textId="426D419B" w:rsidR="00BB4716" w:rsidRPr="000646FA" w:rsidRDefault="00406FBE" w:rsidP="000646FA">
      <w:pPr>
        <w:pStyle w:val="Style2"/>
        <w:rPr>
          <w:rFonts w:eastAsia="Calibri"/>
        </w:rPr>
      </w:pPr>
      <w:r w:rsidRPr="00406FBE">
        <w:rPr>
          <w:rFonts w:eastAsia="Calibri"/>
        </w:rPr>
        <w:t>Modifications to contracts over the Public Procurement Threshold may also require completion of the tender waiver process and the publication of a Modification notice in the Find a Tender Service prior to the award. The advice of the</w:t>
      </w:r>
      <w:r>
        <w:rPr>
          <w:rFonts w:eastAsia="Calibri"/>
        </w:rPr>
        <w:t xml:space="preserve"> ICB</w:t>
      </w:r>
      <w:r w:rsidRPr="00406FBE">
        <w:rPr>
          <w:rFonts w:eastAsia="Calibri"/>
        </w:rPr>
        <w:t xml:space="preserve"> </w:t>
      </w:r>
      <w:r>
        <w:rPr>
          <w:rFonts w:eastAsia="Calibri"/>
        </w:rPr>
        <w:t>Purchase of Healthcare Team</w:t>
      </w:r>
      <w:r w:rsidRPr="00406FBE">
        <w:rPr>
          <w:rFonts w:eastAsia="Calibri"/>
        </w:rPr>
        <w:t xml:space="preserve"> must be sought in these circumstances.</w:t>
      </w:r>
    </w:p>
    <w:p w14:paraId="23CC4D28" w14:textId="1D9E8CF8" w:rsidR="00563264" w:rsidRPr="0042099A" w:rsidRDefault="0042099A" w:rsidP="000646FA">
      <w:pPr>
        <w:pStyle w:val="Heading3"/>
        <w:rPr>
          <w:rFonts w:eastAsia="Calibri"/>
        </w:rPr>
      </w:pPr>
      <w:bookmarkStart w:id="62" w:name="_Toc124497604"/>
      <w:r w:rsidRPr="0042099A">
        <w:rPr>
          <w:rFonts w:eastAsia="Calibri"/>
        </w:rPr>
        <w:t>Record Keeping</w:t>
      </w:r>
      <w:bookmarkEnd w:id="62"/>
    </w:p>
    <w:p w14:paraId="44CFB57B" w14:textId="26A87A46" w:rsidR="004D24CC" w:rsidRPr="000646FA" w:rsidRDefault="0042099A" w:rsidP="000646FA">
      <w:pPr>
        <w:pStyle w:val="Style2"/>
        <w:rPr>
          <w:rFonts w:eastAsia="Calibri"/>
        </w:rPr>
      </w:pPr>
      <w:r w:rsidRPr="0042099A">
        <w:rPr>
          <w:rFonts w:eastAsia="Calibri"/>
        </w:rPr>
        <w:t>All decisions shall be documented, including a clear rationale for the choices made.</w:t>
      </w:r>
    </w:p>
    <w:p w14:paraId="6AD81358" w14:textId="76F708B7" w:rsidR="00914BCF" w:rsidRPr="005C4F66" w:rsidRDefault="004D24CC" w:rsidP="000646FA">
      <w:pPr>
        <w:pStyle w:val="Heading2"/>
        <w:numPr>
          <w:ilvl w:val="0"/>
          <w:numId w:val="0"/>
        </w:numPr>
        <w:ind w:left="1134"/>
        <w:rPr>
          <w:rFonts w:eastAsia="Calibri"/>
        </w:rPr>
      </w:pPr>
      <w:bookmarkStart w:id="63" w:name="_Toc124497605"/>
      <w:r w:rsidRPr="005C4F66">
        <w:rPr>
          <w:rFonts w:eastAsia="Calibri"/>
        </w:rPr>
        <w:t>National Policy and Guidance</w:t>
      </w:r>
      <w:bookmarkEnd w:id="63"/>
    </w:p>
    <w:p w14:paraId="4FC83ED1" w14:textId="565ADDAD" w:rsidR="007E59B6" w:rsidRPr="00A40CEC" w:rsidRDefault="007E59B6" w:rsidP="000646FA">
      <w:pPr>
        <w:pStyle w:val="Heading3"/>
      </w:pPr>
      <w:bookmarkStart w:id="64" w:name="_Toc104909063"/>
      <w:bookmarkStart w:id="65" w:name="_Toc124497606"/>
      <w:r w:rsidRPr="00A40CEC">
        <w:t>Cabinet Office Guidelines</w:t>
      </w:r>
      <w:bookmarkEnd w:id="64"/>
      <w:bookmarkEnd w:id="65"/>
    </w:p>
    <w:p w14:paraId="05AD914E" w14:textId="77777777" w:rsidR="001E1C8F" w:rsidRDefault="007E59B6" w:rsidP="000646FA">
      <w:pPr>
        <w:pStyle w:val="Style2"/>
        <w:rPr>
          <w:rFonts w:eastAsia="Calibri"/>
        </w:rPr>
      </w:pPr>
      <w:r w:rsidRPr="007E59B6">
        <w:rPr>
          <w:rFonts w:eastAsia="Calibri"/>
        </w:rPr>
        <w:t xml:space="preserve">The ICB must comply with Cabinet Office policy and guidance by publishing all tender </w:t>
      </w:r>
      <w:r w:rsidRPr="00A40CEC">
        <w:rPr>
          <w:rFonts w:eastAsia="Calibri"/>
        </w:rPr>
        <w:t>opportunities</w:t>
      </w:r>
      <w:r w:rsidRPr="007E59B6">
        <w:rPr>
          <w:rFonts w:eastAsia="Calibri"/>
        </w:rPr>
        <w:t xml:space="preserve"> and contract awards over £25,000 on Contracts Finder.</w:t>
      </w:r>
      <w:r w:rsidR="001E1C8F">
        <w:rPr>
          <w:rFonts w:eastAsia="Calibri"/>
        </w:rPr>
        <w:t xml:space="preserve"> </w:t>
      </w:r>
      <w:r w:rsidRPr="007E59B6">
        <w:rPr>
          <w:rFonts w:eastAsia="Calibri"/>
        </w:rPr>
        <w:t>This obligation only arises if the authority has advertised the contract opportunity elsewhere (e.g., on its website).</w:t>
      </w:r>
    </w:p>
    <w:p w14:paraId="501EBE94" w14:textId="5ADCAE11" w:rsidR="007E59B6" w:rsidRPr="007E59B6" w:rsidRDefault="001E1C8F" w:rsidP="000646FA">
      <w:pPr>
        <w:pStyle w:val="Style2"/>
        <w:rPr>
          <w:rFonts w:eastAsia="Calibri"/>
        </w:rPr>
      </w:pPr>
      <w:r>
        <w:rPr>
          <w:rFonts w:eastAsia="Calibri"/>
        </w:rPr>
        <w:t>I</w:t>
      </w:r>
      <w:r w:rsidR="007E59B6" w:rsidRPr="007E59B6">
        <w:rPr>
          <w:rFonts w:eastAsia="Calibri"/>
        </w:rPr>
        <w:t xml:space="preserve">n line with the NHS (Procurement, Patient </w:t>
      </w:r>
      <w:proofErr w:type="gramStart"/>
      <w:r w:rsidR="007E59B6" w:rsidRPr="007E59B6">
        <w:rPr>
          <w:rFonts w:eastAsia="Calibri"/>
        </w:rPr>
        <w:t>Choice</w:t>
      </w:r>
      <w:proofErr w:type="gramEnd"/>
      <w:r w:rsidR="007E59B6" w:rsidRPr="007E59B6">
        <w:rPr>
          <w:rFonts w:eastAsia="Calibri"/>
        </w:rPr>
        <w:t xml:space="preserve"> and Competition) (No.2) Regulations 2013, </w:t>
      </w:r>
      <w:r>
        <w:rPr>
          <w:rFonts w:eastAsia="Calibri"/>
        </w:rPr>
        <w:t>i</w:t>
      </w:r>
      <w:r w:rsidR="007E59B6" w:rsidRPr="007E59B6">
        <w:rPr>
          <w:rFonts w:eastAsia="Calibri"/>
        </w:rPr>
        <w:t xml:space="preserve">f </w:t>
      </w:r>
      <w:r>
        <w:rPr>
          <w:rFonts w:eastAsia="Calibri"/>
        </w:rPr>
        <w:t>the ICB</w:t>
      </w:r>
      <w:r w:rsidR="007E59B6" w:rsidRPr="007E59B6">
        <w:rPr>
          <w:rFonts w:eastAsia="Calibri"/>
        </w:rPr>
        <w:t xml:space="preserve"> decides to publish an intention to seek offers from providers in relation to a new contract for the provision of NHS healthcare services, it must publish a contract notice on Contracts Finder.</w:t>
      </w:r>
    </w:p>
    <w:p w14:paraId="46821339" w14:textId="6FC1EE4D" w:rsidR="007E59B6" w:rsidRPr="001E1C8F" w:rsidRDefault="007E59B6" w:rsidP="000646FA">
      <w:pPr>
        <w:pStyle w:val="Heading3"/>
      </w:pPr>
      <w:bookmarkStart w:id="66" w:name="_Toc355187313"/>
      <w:bookmarkStart w:id="67" w:name="_Toc420662733"/>
      <w:bookmarkStart w:id="68" w:name="_Toc104909064"/>
      <w:bookmarkStart w:id="69" w:name="_Toc124497607"/>
      <w:r w:rsidRPr="001E1C8F">
        <w:t>NHS Constitution</w:t>
      </w:r>
      <w:bookmarkEnd w:id="66"/>
      <w:bookmarkEnd w:id="67"/>
      <w:bookmarkEnd w:id="68"/>
      <w:bookmarkEnd w:id="69"/>
    </w:p>
    <w:p w14:paraId="07285B49" w14:textId="51A64A6B" w:rsidR="007E59B6" w:rsidRPr="007E59B6" w:rsidRDefault="007E59B6" w:rsidP="000646FA">
      <w:pPr>
        <w:pStyle w:val="Style2"/>
        <w:rPr>
          <w:rFonts w:eastAsia="Calibri"/>
        </w:rPr>
      </w:pPr>
      <w:r w:rsidRPr="007E59B6">
        <w:rPr>
          <w:rFonts w:eastAsia="Calibri"/>
        </w:rPr>
        <w:t>The NHS will have to ensure that any of its procurement activities or market interventions take account of the provision of the Constitution and any associated D</w:t>
      </w:r>
      <w:r w:rsidR="008F51CE">
        <w:rPr>
          <w:rFonts w:eastAsia="Calibri"/>
        </w:rPr>
        <w:t>epartment of Health and Social Care (D</w:t>
      </w:r>
      <w:r w:rsidRPr="007E59B6">
        <w:rPr>
          <w:rFonts w:eastAsia="Calibri"/>
        </w:rPr>
        <w:t>HSC</w:t>
      </w:r>
      <w:r w:rsidR="008F51CE">
        <w:rPr>
          <w:rFonts w:eastAsia="Calibri"/>
        </w:rPr>
        <w:t>)</w:t>
      </w:r>
      <w:r w:rsidRPr="007E59B6">
        <w:rPr>
          <w:rFonts w:eastAsia="Calibri"/>
        </w:rPr>
        <w:t xml:space="preserve"> policies and guidance documents</w:t>
      </w:r>
      <w:r w:rsidR="001E1C8F">
        <w:rPr>
          <w:rFonts w:eastAsia="Calibri"/>
        </w:rPr>
        <w:t>.</w:t>
      </w:r>
      <w:r w:rsidRPr="007E59B6">
        <w:rPr>
          <w:rFonts w:eastAsia="Calibri"/>
        </w:rPr>
        <w:t xml:space="preserve"> </w:t>
      </w:r>
    </w:p>
    <w:p w14:paraId="4884557D" w14:textId="5C3053A9" w:rsidR="00331AD7" w:rsidRPr="0038462F" w:rsidRDefault="0038462F" w:rsidP="000646FA">
      <w:pPr>
        <w:pStyle w:val="Heading3"/>
      </w:pPr>
      <w:bookmarkStart w:id="70" w:name="_Toc420662737"/>
      <w:bookmarkStart w:id="71" w:name="_Toc104909068"/>
      <w:bookmarkStart w:id="72" w:name="_Toc124497608"/>
      <w:r w:rsidRPr="0038462F">
        <w:t>The</w:t>
      </w:r>
      <w:r w:rsidR="00331AD7" w:rsidRPr="0038462F">
        <w:t xml:space="preserve"> NHS (Procurement, Patient Choice &amp; Competition) (No.2) Regulations 2013</w:t>
      </w:r>
      <w:bookmarkEnd w:id="70"/>
      <w:bookmarkEnd w:id="71"/>
      <w:bookmarkEnd w:id="72"/>
    </w:p>
    <w:p w14:paraId="17D07341" w14:textId="5DCC42A9" w:rsidR="00331AD7" w:rsidRPr="00331AD7" w:rsidRDefault="00331AD7" w:rsidP="000646FA">
      <w:pPr>
        <w:pStyle w:val="Style2"/>
        <w:rPr>
          <w:rFonts w:eastAsia="Calibri"/>
        </w:rPr>
      </w:pPr>
      <w:r w:rsidRPr="00331AD7">
        <w:rPr>
          <w:rFonts w:eastAsia="Calibri"/>
        </w:rPr>
        <w:t xml:space="preserve">The </w:t>
      </w:r>
      <w:r w:rsidRPr="0038462F">
        <w:rPr>
          <w:rFonts w:eastAsia="Calibri"/>
          <w:color w:val="000000"/>
        </w:rPr>
        <w:t>regulations</w:t>
      </w:r>
      <w:r w:rsidRPr="00331AD7">
        <w:rPr>
          <w:rFonts w:eastAsia="Calibri"/>
        </w:rPr>
        <w:t xml:space="preserve"> set out requirements </w:t>
      </w:r>
      <w:r w:rsidR="00760E37">
        <w:rPr>
          <w:rFonts w:eastAsia="Calibri"/>
        </w:rPr>
        <w:t>for the purchase</w:t>
      </w:r>
      <w:r w:rsidRPr="00331AD7">
        <w:rPr>
          <w:rFonts w:eastAsia="Calibri"/>
        </w:rPr>
        <w:t xml:space="preserve"> of healthcare services including rules for ensuring transparency and non-discrimination in </w:t>
      </w:r>
      <w:r w:rsidR="00760E37">
        <w:rPr>
          <w:rFonts w:eastAsia="Calibri"/>
        </w:rPr>
        <w:t>procurement</w:t>
      </w:r>
      <w:r w:rsidRPr="00331AD7">
        <w:rPr>
          <w:rFonts w:eastAsia="Calibri"/>
        </w:rPr>
        <w:t xml:space="preserve"> activities.</w:t>
      </w:r>
      <w:r w:rsidR="0038462F">
        <w:rPr>
          <w:rFonts w:eastAsia="Calibri"/>
        </w:rPr>
        <w:t xml:space="preserve"> </w:t>
      </w:r>
      <w:r w:rsidR="00760E37">
        <w:rPr>
          <w:rFonts w:eastAsia="Calibri"/>
        </w:rPr>
        <w:t>The ICB must:</w:t>
      </w:r>
    </w:p>
    <w:p w14:paraId="32E24C19" w14:textId="43BA21C1" w:rsidR="00331AD7" w:rsidRPr="00E1111D" w:rsidRDefault="00331AD7" w:rsidP="000646FA">
      <w:pPr>
        <w:pStyle w:val="Style2"/>
        <w:numPr>
          <w:ilvl w:val="0"/>
          <w:numId w:val="38"/>
        </w:numPr>
      </w:pPr>
      <w:r w:rsidRPr="00E1111D">
        <w:t xml:space="preserve">act with a view to securing patients' needs and improving the quality and efficiency of the service. </w:t>
      </w:r>
    </w:p>
    <w:p w14:paraId="2E8E1980" w14:textId="2C40E3E5" w:rsidR="00331AD7" w:rsidRPr="00E1111D" w:rsidRDefault="00331AD7" w:rsidP="000646FA">
      <w:pPr>
        <w:pStyle w:val="Style2"/>
        <w:numPr>
          <w:ilvl w:val="0"/>
          <w:numId w:val="38"/>
        </w:numPr>
      </w:pPr>
      <w:r w:rsidRPr="00E1111D">
        <w:t xml:space="preserve">act in a transparent and proportionate way and treat bidders equally and in a non-discriminatory way. </w:t>
      </w:r>
    </w:p>
    <w:p w14:paraId="1C7502BE" w14:textId="59FBDCA0" w:rsidR="00331AD7" w:rsidRPr="00E1111D" w:rsidRDefault="000F3B21" w:rsidP="000646FA">
      <w:pPr>
        <w:pStyle w:val="Style2"/>
        <w:numPr>
          <w:ilvl w:val="0"/>
          <w:numId w:val="38"/>
        </w:numPr>
      </w:pPr>
      <w:r>
        <w:t xml:space="preserve">ensure that </w:t>
      </w:r>
      <w:r w:rsidR="00331AD7" w:rsidRPr="00E1111D">
        <w:t xml:space="preserve">where third parties assist or support in </w:t>
      </w:r>
      <w:r>
        <w:t>a</w:t>
      </w:r>
      <w:r w:rsidR="00331AD7" w:rsidRPr="00E1111D">
        <w:t xml:space="preserve"> procurement activity, th</w:t>
      </w:r>
      <w:r>
        <w:t>at</w:t>
      </w:r>
      <w:r w:rsidR="00331AD7" w:rsidRPr="00E1111D">
        <w:t xml:space="preserve"> </w:t>
      </w:r>
      <w:r>
        <w:t>third party</w:t>
      </w:r>
      <w:r w:rsidR="00331AD7" w:rsidRPr="00E1111D">
        <w:t xml:space="preserve"> must ensure that they follow the requirements of the Regulations in the same way the </w:t>
      </w:r>
      <w:r>
        <w:t>ICB</w:t>
      </w:r>
      <w:r w:rsidR="00331AD7" w:rsidRPr="00E1111D">
        <w:t xml:space="preserve"> must do itself,</w:t>
      </w:r>
    </w:p>
    <w:p w14:paraId="4FF6F230" w14:textId="27DC9935" w:rsidR="00331AD7" w:rsidRPr="00E1111D" w:rsidRDefault="00331AD7" w:rsidP="000646FA">
      <w:pPr>
        <w:pStyle w:val="Style2"/>
        <w:numPr>
          <w:ilvl w:val="0"/>
          <w:numId w:val="38"/>
        </w:numPr>
      </w:pPr>
      <w:r w:rsidRPr="00E1111D">
        <w:t>maintain and publish a record of each contract awarded for the provision of healthcare services,</w:t>
      </w:r>
    </w:p>
    <w:p w14:paraId="4FB5F9FF" w14:textId="72814989" w:rsidR="00331AD7" w:rsidRPr="00E1111D" w:rsidRDefault="00331AD7" w:rsidP="000646FA">
      <w:pPr>
        <w:pStyle w:val="Style2"/>
        <w:numPr>
          <w:ilvl w:val="0"/>
          <w:numId w:val="38"/>
        </w:numPr>
      </w:pPr>
      <w:r w:rsidRPr="00E1111D">
        <w:t>not engage in anti-competitive behaviour unless in the interests of patients,</w:t>
      </w:r>
    </w:p>
    <w:p w14:paraId="13448E52" w14:textId="2462553B" w:rsidR="00331AD7" w:rsidRPr="00E1111D" w:rsidRDefault="00331AD7" w:rsidP="000646FA">
      <w:pPr>
        <w:pStyle w:val="Style2"/>
        <w:numPr>
          <w:ilvl w:val="0"/>
          <w:numId w:val="38"/>
        </w:numPr>
      </w:pPr>
      <w:r w:rsidRPr="00E1111D">
        <w:t>maintain a record of how any conflicts of interest between commissioners and providers are managed,</w:t>
      </w:r>
    </w:p>
    <w:p w14:paraId="48149BBB" w14:textId="2C8AD151" w:rsidR="00331AD7" w:rsidRPr="00E1111D" w:rsidRDefault="00331AD7" w:rsidP="000646FA">
      <w:pPr>
        <w:pStyle w:val="Style2"/>
        <w:numPr>
          <w:ilvl w:val="0"/>
          <w:numId w:val="38"/>
        </w:numPr>
      </w:pPr>
      <w:r w:rsidRPr="00E1111D">
        <w:t>maintain a record of how, in awarding the contract, the ICB complies with certain statutory duties under the NHS Act 2006,</w:t>
      </w:r>
    </w:p>
    <w:p w14:paraId="59A73AC3" w14:textId="77777777" w:rsidR="00331AD7" w:rsidRPr="00E1111D" w:rsidRDefault="00331AD7" w:rsidP="000646FA">
      <w:pPr>
        <w:pStyle w:val="Style2"/>
        <w:numPr>
          <w:ilvl w:val="0"/>
          <w:numId w:val="38"/>
        </w:numPr>
      </w:pPr>
      <w:r w:rsidRPr="00E1111D">
        <w:t>provide thorough justification if competition not required where services are only capable of being provided by a particular provider,</w:t>
      </w:r>
    </w:p>
    <w:p w14:paraId="7F861EE8" w14:textId="648CCA32" w:rsidR="00331AD7" w:rsidRPr="00E1111D" w:rsidRDefault="00331AD7" w:rsidP="000646FA">
      <w:pPr>
        <w:pStyle w:val="Style2"/>
        <w:numPr>
          <w:ilvl w:val="0"/>
          <w:numId w:val="38"/>
        </w:numPr>
      </w:pPr>
      <w:r w:rsidRPr="00E1111D">
        <w:t>publish contract notices (if applicable) and facilitate expressions of interest.</w:t>
      </w:r>
    </w:p>
    <w:p w14:paraId="575CA2D7" w14:textId="5BA885C1" w:rsidR="00331AD7" w:rsidRPr="00E1111D" w:rsidRDefault="00331AD7" w:rsidP="000646FA">
      <w:pPr>
        <w:pStyle w:val="Style2"/>
        <w:numPr>
          <w:ilvl w:val="0"/>
          <w:numId w:val="38"/>
        </w:numPr>
      </w:pPr>
      <w:r w:rsidRPr="00E1111D">
        <w:t xml:space="preserve">consider improving quality and efficiency of services through providing services in an integrated way, enabling providers to </w:t>
      </w:r>
      <w:r w:rsidR="00560127" w:rsidRPr="00E1111D">
        <w:t>compete,</w:t>
      </w:r>
      <w:r w:rsidRPr="00E1111D">
        <w:t xml:space="preserve"> and allowing patients a choice of provider.</w:t>
      </w:r>
    </w:p>
    <w:p w14:paraId="17DFF5FD" w14:textId="324A8D0E" w:rsidR="00331AD7" w:rsidRPr="00734785" w:rsidRDefault="00331AD7" w:rsidP="000646FA">
      <w:pPr>
        <w:pStyle w:val="Heading3"/>
      </w:pPr>
      <w:bookmarkStart w:id="73" w:name="_Toc104909069"/>
      <w:bookmarkStart w:id="74" w:name="_Toc124497609"/>
      <w:r w:rsidRPr="00734785">
        <w:t>ICB obligations in respect of Section 256 Agreements</w:t>
      </w:r>
      <w:bookmarkEnd w:id="73"/>
      <w:bookmarkEnd w:id="74"/>
    </w:p>
    <w:p w14:paraId="05ECA343" w14:textId="79CD7E49" w:rsidR="00331AD7" w:rsidRPr="00331AD7" w:rsidRDefault="00331AD7" w:rsidP="000646FA">
      <w:pPr>
        <w:pStyle w:val="Style2"/>
        <w:rPr>
          <w:rFonts w:eastAsia="Calibri"/>
        </w:rPr>
      </w:pPr>
      <w:r w:rsidRPr="00331AD7">
        <w:rPr>
          <w:rFonts w:eastAsia="Calibri"/>
        </w:rPr>
        <w:t xml:space="preserve">The ICB must meet several conditions when making a grant under </w:t>
      </w:r>
      <w:r w:rsidR="00734785">
        <w:rPr>
          <w:rFonts w:eastAsia="Calibri"/>
        </w:rPr>
        <w:t xml:space="preserve">a Section </w:t>
      </w:r>
      <w:r w:rsidRPr="00331AD7">
        <w:rPr>
          <w:rFonts w:eastAsia="Calibri"/>
        </w:rPr>
        <w:t xml:space="preserve">256, </w:t>
      </w:r>
      <w:r w:rsidR="00734785">
        <w:rPr>
          <w:rFonts w:eastAsia="Calibri"/>
        </w:rPr>
        <w:t>which</w:t>
      </w:r>
      <w:r w:rsidRPr="00331AD7">
        <w:rPr>
          <w:rFonts w:eastAsia="Calibri"/>
        </w:rPr>
        <w:t xml:space="preserve"> are set out in the NHS (Conditions Relating to Grant Payments by NHS Bodies to Local Authorities) Directions 2013:</w:t>
      </w:r>
    </w:p>
    <w:p w14:paraId="623FE53B" w14:textId="0F1AA3B5" w:rsidR="00331AD7" w:rsidRPr="00734785" w:rsidRDefault="0067237A" w:rsidP="000646FA">
      <w:pPr>
        <w:pStyle w:val="Style2"/>
        <w:numPr>
          <w:ilvl w:val="0"/>
          <w:numId w:val="39"/>
        </w:numPr>
      </w:pPr>
      <w:r>
        <w:t>t</w:t>
      </w:r>
      <w:r w:rsidR="00331AD7" w:rsidRPr="00734785">
        <w:t>he ICB is satisfied that the payment is likely to secure a more effective use of public funds than the deployment of an equivalent amount on the provision of health services.</w:t>
      </w:r>
    </w:p>
    <w:p w14:paraId="4849E27F" w14:textId="6D147694" w:rsidR="00331AD7" w:rsidRPr="00734785" w:rsidRDefault="009C3EA6" w:rsidP="000646FA">
      <w:pPr>
        <w:pStyle w:val="Style2"/>
        <w:numPr>
          <w:ilvl w:val="0"/>
          <w:numId w:val="39"/>
        </w:numPr>
      </w:pPr>
      <w:r>
        <w:t>w</w:t>
      </w:r>
      <w:r w:rsidR="00331AD7" w:rsidRPr="00734785">
        <w:t>here the grant payment is to meet all or part of the capital costs of a project, the grant amount must be determined before the project begins.</w:t>
      </w:r>
    </w:p>
    <w:p w14:paraId="558308B6" w14:textId="1E8C9B1A" w:rsidR="00331AD7" w:rsidRPr="00734785" w:rsidRDefault="00331AD7" w:rsidP="000646FA">
      <w:pPr>
        <w:pStyle w:val="Style2"/>
        <w:numPr>
          <w:ilvl w:val="0"/>
          <w:numId w:val="39"/>
        </w:numPr>
      </w:pPr>
      <w:r w:rsidRPr="00734785">
        <w:t xml:space="preserve">where the grant payment will be used by the local authority to fund part of a project, the ICB must be satisfied that the local authority intends to meet the remaining costs of the project. The ICB must also be satisfied that this will continue for as long as both the ICB and the local authority consider the project to be necessary or desirable. </w:t>
      </w:r>
    </w:p>
    <w:p w14:paraId="1EF22182" w14:textId="76AB5F4F" w:rsidR="00331AD7" w:rsidRPr="00734785" w:rsidRDefault="009C3EA6" w:rsidP="000646FA">
      <w:pPr>
        <w:pStyle w:val="Style2"/>
        <w:numPr>
          <w:ilvl w:val="0"/>
          <w:numId w:val="39"/>
        </w:numPr>
      </w:pPr>
      <w:r>
        <w:t>t</w:t>
      </w:r>
      <w:r w:rsidR="00331AD7" w:rsidRPr="00734785">
        <w:t>he ICB must ensure, so far as is practicable, that the payment is used by the local authority in such a way as will secure the most efficient and effective use of the amount paid.</w:t>
      </w:r>
    </w:p>
    <w:p w14:paraId="49FC4793" w14:textId="1CC91CBA" w:rsidR="00331AD7" w:rsidRPr="00734785" w:rsidRDefault="009C3EA6" w:rsidP="000646FA">
      <w:pPr>
        <w:pStyle w:val="Style2"/>
        <w:numPr>
          <w:ilvl w:val="0"/>
          <w:numId w:val="39"/>
        </w:numPr>
      </w:pPr>
      <w:r>
        <w:t>i</w:t>
      </w:r>
      <w:r w:rsidR="00331AD7" w:rsidRPr="00734785">
        <w:t>f</w:t>
      </w:r>
      <w:r>
        <w:t>,</w:t>
      </w:r>
      <w:r w:rsidR="00331AD7" w:rsidRPr="00734785">
        <w:t xml:space="preserve"> </w:t>
      </w:r>
      <w:proofErr w:type="gramStart"/>
      <w:r w:rsidR="00331AD7" w:rsidRPr="00734785">
        <w:t>during the course of</w:t>
      </w:r>
      <w:proofErr w:type="gramEnd"/>
      <w:r w:rsidR="00331AD7" w:rsidRPr="00734785">
        <w:t xml:space="preserve"> the grant period, the local authority reduces the level of service it provides below the level originally agreed then the ICB may reduce accordingly the amount of any further payments so far as is practicable</w:t>
      </w:r>
      <w:r w:rsidR="002A2829">
        <w:t xml:space="preserve"> to </w:t>
      </w:r>
      <w:r w:rsidR="00331AD7" w:rsidRPr="00734785">
        <w:t>ensure that the payment is used by local authority in such a way as will secure the most efficient and effective use of the amount paid.</w:t>
      </w:r>
    </w:p>
    <w:p w14:paraId="6E582912" w14:textId="167C00BB" w:rsidR="00CD4405" w:rsidRPr="00734785" w:rsidRDefault="002A2829" w:rsidP="000646FA">
      <w:pPr>
        <w:pStyle w:val="Style2"/>
        <w:numPr>
          <w:ilvl w:val="0"/>
          <w:numId w:val="39"/>
        </w:numPr>
      </w:pPr>
      <w:r>
        <w:t>t</w:t>
      </w:r>
      <w:r w:rsidR="00331AD7" w:rsidRPr="00734785">
        <w:t>he ICB will react to this requirement by ensuring it has the capacity and specialist resource to enable it to make the most appropriate decision to meet the contingent circumstance through procurement management and best practice processes.</w:t>
      </w:r>
    </w:p>
    <w:p w14:paraId="187306E7" w14:textId="377BA569" w:rsidR="004D24CC" w:rsidRPr="005C4F66" w:rsidRDefault="00446F73" w:rsidP="000646FA">
      <w:pPr>
        <w:pStyle w:val="Heading2"/>
        <w:numPr>
          <w:ilvl w:val="0"/>
          <w:numId w:val="0"/>
        </w:numPr>
        <w:ind w:left="1134"/>
      </w:pPr>
      <w:bookmarkStart w:id="75" w:name="_Toc124497610"/>
      <w:r w:rsidRPr="005C4F66">
        <w:t>Procurement Management and Best Practice</w:t>
      </w:r>
      <w:bookmarkEnd w:id="75"/>
    </w:p>
    <w:p w14:paraId="2AA44ECB" w14:textId="51BAA581" w:rsidR="00A3480B" w:rsidRPr="00CD4405" w:rsidRDefault="00A3480B" w:rsidP="000646FA">
      <w:pPr>
        <w:pStyle w:val="Heading3"/>
      </w:pPr>
      <w:bookmarkStart w:id="76" w:name="_Toc124497611"/>
      <w:r w:rsidRPr="00CD4405">
        <w:t>E-procurement</w:t>
      </w:r>
      <w:bookmarkEnd w:id="76"/>
    </w:p>
    <w:p w14:paraId="4EDD249E" w14:textId="79DAF47E" w:rsidR="00EB25AF" w:rsidRDefault="00A3480B" w:rsidP="000646FA">
      <w:pPr>
        <w:pStyle w:val="Style2"/>
      </w:pPr>
      <w:r w:rsidRPr="00A3480B">
        <w:t>The ICB will use e-procurement systems for above threshold public procurements so that the various stages of the procurement process including the decision-making process are transparent and auditable.</w:t>
      </w:r>
    </w:p>
    <w:p w14:paraId="412634A6" w14:textId="2E4166F9" w:rsidR="0001569C" w:rsidRPr="007F26E2" w:rsidRDefault="0001569C" w:rsidP="000646FA">
      <w:pPr>
        <w:pStyle w:val="Heading3"/>
      </w:pPr>
      <w:bookmarkStart w:id="77" w:name="_Toc124497612"/>
      <w:r w:rsidRPr="007F26E2">
        <w:t>Procurement Planning</w:t>
      </w:r>
      <w:bookmarkEnd w:id="77"/>
    </w:p>
    <w:p w14:paraId="5FE27B56" w14:textId="7FF63C25" w:rsidR="00A3480B" w:rsidRPr="00A3480B" w:rsidRDefault="0001569C" w:rsidP="000646FA">
      <w:pPr>
        <w:pStyle w:val="Style2"/>
      </w:pPr>
      <w:r w:rsidRPr="0001569C">
        <w:t>Each procurement will have a robust procurement project plan setting out key roles and responsibilities, the outcome of risk assessments and plans to address identified risks.</w:t>
      </w:r>
      <w:r w:rsidR="00257FB4">
        <w:t xml:space="preserve"> </w:t>
      </w:r>
      <w:r w:rsidR="00257FB4" w:rsidRPr="00257FB4">
        <w:t xml:space="preserve">A review of </w:t>
      </w:r>
      <w:r w:rsidR="00257FB4">
        <w:t>current</w:t>
      </w:r>
      <w:r w:rsidR="006F5B82">
        <w:t xml:space="preserve"> service</w:t>
      </w:r>
      <w:r w:rsidR="00257FB4">
        <w:t xml:space="preserve"> </w:t>
      </w:r>
      <w:r w:rsidR="006F5B82">
        <w:t>provision</w:t>
      </w:r>
      <w:r w:rsidR="00257FB4" w:rsidRPr="00257FB4">
        <w:t xml:space="preserve"> </w:t>
      </w:r>
      <w:r w:rsidR="00257FB4">
        <w:t>should</w:t>
      </w:r>
      <w:r w:rsidR="00257FB4" w:rsidRPr="00257FB4">
        <w:t xml:space="preserve"> be undertaken at least 6 months prior to the expiry of a contract to determine </w:t>
      </w:r>
      <w:r w:rsidR="00CF542F">
        <w:t>the appropriate procurement actions</w:t>
      </w:r>
      <w:r w:rsidR="00257FB4">
        <w:t xml:space="preserve"> </w:t>
      </w:r>
      <w:r w:rsidR="006F5B82">
        <w:t>required</w:t>
      </w:r>
      <w:r w:rsidR="00257FB4" w:rsidRPr="00257FB4">
        <w:t>.</w:t>
      </w:r>
    </w:p>
    <w:p w14:paraId="7349FCF8" w14:textId="495095EF" w:rsidR="00141C1E" w:rsidRPr="007F26E2" w:rsidRDefault="00141C1E" w:rsidP="000646FA">
      <w:pPr>
        <w:pStyle w:val="Heading3"/>
      </w:pPr>
      <w:bookmarkStart w:id="78" w:name="_Toc124497613"/>
      <w:r w:rsidRPr="007F26E2">
        <w:t>Using the Correct Contract</w:t>
      </w:r>
      <w:bookmarkEnd w:id="78"/>
      <w:r w:rsidRPr="007F26E2">
        <w:t xml:space="preserve"> </w:t>
      </w:r>
    </w:p>
    <w:p w14:paraId="6F51ADAD" w14:textId="77777777" w:rsidR="001231E9" w:rsidRDefault="00141C1E" w:rsidP="000646FA">
      <w:pPr>
        <w:pStyle w:val="Style2"/>
      </w:pPr>
      <w:r>
        <w:t xml:space="preserve">All staff must ensure the correct use of contract to procure services in line with DHSC guidance, NHS England and Improvement including use of the NHS standard contract, and NHS standard terms and conditions of contract for the purchase of </w:t>
      </w:r>
      <w:r w:rsidRPr="007F26E2">
        <w:t>goods</w:t>
      </w:r>
      <w:r>
        <w:t xml:space="preserve"> and supply of services.</w:t>
      </w:r>
    </w:p>
    <w:p w14:paraId="49660E84" w14:textId="01546258" w:rsidR="00285242" w:rsidRDefault="00141C1E" w:rsidP="000646FA">
      <w:pPr>
        <w:pStyle w:val="Style2"/>
      </w:pPr>
      <w:r>
        <w:t xml:space="preserve">The </w:t>
      </w:r>
      <w:r w:rsidR="001231E9">
        <w:t>ICB</w:t>
      </w:r>
      <w:r>
        <w:t xml:space="preserve"> may wish to obtain legal support with completing schedules within the NHS standard contracts and/or constructing bespoke contracts. Unless </w:t>
      </w:r>
      <w:r w:rsidR="001231E9">
        <w:t>using</w:t>
      </w:r>
      <w:r>
        <w:t xml:space="preserve"> a recognised framework agreement</w:t>
      </w:r>
      <w:r w:rsidR="001231E9">
        <w:t xml:space="preserve">, </w:t>
      </w:r>
      <w:r>
        <w:t xml:space="preserve">any deviation from the NHS Standard Contract or NHS Provision of Goods and Services Contract must have </w:t>
      </w:r>
      <w:r w:rsidR="001231E9">
        <w:t xml:space="preserve">ICB </w:t>
      </w:r>
      <w:r>
        <w:t xml:space="preserve">Executive Team </w:t>
      </w:r>
      <w:r w:rsidR="001231E9">
        <w:t>approval</w:t>
      </w:r>
      <w:r>
        <w:t xml:space="preserve">.  </w:t>
      </w:r>
    </w:p>
    <w:p w14:paraId="4819D5B7" w14:textId="2DC2033B" w:rsidR="00BE64DE" w:rsidRPr="006F5B82" w:rsidRDefault="00BE64DE" w:rsidP="000646FA">
      <w:pPr>
        <w:pStyle w:val="Heading3"/>
      </w:pPr>
      <w:bookmarkStart w:id="79" w:name="_Toc124497614"/>
      <w:r w:rsidRPr="006F5B82">
        <w:t>Post-Procurement Monitoring</w:t>
      </w:r>
      <w:bookmarkEnd w:id="79"/>
    </w:p>
    <w:p w14:paraId="6C74C000" w14:textId="0405B322" w:rsidR="00114B89" w:rsidRPr="00285242" w:rsidRDefault="00BE64DE" w:rsidP="000646FA">
      <w:pPr>
        <w:pStyle w:val="Style2"/>
      </w:pPr>
      <w:r>
        <w:t>Contract management and post-procurement review are mandatory features of the post contract award stage</w:t>
      </w:r>
      <w:r w:rsidR="005F60A1">
        <w:t xml:space="preserve"> and</w:t>
      </w:r>
      <w:r>
        <w:t xml:space="preserve"> will require effective monitoring systems to be implemented</w:t>
      </w:r>
      <w:r w:rsidR="005F60A1">
        <w:t xml:space="preserve">. </w:t>
      </w:r>
      <w:r>
        <w:t>This is key to managing risk.</w:t>
      </w:r>
    </w:p>
    <w:p w14:paraId="38D6A5E2" w14:textId="77777777" w:rsidR="00F913CD" w:rsidRPr="0015255F" w:rsidRDefault="00F913CD" w:rsidP="00C94305">
      <w:pPr>
        <w:pStyle w:val="Heading2"/>
      </w:pPr>
      <w:bookmarkStart w:id="80" w:name="_Toc84611059"/>
      <w:bookmarkStart w:id="81" w:name="_Toc89326549"/>
      <w:bookmarkStart w:id="82" w:name="_Toc124497615"/>
      <w:r w:rsidRPr="0015255F">
        <w:t xml:space="preserve">Monitoring </w:t>
      </w:r>
      <w:r w:rsidRPr="006B3E9C">
        <w:t>Compliance</w:t>
      </w:r>
      <w:bookmarkEnd w:id="80"/>
      <w:bookmarkEnd w:id="81"/>
      <w:bookmarkEnd w:id="82"/>
    </w:p>
    <w:p w14:paraId="1DA69191" w14:textId="056CA086" w:rsidR="00F913CD" w:rsidRDefault="007B30F9" w:rsidP="005A2406">
      <w:pPr>
        <w:pStyle w:val="Style1"/>
      </w:pPr>
      <w:r w:rsidRPr="007B30F9">
        <w:t xml:space="preserve">The </w:t>
      </w:r>
      <w:r w:rsidR="00750ADB">
        <w:t xml:space="preserve">ICB </w:t>
      </w:r>
      <w:r w:rsidR="00F67B9C">
        <w:t>Board</w:t>
      </w:r>
      <w:r w:rsidRPr="007B30F9">
        <w:t xml:space="preserve"> </w:t>
      </w:r>
      <w:r w:rsidR="00F67B9C">
        <w:t>shall be</w:t>
      </w:r>
      <w:r w:rsidRPr="007B30F9">
        <w:t xml:space="preserve"> responsible for approving this policy</w:t>
      </w:r>
      <w:r w:rsidR="003B2B1A">
        <w:t xml:space="preserve"> which</w:t>
      </w:r>
      <w:r w:rsidRPr="007B30F9">
        <w:t xml:space="preserve"> will be reviewed at least annually.</w:t>
      </w:r>
      <w:r w:rsidR="003B2B1A">
        <w:t xml:space="preserve"> </w:t>
      </w:r>
    </w:p>
    <w:p w14:paraId="3356EF93" w14:textId="56F5FFB7" w:rsidR="0085172E" w:rsidRPr="0015255F" w:rsidRDefault="0085172E" w:rsidP="005A2406">
      <w:pPr>
        <w:pStyle w:val="Style1"/>
      </w:pPr>
      <w:r>
        <w:t xml:space="preserve">The ICB Director of Resources shall be responsible for monitoring operational compliance with this Policy on </w:t>
      </w:r>
      <w:r w:rsidR="002362EE">
        <w:t xml:space="preserve">a </w:t>
      </w:r>
      <w:r w:rsidR="000646FA">
        <w:t>day-to-day</w:t>
      </w:r>
      <w:r>
        <w:t xml:space="preserve"> basis, through support from the ICB Purchase of Healthcare Team and Attain.</w:t>
      </w:r>
    </w:p>
    <w:p w14:paraId="7F95C0C3" w14:textId="77777777" w:rsidR="00576AC8" w:rsidRPr="00576AC8" w:rsidRDefault="00576AC8" w:rsidP="005A2406">
      <w:pPr>
        <w:pStyle w:val="Style1"/>
      </w:pPr>
      <w:r w:rsidRPr="00576AC8">
        <w:t>The ICB Audit Committee shall be responsible for monitoring compliance with this Policy through regular review of the Register of Procurement Decisions and through regular review of all non-compliant procurement routes used with support from the ICB Purchase of Healthcare Team.</w:t>
      </w:r>
    </w:p>
    <w:p w14:paraId="03671137" w14:textId="77777777" w:rsidR="00F913CD" w:rsidRPr="0015255F" w:rsidRDefault="00F913CD" w:rsidP="00C94305">
      <w:pPr>
        <w:pStyle w:val="Heading2"/>
      </w:pPr>
      <w:bookmarkStart w:id="83" w:name="_Toc84611060"/>
      <w:bookmarkStart w:id="84" w:name="_Toc89326550"/>
      <w:bookmarkStart w:id="85" w:name="_Toc124497616"/>
      <w:r w:rsidRPr="0015255F">
        <w:t xml:space="preserve">Staff </w:t>
      </w:r>
      <w:r w:rsidRPr="006B3E9C">
        <w:t>Training</w:t>
      </w:r>
      <w:bookmarkEnd w:id="83"/>
      <w:bookmarkEnd w:id="84"/>
      <w:bookmarkEnd w:id="85"/>
    </w:p>
    <w:p w14:paraId="0335D266" w14:textId="2DBA20AB" w:rsidR="00981207" w:rsidRDefault="000C63D4" w:rsidP="000C63D4">
      <w:pPr>
        <w:spacing w:after="120"/>
        <w:ind w:hanging="1134"/>
        <w:jc w:val="both"/>
      </w:pPr>
      <w:r>
        <w:t>8.1</w:t>
      </w:r>
      <w:r>
        <w:tab/>
      </w:r>
      <w:r w:rsidR="00AB7447" w:rsidRPr="004E4AF2">
        <w:t>All staff</w:t>
      </w:r>
      <w:r w:rsidR="00AB7447">
        <w:t>,</w:t>
      </w:r>
      <w:r w:rsidR="00AB7447" w:rsidRPr="004E4AF2">
        <w:t xml:space="preserve"> and others working with the ICB</w:t>
      </w:r>
      <w:r w:rsidR="00AB7447">
        <w:t>,</w:t>
      </w:r>
      <w:r w:rsidR="00AB7447" w:rsidRPr="004E4AF2">
        <w:t xml:space="preserve"> must read and understand this Policy</w:t>
      </w:r>
      <w:r w:rsidR="00AB7447">
        <w:t>,</w:t>
      </w:r>
      <w:r w:rsidR="00AB7447" w:rsidRPr="004E4AF2">
        <w:t xml:space="preserve"> </w:t>
      </w:r>
      <w:r w:rsidR="00EC7A3F">
        <w:t>comply with</w:t>
      </w:r>
      <w:r w:rsidR="004E4AF2" w:rsidRPr="004E4AF2">
        <w:t xml:space="preserve"> </w:t>
      </w:r>
      <w:r w:rsidR="00AB7447">
        <w:t>it</w:t>
      </w:r>
      <w:r w:rsidR="004E4AF2" w:rsidRPr="004E4AF2">
        <w:t xml:space="preserve"> and</w:t>
      </w:r>
      <w:r w:rsidR="00EC7A3F">
        <w:t xml:space="preserve"> be aware of</w:t>
      </w:r>
      <w:r w:rsidR="004E4AF2" w:rsidRPr="004E4AF2">
        <w:t xml:space="preserve"> its implications. It is not intended that staff will develop procurement </w:t>
      </w:r>
      <w:r w:rsidR="00AB7447" w:rsidRPr="004E4AF2">
        <w:t>expertise;</w:t>
      </w:r>
      <w:r w:rsidR="004E4AF2" w:rsidRPr="004E4AF2">
        <w:t xml:space="preserve"> </w:t>
      </w:r>
      <w:r w:rsidR="000646FA">
        <w:t>however,</w:t>
      </w:r>
      <w:r w:rsidR="004E4AF2" w:rsidRPr="004E4AF2">
        <w:t xml:space="preserve"> they will need to know when and how to seek further support.</w:t>
      </w:r>
    </w:p>
    <w:p w14:paraId="11FAD51A" w14:textId="08D39641" w:rsidR="00981207" w:rsidRDefault="000C63D4" w:rsidP="000C63D4">
      <w:pPr>
        <w:spacing w:after="120"/>
        <w:ind w:hanging="1134"/>
        <w:jc w:val="both"/>
      </w:pPr>
      <w:r>
        <w:t>8.2</w:t>
      </w:r>
      <w:r>
        <w:tab/>
      </w:r>
      <w:r w:rsidR="004E4AF2" w:rsidRPr="004E4AF2">
        <w:t>The most urgent requirement is that all staff throughout the ICB should know enough about procurement to know to seek help when they encounter related issues; they must also be able to give clear and consistent messages to providers and potential providers about ICB procurement intentions in relation to individual service developments.</w:t>
      </w:r>
    </w:p>
    <w:p w14:paraId="240C110C" w14:textId="35B186B3" w:rsidR="00F913CD" w:rsidRDefault="000C63D4" w:rsidP="000C63D4">
      <w:pPr>
        <w:spacing w:after="120"/>
        <w:ind w:hanging="1134"/>
        <w:jc w:val="both"/>
      </w:pPr>
      <w:r>
        <w:t>8.3</w:t>
      </w:r>
      <w:r>
        <w:tab/>
      </w:r>
      <w:r w:rsidR="004E4AF2" w:rsidRPr="004E4AF2">
        <w:t xml:space="preserve">The ICB has access to </w:t>
      </w:r>
      <w:r w:rsidR="00981207">
        <w:t xml:space="preserve">contracting and </w:t>
      </w:r>
      <w:r w:rsidR="004E4AF2" w:rsidRPr="004E4AF2">
        <w:t xml:space="preserve">procurement </w:t>
      </w:r>
      <w:r w:rsidR="00981207">
        <w:t>advice</w:t>
      </w:r>
      <w:r w:rsidR="004E4AF2" w:rsidRPr="004E4AF2">
        <w:t xml:space="preserve"> through the ICB </w:t>
      </w:r>
      <w:r w:rsidR="00981207">
        <w:t>Purchase of Healthcare</w:t>
      </w:r>
      <w:r w:rsidR="004E4AF2" w:rsidRPr="004E4AF2">
        <w:t xml:space="preserve"> Team </w:t>
      </w:r>
      <w:r w:rsidR="00877744">
        <w:t xml:space="preserve">and Attain </w:t>
      </w:r>
      <w:r w:rsidR="004E4AF2" w:rsidRPr="004E4AF2">
        <w:t xml:space="preserve">to ensure </w:t>
      </w:r>
      <w:r w:rsidR="00877744">
        <w:t xml:space="preserve">the law, </w:t>
      </w:r>
      <w:r w:rsidR="004E4AF2" w:rsidRPr="004E4AF2">
        <w:t xml:space="preserve">appropriate </w:t>
      </w:r>
      <w:r w:rsidR="00981207">
        <w:t xml:space="preserve">regulation, internal </w:t>
      </w:r>
      <w:proofErr w:type="gramStart"/>
      <w:r w:rsidR="004E4AF2" w:rsidRPr="004E4AF2">
        <w:t>governance</w:t>
      </w:r>
      <w:proofErr w:type="gramEnd"/>
      <w:r w:rsidR="00981207">
        <w:t xml:space="preserve"> and process</w:t>
      </w:r>
      <w:r w:rsidR="004E4AF2" w:rsidRPr="004E4AF2">
        <w:t xml:space="preserve"> is adhered to.</w:t>
      </w:r>
    </w:p>
    <w:p w14:paraId="7DF6B752" w14:textId="47F11D32" w:rsidR="00F913CD" w:rsidRPr="0015255F" w:rsidRDefault="00F913CD" w:rsidP="00C94305">
      <w:pPr>
        <w:pStyle w:val="Heading2"/>
      </w:pPr>
      <w:bookmarkStart w:id="86" w:name="_Toc84611061"/>
      <w:bookmarkStart w:id="87" w:name="_Toc89326551"/>
      <w:bookmarkStart w:id="88" w:name="_Toc124497617"/>
      <w:r w:rsidRPr="0015255F">
        <w:t xml:space="preserve">Arrangements </w:t>
      </w:r>
      <w:r w:rsidR="00691AAE" w:rsidRPr="0015255F">
        <w:t>for</w:t>
      </w:r>
      <w:r w:rsidRPr="0015255F">
        <w:t xml:space="preserve"> Review</w:t>
      </w:r>
      <w:bookmarkEnd w:id="86"/>
      <w:bookmarkEnd w:id="87"/>
      <w:bookmarkEnd w:id="88"/>
    </w:p>
    <w:p w14:paraId="7CE3CD4E" w14:textId="4BFB46CE" w:rsidR="00F913CD" w:rsidRPr="0015255F" w:rsidRDefault="00F913CD" w:rsidP="005A2406">
      <w:pPr>
        <w:pStyle w:val="Style1"/>
      </w:pPr>
      <w:r w:rsidRPr="0015255F">
        <w:t xml:space="preserve">This policy will be reviewed </w:t>
      </w:r>
      <w:r w:rsidR="0085111E">
        <w:t>on an annual basis</w:t>
      </w:r>
      <w:r w:rsidRPr="0015255F">
        <w:t>.  An earlier review will be carried out in the event of any relevant changes in legislation, national policy</w:t>
      </w:r>
      <w:r w:rsidR="00D80234">
        <w:t xml:space="preserve"> or </w:t>
      </w:r>
      <w:r w:rsidRPr="0015255F">
        <w:t>guidance, organisational change or other circumstances which mean the policy needs to be reviewed.</w:t>
      </w:r>
    </w:p>
    <w:p w14:paraId="4A4827BD" w14:textId="3098D60D" w:rsidR="00F913CD" w:rsidRPr="0015255F" w:rsidRDefault="00F913CD" w:rsidP="005A2406">
      <w:pPr>
        <w:pStyle w:val="Style1"/>
      </w:pPr>
      <w:r w:rsidRPr="0015255F">
        <w:t xml:space="preserve">If only minor changes are required, the sponsoring Committee has authority to make these changes without referral to the </w:t>
      </w:r>
      <w:r w:rsidR="00D80234">
        <w:t xml:space="preserve">ICB </w:t>
      </w:r>
      <w:r w:rsidR="00691AAE">
        <w:t>Governing Body</w:t>
      </w:r>
      <w:r w:rsidRPr="0015255F">
        <w:t>. If more significant or substantial changes are required, the policy will need to be ratified by the relevant committee before final approval by the Integrated Care Board</w:t>
      </w:r>
      <w:r w:rsidR="00691AAE">
        <w:t xml:space="preserve"> Governing Body</w:t>
      </w:r>
      <w:r w:rsidRPr="0015255F">
        <w:t>.</w:t>
      </w:r>
      <w:bookmarkStart w:id="89" w:name="_Toc84611062"/>
    </w:p>
    <w:p w14:paraId="4D2967FC" w14:textId="75E6121C" w:rsidR="00F913CD" w:rsidRPr="0015255F" w:rsidRDefault="00F913CD" w:rsidP="000646FA">
      <w:pPr>
        <w:pStyle w:val="Heading2"/>
      </w:pPr>
      <w:bookmarkStart w:id="90" w:name="_Toc89326552"/>
      <w:bookmarkStart w:id="91" w:name="_Toc124497618"/>
      <w:bookmarkEnd w:id="89"/>
      <w:r w:rsidRPr="0015255F">
        <w:t xml:space="preserve">Associated Policies, Guidance </w:t>
      </w:r>
      <w:r w:rsidR="00C16D5C" w:rsidRPr="000646FA">
        <w:t>and</w:t>
      </w:r>
      <w:r w:rsidRPr="0015255F">
        <w:t xml:space="preserve"> Documents</w:t>
      </w:r>
      <w:bookmarkEnd w:id="90"/>
      <w:bookmarkEnd w:id="91"/>
    </w:p>
    <w:bookmarkStart w:id="92" w:name="_Toc124497619"/>
    <w:p w14:paraId="67E74783" w14:textId="4BA5BAFA" w:rsidR="00F555F3" w:rsidRPr="0046519A" w:rsidRDefault="00871AE3" w:rsidP="000646FA">
      <w:pPr>
        <w:pStyle w:val="Heading3"/>
      </w:pPr>
      <w:r>
        <w:fldChar w:fldCharType="begin"/>
      </w:r>
      <w:r>
        <w:instrText xml:space="preserve"> HYPERLINK "https://www.midandsouthessex.ics.nhs.uk/publications/?publications_category=icb-policies" </w:instrText>
      </w:r>
      <w:r>
        <w:fldChar w:fldCharType="separate"/>
      </w:r>
      <w:r w:rsidR="00F555F3" w:rsidRPr="00871AE3">
        <w:rPr>
          <w:rStyle w:val="Hyperlink"/>
        </w:rPr>
        <w:t>Associated Policies</w:t>
      </w:r>
      <w:bookmarkEnd w:id="92"/>
      <w:r>
        <w:fldChar w:fldCharType="end"/>
      </w:r>
    </w:p>
    <w:p w14:paraId="2EAF6AB2" w14:textId="77777777" w:rsidR="00F555F3" w:rsidRPr="00F555F3" w:rsidRDefault="00F555F3" w:rsidP="00F555F3">
      <w:pPr>
        <w:pStyle w:val="ListParagraph"/>
        <w:rPr>
          <w:sz w:val="22"/>
          <w:szCs w:val="22"/>
        </w:rPr>
      </w:pPr>
      <w:r w:rsidRPr="00F555F3">
        <w:rPr>
          <w:sz w:val="22"/>
          <w:szCs w:val="22"/>
        </w:rPr>
        <w:t>MSEICB004 Accounting and Financial Management</w:t>
      </w:r>
    </w:p>
    <w:p w14:paraId="13A44253" w14:textId="77777777" w:rsidR="00F555F3" w:rsidRPr="00F555F3" w:rsidRDefault="00F555F3" w:rsidP="00F555F3">
      <w:pPr>
        <w:pStyle w:val="ListParagraph"/>
        <w:rPr>
          <w:sz w:val="22"/>
          <w:szCs w:val="22"/>
        </w:rPr>
      </w:pPr>
      <w:r w:rsidRPr="00F555F3">
        <w:rPr>
          <w:sz w:val="22"/>
          <w:szCs w:val="22"/>
        </w:rPr>
        <w:t>MSEICB012 Records Management and Information Lifecycle Policy</w:t>
      </w:r>
    </w:p>
    <w:p w14:paraId="1F912DE4" w14:textId="77777777" w:rsidR="00F555F3" w:rsidRPr="00F555F3" w:rsidRDefault="00F555F3" w:rsidP="00F555F3">
      <w:pPr>
        <w:pStyle w:val="ListParagraph"/>
        <w:rPr>
          <w:sz w:val="22"/>
          <w:szCs w:val="22"/>
        </w:rPr>
      </w:pPr>
      <w:r w:rsidRPr="00F555F3">
        <w:rPr>
          <w:sz w:val="22"/>
          <w:szCs w:val="22"/>
        </w:rPr>
        <w:t>MSEICB018 Conflicts of Interest, Gifts, Hospitality and Commercial Sponsorship Policy</w:t>
      </w:r>
    </w:p>
    <w:p w14:paraId="1F9A3F19" w14:textId="77777777" w:rsidR="00F555F3" w:rsidRPr="00F555F3" w:rsidRDefault="00F555F3" w:rsidP="00F555F3">
      <w:pPr>
        <w:pStyle w:val="ListParagraph"/>
        <w:rPr>
          <w:sz w:val="22"/>
          <w:szCs w:val="22"/>
        </w:rPr>
      </w:pPr>
      <w:r w:rsidRPr="00F555F3">
        <w:rPr>
          <w:sz w:val="22"/>
          <w:szCs w:val="22"/>
        </w:rPr>
        <w:t>MSEICB022 Legal Services Policy</w:t>
      </w:r>
    </w:p>
    <w:p w14:paraId="7B736F8E" w14:textId="77777777" w:rsidR="00F555F3" w:rsidRPr="00F555F3" w:rsidRDefault="00F555F3" w:rsidP="00F555F3">
      <w:pPr>
        <w:pStyle w:val="ListParagraph"/>
        <w:rPr>
          <w:sz w:val="22"/>
          <w:szCs w:val="22"/>
        </w:rPr>
      </w:pPr>
      <w:r w:rsidRPr="00F555F3">
        <w:rPr>
          <w:sz w:val="22"/>
          <w:szCs w:val="22"/>
        </w:rPr>
        <w:t>MSEICB026 Counter-Fraud, Bribery and Corruption Policy</w:t>
      </w:r>
    </w:p>
    <w:p w14:paraId="168B93BF" w14:textId="77777777" w:rsidR="00F555F3" w:rsidRPr="00F555F3" w:rsidRDefault="00F555F3" w:rsidP="00F555F3">
      <w:pPr>
        <w:pStyle w:val="ListParagraph"/>
        <w:rPr>
          <w:sz w:val="22"/>
          <w:szCs w:val="22"/>
        </w:rPr>
      </w:pPr>
      <w:r w:rsidRPr="00F555F3">
        <w:rPr>
          <w:sz w:val="22"/>
          <w:szCs w:val="22"/>
        </w:rPr>
        <w:t>MSEICB032 Health Inequalities Impact Assessment Policy and Guidance</w:t>
      </w:r>
    </w:p>
    <w:p w14:paraId="03AFD54A" w14:textId="7FE86229" w:rsidR="00F555F3" w:rsidRDefault="00F555F3" w:rsidP="00F555F3">
      <w:pPr>
        <w:pStyle w:val="ListParagraph"/>
        <w:rPr>
          <w:sz w:val="22"/>
          <w:szCs w:val="22"/>
        </w:rPr>
      </w:pPr>
      <w:r w:rsidRPr="00F555F3">
        <w:rPr>
          <w:sz w:val="22"/>
          <w:szCs w:val="22"/>
        </w:rPr>
        <w:t>MSEICB062 Complaints, Compliments and Concerns Management Policy</w:t>
      </w:r>
    </w:p>
    <w:p w14:paraId="022C6C45" w14:textId="118FFC26" w:rsidR="003F7339" w:rsidRDefault="003F7339" w:rsidP="000646FA">
      <w:pPr>
        <w:pStyle w:val="Heading3"/>
      </w:pPr>
      <w:bookmarkStart w:id="93" w:name="_Toc124497620"/>
      <w:r w:rsidRPr="003F7339">
        <w:t xml:space="preserve">Other </w:t>
      </w:r>
      <w:r w:rsidR="00F46DAB">
        <w:t xml:space="preserve">Key </w:t>
      </w:r>
      <w:r w:rsidRPr="000646FA">
        <w:t>Guidance</w:t>
      </w:r>
      <w:bookmarkEnd w:id="93"/>
    </w:p>
    <w:p w14:paraId="0AFE4050" w14:textId="05F0FE11" w:rsidR="00331C5C" w:rsidRPr="00331C5C" w:rsidRDefault="00331C5C" w:rsidP="004D37D2">
      <w:pPr>
        <w:pStyle w:val="Style2"/>
      </w:pPr>
      <w:r>
        <w:t>Business Case Process</w:t>
      </w:r>
      <w:r w:rsidR="00B73895">
        <w:t xml:space="preserve"> – please contact the </w:t>
      </w:r>
      <w:r w:rsidR="00541D9D">
        <w:t>Purchase of Health Team for advice</w:t>
      </w:r>
      <w:r>
        <w:t xml:space="preserve">. </w:t>
      </w:r>
    </w:p>
    <w:p w14:paraId="5BE8935C" w14:textId="3400A0AD" w:rsidR="003F7339" w:rsidRPr="00493CEF" w:rsidRDefault="003F7339" w:rsidP="00402253">
      <w:pPr>
        <w:pStyle w:val="Heading3"/>
        <w:numPr>
          <w:ilvl w:val="0"/>
          <w:numId w:val="0"/>
        </w:numPr>
        <w:ind w:left="1134"/>
      </w:pPr>
      <w:bookmarkStart w:id="94" w:name="_Toc113533167"/>
      <w:bookmarkStart w:id="95" w:name="_Toc113533478"/>
      <w:bookmarkStart w:id="96" w:name="_Toc118366672"/>
      <w:bookmarkStart w:id="97" w:name="_Toc124497621"/>
      <w:r w:rsidRPr="00493CEF">
        <w:t xml:space="preserve">Equality </w:t>
      </w:r>
      <w:r w:rsidR="0085111E" w:rsidRPr="00493CEF">
        <w:t xml:space="preserve">and Health Inequalities </w:t>
      </w:r>
      <w:r w:rsidRPr="00493CEF">
        <w:t>Assessment</w:t>
      </w:r>
      <w:bookmarkEnd w:id="94"/>
      <w:bookmarkEnd w:id="95"/>
      <w:bookmarkEnd w:id="96"/>
      <w:bookmarkEnd w:id="97"/>
      <w:r w:rsidRPr="00493CEF">
        <w:t xml:space="preserve"> </w:t>
      </w:r>
    </w:p>
    <w:p w14:paraId="046A07F1" w14:textId="77777777" w:rsidR="003F7339" w:rsidRPr="00493CEF" w:rsidRDefault="003F7339" w:rsidP="00402253">
      <w:pPr>
        <w:pStyle w:val="Style2"/>
      </w:pPr>
      <w:r w:rsidRPr="00493CEF">
        <w:t>Any procurement conducted by the ICB must consider and adhere to the Equality Act (2010). This Act requires commissioners not to discriminate on any grounds against any potential provider. Potential providers will be treated in the same respect during stages of agreeing contracts and implementing contracts.</w:t>
      </w:r>
    </w:p>
    <w:p w14:paraId="72BF6205" w14:textId="0B80E4D3" w:rsidR="003F7339" w:rsidRDefault="003F7339" w:rsidP="00402253">
      <w:pPr>
        <w:pStyle w:val="Style2"/>
      </w:pPr>
      <w:r w:rsidRPr="00493CEF">
        <w:t xml:space="preserve">As part of the ICB’s consultation process an equality </w:t>
      </w:r>
      <w:r w:rsidR="0085111E" w:rsidRPr="00493CEF">
        <w:t xml:space="preserve">and health inequalities </w:t>
      </w:r>
      <w:r w:rsidRPr="00493CEF">
        <w:t>assessment must</w:t>
      </w:r>
      <w:r>
        <w:t xml:space="preserve"> be undertaken at relevant stages in the procurement process to ensure that the proposed/planned changes are assessed </w:t>
      </w:r>
      <w:proofErr w:type="gramStart"/>
      <w:r>
        <w:t>with regard to</w:t>
      </w:r>
      <w:proofErr w:type="gramEnd"/>
      <w:r>
        <w:t xml:space="preserve"> impact on groups, individuals or communities. The outcomes of such equality impact assessments will be published by the ICB upon request and as part of its equality scheme.</w:t>
      </w:r>
    </w:p>
    <w:p w14:paraId="33203FDF" w14:textId="28D62616" w:rsidR="003F7339" w:rsidRPr="003F7339" w:rsidRDefault="003F7339" w:rsidP="00402253">
      <w:pPr>
        <w:pStyle w:val="Heading3"/>
        <w:numPr>
          <w:ilvl w:val="0"/>
          <w:numId w:val="0"/>
        </w:numPr>
        <w:ind w:left="1134"/>
      </w:pPr>
      <w:bookmarkStart w:id="98" w:name="_Toc118366673"/>
      <w:bookmarkStart w:id="99" w:name="_Toc124497622"/>
      <w:r w:rsidRPr="003F7339">
        <w:t>Ethical and Sustainable Procurement</w:t>
      </w:r>
      <w:bookmarkEnd w:id="98"/>
      <w:bookmarkEnd w:id="99"/>
    </w:p>
    <w:p w14:paraId="773F10C5" w14:textId="77777777" w:rsidR="003F7339" w:rsidRDefault="003F7339" w:rsidP="00402253">
      <w:pPr>
        <w:pStyle w:val="Style2"/>
      </w:pPr>
      <w:r>
        <w:t xml:space="preserve">When making purchasing decisions the ICB must consider the opportunities for any additional social, </w:t>
      </w:r>
      <w:proofErr w:type="gramStart"/>
      <w:r>
        <w:t>economic</w:t>
      </w:r>
      <w:proofErr w:type="gramEnd"/>
      <w:r>
        <w:t xml:space="preserve"> or environmental benefit that we can bring to the community whilst working within the procurement rules and principles.</w:t>
      </w:r>
    </w:p>
    <w:p w14:paraId="49734FB3" w14:textId="32FB7F25" w:rsidR="003F7339" w:rsidRDefault="003F7339" w:rsidP="00402253">
      <w:pPr>
        <w:pStyle w:val="Style2"/>
      </w:pPr>
      <w:r>
        <w:t>The ICB is committed to reducing environmental impacts and supporting the Greener NHS delivery of a ‘net zero carbon’ health service. Our procurement process will include a ‘Net Zero Carbon’ expectation/ask in line with relevant national guidance and strategy.</w:t>
      </w:r>
    </w:p>
    <w:p w14:paraId="67C562DD" w14:textId="77777777" w:rsidR="003F7339" w:rsidRPr="003F7339" w:rsidRDefault="003F7339" w:rsidP="00402253">
      <w:pPr>
        <w:pStyle w:val="Heading3"/>
        <w:numPr>
          <w:ilvl w:val="0"/>
          <w:numId w:val="0"/>
        </w:numPr>
        <w:ind w:left="1134"/>
      </w:pPr>
      <w:bookmarkStart w:id="100" w:name="_Toc118366674"/>
      <w:bookmarkStart w:id="101" w:name="_Toc124497623"/>
      <w:r w:rsidRPr="003F7339">
        <w:t>Common breaches of procurement processes identified by the NHS Counter Fraud Authority (NHSCFA)</w:t>
      </w:r>
      <w:bookmarkEnd w:id="100"/>
      <w:bookmarkEnd w:id="101"/>
    </w:p>
    <w:p w14:paraId="1A6E9426" w14:textId="77777777" w:rsidR="003F7339" w:rsidRDefault="003F7339" w:rsidP="00402253">
      <w:pPr>
        <w:pStyle w:val="Style2"/>
      </w:pPr>
      <w:r>
        <w:t>Breaches of procurement which occur because of suspected fraud and bribery must be reported to the ICB Local Counter Fraud Specialist or the NHS Counter Fraud Authority either via the NHS Fraud Reporting Line 0800 028 4060 or online via:</w:t>
      </w:r>
    </w:p>
    <w:p w14:paraId="1F3643CF" w14:textId="56DA12CD" w:rsidR="003F7339" w:rsidRDefault="00DA7E94" w:rsidP="00402253">
      <w:pPr>
        <w:pStyle w:val="Style2"/>
        <w:numPr>
          <w:ilvl w:val="0"/>
          <w:numId w:val="0"/>
        </w:numPr>
        <w:ind w:left="1134"/>
      </w:pPr>
      <w:hyperlink r:id="rId26" w:history="1">
        <w:r w:rsidR="00402253" w:rsidRPr="00A94EFF">
          <w:rPr>
            <w:rStyle w:val="Hyperlink"/>
          </w:rPr>
          <w:t>https://cfa.nhs.uk/fraud-prevention/reference-guide/cyber-enabled-fraud/reporting</w:t>
        </w:r>
      </w:hyperlink>
      <w:r w:rsidR="003F7339">
        <w:t>.</w:t>
      </w:r>
      <w:r w:rsidR="00402253">
        <w:t xml:space="preserve"> </w:t>
      </w:r>
    </w:p>
    <w:p w14:paraId="7FD4130B" w14:textId="77777777" w:rsidR="003F7339" w:rsidRPr="003F7339" w:rsidRDefault="003F7339" w:rsidP="00402253">
      <w:pPr>
        <w:pStyle w:val="Heading3"/>
        <w:numPr>
          <w:ilvl w:val="0"/>
          <w:numId w:val="0"/>
        </w:numPr>
        <w:ind w:left="1134"/>
      </w:pPr>
      <w:bookmarkStart w:id="102" w:name="_Toc118366675"/>
      <w:bookmarkStart w:id="103" w:name="_Toc124497624"/>
      <w:r w:rsidRPr="003F7339">
        <w:t>Freedom of Information Act 2000</w:t>
      </w:r>
      <w:bookmarkEnd w:id="102"/>
      <w:bookmarkEnd w:id="103"/>
    </w:p>
    <w:p w14:paraId="05EB8BB4" w14:textId="074A617A" w:rsidR="003F7339" w:rsidRDefault="003F7339" w:rsidP="00402253">
      <w:pPr>
        <w:pStyle w:val="Style2"/>
      </w:pPr>
      <w:r>
        <w:t xml:space="preserve">The ICB will comply with requirements set out in the Freedom of Information Act (2000) while conducting procurements. On commencement of the procurement process the ICB will make potential bidders aware of the requirement for the ICB to comply with the Act. </w:t>
      </w:r>
    </w:p>
    <w:p w14:paraId="385B31DD" w14:textId="77777777" w:rsidR="003F7339" w:rsidRPr="003F7339" w:rsidRDefault="003F7339" w:rsidP="00402253">
      <w:pPr>
        <w:pStyle w:val="Heading3"/>
        <w:numPr>
          <w:ilvl w:val="0"/>
          <w:numId w:val="0"/>
        </w:numPr>
        <w:ind w:left="1134"/>
      </w:pPr>
      <w:bookmarkStart w:id="104" w:name="_Toc118366676"/>
      <w:bookmarkStart w:id="105" w:name="_Toc124497625"/>
      <w:r w:rsidRPr="003F7339">
        <w:t>Public Services (Social Value) Act 2012</w:t>
      </w:r>
      <w:bookmarkEnd w:id="104"/>
      <w:bookmarkEnd w:id="105"/>
    </w:p>
    <w:p w14:paraId="1D94AAFA" w14:textId="77777777" w:rsidR="003F7339" w:rsidRDefault="003F7339" w:rsidP="00402253">
      <w:pPr>
        <w:pStyle w:val="Style2"/>
      </w:pPr>
      <w:r>
        <w:t xml:space="preserve">The Act requires authorities to make the following considerations at the pre-procurement stage: how what is proposed to be procured might improve the economic, </w:t>
      </w:r>
      <w:proofErr w:type="gramStart"/>
      <w:r>
        <w:t>social</w:t>
      </w:r>
      <w:proofErr w:type="gramEnd"/>
      <w:r>
        <w:t xml:space="preserve"> and environmental well-being of the “relevant area”; how in conducting a procurement process it might act with a view to securing that improvement whether to undertake a consultation on these matters. </w:t>
      </w:r>
    </w:p>
    <w:p w14:paraId="6B6FFB6E" w14:textId="77777777" w:rsidR="003F7339" w:rsidRDefault="003F7339" w:rsidP="00402253">
      <w:pPr>
        <w:pStyle w:val="Style2"/>
      </w:pPr>
      <w:r>
        <w:t>The Act as currently worded, applies to contracts to which the Public Contracts Regulations 2015 (as amended by The Public Procurement (Amendment etc.) (EU Exit) Regulations 2020) will apply. This implies that contracts below the relevant financial thresholds will not be covered by the Act. For Best Practice, the fact that” Light Touch” Regime services now have a threshold at £663,540 should not mean that the Social Value Act should not be considered for services under this amount.</w:t>
      </w:r>
    </w:p>
    <w:p w14:paraId="420D9728" w14:textId="77777777" w:rsidR="003F7339" w:rsidRDefault="003F7339" w:rsidP="00402253">
      <w:pPr>
        <w:pStyle w:val="Style2"/>
      </w:pPr>
      <w:r>
        <w:t>The Act does not apply to any formal stages of the procurement process, but it does require commissioners to consider social value issues and how they can be applied to the outcomes required. This is will in turn:</w:t>
      </w:r>
    </w:p>
    <w:p w14:paraId="1E6CBE76" w14:textId="77777777" w:rsidR="003F7339" w:rsidRPr="006E7A5E" w:rsidRDefault="003F7339" w:rsidP="00402253">
      <w:pPr>
        <w:pStyle w:val="Style2"/>
        <w:numPr>
          <w:ilvl w:val="0"/>
          <w:numId w:val="40"/>
        </w:numPr>
      </w:pPr>
      <w:r w:rsidRPr="006E7A5E">
        <w:t>inform market engagement discussions,</w:t>
      </w:r>
    </w:p>
    <w:p w14:paraId="4CD3820B" w14:textId="77777777" w:rsidR="003F7339" w:rsidRPr="006E7A5E" w:rsidRDefault="003F7339" w:rsidP="00402253">
      <w:pPr>
        <w:pStyle w:val="Style2"/>
        <w:numPr>
          <w:ilvl w:val="0"/>
          <w:numId w:val="40"/>
        </w:numPr>
      </w:pPr>
      <w:r w:rsidRPr="006E7A5E">
        <w:t>inform the development of the specification, where relevant and</w:t>
      </w:r>
    </w:p>
    <w:p w14:paraId="6930BD48" w14:textId="77777777" w:rsidR="003F7339" w:rsidRPr="006E7A5E" w:rsidRDefault="003F7339" w:rsidP="00402253">
      <w:pPr>
        <w:pStyle w:val="Style2"/>
        <w:numPr>
          <w:ilvl w:val="0"/>
          <w:numId w:val="40"/>
        </w:numPr>
      </w:pPr>
      <w:r w:rsidRPr="006E7A5E">
        <w:t>inform the assessment of bids where relevant (i.e., developing the weighting to be applied to contribution to social value criteria in the specification and developing criteria to judge the most advantageous tender).</w:t>
      </w:r>
    </w:p>
    <w:p w14:paraId="0DDA5278" w14:textId="4B13D742" w:rsidR="003F7339" w:rsidRDefault="003F7339" w:rsidP="00402253">
      <w:pPr>
        <w:pStyle w:val="Style2"/>
        <w:numPr>
          <w:ilvl w:val="0"/>
          <w:numId w:val="40"/>
        </w:numPr>
      </w:pPr>
      <w:r>
        <w:t>i</w:t>
      </w:r>
      <w:r w:rsidRPr="006E7A5E">
        <w:t>nform plans to manage contracts (where relevant) in a way that enables maximum social value to be realised.</w:t>
      </w:r>
    </w:p>
    <w:p w14:paraId="6AB06239" w14:textId="2E960A2D" w:rsidR="00F46DAB" w:rsidRPr="0046519A" w:rsidRDefault="00F46DAB" w:rsidP="00402253">
      <w:pPr>
        <w:pStyle w:val="Heading3"/>
        <w:rPr>
          <w:rFonts w:eastAsia="Calibri"/>
          <w:lang w:eastAsia="en-GB"/>
        </w:rPr>
      </w:pPr>
      <w:bookmarkStart w:id="106" w:name="_Toc118366677"/>
      <w:bookmarkStart w:id="107" w:name="_Toc124497626"/>
      <w:r w:rsidRPr="0046519A">
        <w:rPr>
          <w:rFonts w:eastAsia="Calibri"/>
          <w:lang w:eastAsia="en-GB"/>
        </w:rPr>
        <w:t xml:space="preserve">Register of Procurement Decisions and </w:t>
      </w:r>
      <w:r w:rsidRPr="00402253">
        <w:rPr>
          <w:rFonts w:eastAsia="Calibri"/>
        </w:rPr>
        <w:t>Contracts</w:t>
      </w:r>
      <w:r w:rsidRPr="0046519A">
        <w:rPr>
          <w:rFonts w:eastAsia="Calibri"/>
          <w:lang w:eastAsia="en-GB"/>
        </w:rPr>
        <w:t xml:space="preserve"> Awarded.</w:t>
      </w:r>
      <w:bookmarkEnd w:id="106"/>
      <w:bookmarkEnd w:id="107"/>
      <w:r w:rsidRPr="0046519A">
        <w:rPr>
          <w:rFonts w:eastAsia="Calibri"/>
          <w:lang w:eastAsia="en-GB"/>
        </w:rPr>
        <w:t xml:space="preserve"> </w:t>
      </w:r>
    </w:p>
    <w:p w14:paraId="3C45139F" w14:textId="36107C6E" w:rsidR="00F46DAB" w:rsidRDefault="00F46DAB" w:rsidP="00402253">
      <w:pPr>
        <w:pStyle w:val="Style2"/>
        <w:rPr>
          <w:rFonts w:eastAsia="Calibri"/>
          <w:lang w:eastAsia="en-GB"/>
        </w:rPr>
      </w:pPr>
      <w:bookmarkStart w:id="108" w:name="_Toc104909014"/>
      <w:bookmarkStart w:id="109" w:name="_Toc104909087"/>
      <w:r w:rsidRPr="00412711">
        <w:rPr>
          <w:rFonts w:eastAsia="Calibri"/>
          <w:lang w:eastAsia="en-GB"/>
        </w:rPr>
        <w:t xml:space="preserve">The register is owned by the </w:t>
      </w:r>
      <w:r>
        <w:rPr>
          <w:rFonts w:eastAsia="Calibri"/>
          <w:lang w:eastAsia="en-GB"/>
        </w:rPr>
        <w:t>ICB Purchase of Healthcare Team</w:t>
      </w:r>
      <w:r w:rsidRPr="00412711">
        <w:rPr>
          <w:rFonts w:eastAsia="Calibri"/>
          <w:lang w:eastAsia="en-GB"/>
        </w:rPr>
        <w:t xml:space="preserve"> and</w:t>
      </w:r>
      <w:r>
        <w:rPr>
          <w:rFonts w:eastAsia="Calibri"/>
          <w:lang w:eastAsia="en-GB"/>
        </w:rPr>
        <w:t>, subject to amended national guidance,</w:t>
      </w:r>
      <w:r w:rsidRPr="00412711">
        <w:rPr>
          <w:rFonts w:eastAsia="Calibri"/>
          <w:lang w:eastAsia="en-GB"/>
        </w:rPr>
        <w:t xml:space="preserve"> </w:t>
      </w:r>
      <w:r>
        <w:rPr>
          <w:rFonts w:eastAsia="Calibri"/>
          <w:lang w:eastAsia="en-GB"/>
        </w:rPr>
        <w:t xml:space="preserve">shall be </w:t>
      </w:r>
      <w:r w:rsidRPr="00412711">
        <w:rPr>
          <w:rFonts w:eastAsia="Calibri"/>
          <w:lang w:eastAsia="en-GB"/>
        </w:rPr>
        <w:t>published on the ICB website</w:t>
      </w:r>
      <w:bookmarkEnd w:id="108"/>
      <w:bookmarkEnd w:id="109"/>
      <w:r>
        <w:rPr>
          <w:rFonts w:eastAsia="Calibri"/>
          <w:lang w:eastAsia="en-GB"/>
        </w:rPr>
        <w:t xml:space="preserve"> no less than four (4) times per year.</w:t>
      </w:r>
    </w:p>
    <w:p w14:paraId="23825361" w14:textId="77777777" w:rsidR="00F913CD" w:rsidRPr="0015255F" w:rsidRDefault="00F913CD" w:rsidP="000646FA">
      <w:pPr>
        <w:pStyle w:val="Heading2"/>
      </w:pPr>
      <w:bookmarkStart w:id="110" w:name="_Toc89326553"/>
      <w:bookmarkStart w:id="111" w:name="_Toc124497627"/>
      <w:r w:rsidRPr="000646FA">
        <w:t>References</w:t>
      </w:r>
      <w:bookmarkEnd w:id="110"/>
      <w:bookmarkEnd w:id="111"/>
    </w:p>
    <w:p w14:paraId="59C575EC" w14:textId="66F99598" w:rsidR="00F913CD" w:rsidRDefault="00C84AD7" w:rsidP="000646FA">
      <w:pPr>
        <w:pStyle w:val="Style1"/>
      </w:pPr>
      <w:r>
        <w:t xml:space="preserve">The following </w:t>
      </w:r>
      <w:r w:rsidR="00F913CD" w:rsidRPr="0015255F">
        <w:t xml:space="preserve">list of references </w:t>
      </w:r>
      <w:r w:rsidR="00D52F8D">
        <w:t>and/or</w:t>
      </w:r>
      <w:r w:rsidR="00F913CD" w:rsidRPr="0015255F">
        <w:t xml:space="preserve"> documents have informed or contributed to </w:t>
      </w:r>
      <w:r w:rsidR="004D6D14">
        <w:t>the drafting of this</w:t>
      </w:r>
      <w:r w:rsidR="00F913CD" w:rsidRPr="0015255F">
        <w:t xml:space="preserve"> policy.</w:t>
      </w:r>
    </w:p>
    <w:tbl>
      <w:tblPr>
        <w:tblStyle w:val="ListTable3-Accent1"/>
        <w:tblW w:w="9209" w:type="dxa"/>
        <w:tblBorders>
          <w:insideH w:val="single" w:sz="4" w:space="0" w:color="003087" w:themeColor="accent1"/>
          <w:insideV w:val="single" w:sz="4" w:space="0" w:color="003087" w:themeColor="accent1"/>
        </w:tblBorders>
        <w:tblLayout w:type="fixed"/>
        <w:tblLook w:val="04A0" w:firstRow="1" w:lastRow="0" w:firstColumn="1" w:lastColumn="0" w:noHBand="0" w:noVBand="1"/>
      </w:tblPr>
      <w:tblGrid>
        <w:gridCol w:w="4253"/>
        <w:gridCol w:w="4956"/>
      </w:tblGrid>
      <w:tr w:rsidR="00C410A2" w:rsidRPr="00C410A2" w14:paraId="0AB192B3" w14:textId="77777777" w:rsidTr="00FE5514">
        <w:trPr>
          <w:cnfStyle w:val="100000000000" w:firstRow="1" w:lastRow="0" w:firstColumn="0" w:lastColumn="0" w:oddVBand="0" w:evenVBand="0" w:oddHBand="0" w:evenHBand="0" w:firstRowFirstColumn="0" w:firstRowLastColumn="0" w:lastRowFirstColumn="0" w:lastRowLastColumn="0"/>
          <w:trHeight w:val="533"/>
          <w:tblHeader/>
        </w:trPr>
        <w:tc>
          <w:tcPr>
            <w:cnfStyle w:val="001000000100" w:firstRow="0" w:lastRow="0" w:firstColumn="1" w:lastColumn="0" w:oddVBand="0" w:evenVBand="0" w:oddHBand="0" w:evenHBand="0" w:firstRowFirstColumn="1" w:firstRowLastColumn="0" w:lastRowFirstColumn="0" w:lastRowLastColumn="0"/>
            <w:tcW w:w="4253" w:type="dxa"/>
            <w:tcBorders>
              <w:bottom w:val="none" w:sz="0" w:space="0" w:color="auto"/>
              <w:right w:val="none" w:sz="0" w:space="0" w:color="auto"/>
            </w:tcBorders>
          </w:tcPr>
          <w:p w14:paraId="3444CD99" w14:textId="77777777" w:rsidR="007B76F5" w:rsidRPr="00C410A2" w:rsidRDefault="007B76F5" w:rsidP="004D6D14">
            <w:pPr>
              <w:spacing w:before="0"/>
              <w:ind w:left="0"/>
              <w:rPr>
                <w:rFonts w:ascii="Arial" w:eastAsia="Calibri" w:hAnsi="Arial" w:cs="Arial"/>
                <w:b w:val="0"/>
                <w:color w:val="FFFFFF" w:themeColor="background1"/>
                <w:sz w:val="22"/>
                <w:szCs w:val="22"/>
              </w:rPr>
            </w:pPr>
            <w:r w:rsidRPr="00C410A2">
              <w:rPr>
                <w:rFonts w:ascii="Arial" w:eastAsia="Calibri" w:hAnsi="Arial" w:cs="Arial"/>
                <w:color w:val="FFFFFF" w:themeColor="background1"/>
                <w:sz w:val="22"/>
                <w:szCs w:val="22"/>
              </w:rPr>
              <w:t xml:space="preserve">Reference </w:t>
            </w:r>
          </w:p>
        </w:tc>
        <w:tc>
          <w:tcPr>
            <w:tcW w:w="4956" w:type="dxa"/>
          </w:tcPr>
          <w:p w14:paraId="4E902393" w14:textId="77777777" w:rsidR="007B76F5" w:rsidRPr="00C410A2" w:rsidRDefault="007B76F5" w:rsidP="004D6D14">
            <w:pPr>
              <w:spacing w:before="0"/>
              <w:ind w:left="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2"/>
                <w:szCs w:val="22"/>
              </w:rPr>
            </w:pPr>
            <w:r w:rsidRPr="00C410A2">
              <w:rPr>
                <w:rFonts w:ascii="Arial" w:eastAsia="Calibri" w:hAnsi="Arial" w:cs="Arial"/>
                <w:color w:val="FFFFFF" w:themeColor="background1"/>
                <w:sz w:val="22"/>
                <w:szCs w:val="22"/>
              </w:rPr>
              <w:t>Website</w:t>
            </w:r>
          </w:p>
        </w:tc>
      </w:tr>
      <w:tr w:rsidR="007B76F5" w:rsidRPr="007B76F5" w14:paraId="39A075CF" w14:textId="77777777" w:rsidTr="00FE5514">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tcPr>
          <w:p w14:paraId="59559DC4" w14:textId="77777777"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"The Public Contracts Regulations 2015"</w:t>
            </w:r>
          </w:p>
        </w:tc>
        <w:tc>
          <w:tcPr>
            <w:tcW w:w="4956" w:type="dxa"/>
            <w:tcBorders>
              <w:top w:val="none" w:sz="0" w:space="0" w:color="auto"/>
              <w:bottom w:val="none" w:sz="0" w:space="0" w:color="auto"/>
            </w:tcBorders>
          </w:tcPr>
          <w:p w14:paraId="44923FA5" w14:textId="77777777" w:rsidR="007B76F5" w:rsidRPr="007B76F5" w:rsidRDefault="00DA7E94" w:rsidP="004D6D14">
            <w:pPr>
              <w:spacing w:before="0"/>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27" w:history="1">
              <w:r w:rsidR="007B76F5" w:rsidRPr="007B76F5">
                <w:rPr>
                  <w:rFonts w:ascii="Arial" w:eastAsia="Calibri" w:hAnsi="Arial" w:cs="Arial"/>
                  <w:color w:val="0000FF"/>
                  <w:sz w:val="22"/>
                  <w:szCs w:val="22"/>
                  <w:u w:val="single"/>
                </w:rPr>
                <w:t>http://www.legislation.gov.uk/uksi/2015/102/pdfs/uksi_20150102_en.pdf</w:t>
              </w:r>
            </w:hyperlink>
            <w:r w:rsidR="007B76F5" w:rsidRPr="007B76F5">
              <w:rPr>
                <w:rFonts w:ascii="Arial" w:eastAsia="Calibri" w:hAnsi="Arial" w:cs="Arial"/>
                <w:color w:val="0000FF"/>
                <w:sz w:val="22"/>
                <w:szCs w:val="22"/>
                <w:u w:val="single"/>
              </w:rPr>
              <w:t xml:space="preserve"> </w:t>
            </w:r>
          </w:p>
        </w:tc>
      </w:tr>
      <w:tr w:rsidR="007B76F5" w:rsidRPr="007B76F5" w14:paraId="6F13BADE" w14:textId="77777777" w:rsidTr="00FE5514">
        <w:trPr>
          <w:trHeight w:val="716"/>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5BD44A02" w14:textId="77777777"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 xml:space="preserve">The Public Contracts Regulations 2015, as amended by </w:t>
            </w:r>
            <w:hyperlink r:id="rId28" w:history="1">
              <w:r w:rsidRPr="007B76F5">
                <w:rPr>
                  <w:rFonts w:ascii="Arial" w:eastAsia="Calibri" w:hAnsi="Arial" w:cs="Arial"/>
                  <w:color w:val="auto"/>
                  <w:sz w:val="22"/>
                  <w:szCs w:val="22"/>
                </w:rPr>
                <w:t xml:space="preserve">The Public </w:t>
              </w:r>
            </w:hyperlink>
            <w:hyperlink r:id="rId29" w:history="1">
              <w:r w:rsidRPr="007B76F5">
                <w:rPr>
                  <w:rFonts w:ascii="Arial" w:eastAsia="Calibri" w:hAnsi="Arial" w:cs="Arial"/>
                  <w:color w:val="auto"/>
                  <w:sz w:val="22"/>
                  <w:szCs w:val="22"/>
                </w:rPr>
                <w:t>Procurement</w:t>
              </w:r>
            </w:hyperlink>
            <w:hyperlink r:id="rId30" w:history="1">
              <w:r w:rsidRPr="007B76F5">
                <w:rPr>
                  <w:rFonts w:ascii="Arial" w:eastAsia="Calibri" w:hAnsi="Arial" w:cs="Arial"/>
                  <w:color w:val="auto"/>
                  <w:sz w:val="22"/>
                  <w:szCs w:val="22"/>
                </w:rPr>
                <w:t xml:space="preserve"> (</w:t>
              </w:r>
            </w:hyperlink>
            <w:hyperlink r:id="rId31" w:history="1">
              <w:r w:rsidRPr="007B76F5">
                <w:rPr>
                  <w:rFonts w:ascii="Arial" w:eastAsia="Calibri" w:hAnsi="Arial" w:cs="Arial"/>
                  <w:color w:val="auto"/>
                  <w:sz w:val="22"/>
                  <w:szCs w:val="22"/>
                </w:rPr>
                <w:t>Amendment</w:t>
              </w:r>
            </w:hyperlink>
            <w:hyperlink r:id="rId32" w:history="1">
              <w:r w:rsidRPr="007B76F5">
                <w:rPr>
                  <w:rFonts w:ascii="Arial" w:eastAsia="Calibri" w:hAnsi="Arial" w:cs="Arial"/>
                  <w:color w:val="auto"/>
                  <w:sz w:val="22"/>
                  <w:szCs w:val="22"/>
                </w:rPr>
                <w:t xml:space="preserve"> etc.) (EU Exit) </w:t>
              </w:r>
            </w:hyperlink>
            <w:hyperlink r:id="rId33" w:history="1">
              <w:r w:rsidRPr="007B76F5">
                <w:rPr>
                  <w:rFonts w:ascii="Arial" w:eastAsia="Calibri" w:hAnsi="Arial" w:cs="Arial"/>
                  <w:color w:val="auto"/>
                  <w:sz w:val="22"/>
                  <w:szCs w:val="22"/>
                </w:rPr>
                <w:t>Regulations</w:t>
              </w:r>
            </w:hyperlink>
            <w:hyperlink r:id="rId34" w:history="1">
              <w:r w:rsidRPr="007B76F5">
                <w:rPr>
                  <w:rFonts w:ascii="Arial" w:eastAsia="Calibri" w:hAnsi="Arial" w:cs="Arial"/>
                  <w:color w:val="auto"/>
                  <w:sz w:val="22"/>
                  <w:szCs w:val="22"/>
                </w:rPr>
                <w:t xml:space="preserve"> 2020</w:t>
              </w:r>
            </w:hyperlink>
          </w:p>
        </w:tc>
        <w:tc>
          <w:tcPr>
            <w:tcW w:w="4956" w:type="dxa"/>
          </w:tcPr>
          <w:p w14:paraId="7A281753" w14:textId="4CB6A920" w:rsidR="007B76F5" w:rsidRPr="000F2DDB" w:rsidRDefault="00DA7E94" w:rsidP="004D6D14">
            <w:pPr>
              <w:spacing w:before="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hyperlink r:id="rId35" w:history="1">
              <w:r w:rsidR="000F2DDB" w:rsidRPr="000F2DDB">
                <w:rPr>
                  <w:rStyle w:val="Hyperlink"/>
                  <w:rFonts w:ascii="Arial" w:hAnsi="Arial" w:cs="Arial"/>
                  <w:sz w:val="22"/>
                  <w:szCs w:val="22"/>
                </w:rPr>
                <w:t>The Public Procurement (Amendment etc.) (EU Exit) Regulations 2020 (legislation.gov.uk)</w:t>
              </w:r>
            </w:hyperlink>
            <w:r w:rsidR="000F2DDB" w:rsidRPr="000F2DDB">
              <w:rPr>
                <w:rFonts w:ascii="Arial" w:hAnsi="Arial" w:cs="Arial"/>
                <w:sz w:val="22"/>
                <w:szCs w:val="22"/>
              </w:rPr>
              <w:t xml:space="preserve"> </w:t>
            </w:r>
          </w:p>
        </w:tc>
      </w:tr>
      <w:tr w:rsidR="007B76F5" w:rsidRPr="007B76F5" w14:paraId="7124A987" w14:textId="77777777" w:rsidTr="00FE5514">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tcPr>
          <w:p w14:paraId="62F4D041" w14:textId="77777777"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SI 2021 No.872 The Public Procurement (Agreement on Government Procurement) (Amendments)(No.2) Regulations 2021</w:t>
            </w:r>
          </w:p>
        </w:tc>
        <w:tc>
          <w:tcPr>
            <w:tcW w:w="4956" w:type="dxa"/>
            <w:tcBorders>
              <w:top w:val="none" w:sz="0" w:space="0" w:color="auto"/>
              <w:bottom w:val="none" w:sz="0" w:space="0" w:color="auto"/>
            </w:tcBorders>
          </w:tcPr>
          <w:p w14:paraId="64E64652" w14:textId="1CC3EFEB" w:rsidR="007B76F5" w:rsidRPr="000F2DDB" w:rsidRDefault="00DA7E94" w:rsidP="004D6D14">
            <w:pPr>
              <w:spacing w:before="0"/>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36" w:history="1">
              <w:r w:rsidR="000F2DDB" w:rsidRPr="000F2DDB">
                <w:rPr>
                  <w:rStyle w:val="Hyperlink"/>
                  <w:rFonts w:ascii="Arial" w:hAnsi="Arial" w:cs="Arial"/>
                  <w:sz w:val="22"/>
                  <w:szCs w:val="22"/>
                </w:rPr>
                <w:t>The Public Procurement (Agreement on Government Procurement) (Amendment) (No. 2) Regulations 2021 (legislation.gov.uk)</w:t>
              </w:r>
            </w:hyperlink>
          </w:p>
        </w:tc>
      </w:tr>
      <w:tr w:rsidR="007B76F5" w:rsidRPr="007B76F5" w14:paraId="4D77AC4C" w14:textId="77777777" w:rsidTr="00FE5514">
        <w:trPr>
          <w:trHeight w:val="716"/>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268895E8" w14:textId="77777777"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NHS (Procurement, Patient Choice &amp; Competition) (No.2) Regulations 2013</w:t>
            </w:r>
          </w:p>
        </w:tc>
        <w:tc>
          <w:tcPr>
            <w:tcW w:w="4956" w:type="dxa"/>
          </w:tcPr>
          <w:p w14:paraId="60EBB47B" w14:textId="77777777" w:rsidR="007B76F5" w:rsidRPr="007B76F5" w:rsidRDefault="00DA7E94" w:rsidP="004D6D14">
            <w:pPr>
              <w:spacing w:before="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hyperlink r:id="rId37" w:history="1">
              <w:r w:rsidR="007B76F5" w:rsidRPr="007B76F5">
                <w:rPr>
                  <w:rFonts w:ascii="Arial" w:eastAsia="Calibri" w:hAnsi="Arial" w:cs="Arial"/>
                  <w:color w:val="0000FF"/>
                  <w:sz w:val="22"/>
                  <w:szCs w:val="22"/>
                  <w:u w:val="single"/>
                </w:rPr>
                <w:t>http://www.legislation.gov.uk/uksi/2013/500/contents/made</w:t>
              </w:r>
            </w:hyperlink>
            <w:r w:rsidR="007B76F5" w:rsidRPr="007B76F5">
              <w:rPr>
                <w:rFonts w:ascii="Arial" w:eastAsia="Calibri" w:hAnsi="Arial" w:cs="Arial"/>
                <w:color w:val="0000FF"/>
                <w:sz w:val="22"/>
                <w:szCs w:val="22"/>
                <w:u w:val="single"/>
              </w:rPr>
              <w:t xml:space="preserve"> </w:t>
            </w:r>
          </w:p>
        </w:tc>
      </w:tr>
      <w:tr w:rsidR="007B76F5" w:rsidRPr="007B76F5" w14:paraId="48D9599C" w14:textId="77777777" w:rsidTr="00FE5514">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tcPr>
          <w:p w14:paraId="0319C2BE" w14:textId="77777777"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Procurement, Patient Choice &amp; Competition Regulations: Guidance &amp; Hypothetical Case Scenarios</w:t>
            </w:r>
          </w:p>
        </w:tc>
        <w:tc>
          <w:tcPr>
            <w:tcW w:w="4956" w:type="dxa"/>
            <w:tcBorders>
              <w:top w:val="none" w:sz="0" w:space="0" w:color="auto"/>
              <w:bottom w:val="none" w:sz="0" w:space="0" w:color="auto"/>
            </w:tcBorders>
          </w:tcPr>
          <w:p w14:paraId="0E50B26B" w14:textId="77777777" w:rsidR="007B76F5" w:rsidRPr="007B76F5" w:rsidRDefault="00DA7E94" w:rsidP="004D6D14">
            <w:pPr>
              <w:spacing w:before="0"/>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38" w:history="1">
              <w:r w:rsidR="007B76F5" w:rsidRPr="007B76F5">
                <w:rPr>
                  <w:rFonts w:ascii="Arial" w:eastAsia="Calibri" w:hAnsi="Arial" w:cs="Arial"/>
                  <w:color w:val="0000FF"/>
                  <w:sz w:val="22"/>
                  <w:szCs w:val="22"/>
                  <w:u w:val="single"/>
                </w:rPr>
                <w:t>https://www.gov.uk/government/publications/procurement-patient-choice-and-competition-regulations-guidance</w:t>
              </w:r>
            </w:hyperlink>
          </w:p>
        </w:tc>
      </w:tr>
      <w:tr w:rsidR="007B76F5" w:rsidRPr="007B76F5" w14:paraId="6F53D5F3" w14:textId="77777777" w:rsidTr="00FE5514">
        <w:trPr>
          <w:trHeight w:val="716"/>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6B2CC4A2" w14:textId="58080718"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Public Services (Social Value) Act 2012</w:t>
            </w:r>
          </w:p>
        </w:tc>
        <w:tc>
          <w:tcPr>
            <w:tcW w:w="4956" w:type="dxa"/>
          </w:tcPr>
          <w:p w14:paraId="2F807D4E" w14:textId="77777777" w:rsidR="007B76F5" w:rsidRPr="007B76F5" w:rsidRDefault="00DA7E94" w:rsidP="004D6D14">
            <w:pPr>
              <w:spacing w:before="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hyperlink r:id="rId39" w:history="1">
              <w:r w:rsidR="007B76F5" w:rsidRPr="007B76F5">
                <w:rPr>
                  <w:rFonts w:ascii="Arial" w:eastAsia="Calibri" w:hAnsi="Arial" w:cs="Arial"/>
                  <w:color w:val="0000FF"/>
                  <w:sz w:val="22"/>
                  <w:szCs w:val="22"/>
                  <w:u w:val="single"/>
                </w:rPr>
                <w:t>http://www.legislation.gov.uk/ukpga/2012/3/enacted</w:t>
              </w:r>
            </w:hyperlink>
            <w:r w:rsidR="007B76F5" w:rsidRPr="007B76F5">
              <w:rPr>
                <w:rFonts w:ascii="Arial" w:eastAsia="Calibri" w:hAnsi="Arial" w:cs="Arial"/>
                <w:color w:val="0000FF"/>
                <w:sz w:val="22"/>
                <w:szCs w:val="22"/>
                <w:u w:val="single"/>
              </w:rPr>
              <w:t xml:space="preserve"> </w:t>
            </w:r>
          </w:p>
        </w:tc>
      </w:tr>
      <w:tr w:rsidR="007B76F5" w:rsidRPr="007B76F5" w14:paraId="65CFB765" w14:textId="77777777" w:rsidTr="00FE5514">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tcPr>
          <w:p w14:paraId="099462DA" w14:textId="1C4D2EC5"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Operational Guidance to the NHS-Extending Patient Choice of Provider</w:t>
            </w:r>
          </w:p>
        </w:tc>
        <w:tc>
          <w:tcPr>
            <w:tcW w:w="4956" w:type="dxa"/>
            <w:tcBorders>
              <w:top w:val="none" w:sz="0" w:space="0" w:color="auto"/>
              <w:bottom w:val="none" w:sz="0" w:space="0" w:color="auto"/>
            </w:tcBorders>
          </w:tcPr>
          <w:p w14:paraId="1CA0F47A" w14:textId="77777777" w:rsidR="007B76F5" w:rsidRPr="007B76F5" w:rsidRDefault="00DA7E94" w:rsidP="004D6D14">
            <w:pPr>
              <w:spacing w:before="0"/>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40" w:history="1">
              <w:r w:rsidR="007B76F5" w:rsidRPr="007B76F5">
                <w:rPr>
                  <w:rFonts w:ascii="Arial" w:eastAsia="Calibri" w:hAnsi="Arial" w:cs="Arial"/>
                  <w:color w:val="0000FF"/>
                  <w:sz w:val="22"/>
                  <w:szCs w:val="22"/>
                  <w:u w:val="single"/>
                </w:rPr>
                <w:t>http://www.dh.gov.uk/en/Publicationsandstatistics/Publications/PublicationsPolicyAndGuidance/DH_128455</w:t>
              </w:r>
            </w:hyperlink>
          </w:p>
        </w:tc>
      </w:tr>
      <w:tr w:rsidR="007B76F5" w:rsidRPr="007B76F5" w14:paraId="44BA3DDD" w14:textId="77777777" w:rsidTr="00FE5514">
        <w:trPr>
          <w:trHeight w:val="700"/>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6F89D98D" w14:textId="77777777"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Cabinet Office’s Transparency requirements for publishing on Contracts Finder</w:t>
            </w:r>
          </w:p>
        </w:tc>
        <w:tc>
          <w:tcPr>
            <w:tcW w:w="4956" w:type="dxa"/>
          </w:tcPr>
          <w:p w14:paraId="166BE844" w14:textId="77777777" w:rsidR="007B76F5" w:rsidRPr="007B76F5" w:rsidRDefault="00DA7E94" w:rsidP="004D6D14">
            <w:pPr>
              <w:spacing w:before="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hyperlink r:id="rId41" w:history="1">
              <w:r w:rsidR="007B76F5" w:rsidRPr="007B76F5">
                <w:rPr>
                  <w:rFonts w:ascii="Arial" w:eastAsia="Calibri" w:hAnsi="Arial" w:cs="Arial"/>
                  <w:color w:val="0000FF"/>
                  <w:sz w:val="22"/>
                  <w:szCs w:val="22"/>
                  <w:u w:val="single"/>
                </w:rPr>
                <w:t>https://www.gov.uk/government/publications/transparency-requirements-for-publishing-on-contracts-finder</w:t>
              </w:r>
            </w:hyperlink>
          </w:p>
        </w:tc>
      </w:tr>
      <w:tr w:rsidR="007B76F5" w:rsidRPr="007B76F5" w14:paraId="2D1F6D56" w14:textId="77777777" w:rsidTr="00FE5514">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tcPr>
          <w:p w14:paraId="37E413DD" w14:textId="77777777"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 xml:space="preserve">Thresholds </w:t>
            </w:r>
          </w:p>
        </w:tc>
        <w:tc>
          <w:tcPr>
            <w:tcW w:w="4956" w:type="dxa"/>
            <w:tcBorders>
              <w:top w:val="none" w:sz="0" w:space="0" w:color="auto"/>
              <w:bottom w:val="none" w:sz="0" w:space="0" w:color="auto"/>
            </w:tcBorders>
          </w:tcPr>
          <w:p w14:paraId="3C97F85A" w14:textId="77777777" w:rsidR="007B76F5" w:rsidRPr="007B76F5" w:rsidRDefault="00DA7E94" w:rsidP="004D6D14">
            <w:pPr>
              <w:spacing w:before="0"/>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42" w:history="1">
              <w:r w:rsidR="007B76F5" w:rsidRPr="007B76F5">
                <w:rPr>
                  <w:rFonts w:ascii="Arial" w:eastAsia="Calibri" w:hAnsi="Arial" w:cs="Arial"/>
                  <w:color w:val="0000FF"/>
                  <w:sz w:val="22"/>
                  <w:szCs w:val="22"/>
                  <w:u w:val="single"/>
                </w:rPr>
                <w:t>https://www.gov.uk/government/publications/procurement-policy-note-new-thresholds-2020</w:t>
              </w:r>
            </w:hyperlink>
          </w:p>
        </w:tc>
      </w:tr>
      <w:tr w:rsidR="007B76F5" w:rsidRPr="007B76F5" w14:paraId="200935A5" w14:textId="77777777" w:rsidTr="00FE5514">
        <w:trPr>
          <w:trHeight w:val="574"/>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38EDDD31" w14:textId="47A1913A" w:rsidR="007B76F5" w:rsidRPr="007B76F5" w:rsidRDefault="00DA7E94" w:rsidP="004D6D14">
            <w:pPr>
              <w:spacing w:before="0"/>
              <w:ind w:left="0"/>
              <w:rPr>
                <w:rFonts w:ascii="Arial" w:eastAsia="Calibri" w:hAnsi="Arial" w:cs="Arial"/>
                <w:color w:val="auto"/>
                <w:sz w:val="22"/>
                <w:szCs w:val="22"/>
              </w:rPr>
            </w:pPr>
            <w:hyperlink r:id="rId43" w:history="1">
              <w:r w:rsidR="007B76F5" w:rsidRPr="007B76F5">
                <w:rPr>
                  <w:rFonts w:ascii="Arial" w:eastAsia="Calibri" w:hAnsi="Arial" w:cs="Arial"/>
                  <w:color w:val="auto"/>
                  <w:sz w:val="22"/>
                  <w:szCs w:val="22"/>
                </w:rPr>
                <w:t>NAO - General Procurement Guide</w:t>
              </w:r>
            </w:hyperlink>
          </w:p>
        </w:tc>
        <w:tc>
          <w:tcPr>
            <w:tcW w:w="4956" w:type="dxa"/>
          </w:tcPr>
          <w:p w14:paraId="184B6909" w14:textId="77777777" w:rsidR="007B76F5" w:rsidRPr="007B76F5" w:rsidRDefault="00DA7E94" w:rsidP="004D6D14">
            <w:pPr>
              <w:spacing w:before="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hyperlink r:id="rId44" w:history="1">
              <w:r w:rsidR="007B76F5" w:rsidRPr="007B76F5">
                <w:rPr>
                  <w:rFonts w:ascii="Arial" w:eastAsia="Calibri" w:hAnsi="Arial" w:cs="Arial"/>
                  <w:color w:val="0000FF"/>
                  <w:sz w:val="22"/>
                  <w:szCs w:val="22"/>
                  <w:u w:val="single"/>
                </w:rPr>
                <w:t>http://www.nao.org.uk/freedom-of-information/wp-content/uploads/sites/13/2013/03/Procurement_manual.pdf</w:t>
              </w:r>
            </w:hyperlink>
          </w:p>
        </w:tc>
      </w:tr>
      <w:tr w:rsidR="007B76F5" w:rsidRPr="007B76F5" w14:paraId="4525B6E0" w14:textId="77777777" w:rsidTr="00FE551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tcPr>
          <w:p w14:paraId="1C5BB756" w14:textId="77777777" w:rsidR="007B76F5" w:rsidRPr="007B76F5" w:rsidRDefault="007B76F5" w:rsidP="004D6D14">
            <w:pPr>
              <w:spacing w:before="0"/>
              <w:ind w:left="0"/>
              <w:rPr>
                <w:rFonts w:ascii="Arial" w:eastAsia="Calibri" w:hAnsi="Arial" w:cs="Arial"/>
                <w:color w:val="auto"/>
                <w:sz w:val="22"/>
                <w:szCs w:val="22"/>
              </w:rPr>
            </w:pPr>
            <w:r w:rsidRPr="007B76F5">
              <w:rPr>
                <w:rFonts w:ascii="Arial" w:eastAsia="Calibri" w:hAnsi="Arial" w:cs="Arial"/>
                <w:color w:val="auto"/>
                <w:sz w:val="22"/>
                <w:szCs w:val="22"/>
              </w:rPr>
              <w:t>Protecting and Promoting Patients‟ Interests: The Role of Sector Regulation</w:t>
            </w:r>
          </w:p>
        </w:tc>
        <w:tc>
          <w:tcPr>
            <w:tcW w:w="4956" w:type="dxa"/>
            <w:tcBorders>
              <w:top w:val="none" w:sz="0" w:space="0" w:color="auto"/>
              <w:bottom w:val="none" w:sz="0" w:space="0" w:color="auto"/>
            </w:tcBorders>
          </w:tcPr>
          <w:p w14:paraId="05952128" w14:textId="77777777" w:rsidR="007B76F5" w:rsidRPr="007B76F5" w:rsidRDefault="00DA7E94" w:rsidP="004D6D14">
            <w:pPr>
              <w:spacing w:before="0"/>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FF"/>
                <w:sz w:val="22"/>
                <w:szCs w:val="22"/>
                <w:u w:val="single"/>
              </w:rPr>
            </w:pPr>
            <w:hyperlink r:id="rId45" w:history="1">
              <w:r w:rsidR="007B76F5" w:rsidRPr="007B76F5">
                <w:rPr>
                  <w:rFonts w:ascii="Arial" w:eastAsia="Calibri" w:hAnsi="Arial" w:cs="Arial"/>
                  <w:color w:val="0000FF"/>
                  <w:sz w:val="22"/>
                  <w:szCs w:val="22"/>
                  <w:u w:val="single"/>
                </w:rPr>
                <w:t>https://www.gov.uk/government/publications/protecting-and-promoting-patients-interests-the-role-of-sector-regulation</w:t>
              </w:r>
            </w:hyperlink>
          </w:p>
        </w:tc>
      </w:tr>
      <w:tr w:rsidR="007B76F5" w:rsidRPr="007B76F5" w14:paraId="0A3F8FAA" w14:textId="77777777" w:rsidTr="00FE5514">
        <w:trPr>
          <w:trHeight w:val="574"/>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06BA5314" w14:textId="77777777" w:rsidR="007B76F5" w:rsidRPr="007B76F5" w:rsidRDefault="007B76F5" w:rsidP="004D6D14">
            <w:pPr>
              <w:autoSpaceDE w:val="0"/>
              <w:adjustRightInd w:val="0"/>
              <w:spacing w:before="0"/>
              <w:ind w:left="0"/>
              <w:rPr>
                <w:rFonts w:ascii="Arial" w:eastAsia="Calibri" w:hAnsi="Arial" w:cs="Arial"/>
                <w:color w:val="auto"/>
                <w:sz w:val="22"/>
                <w:szCs w:val="22"/>
              </w:rPr>
            </w:pPr>
            <w:r w:rsidRPr="007B76F5">
              <w:rPr>
                <w:rFonts w:ascii="Arial" w:eastAsia="Calibri" w:hAnsi="Arial" w:cs="Arial"/>
                <w:color w:val="auto"/>
                <w:sz w:val="22"/>
                <w:szCs w:val="22"/>
              </w:rPr>
              <w:t>Cabinet Office Guidelines</w:t>
            </w:r>
          </w:p>
        </w:tc>
        <w:tc>
          <w:tcPr>
            <w:tcW w:w="4956" w:type="dxa"/>
          </w:tcPr>
          <w:p w14:paraId="3511E309" w14:textId="77777777" w:rsidR="007B76F5" w:rsidRPr="007B76F5" w:rsidRDefault="00DA7E94" w:rsidP="004D6D14">
            <w:pPr>
              <w:autoSpaceDE w:val="0"/>
              <w:adjustRightInd w:val="0"/>
              <w:spacing w:before="0"/>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hyperlink r:id="rId46" w:history="1">
              <w:r w:rsidR="007B76F5" w:rsidRPr="007B76F5">
                <w:rPr>
                  <w:rFonts w:ascii="Arial" w:eastAsia="Calibri" w:hAnsi="Arial" w:cs="Arial"/>
                  <w:color w:val="0000FF"/>
                  <w:sz w:val="22"/>
                  <w:szCs w:val="22"/>
                  <w:u w:val="single"/>
                </w:rPr>
                <w:t>https://www.gov.uk/transposing-eu-procurement-directives</w:t>
              </w:r>
            </w:hyperlink>
          </w:p>
        </w:tc>
      </w:tr>
      <w:tr w:rsidR="007B76F5" w:rsidRPr="007B76F5" w14:paraId="69767A4D" w14:textId="77777777" w:rsidTr="00FE5514">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tcPr>
          <w:p w14:paraId="4377137F" w14:textId="77777777" w:rsidR="007B76F5" w:rsidRPr="007B76F5" w:rsidRDefault="007B76F5" w:rsidP="004D6D14">
            <w:pPr>
              <w:autoSpaceDE w:val="0"/>
              <w:adjustRightInd w:val="0"/>
              <w:spacing w:before="0"/>
              <w:ind w:left="0"/>
              <w:rPr>
                <w:rFonts w:ascii="Arial" w:eastAsia="Calibri" w:hAnsi="Arial" w:cs="Arial"/>
                <w:color w:val="auto"/>
                <w:sz w:val="22"/>
                <w:szCs w:val="22"/>
              </w:rPr>
            </w:pPr>
            <w:r w:rsidRPr="007B76F5">
              <w:rPr>
                <w:rFonts w:ascii="Arial" w:eastAsia="Calibri" w:hAnsi="Arial" w:cs="Arial"/>
                <w:color w:val="auto"/>
                <w:sz w:val="22"/>
                <w:szCs w:val="22"/>
              </w:rPr>
              <w:t>Managing Conflicts of Interest – statutory guidance for ICBs</w:t>
            </w:r>
          </w:p>
        </w:tc>
        <w:tc>
          <w:tcPr>
            <w:tcW w:w="4956" w:type="dxa"/>
            <w:tcBorders>
              <w:top w:val="none" w:sz="0" w:space="0" w:color="auto"/>
              <w:bottom w:val="none" w:sz="0" w:space="0" w:color="auto"/>
            </w:tcBorders>
          </w:tcPr>
          <w:p w14:paraId="3F2AD692" w14:textId="6A83B3EA" w:rsidR="007B76F5" w:rsidRPr="007B76F5" w:rsidRDefault="00DA7E94" w:rsidP="004D6D14">
            <w:pPr>
              <w:spacing w:before="0"/>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47" w:history="1">
              <w:r w:rsidR="007B76F5" w:rsidRPr="007B76F5">
                <w:rPr>
                  <w:rFonts w:ascii="Arial" w:eastAsia="Calibri" w:hAnsi="Arial" w:cs="Arial"/>
                  <w:color w:val="0000FF"/>
                  <w:sz w:val="22"/>
                  <w:szCs w:val="22"/>
                  <w:u w:val="single"/>
                </w:rPr>
                <w:t>https://www.england.nhs.uk/ourwork/coi/</w:t>
              </w:r>
            </w:hyperlink>
          </w:p>
        </w:tc>
      </w:tr>
      <w:tr w:rsidR="007B76F5" w:rsidRPr="007B76F5" w14:paraId="5E20326C" w14:textId="77777777" w:rsidTr="00FE5514">
        <w:trPr>
          <w:trHeight w:val="574"/>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073F8CDE" w14:textId="77777777" w:rsidR="007B76F5" w:rsidRPr="007B76F5" w:rsidRDefault="007B76F5" w:rsidP="00CB0AD0">
            <w:pPr>
              <w:spacing w:before="0" w:line="232" w:lineRule="auto"/>
              <w:ind w:left="0" w:right="101"/>
              <w:rPr>
                <w:rFonts w:ascii="Arial" w:eastAsia="Calibri" w:hAnsi="Arial" w:cs="Arial"/>
                <w:color w:val="auto"/>
                <w:sz w:val="22"/>
                <w:szCs w:val="22"/>
              </w:rPr>
            </w:pPr>
            <w:r w:rsidRPr="007B76F5">
              <w:rPr>
                <w:rFonts w:ascii="Arial" w:eastAsia="Calibri" w:hAnsi="Arial" w:cs="Arial"/>
                <w:color w:val="auto"/>
                <w:sz w:val="22"/>
                <w:szCs w:val="22"/>
                <w:lang w:val="en"/>
              </w:rPr>
              <w:t xml:space="preserve">Guidance and eLearning resources for public sector buyers and utilities that </w:t>
            </w:r>
            <w:proofErr w:type="gramStart"/>
            <w:r w:rsidRPr="007B76F5">
              <w:rPr>
                <w:rFonts w:ascii="Arial" w:eastAsia="Calibri" w:hAnsi="Arial" w:cs="Arial"/>
                <w:color w:val="auto"/>
                <w:sz w:val="22"/>
                <w:szCs w:val="22"/>
                <w:lang w:val="en"/>
              </w:rPr>
              <w:t>have to</w:t>
            </w:r>
            <w:proofErr w:type="gramEnd"/>
            <w:r w:rsidRPr="007B76F5">
              <w:rPr>
                <w:rFonts w:ascii="Arial" w:eastAsia="Calibri" w:hAnsi="Arial" w:cs="Arial"/>
                <w:color w:val="auto"/>
                <w:sz w:val="22"/>
                <w:szCs w:val="22"/>
                <w:lang w:val="en"/>
              </w:rPr>
              <w:t xml:space="preserve"> apply public procurement rules when letting public contracts.</w:t>
            </w:r>
          </w:p>
        </w:tc>
        <w:tc>
          <w:tcPr>
            <w:tcW w:w="4956" w:type="dxa"/>
          </w:tcPr>
          <w:p w14:paraId="2C0BDCBE" w14:textId="77777777" w:rsidR="007B76F5" w:rsidRPr="007B76F5" w:rsidRDefault="00DA7E94" w:rsidP="004D6D14">
            <w:pPr>
              <w:spacing w:before="0" w:line="232" w:lineRule="auto"/>
              <w:ind w:left="102" w:right="113"/>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hyperlink r:id="rId48" w:anchor="history" w:history="1">
              <w:r w:rsidR="007B76F5" w:rsidRPr="007B76F5">
                <w:rPr>
                  <w:rFonts w:ascii="Arial" w:eastAsia="Calibri" w:hAnsi="Arial" w:cs="Arial"/>
                  <w:color w:val="0000FF"/>
                  <w:sz w:val="22"/>
                  <w:szCs w:val="22"/>
                  <w:u w:val="single"/>
                </w:rPr>
                <w:t>https://www.gov.uk/guidance/transposing-eu-procurement-directives#history</w:t>
              </w:r>
            </w:hyperlink>
          </w:p>
        </w:tc>
      </w:tr>
      <w:tr w:rsidR="007B76F5" w:rsidRPr="007B76F5" w14:paraId="66961C41" w14:textId="77777777" w:rsidTr="00FE551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tcPr>
          <w:p w14:paraId="143B4B6E" w14:textId="77777777" w:rsidR="007B76F5" w:rsidRPr="007B76F5" w:rsidRDefault="007B76F5" w:rsidP="004D6D14">
            <w:pPr>
              <w:spacing w:before="0" w:line="232" w:lineRule="auto"/>
              <w:ind w:left="102" w:right="101"/>
              <w:rPr>
                <w:rFonts w:ascii="Arial" w:eastAsia="Calibri" w:hAnsi="Arial" w:cs="Arial"/>
                <w:color w:val="auto"/>
                <w:sz w:val="22"/>
                <w:szCs w:val="22"/>
                <w:lang w:val="en"/>
              </w:rPr>
            </w:pPr>
            <w:r w:rsidRPr="007B76F5">
              <w:rPr>
                <w:rFonts w:ascii="Arial" w:eastAsia="Calibri" w:hAnsi="Arial" w:cs="Arial"/>
                <w:color w:val="auto"/>
                <w:sz w:val="22"/>
                <w:szCs w:val="22"/>
                <w:lang w:val="en"/>
              </w:rPr>
              <w:t>Transfer of Undertakings (Protection of Employment) Regulations 2006(TUPE)</w:t>
            </w:r>
          </w:p>
        </w:tc>
        <w:tc>
          <w:tcPr>
            <w:tcW w:w="4956" w:type="dxa"/>
            <w:tcBorders>
              <w:top w:val="none" w:sz="0" w:space="0" w:color="auto"/>
              <w:bottom w:val="none" w:sz="0" w:space="0" w:color="auto"/>
            </w:tcBorders>
          </w:tcPr>
          <w:p w14:paraId="41C9678B" w14:textId="77777777" w:rsidR="007B76F5" w:rsidRPr="007B76F5" w:rsidRDefault="00DA7E94" w:rsidP="004D6D14">
            <w:pPr>
              <w:spacing w:before="0" w:line="232" w:lineRule="auto"/>
              <w:ind w:left="102" w:right="113"/>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FF"/>
                <w:sz w:val="22"/>
                <w:szCs w:val="22"/>
                <w:u w:val="single"/>
              </w:rPr>
            </w:pPr>
            <w:hyperlink r:id="rId49" w:history="1">
              <w:r w:rsidR="007B76F5" w:rsidRPr="007B76F5">
                <w:rPr>
                  <w:rFonts w:ascii="Arial" w:eastAsia="Calibri" w:hAnsi="Arial" w:cs="Arial"/>
                  <w:color w:val="0000FF"/>
                  <w:sz w:val="22"/>
                  <w:szCs w:val="22"/>
                  <w:u w:val="single"/>
                </w:rPr>
                <w:t>http://www.legislation.gov.uk/uksi/2006/246/pdfs/uksi_20060246_en.pdf</w:t>
              </w:r>
            </w:hyperlink>
          </w:p>
        </w:tc>
      </w:tr>
      <w:tr w:rsidR="007B76F5" w:rsidRPr="007B76F5" w14:paraId="2D51674D" w14:textId="77777777" w:rsidTr="00FE5514">
        <w:trPr>
          <w:trHeight w:val="574"/>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14471123" w14:textId="47050127" w:rsidR="007B76F5" w:rsidRPr="007B76F5" w:rsidRDefault="007B76F5" w:rsidP="00FE5514">
            <w:pPr>
              <w:spacing w:before="0" w:line="232" w:lineRule="auto"/>
              <w:ind w:left="102" w:right="101"/>
              <w:rPr>
                <w:rFonts w:ascii="Arial" w:eastAsia="Calibri" w:hAnsi="Arial" w:cs="Arial"/>
                <w:color w:val="auto"/>
                <w:sz w:val="22"/>
                <w:szCs w:val="22"/>
                <w:lang w:val="en"/>
              </w:rPr>
            </w:pPr>
            <w:r w:rsidRPr="007B76F5">
              <w:rPr>
                <w:rFonts w:ascii="Arial" w:eastAsia="Calibri" w:hAnsi="Arial" w:cs="Arial"/>
                <w:color w:val="auto"/>
                <w:sz w:val="22"/>
                <w:szCs w:val="22"/>
                <w:lang w:val="en"/>
              </w:rPr>
              <w:t>Equality Act 2010</w:t>
            </w:r>
          </w:p>
        </w:tc>
        <w:tc>
          <w:tcPr>
            <w:tcW w:w="4956" w:type="dxa"/>
          </w:tcPr>
          <w:p w14:paraId="05692231" w14:textId="77777777" w:rsidR="007B76F5" w:rsidRPr="007B76F5" w:rsidRDefault="00DA7E94" w:rsidP="004D6D14">
            <w:pPr>
              <w:spacing w:before="0" w:line="232" w:lineRule="auto"/>
              <w:ind w:left="102" w:right="113"/>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FF"/>
                <w:sz w:val="22"/>
                <w:szCs w:val="22"/>
                <w:u w:val="single"/>
              </w:rPr>
            </w:pPr>
            <w:hyperlink r:id="rId50" w:history="1">
              <w:r w:rsidR="007B76F5" w:rsidRPr="007B76F5">
                <w:rPr>
                  <w:rFonts w:ascii="Arial" w:eastAsia="Calibri" w:hAnsi="Arial" w:cs="Arial"/>
                  <w:color w:val="0000FF"/>
                  <w:sz w:val="22"/>
                  <w:szCs w:val="22"/>
                  <w:u w:val="single"/>
                </w:rPr>
                <w:t>http://www.legislation.gov.uk/ukpga/2010/15/pdfs/ukpga_20100015_en.pdf</w:t>
              </w:r>
            </w:hyperlink>
          </w:p>
        </w:tc>
      </w:tr>
      <w:tr w:rsidR="007B76F5" w:rsidRPr="007B76F5" w14:paraId="06DE45A1" w14:textId="77777777" w:rsidTr="00FE551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tcPr>
          <w:p w14:paraId="16E8A7AC" w14:textId="7A552158" w:rsidR="007B76F5" w:rsidRPr="007B76F5" w:rsidRDefault="007B76F5" w:rsidP="00FE5514">
            <w:pPr>
              <w:spacing w:before="0" w:line="232" w:lineRule="auto"/>
              <w:ind w:left="102" w:right="101"/>
              <w:rPr>
                <w:rFonts w:ascii="Arial" w:eastAsia="Calibri" w:hAnsi="Arial" w:cs="Arial"/>
                <w:color w:val="auto"/>
                <w:sz w:val="22"/>
                <w:szCs w:val="22"/>
                <w:lang w:val="en"/>
              </w:rPr>
            </w:pPr>
            <w:r w:rsidRPr="007B76F5">
              <w:rPr>
                <w:rFonts w:ascii="Arial" w:eastAsia="Calibri" w:hAnsi="Arial" w:cs="Arial"/>
                <w:color w:val="auto"/>
                <w:sz w:val="22"/>
                <w:szCs w:val="22"/>
                <w:lang w:val="en"/>
              </w:rPr>
              <w:t>Bribery Act 2010</w:t>
            </w:r>
          </w:p>
        </w:tc>
        <w:tc>
          <w:tcPr>
            <w:tcW w:w="4956" w:type="dxa"/>
            <w:tcBorders>
              <w:top w:val="none" w:sz="0" w:space="0" w:color="auto"/>
              <w:bottom w:val="none" w:sz="0" w:space="0" w:color="auto"/>
            </w:tcBorders>
          </w:tcPr>
          <w:p w14:paraId="76752375" w14:textId="77777777" w:rsidR="007B76F5" w:rsidRPr="007B76F5" w:rsidRDefault="00DA7E94" w:rsidP="004D6D14">
            <w:pPr>
              <w:spacing w:before="0" w:line="232" w:lineRule="auto"/>
              <w:ind w:left="102" w:right="113"/>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FF"/>
                <w:sz w:val="22"/>
                <w:szCs w:val="22"/>
                <w:u w:val="single"/>
              </w:rPr>
            </w:pPr>
            <w:hyperlink r:id="rId51" w:history="1">
              <w:r w:rsidR="007B76F5" w:rsidRPr="007B76F5">
                <w:rPr>
                  <w:rFonts w:ascii="Arial" w:eastAsia="Calibri" w:hAnsi="Arial" w:cs="Arial"/>
                  <w:color w:val="0000FF"/>
                  <w:sz w:val="22"/>
                  <w:szCs w:val="22"/>
                  <w:u w:val="single"/>
                </w:rPr>
                <w:t>http://www.legislation.gov.uk/ukpga/2010/23/pdfs/ukpga_20100023_en.pdf</w:t>
              </w:r>
            </w:hyperlink>
          </w:p>
        </w:tc>
      </w:tr>
      <w:tr w:rsidR="007B76F5" w:rsidRPr="007B76F5" w14:paraId="799275EF" w14:textId="77777777" w:rsidTr="00FE5514">
        <w:trPr>
          <w:trHeight w:val="574"/>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1821EA5D" w14:textId="77777777" w:rsidR="007B76F5" w:rsidRPr="007B76F5" w:rsidRDefault="007B76F5" w:rsidP="004D6D14">
            <w:pPr>
              <w:spacing w:before="0" w:line="232" w:lineRule="auto"/>
              <w:ind w:left="102" w:right="101"/>
              <w:rPr>
                <w:rFonts w:ascii="Arial" w:eastAsia="Calibri" w:hAnsi="Arial" w:cs="Arial"/>
                <w:color w:val="auto"/>
                <w:sz w:val="22"/>
                <w:szCs w:val="22"/>
                <w:lang w:val="en"/>
              </w:rPr>
            </w:pPr>
            <w:r w:rsidRPr="007B76F5">
              <w:rPr>
                <w:rFonts w:ascii="Arial" w:eastAsia="Calibri" w:hAnsi="Arial" w:cs="Arial"/>
                <w:color w:val="auto"/>
                <w:sz w:val="22"/>
                <w:szCs w:val="22"/>
                <w:lang w:val="en"/>
              </w:rPr>
              <w:t>Pre-contract procurement fraud and corruption</w:t>
            </w:r>
          </w:p>
        </w:tc>
        <w:tc>
          <w:tcPr>
            <w:tcW w:w="4956" w:type="dxa"/>
          </w:tcPr>
          <w:p w14:paraId="6828A017" w14:textId="77777777" w:rsidR="007B76F5" w:rsidRPr="007B76F5" w:rsidRDefault="007B76F5" w:rsidP="004D6D14">
            <w:pPr>
              <w:spacing w:before="0" w:line="232" w:lineRule="auto"/>
              <w:ind w:left="102" w:right="113"/>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FF"/>
                <w:sz w:val="22"/>
                <w:szCs w:val="22"/>
                <w:u w:val="single"/>
              </w:rPr>
            </w:pPr>
            <w:r w:rsidRPr="007B76F5">
              <w:rPr>
                <w:rFonts w:ascii="Arial" w:eastAsia="Calibri" w:hAnsi="Arial" w:cs="Arial"/>
                <w:color w:val="0000FF"/>
                <w:sz w:val="22"/>
                <w:szCs w:val="22"/>
                <w:u w:val="single"/>
              </w:rPr>
              <w:t>https://cfa.nhs.uk/resources/downloads/guidance/NHSCFA%20Pre-contract%20procurement%20fraud%20guidance%20-%20v1.0%20July%202018.pdf</w:t>
            </w:r>
          </w:p>
        </w:tc>
      </w:tr>
    </w:tbl>
    <w:p w14:paraId="0749B5BB" w14:textId="77777777" w:rsidR="00F913CD" w:rsidRPr="005042F2" w:rsidRDefault="00F913CD" w:rsidP="000646FA">
      <w:pPr>
        <w:pStyle w:val="Heading2"/>
      </w:pPr>
      <w:bookmarkStart w:id="112" w:name="_Toc89326554"/>
      <w:bookmarkStart w:id="113" w:name="_Toc124497628"/>
      <w:r w:rsidRPr="005042F2">
        <w:t xml:space="preserve">Equality Impact </w:t>
      </w:r>
      <w:r w:rsidRPr="000646FA">
        <w:t>Assessment</w:t>
      </w:r>
      <w:bookmarkEnd w:id="112"/>
      <w:bookmarkEnd w:id="113"/>
    </w:p>
    <w:p w14:paraId="31CD75FD" w14:textId="04E905C9" w:rsidR="00F913CD" w:rsidRPr="000646FA" w:rsidRDefault="00C81047" w:rsidP="000646FA">
      <w:pPr>
        <w:pStyle w:val="Style1"/>
      </w:pPr>
      <w:r w:rsidRPr="000646FA">
        <w:t>T</w:t>
      </w:r>
      <w:r w:rsidR="00F913CD" w:rsidRPr="000646FA">
        <w:t xml:space="preserve">he EIA has identified no equality issues with this policy. </w:t>
      </w:r>
    </w:p>
    <w:p w14:paraId="32344773" w14:textId="77777777" w:rsidR="008344D6" w:rsidRPr="000646FA" w:rsidRDefault="00F913CD" w:rsidP="000646FA">
      <w:pPr>
        <w:pStyle w:val="Style1"/>
      </w:pPr>
      <w:r w:rsidRPr="000646FA">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C94305">
      <w:pPr>
        <w:pStyle w:val="Heading2"/>
        <w:numPr>
          <w:ilvl w:val="0"/>
          <w:numId w:val="0"/>
        </w:numPr>
      </w:pPr>
      <w:bookmarkStart w:id="114" w:name="_Toc419388298"/>
      <w:bookmarkStart w:id="115" w:name="_Toc47357161"/>
      <w:bookmarkStart w:id="116" w:name="_Toc84611065"/>
      <w:bookmarkStart w:id="117" w:name="_Toc89326555"/>
      <w:bookmarkStart w:id="118" w:name="_Toc124497629"/>
      <w:r w:rsidRPr="006606C1">
        <w:t>Appendix</w:t>
      </w:r>
      <w:r>
        <w:t xml:space="preserve"> A</w:t>
      </w:r>
      <w:bookmarkEnd w:id="114"/>
      <w:bookmarkEnd w:id="115"/>
      <w:bookmarkEnd w:id="116"/>
      <w:bookmarkEnd w:id="117"/>
      <w:r>
        <w:t xml:space="preserve"> </w:t>
      </w:r>
      <w:bookmarkStart w:id="119" w:name="_Toc84611066"/>
      <w:bookmarkStart w:id="120" w:name="_Toc89326556"/>
      <w:r w:rsidR="003A663C">
        <w:t xml:space="preserve">- </w:t>
      </w:r>
      <w:r w:rsidRPr="00FC7C60">
        <w:t>Equality Impact Assessment</w:t>
      </w:r>
      <w:bookmarkEnd w:id="118"/>
      <w:bookmarkEnd w:id="119"/>
      <w:bookmarkEnd w:id="120"/>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121" w:name="_Toc89326557"/>
      <w:bookmarkStart w:id="122" w:name="_Toc89326561"/>
      <w:r w:rsidRPr="0039715A">
        <w:rPr>
          <w:rFonts w:asciiTheme="majorHAnsi" w:eastAsia="Times New Roman" w:hAnsiTheme="majorHAnsi" w:cstheme="majorBidi"/>
          <w:b/>
        </w:rPr>
        <w:t>INITIAL INFORMATION</w:t>
      </w:r>
    </w:p>
    <w:tbl>
      <w:tblPr>
        <w:tblStyle w:val="TableGridLight"/>
        <w:tblW w:w="5000" w:type="pct"/>
        <w:tblLook w:val="04A0" w:firstRow="1" w:lastRow="0" w:firstColumn="1" w:lastColumn="0" w:noHBand="0" w:noVBand="1"/>
      </w:tblPr>
      <w:tblGrid>
        <w:gridCol w:w="5348"/>
        <w:gridCol w:w="3668"/>
      </w:tblGrid>
      <w:tr w:rsidR="0039715A" w:rsidRPr="0039715A" w14:paraId="669706D4" w14:textId="77777777" w:rsidTr="009D29F9">
        <w:trPr>
          <w:trHeight w:val="1452"/>
        </w:trPr>
        <w:tc>
          <w:tcPr>
            <w:tcW w:w="2966" w:type="pct"/>
          </w:tcPr>
          <w:p w14:paraId="13593322" w14:textId="414578CC"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r w:rsidR="0079199A">
              <w:rPr>
                <w:rFonts w:ascii="Arial" w:eastAsia="Times New Roman" w:hAnsi="Arial" w:cs="Arial"/>
                <w:b/>
                <w:bCs/>
                <w:color w:val="auto"/>
              </w:rPr>
              <w:t>MSEICB003 Procurement and Contracting Policy</w:t>
            </w:r>
          </w:p>
          <w:p w14:paraId="600B51DA" w14:textId="3FC827A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2DA4EB0E" w:rsidR="0039715A" w:rsidRPr="0039715A" w:rsidRDefault="003B6507" w:rsidP="0039715A">
            <w:pPr>
              <w:spacing w:before="0" w:after="0"/>
              <w:ind w:left="0"/>
              <w:rPr>
                <w:rFonts w:ascii="Arial" w:eastAsia="Times New Roman" w:hAnsi="Arial" w:cs="Arial"/>
                <w:bCs/>
                <w:color w:val="auto"/>
              </w:rPr>
            </w:pPr>
            <w:r>
              <w:rPr>
                <w:rFonts w:ascii="Arial" w:eastAsia="Times New Roman" w:hAnsi="Arial" w:cs="Arial"/>
                <w:bCs/>
                <w:color w:val="auto"/>
              </w:rPr>
              <w:t>V</w:t>
            </w:r>
            <w:r w:rsidR="0039715A" w:rsidRPr="0039715A">
              <w:rPr>
                <w:rFonts w:ascii="Arial" w:eastAsia="Times New Roman" w:hAnsi="Arial" w:cs="Arial"/>
                <w:bCs/>
                <w:color w:val="auto"/>
              </w:rPr>
              <w:t>1</w:t>
            </w:r>
            <w:r w:rsidR="002003AC">
              <w:rPr>
                <w:rFonts w:ascii="Arial" w:eastAsia="Times New Roman" w:hAnsi="Arial" w:cs="Arial"/>
                <w:bCs/>
                <w:color w:val="auto"/>
              </w:rPr>
              <w:t>.0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7A409EC8" w:rsidR="0039715A" w:rsidRPr="0039715A" w:rsidRDefault="00D7319F" w:rsidP="0039715A">
            <w:pPr>
              <w:spacing w:before="0" w:after="0"/>
              <w:ind w:left="0"/>
              <w:rPr>
                <w:rFonts w:ascii="Arial" w:eastAsia="Times New Roman" w:hAnsi="Arial" w:cs="Arial"/>
                <w:bCs/>
                <w:color w:val="auto"/>
              </w:rPr>
            </w:pPr>
            <w:r>
              <w:rPr>
                <w:rFonts w:ascii="Arial" w:eastAsia="Times New Roman" w:hAnsi="Arial" w:cs="Arial"/>
                <w:bCs/>
                <w:color w:val="auto"/>
              </w:rPr>
              <w:t>Resources</w:t>
            </w:r>
            <w:r w:rsidR="003352B8">
              <w:rPr>
                <w:rFonts w:ascii="Arial" w:eastAsia="Times New Roman" w:hAnsi="Arial" w:cs="Arial"/>
                <w:bCs/>
                <w:color w:val="auto"/>
              </w:rPr>
              <w:t xml:space="preserve"> Directorate</w:t>
            </w:r>
          </w:p>
        </w:tc>
      </w:tr>
      <w:tr w:rsidR="0039715A" w:rsidRPr="0039715A" w14:paraId="264D93CB" w14:textId="77777777" w:rsidTr="009D29F9">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78960913" w:rsidR="0039715A" w:rsidRPr="0039715A" w:rsidRDefault="003352B8" w:rsidP="0039715A">
            <w:pPr>
              <w:spacing w:before="0" w:after="0"/>
              <w:ind w:left="0"/>
              <w:rPr>
                <w:rFonts w:ascii="Arial" w:eastAsia="Times New Roman" w:hAnsi="Arial" w:cs="Arial"/>
                <w:bCs/>
                <w:color w:val="auto"/>
              </w:rPr>
            </w:pPr>
            <w:r>
              <w:rPr>
                <w:rFonts w:ascii="Arial" w:eastAsia="Times New Roman" w:hAnsi="Arial" w:cs="Arial"/>
                <w:bCs/>
                <w:color w:val="auto"/>
              </w:rPr>
              <w:t>Andrew Wright,</w:t>
            </w:r>
            <w:r w:rsidR="002003AC">
              <w:t xml:space="preserve"> </w:t>
            </w:r>
            <w:r w:rsidR="002003AC" w:rsidRPr="002003AC">
              <w:rPr>
                <w:rFonts w:ascii="Arial" w:eastAsia="Times New Roman" w:hAnsi="Arial" w:cs="Arial"/>
                <w:bCs/>
                <w:color w:val="auto"/>
              </w:rPr>
              <w:t>Head of Integrated System Purchase of Healthcare</w:t>
            </w:r>
          </w:p>
        </w:tc>
        <w:tc>
          <w:tcPr>
            <w:tcW w:w="2034" w:type="pct"/>
          </w:tcPr>
          <w:p w14:paraId="252C86EB" w14:textId="418A83FB"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657868">
              <w:rPr>
                <w:rFonts w:ascii="Arial" w:eastAsia="Times New Roman" w:hAnsi="Arial" w:cs="Arial"/>
                <w:bCs/>
                <w:color w:val="auto"/>
              </w:rPr>
              <w:t>22/06/2022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Style w:val="TableGridLight"/>
        <w:tblW w:w="5000" w:type="pct"/>
        <w:tblLook w:val="04A0" w:firstRow="1" w:lastRow="0" w:firstColumn="1" w:lastColumn="0" w:noHBand="0" w:noVBand="1"/>
      </w:tblPr>
      <w:tblGrid>
        <w:gridCol w:w="9016"/>
      </w:tblGrid>
      <w:tr w:rsidR="0039715A" w:rsidRPr="0039715A" w14:paraId="2B6E5862" w14:textId="77777777" w:rsidTr="009D29F9">
        <w:tc>
          <w:tcPr>
            <w:tcW w:w="5000" w:type="pct"/>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9D29F9">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9D29F9">
        <w:trPr>
          <w:trHeight w:val="1161"/>
        </w:trPr>
        <w:tc>
          <w:tcPr>
            <w:tcW w:w="5000" w:type="pct"/>
          </w:tcPr>
          <w:p w14:paraId="6ED2851C" w14:textId="5E56B964" w:rsidR="0039715A" w:rsidRPr="0039715A" w:rsidRDefault="003352B8" w:rsidP="0039715A">
            <w:pPr>
              <w:autoSpaceDE w:val="0"/>
              <w:autoSpaceDN w:val="0"/>
              <w:adjustRightInd w:val="0"/>
              <w:spacing w:before="0" w:after="0"/>
              <w:ind w:left="0"/>
              <w:rPr>
                <w:rFonts w:ascii="Arial" w:eastAsia="Times New Roman" w:hAnsi="Arial" w:cs="Arial"/>
                <w:b/>
                <w:bCs/>
                <w:color w:val="000000"/>
              </w:rPr>
            </w:pPr>
            <w:r>
              <w:rPr>
                <w:rFonts w:ascii="Arial" w:eastAsia="Times New Roman" w:hAnsi="Arial" w:cs="Arial"/>
                <w:b/>
                <w:bCs/>
                <w:color w:val="000000"/>
              </w:rPr>
              <w:t xml:space="preserve">To ensure a </w:t>
            </w:r>
            <w:r w:rsidR="00A533B8">
              <w:rPr>
                <w:rFonts w:ascii="Arial" w:eastAsia="Times New Roman" w:hAnsi="Arial" w:cs="Arial"/>
                <w:b/>
                <w:bCs/>
                <w:color w:val="000000"/>
              </w:rPr>
              <w:t xml:space="preserve">consistent, </w:t>
            </w:r>
            <w:proofErr w:type="gramStart"/>
            <w:r w:rsidR="00A533B8">
              <w:rPr>
                <w:rFonts w:ascii="Arial" w:eastAsia="Times New Roman" w:hAnsi="Arial" w:cs="Arial"/>
                <w:b/>
                <w:bCs/>
                <w:color w:val="000000"/>
              </w:rPr>
              <w:t>fair</w:t>
            </w:r>
            <w:proofErr w:type="gramEnd"/>
            <w:r w:rsidR="00A533B8">
              <w:rPr>
                <w:rFonts w:ascii="Arial" w:eastAsia="Times New Roman" w:hAnsi="Arial" w:cs="Arial"/>
                <w:b/>
                <w:bCs/>
                <w:color w:val="000000"/>
              </w:rPr>
              <w:t xml:space="preserve"> and legally compliant approach in the procurement and purchase of all clinical and nonclinical products and services.</w:t>
            </w:r>
          </w:p>
        </w:tc>
      </w:tr>
      <w:tr w:rsidR="0039715A" w:rsidRPr="0039715A" w14:paraId="506D2BC1" w14:textId="77777777" w:rsidTr="009D29F9">
        <w:tc>
          <w:tcPr>
            <w:tcW w:w="5000" w:type="pct"/>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9D29F9">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9D29F9">
        <w:trPr>
          <w:trHeight w:val="778"/>
        </w:trPr>
        <w:tc>
          <w:tcPr>
            <w:tcW w:w="5000" w:type="pct"/>
          </w:tcPr>
          <w:p w14:paraId="175B401D" w14:textId="77777777" w:rsidR="0039715A" w:rsidRDefault="00A533B8" w:rsidP="0039715A">
            <w:pPr>
              <w:spacing w:before="0" w:after="0"/>
              <w:ind w:left="0"/>
              <w:rPr>
                <w:rFonts w:ascii="Arial" w:eastAsia="Times New Roman" w:hAnsi="Arial" w:cs="Arial"/>
                <w:b/>
                <w:color w:val="auto"/>
              </w:rPr>
            </w:pPr>
            <w:r>
              <w:rPr>
                <w:rFonts w:ascii="Arial" w:eastAsia="Times New Roman" w:hAnsi="Arial" w:cs="Arial"/>
                <w:b/>
                <w:color w:val="auto"/>
              </w:rPr>
              <w:t xml:space="preserve">Equality considerations will </w:t>
            </w:r>
            <w:r w:rsidR="001845E5">
              <w:rPr>
                <w:rFonts w:ascii="Arial" w:eastAsia="Times New Roman" w:hAnsi="Arial" w:cs="Arial"/>
                <w:b/>
                <w:color w:val="auto"/>
              </w:rPr>
              <w:t>be thought through at the different stages of the procurement cycle.</w:t>
            </w:r>
          </w:p>
          <w:p w14:paraId="2B7B529A" w14:textId="77777777" w:rsidR="00AC7986" w:rsidRDefault="00DA7E94" w:rsidP="00AC7986">
            <w:pPr>
              <w:spacing w:before="0" w:after="0"/>
              <w:ind w:left="0"/>
            </w:pPr>
            <w:hyperlink r:id="rId52" w:history="1">
              <w:r w:rsidR="00AC7986" w:rsidRPr="00841652">
                <w:rPr>
                  <w:color w:val="0000FF"/>
                  <w:u w:val="single"/>
                </w:rPr>
                <w:t>buying_better_outcomes_final.pdf (equalityhumanrights.com)</w:t>
              </w:r>
            </w:hyperlink>
          </w:p>
          <w:p w14:paraId="3AB229FC" w14:textId="728DAAE5" w:rsidR="001845E5" w:rsidRPr="0039715A" w:rsidRDefault="001845E5" w:rsidP="0039715A">
            <w:pPr>
              <w:spacing w:before="0" w:after="0"/>
              <w:ind w:left="0"/>
              <w:rPr>
                <w:rFonts w:ascii="Arial" w:eastAsia="Times New Roman" w:hAnsi="Arial" w:cs="Arial"/>
                <w:b/>
                <w:color w:val="auto"/>
              </w:rPr>
            </w:pPr>
          </w:p>
        </w:tc>
      </w:tr>
      <w:tr w:rsidR="0039715A" w:rsidRPr="0039715A" w14:paraId="0D875C19" w14:textId="77777777" w:rsidTr="009D29F9">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2E77A4" w:rsidRPr="0039715A" w14:paraId="162923DF" w14:textId="77777777" w:rsidTr="009D29F9">
        <w:trPr>
          <w:trHeight w:val="926"/>
        </w:trPr>
        <w:tc>
          <w:tcPr>
            <w:tcW w:w="5000" w:type="pct"/>
          </w:tcPr>
          <w:p w14:paraId="67C4E9C6" w14:textId="77777777" w:rsidR="002E77A4" w:rsidRDefault="002E77A4" w:rsidP="002E77A4">
            <w:pPr>
              <w:spacing w:before="0" w:after="0"/>
              <w:ind w:left="0"/>
              <w:rPr>
                <w:rFonts w:ascii="Arial" w:eastAsia="Times New Roman" w:hAnsi="Arial" w:cs="Arial"/>
                <w:color w:val="auto"/>
              </w:rPr>
            </w:pPr>
            <w:r>
              <w:rPr>
                <w:rFonts w:ascii="Arial" w:eastAsia="Times New Roman" w:hAnsi="Arial" w:cs="Arial"/>
                <w:color w:val="auto"/>
              </w:rPr>
              <w:t>Consulted Attain, this is to ensure we are compliant with the procurement regulations. The impact on protected groups will be covered within the service specifications for the individual products and/or services to be purchased.</w:t>
            </w:r>
          </w:p>
          <w:p w14:paraId="1CE4F21E" w14:textId="64A6613F" w:rsidR="002E77A4" w:rsidRPr="0039715A" w:rsidRDefault="002E77A4" w:rsidP="002E77A4">
            <w:pPr>
              <w:spacing w:before="0" w:after="0"/>
              <w:ind w:left="0"/>
              <w:rPr>
                <w:rFonts w:ascii="Arial" w:eastAsia="Times New Roman" w:hAnsi="Arial" w:cs="Arial"/>
                <w:color w:val="auto"/>
              </w:rPr>
            </w:pP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A956F5">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A956F5">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56AF2186" w:rsidR="0039715A" w:rsidRPr="0039715A" w:rsidRDefault="0039715A" w:rsidP="00A956F5">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r w:rsidR="00C73B21" w:rsidRPr="0039715A">
        <w:rPr>
          <w:rFonts w:ascii="Arial" w:eastAsia="Times New Roman" w:hAnsi="Arial" w:cs="Arial"/>
          <w:b/>
          <w:bCs/>
          <w:i/>
          <w:color w:val="auto"/>
        </w:rPr>
        <w:t xml:space="preserve">outcome </w:t>
      </w:r>
      <w:r w:rsidR="00C73B21"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2B7E07B5" w:rsidR="0039715A" w:rsidRPr="0039715A" w:rsidRDefault="0039715A" w:rsidP="0039715A">
      <w:pPr>
        <w:ind w:left="0"/>
      </w:pPr>
      <w:r w:rsidRPr="0039715A">
        <w:t xml:space="preserve">Please tick to show if outcome is likely to be positive, </w:t>
      </w:r>
      <w:r w:rsidR="00C73B21" w:rsidRPr="0039715A">
        <w:t>negative,</w:t>
      </w:r>
      <w:r w:rsidRPr="0039715A">
        <w:t xml:space="preserve"> or neutral.  Consider direct and indirect discrimination, </w:t>
      </w:r>
      <w:r w:rsidR="00C73B21" w:rsidRPr="0039715A">
        <w:t>harassment,</w:t>
      </w:r>
      <w:r w:rsidRPr="0039715A">
        <w:t xml:space="preserve"> and victimisation.</w:t>
      </w:r>
    </w:p>
    <w:tbl>
      <w:tblPr>
        <w:tblStyle w:val="ListTable3-Accent1"/>
        <w:tblW w:w="5000" w:type="pct"/>
        <w:tblBorders>
          <w:insideH w:val="single" w:sz="4" w:space="0" w:color="003087" w:themeColor="accent1"/>
          <w:insideV w:val="single" w:sz="4" w:space="0" w:color="003087" w:themeColor="accent1"/>
        </w:tblBorders>
        <w:tblLook w:val="04A0" w:firstRow="1" w:lastRow="0" w:firstColumn="1" w:lastColumn="0" w:noHBand="0" w:noVBand="1"/>
      </w:tblPr>
      <w:tblGrid>
        <w:gridCol w:w="2031"/>
        <w:gridCol w:w="1234"/>
        <w:gridCol w:w="1233"/>
        <w:gridCol w:w="1233"/>
        <w:gridCol w:w="3285"/>
      </w:tblGrid>
      <w:tr w:rsidR="0039715A" w:rsidRPr="009D29F9" w14:paraId="2D4DFEC4" w14:textId="77777777" w:rsidTr="009D29F9">
        <w:trPr>
          <w:cnfStyle w:val="100000000000" w:firstRow="1" w:lastRow="0" w:firstColumn="0" w:lastColumn="0" w:oddVBand="0" w:evenVBand="0" w:oddHBand="0" w:evenHBand="0" w:firstRowFirstColumn="0" w:firstRowLastColumn="0" w:lastRowFirstColumn="0" w:lastRowLastColumn="0"/>
          <w:trHeight w:val="621"/>
        </w:trPr>
        <w:tc>
          <w:tcPr>
            <w:cnfStyle w:val="001000000100" w:firstRow="0" w:lastRow="0" w:firstColumn="1" w:lastColumn="0" w:oddVBand="0" w:evenVBand="0" w:oddHBand="0" w:evenHBand="0" w:firstRowFirstColumn="1" w:firstRowLastColumn="0" w:lastRowFirstColumn="0" w:lastRowLastColumn="0"/>
            <w:tcW w:w="1126" w:type="pct"/>
            <w:tcBorders>
              <w:bottom w:val="none" w:sz="0" w:space="0" w:color="auto"/>
              <w:right w:val="none" w:sz="0" w:space="0" w:color="auto"/>
            </w:tcBorders>
          </w:tcPr>
          <w:p w14:paraId="427DD2D3" w14:textId="77777777" w:rsidR="0039715A" w:rsidRPr="009D29F9" w:rsidRDefault="0039715A" w:rsidP="0039715A">
            <w:pPr>
              <w:spacing w:before="0" w:after="0"/>
              <w:ind w:left="0"/>
              <w:rPr>
                <w:rFonts w:ascii="Arial" w:eastAsia="Times New Roman" w:hAnsi="Arial" w:cs="Arial"/>
                <w:color w:val="FFFFFF" w:themeColor="background1"/>
                <w:sz w:val="22"/>
                <w:szCs w:val="22"/>
              </w:rPr>
            </w:pPr>
            <w:r w:rsidRPr="009D29F9">
              <w:rPr>
                <w:rFonts w:ascii="Arial" w:eastAsia="Times New Roman" w:hAnsi="Arial" w:cs="Arial"/>
                <w:color w:val="FFFFFF" w:themeColor="background1"/>
                <w:sz w:val="22"/>
                <w:szCs w:val="22"/>
              </w:rPr>
              <w:t>Protected</w:t>
            </w:r>
          </w:p>
          <w:p w14:paraId="700DD0F3" w14:textId="77777777" w:rsidR="0039715A" w:rsidRPr="009D29F9" w:rsidRDefault="0039715A" w:rsidP="0039715A">
            <w:pPr>
              <w:spacing w:before="0" w:after="0"/>
              <w:ind w:left="0"/>
              <w:rPr>
                <w:rFonts w:ascii="Arial" w:eastAsia="Times New Roman" w:hAnsi="Arial" w:cs="Arial"/>
                <w:color w:val="FFFFFF" w:themeColor="background1"/>
                <w:sz w:val="22"/>
                <w:szCs w:val="22"/>
              </w:rPr>
            </w:pPr>
            <w:r w:rsidRPr="009D29F9">
              <w:rPr>
                <w:rFonts w:ascii="Arial" w:eastAsia="Times New Roman" w:hAnsi="Arial" w:cs="Arial"/>
                <w:color w:val="FFFFFF" w:themeColor="background1"/>
                <w:sz w:val="22"/>
                <w:szCs w:val="22"/>
              </w:rPr>
              <w:t>Group</w:t>
            </w:r>
          </w:p>
        </w:tc>
        <w:tc>
          <w:tcPr>
            <w:tcW w:w="684" w:type="pct"/>
          </w:tcPr>
          <w:p w14:paraId="5D15F47C" w14:textId="77777777" w:rsidR="0039715A" w:rsidRPr="009D29F9" w:rsidRDefault="0039715A" w:rsidP="0039715A">
            <w:pPr>
              <w:spacing w:before="0" w:after="0"/>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9D29F9">
              <w:rPr>
                <w:rFonts w:ascii="Arial" w:eastAsia="Times New Roman" w:hAnsi="Arial" w:cs="Arial"/>
                <w:color w:val="FFFFFF" w:themeColor="background1"/>
                <w:sz w:val="22"/>
                <w:szCs w:val="22"/>
              </w:rPr>
              <w:t>Positive</w:t>
            </w:r>
          </w:p>
          <w:p w14:paraId="2E511CC7" w14:textId="77777777" w:rsidR="0039715A" w:rsidRPr="009D29F9" w:rsidRDefault="0039715A" w:rsidP="0039715A">
            <w:pPr>
              <w:spacing w:before="0" w:after="0"/>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9D29F9">
              <w:rPr>
                <w:rFonts w:ascii="Arial" w:eastAsia="Times New Roman" w:hAnsi="Arial" w:cs="Arial"/>
                <w:color w:val="FFFFFF" w:themeColor="background1"/>
                <w:sz w:val="22"/>
                <w:szCs w:val="22"/>
              </w:rPr>
              <w:t>outcome</w:t>
            </w:r>
          </w:p>
        </w:tc>
        <w:tc>
          <w:tcPr>
            <w:tcW w:w="684" w:type="pct"/>
          </w:tcPr>
          <w:p w14:paraId="78C9CF10" w14:textId="77777777" w:rsidR="0039715A" w:rsidRPr="009D29F9" w:rsidRDefault="0039715A" w:rsidP="0039715A">
            <w:pPr>
              <w:spacing w:before="0" w:after="0"/>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9D29F9">
              <w:rPr>
                <w:rFonts w:ascii="Arial" w:eastAsia="Times New Roman" w:hAnsi="Arial" w:cs="Arial"/>
                <w:color w:val="FFFFFF" w:themeColor="background1"/>
                <w:sz w:val="22"/>
                <w:szCs w:val="22"/>
              </w:rPr>
              <w:t>Negative</w:t>
            </w:r>
          </w:p>
          <w:p w14:paraId="711991AB" w14:textId="77777777" w:rsidR="0039715A" w:rsidRPr="009D29F9" w:rsidRDefault="0039715A" w:rsidP="0039715A">
            <w:pPr>
              <w:spacing w:before="0" w:after="0"/>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9D29F9">
              <w:rPr>
                <w:rFonts w:ascii="Arial" w:eastAsia="Times New Roman" w:hAnsi="Arial" w:cs="Arial"/>
                <w:color w:val="FFFFFF" w:themeColor="background1"/>
                <w:sz w:val="22"/>
                <w:szCs w:val="22"/>
              </w:rPr>
              <w:t>outcome</w:t>
            </w:r>
          </w:p>
        </w:tc>
        <w:tc>
          <w:tcPr>
            <w:tcW w:w="684" w:type="pct"/>
          </w:tcPr>
          <w:p w14:paraId="7CF64CDF" w14:textId="77777777" w:rsidR="0039715A" w:rsidRPr="009D29F9" w:rsidRDefault="0039715A" w:rsidP="0039715A">
            <w:pPr>
              <w:spacing w:before="0" w:after="0"/>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9D29F9">
              <w:rPr>
                <w:rFonts w:ascii="Arial" w:eastAsia="Times New Roman" w:hAnsi="Arial" w:cs="Arial"/>
                <w:color w:val="FFFFFF" w:themeColor="background1"/>
                <w:sz w:val="22"/>
                <w:szCs w:val="22"/>
              </w:rPr>
              <w:t>Neutral</w:t>
            </w:r>
          </w:p>
          <w:p w14:paraId="0FEFFBAE" w14:textId="77777777" w:rsidR="0039715A" w:rsidRPr="009D29F9" w:rsidRDefault="0039715A" w:rsidP="0039715A">
            <w:pPr>
              <w:spacing w:before="0" w:after="0"/>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9D29F9">
              <w:rPr>
                <w:rFonts w:ascii="Arial" w:eastAsia="Times New Roman" w:hAnsi="Arial" w:cs="Arial"/>
                <w:color w:val="FFFFFF" w:themeColor="background1"/>
                <w:sz w:val="22"/>
                <w:szCs w:val="22"/>
              </w:rPr>
              <w:t>outcome</w:t>
            </w:r>
          </w:p>
        </w:tc>
        <w:tc>
          <w:tcPr>
            <w:tcW w:w="1822" w:type="pct"/>
          </w:tcPr>
          <w:p w14:paraId="0496EEA6" w14:textId="77777777" w:rsidR="0039715A" w:rsidRPr="009D29F9" w:rsidRDefault="0039715A" w:rsidP="0039715A">
            <w:pPr>
              <w:keepNext/>
              <w:spacing w:before="0" w:after="0"/>
              <w:ind w:left="0"/>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9D29F9">
              <w:rPr>
                <w:rFonts w:ascii="Arial" w:eastAsia="Times New Roman" w:hAnsi="Arial" w:cs="Arial"/>
                <w:color w:val="FFFFFF" w:themeColor="background1"/>
                <w:sz w:val="22"/>
                <w:szCs w:val="22"/>
              </w:rPr>
              <w:t>Reason(s) for outcome</w:t>
            </w:r>
          </w:p>
        </w:tc>
      </w:tr>
      <w:tr w:rsidR="0039715A" w:rsidRPr="009D29F9" w14:paraId="48622612" w14:textId="77777777" w:rsidTr="009D29F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26" w:type="pct"/>
            <w:tcBorders>
              <w:top w:val="none" w:sz="0" w:space="0" w:color="auto"/>
              <w:bottom w:val="none" w:sz="0" w:space="0" w:color="auto"/>
              <w:right w:val="none" w:sz="0" w:space="0" w:color="auto"/>
            </w:tcBorders>
          </w:tcPr>
          <w:p w14:paraId="24338257"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Age</w:t>
            </w:r>
          </w:p>
        </w:tc>
        <w:tc>
          <w:tcPr>
            <w:tcW w:w="684" w:type="pct"/>
            <w:tcBorders>
              <w:top w:val="none" w:sz="0" w:space="0" w:color="auto"/>
              <w:bottom w:val="none" w:sz="0" w:space="0" w:color="auto"/>
            </w:tcBorders>
          </w:tcPr>
          <w:p w14:paraId="671C14FA"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3B5D9EB3"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119E17BD" w14:textId="0F58B62F" w:rsidR="0039715A" w:rsidRPr="009D29F9" w:rsidRDefault="002E77A4"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9D29F9">
              <w:rPr>
                <w:rFonts w:ascii="Arial" w:eastAsia="Times New Roman" w:hAnsi="Arial" w:cs="Arial"/>
                <w:color w:val="auto"/>
                <w:sz w:val="22"/>
                <w:szCs w:val="22"/>
              </w:rPr>
              <w:t>X</w:t>
            </w:r>
          </w:p>
        </w:tc>
        <w:tc>
          <w:tcPr>
            <w:tcW w:w="1822" w:type="pct"/>
            <w:tcBorders>
              <w:top w:val="none" w:sz="0" w:space="0" w:color="auto"/>
              <w:bottom w:val="none" w:sz="0" w:space="0" w:color="auto"/>
            </w:tcBorders>
          </w:tcPr>
          <w:p w14:paraId="790177E9" w14:textId="77777777" w:rsidR="0039715A" w:rsidRPr="009D29F9" w:rsidRDefault="0039715A" w:rsidP="0039715A">
            <w:pPr>
              <w:spacing w:before="0" w:after="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r>
      <w:tr w:rsidR="0039715A" w:rsidRPr="009D29F9" w14:paraId="25C57506" w14:textId="77777777" w:rsidTr="009D29F9">
        <w:trPr>
          <w:trHeight w:val="964"/>
        </w:trPr>
        <w:tc>
          <w:tcPr>
            <w:cnfStyle w:val="001000000000" w:firstRow="0" w:lastRow="0" w:firstColumn="1" w:lastColumn="0" w:oddVBand="0" w:evenVBand="0" w:oddHBand="0" w:evenHBand="0" w:firstRowFirstColumn="0" w:firstRowLastColumn="0" w:lastRowFirstColumn="0" w:lastRowLastColumn="0"/>
            <w:tcW w:w="1126" w:type="pct"/>
            <w:tcBorders>
              <w:right w:val="none" w:sz="0" w:space="0" w:color="auto"/>
            </w:tcBorders>
          </w:tcPr>
          <w:p w14:paraId="785B6743"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Disability</w:t>
            </w:r>
          </w:p>
          <w:p w14:paraId="659576AA"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(Physical and Mental/Learning)</w:t>
            </w:r>
          </w:p>
        </w:tc>
        <w:tc>
          <w:tcPr>
            <w:tcW w:w="684" w:type="pct"/>
          </w:tcPr>
          <w:p w14:paraId="31F64561" w14:textId="010A4E5D" w:rsidR="0039715A" w:rsidRPr="009D29F9" w:rsidRDefault="0039715A"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684" w:type="pct"/>
          </w:tcPr>
          <w:p w14:paraId="4FD06A1C" w14:textId="77777777" w:rsidR="0039715A" w:rsidRPr="009D29F9" w:rsidRDefault="0039715A"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684" w:type="pct"/>
          </w:tcPr>
          <w:p w14:paraId="0983A624" w14:textId="5951D5E1" w:rsidR="0039715A" w:rsidRPr="009D29F9" w:rsidRDefault="002E77A4"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9D29F9">
              <w:rPr>
                <w:rFonts w:ascii="Arial" w:eastAsia="Times New Roman" w:hAnsi="Arial" w:cs="Arial"/>
                <w:color w:val="auto"/>
                <w:sz w:val="22"/>
                <w:szCs w:val="22"/>
              </w:rPr>
              <w:t>X</w:t>
            </w:r>
          </w:p>
        </w:tc>
        <w:tc>
          <w:tcPr>
            <w:tcW w:w="1822" w:type="pct"/>
          </w:tcPr>
          <w:p w14:paraId="1A89711F" w14:textId="1B149E51" w:rsidR="0039715A" w:rsidRPr="009D29F9" w:rsidRDefault="0039715A" w:rsidP="0039715A">
            <w:pPr>
              <w:spacing w:before="0"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r>
      <w:tr w:rsidR="0039715A" w:rsidRPr="009D29F9" w14:paraId="4A7DA75D" w14:textId="77777777" w:rsidTr="009D29F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26" w:type="pct"/>
            <w:tcBorders>
              <w:top w:val="none" w:sz="0" w:space="0" w:color="auto"/>
              <w:bottom w:val="none" w:sz="0" w:space="0" w:color="auto"/>
              <w:right w:val="none" w:sz="0" w:space="0" w:color="auto"/>
            </w:tcBorders>
          </w:tcPr>
          <w:p w14:paraId="23273AF4"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Religion or belief</w:t>
            </w:r>
          </w:p>
        </w:tc>
        <w:tc>
          <w:tcPr>
            <w:tcW w:w="684" w:type="pct"/>
            <w:tcBorders>
              <w:top w:val="none" w:sz="0" w:space="0" w:color="auto"/>
              <w:bottom w:val="none" w:sz="0" w:space="0" w:color="auto"/>
            </w:tcBorders>
          </w:tcPr>
          <w:p w14:paraId="330D58F7"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221AC9A8"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78B70845" w14:textId="33870A68" w:rsidR="0039715A" w:rsidRPr="009D29F9" w:rsidRDefault="002E77A4"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9D29F9">
              <w:rPr>
                <w:rFonts w:ascii="Arial" w:eastAsia="Times New Roman" w:hAnsi="Arial" w:cs="Arial"/>
                <w:color w:val="auto"/>
                <w:sz w:val="22"/>
                <w:szCs w:val="22"/>
              </w:rPr>
              <w:t>X</w:t>
            </w:r>
          </w:p>
        </w:tc>
        <w:tc>
          <w:tcPr>
            <w:tcW w:w="1822" w:type="pct"/>
            <w:tcBorders>
              <w:top w:val="none" w:sz="0" w:space="0" w:color="auto"/>
              <w:bottom w:val="none" w:sz="0" w:space="0" w:color="auto"/>
            </w:tcBorders>
          </w:tcPr>
          <w:p w14:paraId="20C541E5" w14:textId="77777777" w:rsidR="0039715A" w:rsidRPr="009D29F9" w:rsidRDefault="0039715A" w:rsidP="0039715A">
            <w:pPr>
              <w:spacing w:before="0" w:after="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r>
      <w:tr w:rsidR="0039715A" w:rsidRPr="009D29F9" w14:paraId="5172CDAF" w14:textId="77777777" w:rsidTr="009D29F9">
        <w:trPr>
          <w:trHeight w:val="284"/>
        </w:trPr>
        <w:tc>
          <w:tcPr>
            <w:cnfStyle w:val="001000000000" w:firstRow="0" w:lastRow="0" w:firstColumn="1" w:lastColumn="0" w:oddVBand="0" w:evenVBand="0" w:oddHBand="0" w:evenHBand="0" w:firstRowFirstColumn="0" w:firstRowLastColumn="0" w:lastRowFirstColumn="0" w:lastRowLastColumn="0"/>
            <w:tcW w:w="1126" w:type="pct"/>
            <w:tcBorders>
              <w:right w:val="none" w:sz="0" w:space="0" w:color="auto"/>
            </w:tcBorders>
          </w:tcPr>
          <w:p w14:paraId="518A64F7"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Sex (Gender)</w:t>
            </w:r>
          </w:p>
        </w:tc>
        <w:tc>
          <w:tcPr>
            <w:tcW w:w="684" w:type="pct"/>
          </w:tcPr>
          <w:p w14:paraId="45502AD3" w14:textId="77777777" w:rsidR="0039715A" w:rsidRPr="009D29F9" w:rsidRDefault="0039715A"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684" w:type="pct"/>
          </w:tcPr>
          <w:p w14:paraId="2F87CB5A" w14:textId="77777777" w:rsidR="0039715A" w:rsidRPr="009D29F9" w:rsidRDefault="0039715A"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684" w:type="pct"/>
          </w:tcPr>
          <w:p w14:paraId="0791085A" w14:textId="5EA7004F" w:rsidR="0039715A" w:rsidRPr="009D29F9" w:rsidRDefault="002E77A4"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9D29F9">
              <w:rPr>
                <w:rFonts w:ascii="Arial" w:eastAsia="Times New Roman" w:hAnsi="Arial" w:cs="Arial"/>
                <w:color w:val="auto"/>
                <w:sz w:val="22"/>
                <w:szCs w:val="22"/>
              </w:rPr>
              <w:t>X</w:t>
            </w:r>
          </w:p>
        </w:tc>
        <w:tc>
          <w:tcPr>
            <w:tcW w:w="1822" w:type="pct"/>
          </w:tcPr>
          <w:p w14:paraId="61FA1133" w14:textId="77777777" w:rsidR="0039715A" w:rsidRPr="009D29F9" w:rsidRDefault="0039715A" w:rsidP="0039715A">
            <w:pPr>
              <w:spacing w:before="0"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r>
      <w:tr w:rsidR="0039715A" w:rsidRPr="009D29F9" w14:paraId="78DE3D4D" w14:textId="77777777" w:rsidTr="009D29F9">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126" w:type="pct"/>
            <w:tcBorders>
              <w:top w:val="none" w:sz="0" w:space="0" w:color="auto"/>
              <w:bottom w:val="none" w:sz="0" w:space="0" w:color="auto"/>
              <w:right w:val="none" w:sz="0" w:space="0" w:color="auto"/>
            </w:tcBorders>
          </w:tcPr>
          <w:p w14:paraId="3C498B97"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 xml:space="preserve">Sexual </w:t>
            </w:r>
          </w:p>
          <w:p w14:paraId="6C7CF19A"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Orientation</w:t>
            </w:r>
          </w:p>
        </w:tc>
        <w:tc>
          <w:tcPr>
            <w:tcW w:w="684" w:type="pct"/>
            <w:tcBorders>
              <w:top w:val="none" w:sz="0" w:space="0" w:color="auto"/>
              <w:bottom w:val="none" w:sz="0" w:space="0" w:color="auto"/>
            </w:tcBorders>
          </w:tcPr>
          <w:p w14:paraId="104D814E"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08665798"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593B15EB" w14:textId="47C3D04F" w:rsidR="0039715A" w:rsidRPr="009D29F9" w:rsidRDefault="002E77A4"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9D29F9">
              <w:rPr>
                <w:rFonts w:ascii="Arial" w:eastAsia="Times New Roman" w:hAnsi="Arial" w:cs="Arial"/>
                <w:color w:val="auto"/>
                <w:sz w:val="22"/>
                <w:szCs w:val="22"/>
              </w:rPr>
              <w:t>X</w:t>
            </w:r>
          </w:p>
        </w:tc>
        <w:tc>
          <w:tcPr>
            <w:tcW w:w="1822" w:type="pct"/>
            <w:tcBorders>
              <w:top w:val="none" w:sz="0" w:space="0" w:color="auto"/>
              <w:bottom w:val="none" w:sz="0" w:space="0" w:color="auto"/>
            </w:tcBorders>
          </w:tcPr>
          <w:p w14:paraId="4AC4BEF3" w14:textId="77777777" w:rsidR="0039715A" w:rsidRPr="009D29F9" w:rsidRDefault="0039715A" w:rsidP="0039715A">
            <w:pPr>
              <w:spacing w:before="0" w:after="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r>
      <w:tr w:rsidR="0039715A" w:rsidRPr="009D29F9" w14:paraId="6E53A04F" w14:textId="77777777" w:rsidTr="009D29F9">
        <w:trPr>
          <w:trHeight w:val="964"/>
        </w:trPr>
        <w:tc>
          <w:tcPr>
            <w:cnfStyle w:val="001000000000" w:firstRow="0" w:lastRow="0" w:firstColumn="1" w:lastColumn="0" w:oddVBand="0" w:evenVBand="0" w:oddHBand="0" w:evenHBand="0" w:firstRowFirstColumn="0" w:firstRowLastColumn="0" w:lastRowFirstColumn="0" w:lastRowLastColumn="0"/>
            <w:tcW w:w="1126" w:type="pct"/>
            <w:tcBorders>
              <w:right w:val="none" w:sz="0" w:space="0" w:color="auto"/>
            </w:tcBorders>
          </w:tcPr>
          <w:p w14:paraId="00E2A8B0"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Transgender / Gender Reassignment</w:t>
            </w:r>
          </w:p>
        </w:tc>
        <w:tc>
          <w:tcPr>
            <w:tcW w:w="684" w:type="pct"/>
          </w:tcPr>
          <w:p w14:paraId="126E2934" w14:textId="77777777" w:rsidR="0039715A" w:rsidRPr="009D29F9" w:rsidRDefault="0039715A"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684" w:type="pct"/>
          </w:tcPr>
          <w:p w14:paraId="272F6B63" w14:textId="77777777" w:rsidR="0039715A" w:rsidRPr="009D29F9" w:rsidRDefault="0039715A"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684" w:type="pct"/>
          </w:tcPr>
          <w:p w14:paraId="61377C7B" w14:textId="74568D17" w:rsidR="0039715A" w:rsidRPr="009D29F9" w:rsidRDefault="002E77A4"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9D29F9">
              <w:rPr>
                <w:rFonts w:ascii="Arial" w:eastAsia="Times New Roman" w:hAnsi="Arial" w:cs="Arial"/>
                <w:color w:val="auto"/>
                <w:sz w:val="22"/>
                <w:szCs w:val="22"/>
              </w:rPr>
              <w:t>X</w:t>
            </w:r>
          </w:p>
        </w:tc>
        <w:tc>
          <w:tcPr>
            <w:tcW w:w="1822" w:type="pct"/>
          </w:tcPr>
          <w:p w14:paraId="28AF7621" w14:textId="77777777" w:rsidR="0039715A" w:rsidRPr="009D29F9" w:rsidRDefault="0039715A" w:rsidP="0039715A">
            <w:pPr>
              <w:spacing w:before="0"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r>
      <w:tr w:rsidR="0039715A" w:rsidRPr="009D29F9" w14:paraId="0E7461B4" w14:textId="77777777" w:rsidTr="009D29F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126" w:type="pct"/>
            <w:tcBorders>
              <w:top w:val="none" w:sz="0" w:space="0" w:color="auto"/>
              <w:bottom w:val="none" w:sz="0" w:space="0" w:color="auto"/>
              <w:right w:val="none" w:sz="0" w:space="0" w:color="auto"/>
            </w:tcBorders>
          </w:tcPr>
          <w:p w14:paraId="1939EC1D"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Race and ethnicity</w:t>
            </w:r>
          </w:p>
        </w:tc>
        <w:tc>
          <w:tcPr>
            <w:tcW w:w="684" w:type="pct"/>
            <w:tcBorders>
              <w:top w:val="none" w:sz="0" w:space="0" w:color="auto"/>
              <w:bottom w:val="none" w:sz="0" w:space="0" w:color="auto"/>
            </w:tcBorders>
          </w:tcPr>
          <w:p w14:paraId="5E23E049"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216042DD"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04F1D2CF" w14:textId="376FA736" w:rsidR="0039715A" w:rsidRPr="009D29F9" w:rsidRDefault="002E77A4"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9D29F9">
              <w:rPr>
                <w:rFonts w:ascii="Arial" w:eastAsia="Times New Roman" w:hAnsi="Arial" w:cs="Arial"/>
                <w:color w:val="auto"/>
                <w:sz w:val="22"/>
                <w:szCs w:val="22"/>
              </w:rPr>
              <w:t>X</w:t>
            </w:r>
          </w:p>
        </w:tc>
        <w:tc>
          <w:tcPr>
            <w:tcW w:w="1822" w:type="pct"/>
            <w:tcBorders>
              <w:top w:val="none" w:sz="0" w:space="0" w:color="auto"/>
              <w:bottom w:val="none" w:sz="0" w:space="0" w:color="auto"/>
            </w:tcBorders>
          </w:tcPr>
          <w:p w14:paraId="4C30FD5B" w14:textId="77777777" w:rsidR="0039715A" w:rsidRPr="009D29F9" w:rsidRDefault="0039715A" w:rsidP="0039715A">
            <w:pPr>
              <w:spacing w:before="0" w:after="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r>
      <w:tr w:rsidR="0039715A" w:rsidRPr="009D29F9" w14:paraId="73EFD30E" w14:textId="77777777" w:rsidTr="009D29F9">
        <w:trPr>
          <w:trHeight w:val="964"/>
        </w:trPr>
        <w:tc>
          <w:tcPr>
            <w:cnfStyle w:val="001000000000" w:firstRow="0" w:lastRow="0" w:firstColumn="1" w:lastColumn="0" w:oddVBand="0" w:evenVBand="0" w:oddHBand="0" w:evenHBand="0" w:firstRowFirstColumn="0" w:firstRowLastColumn="0" w:lastRowFirstColumn="0" w:lastRowLastColumn="0"/>
            <w:tcW w:w="1126" w:type="pct"/>
            <w:tcBorders>
              <w:right w:val="none" w:sz="0" w:space="0" w:color="auto"/>
            </w:tcBorders>
          </w:tcPr>
          <w:p w14:paraId="21D50179" w14:textId="77777777"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Pregnancy and maternity (including breastfeeding mothers)</w:t>
            </w:r>
          </w:p>
        </w:tc>
        <w:tc>
          <w:tcPr>
            <w:tcW w:w="684" w:type="pct"/>
          </w:tcPr>
          <w:p w14:paraId="03A63296" w14:textId="29244D9B" w:rsidR="0039715A" w:rsidRPr="009D29F9" w:rsidRDefault="0039715A"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684" w:type="pct"/>
          </w:tcPr>
          <w:p w14:paraId="19EF5DBD" w14:textId="77777777" w:rsidR="0039715A" w:rsidRPr="009D29F9" w:rsidRDefault="0039715A"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684" w:type="pct"/>
          </w:tcPr>
          <w:p w14:paraId="0EEBECD0" w14:textId="516EA632" w:rsidR="0039715A" w:rsidRPr="009D29F9" w:rsidRDefault="002E77A4" w:rsidP="0039715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9D29F9">
              <w:rPr>
                <w:rFonts w:ascii="Arial" w:eastAsia="Times New Roman" w:hAnsi="Arial" w:cs="Arial"/>
                <w:color w:val="auto"/>
                <w:sz w:val="22"/>
                <w:szCs w:val="22"/>
              </w:rPr>
              <w:t>X</w:t>
            </w:r>
          </w:p>
        </w:tc>
        <w:tc>
          <w:tcPr>
            <w:tcW w:w="1822" w:type="pct"/>
          </w:tcPr>
          <w:p w14:paraId="0BE8902D" w14:textId="2E26FF7E" w:rsidR="0039715A" w:rsidRPr="009D29F9" w:rsidRDefault="0039715A" w:rsidP="0039715A">
            <w:pPr>
              <w:spacing w:before="0" w:after="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r>
      <w:tr w:rsidR="0039715A" w:rsidRPr="009D29F9" w14:paraId="36FC0961" w14:textId="77777777" w:rsidTr="009D29F9">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126" w:type="pct"/>
            <w:tcBorders>
              <w:top w:val="none" w:sz="0" w:space="0" w:color="auto"/>
              <w:bottom w:val="none" w:sz="0" w:space="0" w:color="auto"/>
              <w:right w:val="none" w:sz="0" w:space="0" w:color="auto"/>
            </w:tcBorders>
          </w:tcPr>
          <w:p w14:paraId="5280AF94" w14:textId="50535D2F" w:rsidR="0039715A" w:rsidRPr="009D29F9" w:rsidRDefault="0039715A" w:rsidP="0039715A">
            <w:pPr>
              <w:spacing w:before="0" w:after="0"/>
              <w:ind w:left="0"/>
              <w:rPr>
                <w:rFonts w:ascii="Arial" w:eastAsia="Times New Roman" w:hAnsi="Arial" w:cs="Arial"/>
                <w:b w:val="0"/>
                <w:bCs w:val="0"/>
                <w:color w:val="auto"/>
                <w:sz w:val="22"/>
                <w:szCs w:val="22"/>
              </w:rPr>
            </w:pPr>
            <w:r w:rsidRPr="009D29F9">
              <w:rPr>
                <w:rFonts w:ascii="Arial" w:eastAsia="Times New Roman" w:hAnsi="Arial" w:cs="Arial"/>
                <w:b w:val="0"/>
                <w:bCs w:val="0"/>
                <w:color w:val="auto"/>
                <w:sz w:val="22"/>
                <w:szCs w:val="22"/>
              </w:rPr>
              <w:t xml:space="preserve">Marriage or </w:t>
            </w:r>
            <w:r w:rsidR="00C73B21" w:rsidRPr="009D29F9">
              <w:rPr>
                <w:rFonts w:ascii="Arial" w:eastAsia="Times New Roman" w:hAnsi="Arial" w:cs="Arial"/>
                <w:b w:val="0"/>
                <w:bCs w:val="0"/>
                <w:color w:val="auto"/>
                <w:sz w:val="22"/>
                <w:szCs w:val="22"/>
              </w:rPr>
              <w:t>Civil Partnership</w:t>
            </w:r>
          </w:p>
        </w:tc>
        <w:tc>
          <w:tcPr>
            <w:tcW w:w="684" w:type="pct"/>
            <w:tcBorders>
              <w:top w:val="none" w:sz="0" w:space="0" w:color="auto"/>
              <w:bottom w:val="none" w:sz="0" w:space="0" w:color="auto"/>
            </w:tcBorders>
          </w:tcPr>
          <w:p w14:paraId="2DDCA565"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04C1EB5D" w14:textId="77777777" w:rsidR="0039715A" w:rsidRPr="009D29F9" w:rsidRDefault="0039715A"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684" w:type="pct"/>
            <w:tcBorders>
              <w:top w:val="none" w:sz="0" w:space="0" w:color="auto"/>
              <w:bottom w:val="none" w:sz="0" w:space="0" w:color="auto"/>
            </w:tcBorders>
          </w:tcPr>
          <w:p w14:paraId="1E6EEFD5" w14:textId="1CEAB55E" w:rsidR="0039715A" w:rsidRPr="009D29F9" w:rsidRDefault="002E77A4" w:rsidP="0039715A">
            <w:pPr>
              <w:spacing w:before="0" w:after="0"/>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9D29F9">
              <w:rPr>
                <w:rFonts w:ascii="Arial" w:eastAsia="Times New Roman" w:hAnsi="Arial" w:cs="Arial"/>
                <w:color w:val="auto"/>
                <w:sz w:val="22"/>
                <w:szCs w:val="22"/>
              </w:rPr>
              <w:t>X</w:t>
            </w:r>
          </w:p>
        </w:tc>
        <w:tc>
          <w:tcPr>
            <w:tcW w:w="1822" w:type="pct"/>
            <w:tcBorders>
              <w:top w:val="none" w:sz="0" w:space="0" w:color="auto"/>
              <w:bottom w:val="none" w:sz="0" w:space="0" w:color="auto"/>
            </w:tcBorders>
          </w:tcPr>
          <w:p w14:paraId="20F375D4" w14:textId="77777777" w:rsidR="0039715A" w:rsidRPr="009D29F9" w:rsidRDefault="0039715A" w:rsidP="0039715A">
            <w:pPr>
              <w:spacing w:before="0" w:after="0"/>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Style w:val="TableGridLight"/>
        <w:tblW w:w="5000" w:type="pct"/>
        <w:tblLook w:val="04A0" w:firstRow="1" w:lastRow="0" w:firstColumn="1" w:lastColumn="0" w:noHBand="0" w:noVBand="1"/>
      </w:tblPr>
      <w:tblGrid>
        <w:gridCol w:w="9016"/>
      </w:tblGrid>
      <w:tr w:rsidR="0039715A" w:rsidRPr="0039715A" w14:paraId="0A0FF620" w14:textId="77777777" w:rsidTr="009D29F9">
        <w:trPr>
          <w:trHeight w:val="269"/>
        </w:trPr>
        <w:tc>
          <w:tcPr>
            <w:tcW w:w="5000" w:type="pct"/>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9D29F9">
        <w:trPr>
          <w:trHeight w:val="416"/>
        </w:trPr>
        <w:tc>
          <w:tcPr>
            <w:tcW w:w="5000" w:type="pct"/>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9D29F9">
        <w:trPr>
          <w:trHeight w:val="416"/>
        </w:trPr>
        <w:tc>
          <w:tcPr>
            <w:tcW w:w="5000" w:type="pct"/>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9D29F9">
        <w:trPr>
          <w:trHeight w:val="983"/>
        </w:trPr>
        <w:tc>
          <w:tcPr>
            <w:tcW w:w="5000" w:type="pct"/>
          </w:tcPr>
          <w:p w14:paraId="17C86416" w14:textId="68611905"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r w:rsidR="00C73B21" w:rsidRPr="0039715A">
              <w:rPr>
                <w:rFonts w:ascii="Arial" w:eastAsia="Times New Roman" w:hAnsi="Arial" w:cs="Arial"/>
                <w:bCs/>
                <w:color w:val="auto"/>
              </w:rPr>
              <w:t>because of</w:t>
            </w:r>
            <w:r w:rsidRPr="0039715A">
              <w:rPr>
                <w:rFonts w:ascii="Arial" w:eastAsia="Times New Roman" w:hAnsi="Arial" w:cs="Arial"/>
                <w:bCs/>
                <w:color w:val="auto"/>
              </w:rPr>
              <w:t xml:space="preserve"> staff exercising their right of appeal or via the ICB’s</w:t>
            </w:r>
          </w:p>
          <w:p w14:paraId="7DB44F0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Style w:val="TableGridLight"/>
        <w:tblW w:w="5000" w:type="pct"/>
        <w:tblLook w:val="04A0" w:firstRow="1" w:lastRow="0" w:firstColumn="1" w:lastColumn="0" w:noHBand="0" w:noVBand="1"/>
      </w:tblPr>
      <w:tblGrid>
        <w:gridCol w:w="9016"/>
      </w:tblGrid>
      <w:tr w:rsidR="0039715A" w:rsidRPr="0039715A" w14:paraId="205682CA" w14:textId="77777777" w:rsidTr="009D29F9">
        <w:tc>
          <w:tcPr>
            <w:tcW w:w="5000" w:type="pct"/>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9D29F9">
        <w:tc>
          <w:tcPr>
            <w:tcW w:w="5000" w:type="pct"/>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9D29F9">
        <w:trPr>
          <w:trHeight w:val="687"/>
        </w:trPr>
        <w:tc>
          <w:tcPr>
            <w:tcW w:w="5000" w:type="pct"/>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9D29F9">
        <w:tc>
          <w:tcPr>
            <w:tcW w:w="5000" w:type="pct"/>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9D29F9">
        <w:trPr>
          <w:trHeight w:val="275"/>
        </w:trPr>
        <w:tc>
          <w:tcPr>
            <w:tcW w:w="5000" w:type="pct"/>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121"/>
      <w:bookmarkEnd w:id="122"/>
    </w:tbl>
    <w:p w14:paraId="3FA0028A" w14:textId="77777777" w:rsidR="00FC363E" w:rsidRDefault="00FC363E">
      <w:pPr>
        <w:spacing w:before="0" w:after="0"/>
        <w:ind w:left="0"/>
        <w:rPr>
          <w:rFonts w:ascii="Arial" w:eastAsia="Times New Roman" w:hAnsi="Arial" w:cs="Times New Roman"/>
          <w:b/>
          <w:color w:val="005EB8"/>
          <w:sz w:val="32"/>
          <w:szCs w:val="26"/>
        </w:rPr>
      </w:pPr>
      <w:r>
        <w:br w:type="page"/>
      </w:r>
    </w:p>
    <w:p w14:paraId="381929B1" w14:textId="023ED5E2" w:rsidR="00706434" w:rsidRDefault="00D9038F" w:rsidP="00C94305">
      <w:pPr>
        <w:pStyle w:val="Heading2"/>
        <w:numPr>
          <w:ilvl w:val="0"/>
          <w:numId w:val="0"/>
        </w:numPr>
      </w:pPr>
      <w:bookmarkStart w:id="123" w:name="_Toc124497630"/>
      <w:r w:rsidRPr="006606C1">
        <w:t>Appendix</w:t>
      </w:r>
      <w:r>
        <w:t xml:space="preserve"> </w:t>
      </w:r>
      <w:r w:rsidR="00182901">
        <w:t>B</w:t>
      </w:r>
      <w:r>
        <w:t xml:space="preserve"> </w:t>
      </w:r>
      <w:bookmarkStart w:id="124" w:name="_Toc89326563"/>
      <w:r w:rsidR="00706434">
        <w:t>–</w:t>
      </w:r>
      <w:r w:rsidR="003A663C">
        <w:t xml:space="preserve"> </w:t>
      </w:r>
      <w:r w:rsidR="00436B79" w:rsidRPr="00436B79">
        <w:t>Proposed Legislative Changes</w:t>
      </w:r>
      <w:bookmarkEnd w:id="123"/>
    </w:p>
    <w:p w14:paraId="5186B95D" w14:textId="7AC6E7A0" w:rsidR="00436B79" w:rsidRDefault="00D8251F" w:rsidP="00436B79">
      <w:pPr>
        <w:keepNext/>
        <w:keepLines/>
        <w:numPr>
          <w:ilvl w:val="2"/>
          <w:numId w:val="0"/>
        </w:numPr>
        <w:suppressAutoHyphens/>
        <w:autoSpaceDN w:val="0"/>
        <w:spacing w:before="240" w:after="60" w:line="276" w:lineRule="auto"/>
        <w:jc w:val="both"/>
        <w:textAlignment w:val="baseline"/>
        <w:outlineLvl w:val="2"/>
        <w:rPr>
          <w:rFonts w:ascii="Arial" w:eastAsia="Calibri" w:hAnsi="Arial" w:cs="Arial"/>
          <w:bCs/>
          <w:color w:val="auto"/>
          <w:lang w:eastAsia="en-GB"/>
        </w:rPr>
      </w:pPr>
      <w:bookmarkStart w:id="125" w:name="_Toc104909016"/>
      <w:bookmarkStart w:id="126" w:name="_Toc104909089"/>
      <w:bookmarkEnd w:id="124"/>
      <w:r w:rsidRPr="00B35EFD">
        <w:rPr>
          <w:rFonts w:ascii="Arial" w:eastAsia="Calibri" w:hAnsi="Arial" w:cs="Arial"/>
          <w:bCs/>
          <w:color w:val="auto"/>
          <w:lang w:eastAsia="en-GB"/>
        </w:rPr>
        <w:t xml:space="preserve">The UK’s departure from the EU following the end of the transition period provides a unique opportunity to radically change public procurement. For healthcare services, NHS </w:t>
      </w:r>
      <w:r w:rsidR="00C73B21" w:rsidRPr="00B35EFD">
        <w:rPr>
          <w:rFonts w:ascii="Arial" w:eastAsia="Calibri" w:hAnsi="Arial" w:cs="Arial"/>
          <w:bCs/>
          <w:color w:val="auto"/>
          <w:lang w:eastAsia="en-GB"/>
        </w:rPr>
        <w:t>England,</w:t>
      </w:r>
      <w:r w:rsidRPr="00B35EFD">
        <w:rPr>
          <w:rFonts w:ascii="Arial" w:eastAsia="Calibri" w:hAnsi="Arial" w:cs="Arial"/>
          <w:bCs/>
          <w:color w:val="auto"/>
          <w:lang w:eastAsia="en-GB"/>
        </w:rPr>
        <w:t xml:space="preserve"> and Improvement desire to replace current procurement rules when procuring NHS healthcare services with a set of more flexible arrangements to support NHS ambition for greater integration and collaboration between NHS organisations and their partners, whilst reducing administrative bureaucracy.</w:t>
      </w:r>
    </w:p>
    <w:p w14:paraId="2031D090" w14:textId="0811778A" w:rsidR="00B17813" w:rsidRDefault="00B17813" w:rsidP="00B17813">
      <w:pPr>
        <w:keepNext/>
        <w:keepLines/>
        <w:numPr>
          <w:ilvl w:val="2"/>
          <w:numId w:val="0"/>
        </w:numPr>
        <w:suppressAutoHyphens/>
        <w:autoSpaceDN w:val="0"/>
        <w:spacing w:before="240" w:after="60" w:line="276" w:lineRule="auto"/>
        <w:jc w:val="both"/>
        <w:textAlignment w:val="baseline"/>
        <w:outlineLvl w:val="2"/>
        <w:rPr>
          <w:rFonts w:ascii="Arial" w:eastAsia="Calibri" w:hAnsi="Arial" w:cs="Arial"/>
          <w:bCs/>
          <w:color w:val="auto"/>
          <w:lang w:eastAsia="en-GB"/>
        </w:rPr>
      </w:pPr>
      <w:r w:rsidRPr="00B17813">
        <w:rPr>
          <w:rFonts w:ascii="Arial" w:eastAsia="Calibri" w:hAnsi="Arial" w:cs="Arial"/>
          <w:bCs/>
          <w:color w:val="auto"/>
          <w:lang w:eastAsia="en-GB"/>
        </w:rPr>
        <w:t xml:space="preserve">The Provider Selection Regime </w:t>
      </w:r>
      <w:r w:rsidR="00073C19">
        <w:rPr>
          <w:rFonts w:ascii="Arial" w:eastAsia="Calibri" w:hAnsi="Arial" w:cs="Arial"/>
          <w:bCs/>
          <w:color w:val="auto"/>
          <w:lang w:eastAsia="en-GB"/>
        </w:rPr>
        <w:t xml:space="preserve">(“PSR”) </w:t>
      </w:r>
      <w:r w:rsidRPr="00B17813">
        <w:rPr>
          <w:rFonts w:ascii="Arial" w:eastAsia="Calibri" w:hAnsi="Arial" w:cs="Arial"/>
          <w:bCs/>
          <w:color w:val="auto"/>
          <w:lang w:eastAsia="en-GB"/>
        </w:rPr>
        <w:t>is a proposed new set of rules that will govern the arrangement of healthcare services in England and will be introduced by regulations made under the Health and Care Bill. There has been engagement and consultation (over the past 3 years) on the proposals and currently the results are being analysed.</w:t>
      </w:r>
    </w:p>
    <w:p w14:paraId="093C9208" w14:textId="06AB1004" w:rsidR="00B17813" w:rsidRPr="00B17813" w:rsidRDefault="00B17813" w:rsidP="00B17813">
      <w:pPr>
        <w:keepNext/>
        <w:keepLines/>
        <w:numPr>
          <w:ilvl w:val="2"/>
          <w:numId w:val="0"/>
        </w:numPr>
        <w:suppressAutoHyphens/>
        <w:autoSpaceDN w:val="0"/>
        <w:spacing w:before="240" w:after="60" w:line="276" w:lineRule="auto"/>
        <w:jc w:val="both"/>
        <w:textAlignment w:val="baseline"/>
        <w:outlineLvl w:val="2"/>
        <w:rPr>
          <w:rFonts w:ascii="Arial" w:eastAsia="Calibri" w:hAnsi="Arial" w:cs="Arial"/>
          <w:bCs/>
          <w:color w:val="auto"/>
          <w:lang w:eastAsia="en-GB"/>
        </w:rPr>
      </w:pPr>
      <w:r w:rsidRPr="00B17813">
        <w:rPr>
          <w:rFonts w:ascii="Arial" w:eastAsia="Calibri" w:hAnsi="Arial" w:cs="Arial"/>
          <w:bCs/>
          <w:color w:val="auto"/>
          <w:lang w:eastAsia="en-GB"/>
        </w:rPr>
        <w:t xml:space="preserve">This Policy will be reviewed in </w:t>
      </w:r>
      <w:r w:rsidR="006F7071">
        <w:rPr>
          <w:rFonts w:ascii="Arial" w:eastAsia="Calibri" w:hAnsi="Arial" w:cs="Arial"/>
          <w:bCs/>
          <w:color w:val="auto"/>
          <w:lang w:eastAsia="en-GB"/>
        </w:rPr>
        <w:t>April 2023</w:t>
      </w:r>
      <w:r w:rsidR="00805FE1">
        <w:rPr>
          <w:rFonts w:ascii="Arial" w:eastAsia="Calibri" w:hAnsi="Arial" w:cs="Arial"/>
          <w:bCs/>
          <w:color w:val="auto"/>
          <w:lang w:eastAsia="en-GB"/>
        </w:rPr>
        <w:t xml:space="preserve">, </w:t>
      </w:r>
      <w:r w:rsidRPr="00B17813">
        <w:rPr>
          <w:rFonts w:ascii="Arial" w:eastAsia="Calibri" w:hAnsi="Arial" w:cs="Arial"/>
          <w:bCs/>
          <w:color w:val="auto"/>
          <w:lang w:eastAsia="en-GB"/>
        </w:rPr>
        <w:t>or as required</w:t>
      </w:r>
      <w:r w:rsidR="00805FE1">
        <w:rPr>
          <w:rFonts w:ascii="Arial" w:eastAsia="Calibri" w:hAnsi="Arial" w:cs="Arial"/>
          <w:bCs/>
          <w:color w:val="auto"/>
          <w:lang w:eastAsia="en-GB"/>
        </w:rPr>
        <w:t>,</w:t>
      </w:r>
      <w:r w:rsidRPr="00B17813">
        <w:rPr>
          <w:rFonts w:ascii="Arial" w:eastAsia="Calibri" w:hAnsi="Arial" w:cs="Arial"/>
          <w:bCs/>
          <w:color w:val="auto"/>
          <w:lang w:eastAsia="en-GB"/>
        </w:rPr>
        <w:t xml:space="preserve"> and updated to reflect the changes in the new regulations and statutory guidance. Once the legislation has been finalised there will be an agreed process to determine whether a service sits under </w:t>
      </w:r>
      <w:r w:rsidR="00073C19">
        <w:rPr>
          <w:rFonts w:ascii="Arial" w:eastAsia="Calibri" w:hAnsi="Arial" w:cs="Arial"/>
          <w:bCs/>
          <w:color w:val="auto"/>
          <w:lang w:eastAsia="en-GB"/>
        </w:rPr>
        <w:t xml:space="preserve">the </w:t>
      </w:r>
      <w:r w:rsidRPr="00B17813">
        <w:rPr>
          <w:rFonts w:ascii="Arial" w:eastAsia="Calibri" w:hAnsi="Arial" w:cs="Arial"/>
          <w:bCs/>
          <w:color w:val="auto"/>
          <w:lang w:eastAsia="en-GB"/>
        </w:rPr>
        <w:t>PSR or not. Anything outside of the PSR remains under the Public Contract Regulations 2015.</w:t>
      </w:r>
    </w:p>
    <w:p w14:paraId="4CE04262" w14:textId="136D3B24" w:rsidR="00D8251F" w:rsidRPr="00B35EFD" w:rsidRDefault="00D8251F" w:rsidP="00436B79">
      <w:pPr>
        <w:keepNext/>
        <w:keepLines/>
        <w:numPr>
          <w:ilvl w:val="2"/>
          <w:numId w:val="0"/>
        </w:numPr>
        <w:suppressAutoHyphens/>
        <w:autoSpaceDN w:val="0"/>
        <w:spacing w:before="240" w:after="60" w:line="276" w:lineRule="auto"/>
        <w:jc w:val="both"/>
        <w:textAlignment w:val="baseline"/>
        <w:outlineLvl w:val="2"/>
        <w:rPr>
          <w:rFonts w:ascii="Arial" w:eastAsia="Calibri" w:hAnsi="Arial" w:cs="Arial"/>
          <w:bCs/>
          <w:color w:val="auto"/>
          <w:lang w:eastAsia="en-GB"/>
        </w:rPr>
      </w:pPr>
      <w:bookmarkStart w:id="127" w:name="_Toc104909017"/>
      <w:bookmarkStart w:id="128" w:name="_Toc104909090"/>
      <w:bookmarkEnd w:id="125"/>
      <w:bookmarkEnd w:id="126"/>
      <w:r w:rsidRPr="00B35EFD">
        <w:rPr>
          <w:rFonts w:ascii="Arial" w:eastAsia="Calibri" w:hAnsi="Arial" w:cs="Arial"/>
          <w:bCs/>
          <w:color w:val="auto"/>
          <w:lang w:eastAsia="en-GB"/>
        </w:rPr>
        <w:t xml:space="preserve">For non-healthcare e.g., IT services, consultancy, the Government Green Paper on ‘Transforming Public Procurement’ addresses proposals to reform public sector procurement. The ambition is to create a new regulatory framework that delivers the best commercial outcomes with the least burden on providers and commissioners. </w:t>
      </w:r>
      <w:bookmarkEnd w:id="127"/>
      <w:bookmarkEnd w:id="128"/>
    </w:p>
    <w:p w14:paraId="36BDC6A7" w14:textId="77777777" w:rsidR="00D8251F" w:rsidRDefault="00D8251F" w:rsidP="00D8251F">
      <w:pPr>
        <w:suppressAutoHyphens/>
        <w:autoSpaceDE w:val="0"/>
        <w:autoSpaceDN w:val="0"/>
        <w:adjustRightInd w:val="0"/>
        <w:spacing w:before="0" w:after="0"/>
        <w:ind w:left="0"/>
        <w:jc w:val="both"/>
        <w:textAlignment w:val="baseline"/>
        <w:rPr>
          <w:rFonts w:ascii="Arial" w:eastAsia="Calibri" w:hAnsi="Arial" w:cs="Arial"/>
          <w:color w:val="auto"/>
          <w:lang w:eastAsia="en-GB"/>
        </w:rPr>
      </w:pPr>
    </w:p>
    <w:p w14:paraId="38614A76" w14:textId="7DD4B838" w:rsidR="00201DAA" w:rsidRPr="00FD2B5D" w:rsidRDefault="00201DAA" w:rsidP="00D8251F"/>
    <w:sectPr w:rsidR="00201DAA" w:rsidRPr="00FD2B5D" w:rsidSect="00247F30">
      <w:headerReference w:type="default" r:id="rId53"/>
      <w:footerReference w:type="default" r:id="rId54"/>
      <w:headerReference w:type="first" r:id="rId55"/>
      <w:pgSz w:w="11906" w:h="16838"/>
      <w:pgMar w:top="1985" w:right="1440" w:bottom="1418" w:left="1440" w:header="1111" w:footer="40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53ED" w14:textId="77777777" w:rsidR="00DA7E94" w:rsidRDefault="00DA7E94" w:rsidP="00EB783D">
      <w:pPr>
        <w:spacing w:before="0" w:after="0"/>
      </w:pPr>
      <w:r>
        <w:separator/>
      </w:r>
    </w:p>
  </w:endnote>
  <w:endnote w:type="continuationSeparator" w:id="0">
    <w:p w14:paraId="3A62B9C2" w14:textId="77777777" w:rsidR="00DA7E94" w:rsidRDefault="00DA7E94" w:rsidP="00EB783D">
      <w:pPr>
        <w:spacing w:before="0" w:after="0"/>
      </w:pPr>
      <w:r>
        <w:continuationSeparator/>
      </w:r>
    </w:p>
  </w:endnote>
  <w:endnote w:type="continuationNotice" w:id="1">
    <w:p w14:paraId="700FD927" w14:textId="77777777" w:rsidR="00DA7E94" w:rsidRDefault="00DA7E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577F" w14:textId="77777777" w:rsidR="00BC1685" w:rsidRDefault="00BC1685" w:rsidP="00B857E7">
    <w:pPr>
      <w:pStyle w:val="Footer"/>
      <w:ind w:left="0"/>
    </w:pPr>
  </w:p>
  <w:p w14:paraId="58BCD413" w14:textId="67AE763C" w:rsidR="00BC1685" w:rsidRPr="00A91472" w:rsidRDefault="00DA7E94" w:rsidP="00BC1685">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BC1685">
          <w:t xml:space="preserve">Procurement &amp; Contracting Policy / Version </w:t>
        </w:r>
        <w:r w:rsidR="00FE5514">
          <w:t>1.0</w:t>
        </w:r>
      </w:sdtContent>
    </w:sdt>
    <w:r w:rsidR="00BC1685" w:rsidRPr="00C1239F">
      <w:tab/>
    </w:r>
    <w:r w:rsidR="00BC1685" w:rsidRPr="00C90341">
      <w:t xml:space="preserve">Page </w:t>
    </w:r>
    <w:r w:rsidR="00BC1685" w:rsidRPr="00C90341">
      <w:fldChar w:fldCharType="begin"/>
    </w:r>
    <w:r w:rsidR="00BC1685" w:rsidRPr="00C90341">
      <w:instrText xml:space="preserve"> PAGE </w:instrText>
    </w:r>
    <w:r w:rsidR="00BC1685" w:rsidRPr="00C90341">
      <w:fldChar w:fldCharType="separate"/>
    </w:r>
    <w:r w:rsidR="00BC1685">
      <w:t>4</w:t>
    </w:r>
    <w:r w:rsidR="00BC1685" w:rsidRPr="00C90341">
      <w:fldChar w:fldCharType="end"/>
    </w:r>
    <w:r w:rsidR="00BC1685" w:rsidRPr="00C90341">
      <w:t xml:space="preserve"> </w:t>
    </w:r>
  </w:p>
  <w:p w14:paraId="387B9B1B" w14:textId="4E66CC6A" w:rsidR="00EB783D" w:rsidRDefault="00EB783D" w:rsidP="00BC168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53F3" w14:textId="77777777" w:rsidR="00DA7E94" w:rsidRDefault="00DA7E94" w:rsidP="00EB783D">
      <w:pPr>
        <w:spacing w:before="0" w:after="0"/>
      </w:pPr>
      <w:r>
        <w:separator/>
      </w:r>
    </w:p>
  </w:footnote>
  <w:footnote w:type="continuationSeparator" w:id="0">
    <w:p w14:paraId="2EF934BF" w14:textId="77777777" w:rsidR="00DA7E94" w:rsidRDefault="00DA7E94" w:rsidP="00EB783D">
      <w:pPr>
        <w:spacing w:before="0" w:after="0"/>
      </w:pPr>
      <w:r>
        <w:continuationSeparator/>
      </w:r>
    </w:p>
  </w:footnote>
  <w:footnote w:type="continuationNotice" w:id="1">
    <w:p w14:paraId="4613FAD1" w14:textId="77777777" w:rsidR="00DA7E94" w:rsidRDefault="00DA7E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1754E759" w:rsidR="00EB783D" w:rsidRDefault="00EB783D" w:rsidP="00B857E7">
    <w:pPr>
      <w:pStyle w:val="Header"/>
      <w:spacing w:after="80"/>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6DBA45C3" w:rsidR="00186694" w:rsidRDefault="00B857E7" w:rsidP="00B857E7">
    <w:pPr>
      <w:pStyle w:val="Header"/>
      <w:ind w:left="0"/>
    </w:pPr>
    <w:r w:rsidRPr="00B857E7">
      <w:rPr>
        <w:noProof/>
      </w:rPr>
      <w:drawing>
        <wp:inline distT="0" distB="0" distL="0" distR="0" wp14:anchorId="1E1330CB" wp14:editId="6BF19B2A">
          <wp:extent cx="5731510" cy="621665"/>
          <wp:effectExtent l="0" t="0" r="2540" b="698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5731510" cy="621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681E9A"/>
    <w:multiLevelType w:val="hybridMultilevel"/>
    <w:tmpl w:val="4D1EF21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44B4531"/>
    <w:multiLevelType w:val="hybridMultilevel"/>
    <w:tmpl w:val="582261F6"/>
    <w:lvl w:ilvl="0" w:tplc="DE700D56">
      <w:start w:val="1"/>
      <w:numFmt w:val="lowerLetter"/>
      <w:lvlText w:val="%1."/>
      <w:lvlJc w:val="left"/>
      <w:pPr>
        <w:ind w:left="462"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729BD"/>
    <w:multiLevelType w:val="hybridMultilevel"/>
    <w:tmpl w:val="F0FA4B7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D3078DA"/>
    <w:multiLevelType w:val="multilevel"/>
    <w:tmpl w:val="50C4C91C"/>
    <w:lvl w:ilvl="0">
      <w:start w:val="10"/>
      <w:numFmt w:val="decimal"/>
      <w:lvlText w:val="%1"/>
      <w:lvlJc w:val="left"/>
      <w:pPr>
        <w:ind w:left="468" w:hanging="468"/>
      </w:pPr>
      <w:rPr>
        <w:rFonts w:hint="default"/>
      </w:rPr>
    </w:lvl>
    <w:lvl w:ilvl="1">
      <w:start w:val="2"/>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CD00CE"/>
    <w:multiLevelType w:val="hybridMultilevel"/>
    <w:tmpl w:val="24E0FF0C"/>
    <w:lvl w:ilvl="0" w:tplc="08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6" w15:restartNumberingAfterBreak="0">
    <w:nsid w:val="1EA9628F"/>
    <w:multiLevelType w:val="hybridMultilevel"/>
    <w:tmpl w:val="C014662E"/>
    <w:lvl w:ilvl="0" w:tplc="3CC85228">
      <w:start w:val="1"/>
      <w:numFmt w:val="lowerRoman"/>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16252F8"/>
    <w:multiLevelType w:val="hybridMultilevel"/>
    <w:tmpl w:val="9814A05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6607A79"/>
    <w:multiLevelType w:val="hybridMultilevel"/>
    <w:tmpl w:val="AD20225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2B0C17"/>
    <w:multiLevelType w:val="hybridMultilevel"/>
    <w:tmpl w:val="EBFCE0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CE63E01"/>
    <w:multiLevelType w:val="hybridMultilevel"/>
    <w:tmpl w:val="F878D1F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2DF26B8B"/>
    <w:multiLevelType w:val="hybridMultilevel"/>
    <w:tmpl w:val="1060A0C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963655"/>
    <w:multiLevelType w:val="hybridMultilevel"/>
    <w:tmpl w:val="9538F6C8"/>
    <w:lvl w:ilvl="0" w:tplc="84264FB0">
      <w:start w:val="1"/>
      <w:numFmt w:val="lowerRoman"/>
      <w:lvlText w:val="%1)"/>
      <w:lvlJc w:val="left"/>
      <w:pPr>
        <w:ind w:left="1865" w:hanging="72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39A7716D"/>
    <w:multiLevelType w:val="hybridMultilevel"/>
    <w:tmpl w:val="5EF44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757764"/>
    <w:multiLevelType w:val="hybridMultilevel"/>
    <w:tmpl w:val="13004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5C0CA1"/>
    <w:multiLevelType w:val="hybridMultilevel"/>
    <w:tmpl w:val="62A4881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F1245EE"/>
    <w:multiLevelType w:val="hybridMultilevel"/>
    <w:tmpl w:val="036A33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41343233"/>
    <w:multiLevelType w:val="multilevel"/>
    <w:tmpl w:val="09685884"/>
    <w:lvl w:ilvl="0">
      <w:start w:val="1"/>
      <w:numFmt w:val="decimal"/>
      <w:pStyle w:val="Heading2"/>
      <w:lvlText w:val="%1."/>
      <w:lvlJc w:val="left"/>
      <w:pPr>
        <w:ind w:left="1134" w:hanging="1134"/>
      </w:pPr>
      <w:rPr>
        <w:rFonts w:hint="default"/>
      </w:rPr>
    </w:lvl>
    <w:lvl w:ilvl="1">
      <w:start w:val="1"/>
      <w:numFmt w:val="decimal"/>
      <w:pStyle w:val="Style1"/>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39789D"/>
    <w:multiLevelType w:val="hybridMultilevel"/>
    <w:tmpl w:val="553AEAFA"/>
    <w:lvl w:ilvl="0" w:tplc="FC48E7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19C498F"/>
    <w:multiLevelType w:val="hybridMultilevel"/>
    <w:tmpl w:val="7FB4A6FE"/>
    <w:lvl w:ilvl="0" w:tplc="6052B9C4">
      <w:start w:val="2"/>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1C42E5E"/>
    <w:multiLevelType w:val="multilevel"/>
    <w:tmpl w:val="2DC2B504"/>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610079B"/>
    <w:multiLevelType w:val="hybridMultilevel"/>
    <w:tmpl w:val="CE029AC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5"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5234F3"/>
    <w:multiLevelType w:val="hybridMultilevel"/>
    <w:tmpl w:val="3D88F34C"/>
    <w:lvl w:ilvl="0" w:tplc="3B6C0EA2">
      <w:start w:val="1"/>
      <w:numFmt w:val="bullet"/>
      <w:lvlText w:val=""/>
      <w:lvlJc w:val="left"/>
      <w:pPr>
        <w:ind w:left="720" w:firstLine="414"/>
      </w:pPr>
      <w:rPr>
        <w:rFonts w:ascii="Symbol" w:hAnsi="Symbol" w:hint="default"/>
      </w:rPr>
    </w:lvl>
    <w:lvl w:ilvl="1" w:tplc="6052B9C4">
      <w:start w:val="2"/>
      <w:numFmt w:val="bullet"/>
      <w:lvlText w:val="-"/>
      <w:lvlJc w:val="left"/>
      <w:pPr>
        <w:ind w:left="2574" w:hanging="360"/>
      </w:pPr>
      <w:rPr>
        <w:rFonts w:ascii="Arial" w:eastAsiaTheme="minorHAnsi" w:hAnsi="Arial" w:cs="Arial"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4FF77B5"/>
    <w:multiLevelType w:val="hybridMultilevel"/>
    <w:tmpl w:val="7BA6F984"/>
    <w:lvl w:ilvl="0" w:tplc="D1B6A9A6">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29598A"/>
    <w:multiLevelType w:val="hybridMultilevel"/>
    <w:tmpl w:val="BCC0C700"/>
    <w:lvl w:ilvl="0" w:tplc="D1B6A9A6">
      <w:start w:val="1"/>
      <w:numFmt w:val="lowerRoman"/>
      <w:lvlText w:val="%1)"/>
      <w:lvlJc w:val="left"/>
      <w:pPr>
        <w:ind w:left="2276" w:hanging="360"/>
      </w:pPr>
      <w:rPr>
        <w:rFonts w:hint="default"/>
      </w:r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31" w15:restartNumberingAfterBreak="0">
    <w:nsid w:val="5CF15A48"/>
    <w:multiLevelType w:val="multilevel"/>
    <w:tmpl w:val="6C62428A"/>
    <w:lvl w:ilvl="0">
      <w:start w:val="1"/>
      <w:numFmt w:val="decimal"/>
      <w:lvlText w:val="%1."/>
      <w:lvlJc w:val="left"/>
      <w:pPr>
        <w:ind w:left="1080" w:hanging="360"/>
      </w:pPr>
    </w:lvl>
    <w:lvl w:ilvl="1">
      <w:start w:val="1"/>
      <w:numFmt w:val="decimal"/>
      <w:isLgl/>
      <w:lvlText w:val="%1.%2"/>
      <w:lvlJc w:val="left"/>
      <w:pPr>
        <w:ind w:left="1457" w:hanging="53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176" w:hanging="1800"/>
      </w:pPr>
      <w:rPr>
        <w:rFonts w:hint="default"/>
      </w:rPr>
    </w:lvl>
  </w:abstractNum>
  <w:abstractNum w:abstractNumId="32" w15:restartNumberingAfterBreak="0">
    <w:nsid w:val="60351A42"/>
    <w:multiLevelType w:val="hybridMultilevel"/>
    <w:tmpl w:val="F23EB87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5226DF"/>
    <w:multiLevelType w:val="hybridMultilevel"/>
    <w:tmpl w:val="03C4D5B2"/>
    <w:lvl w:ilvl="0" w:tplc="AA6C997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634B75DE"/>
    <w:multiLevelType w:val="hybridMultilevel"/>
    <w:tmpl w:val="4A22482C"/>
    <w:lvl w:ilvl="0" w:tplc="08090017">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91279D"/>
    <w:multiLevelType w:val="multilevel"/>
    <w:tmpl w:val="D01677EC"/>
    <w:lvl w:ilvl="0">
      <w:start w:val="6"/>
      <w:numFmt w:val="decimal"/>
      <w:lvlText w:val="%1"/>
      <w:lvlJc w:val="left"/>
      <w:pPr>
        <w:ind w:left="530" w:hanging="530"/>
      </w:pPr>
      <w:rPr>
        <w:rFonts w:hint="default"/>
      </w:rPr>
    </w:lvl>
    <w:lvl w:ilvl="1">
      <w:start w:val="4"/>
      <w:numFmt w:val="decimal"/>
      <w:lvlText w:val="%1.%2"/>
      <w:lvlJc w:val="left"/>
      <w:pPr>
        <w:ind w:left="1097" w:hanging="53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6AB73BC"/>
    <w:multiLevelType w:val="hybridMultilevel"/>
    <w:tmpl w:val="6FD4A81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6946765E"/>
    <w:multiLevelType w:val="multilevel"/>
    <w:tmpl w:val="9C4ECAE0"/>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F763DD"/>
    <w:multiLevelType w:val="hybridMultilevel"/>
    <w:tmpl w:val="BB4040B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6E8D6C39"/>
    <w:multiLevelType w:val="hybridMultilevel"/>
    <w:tmpl w:val="1DC6BCE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6F1012F2"/>
    <w:multiLevelType w:val="hybridMultilevel"/>
    <w:tmpl w:val="CEF4DC08"/>
    <w:lvl w:ilvl="0" w:tplc="D1B6A9A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3" w15:restartNumberingAfterBreak="0">
    <w:nsid w:val="6F6E1A83"/>
    <w:multiLevelType w:val="hybridMultilevel"/>
    <w:tmpl w:val="8C3A0452"/>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B64E6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0"/>
  </w:num>
  <w:num w:numId="2">
    <w:abstractNumId w:val="29"/>
  </w:num>
  <w:num w:numId="3">
    <w:abstractNumId w:val="36"/>
  </w:num>
  <w:num w:numId="4">
    <w:abstractNumId w:val="9"/>
  </w:num>
  <w:num w:numId="5">
    <w:abstractNumId w:val="28"/>
  </w:num>
  <w:num w:numId="6">
    <w:abstractNumId w:val="33"/>
  </w:num>
  <w:num w:numId="7">
    <w:abstractNumId w:val="14"/>
  </w:num>
  <w:num w:numId="8">
    <w:abstractNumId w:val="26"/>
  </w:num>
  <w:num w:numId="9">
    <w:abstractNumId w:val="44"/>
  </w:num>
  <w:num w:numId="10">
    <w:abstractNumId w:val="0"/>
  </w:num>
  <w:num w:numId="11">
    <w:abstractNumId w:val="25"/>
  </w:num>
  <w:num w:numId="12">
    <w:abstractNumId w:val="13"/>
  </w:num>
  <w:num w:numId="13">
    <w:abstractNumId w:val="43"/>
  </w:num>
  <w:num w:numId="14">
    <w:abstractNumId w:val="31"/>
  </w:num>
  <w:num w:numId="15">
    <w:abstractNumId w:val="23"/>
  </w:num>
  <w:num w:numId="16">
    <w:abstractNumId w:val="5"/>
  </w:num>
  <w:num w:numId="17">
    <w:abstractNumId w:val="2"/>
  </w:num>
  <w:num w:numId="18">
    <w:abstractNumId w:val="34"/>
  </w:num>
  <w:num w:numId="19">
    <w:abstractNumId w:val="15"/>
  </w:num>
  <w:num w:numId="20">
    <w:abstractNumId w:val="42"/>
  </w:num>
  <w:num w:numId="21">
    <w:abstractNumId w:val="37"/>
  </w:num>
  <w:num w:numId="22">
    <w:abstractNumId w:val="4"/>
  </w:num>
  <w:num w:numId="23">
    <w:abstractNumId w:val="39"/>
  </w:num>
  <w:num w:numId="24">
    <w:abstractNumId w:val="45"/>
  </w:num>
  <w:num w:numId="25">
    <w:abstractNumId w:val="22"/>
  </w:num>
  <w:num w:numId="26">
    <w:abstractNumId w:val="35"/>
  </w:num>
  <w:num w:numId="27">
    <w:abstractNumId w:val="10"/>
  </w:num>
  <w:num w:numId="28">
    <w:abstractNumId w:val="11"/>
  </w:num>
  <w:num w:numId="29">
    <w:abstractNumId w:val="17"/>
  </w:num>
  <w:num w:numId="30">
    <w:abstractNumId w:val="19"/>
  </w:num>
  <w:num w:numId="31">
    <w:abstractNumId w:val="40"/>
  </w:num>
  <w:num w:numId="32">
    <w:abstractNumId w:val="7"/>
  </w:num>
  <w:num w:numId="33">
    <w:abstractNumId w:val="16"/>
  </w:num>
  <w:num w:numId="34">
    <w:abstractNumId w:val="18"/>
  </w:num>
  <w:num w:numId="35">
    <w:abstractNumId w:val="3"/>
  </w:num>
  <w:num w:numId="36">
    <w:abstractNumId w:val="41"/>
  </w:num>
  <w:num w:numId="37">
    <w:abstractNumId w:val="8"/>
  </w:num>
  <w:num w:numId="38">
    <w:abstractNumId w:val="38"/>
  </w:num>
  <w:num w:numId="39">
    <w:abstractNumId w:val="32"/>
  </w:num>
  <w:num w:numId="40">
    <w:abstractNumId w:val="1"/>
  </w:num>
  <w:num w:numId="41">
    <w:abstractNumId w:val="27"/>
  </w:num>
  <w:num w:numId="42">
    <w:abstractNumId w:val="44"/>
  </w:num>
  <w:num w:numId="43">
    <w:abstractNumId w:val="6"/>
  </w:num>
  <w:num w:numId="44">
    <w:abstractNumId w:val="44"/>
  </w:num>
  <w:num w:numId="45">
    <w:abstractNumId w:val="30"/>
  </w:num>
  <w:num w:numId="46">
    <w:abstractNumId w:val="21"/>
  </w:num>
  <w:num w:numId="47">
    <w:abstractNumId w:val="12"/>
  </w:num>
  <w:num w:numId="48">
    <w:abstractNumId w:val="24"/>
  </w:num>
  <w:num w:numId="49">
    <w:abstractNumId w:val="44"/>
  </w:num>
  <w:num w:numId="5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stTable3-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4656"/>
    <w:rsid w:val="00005E44"/>
    <w:rsid w:val="000072D6"/>
    <w:rsid w:val="000112D2"/>
    <w:rsid w:val="00013B66"/>
    <w:rsid w:val="0001569C"/>
    <w:rsid w:val="00017B06"/>
    <w:rsid w:val="00017E03"/>
    <w:rsid w:val="00023571"/>
    <w:rsid w:val="0002714D"/>
    <w:rsid w:val="00032882"/>
    <w:rsid w:val="0003396E"/>
    <w:rsid w:val="00033ADA"/>
    <w:rsid w:val="0004078E"/>
    <w:rsid w:val="00043FA6"/>
    <w:rsid w:val="000448A0"/>
    <w:rsid w:val="000504D9"/>
    <w:rsid w:val="00053324"/>
    <w:rsid w:val="00053CDD"/>
    <w:rsid w:val="000559F9"/>
    <w:rsid w:val="00063F1A"/>
    <w:rsid w:val="000646FA"/>
    <w:rsid w:val="000665B0"/>
    <w:rsid w:val="00073C19"/>
    <w:rsid w:val="00080F28"/>
    <w:rsid w:val="00087F0D"/>
    <w:rsid w:val="00094FB7"/>
    <w:rsid w:val="0009666E"/>
    <w:rsid w:val="000A0E60"/>
    <w:rsid w:val="000A2B26"/>
    <w:rsid w:val="000A6F86"/>
    <w:rsid w:val="000B031D"/>
    <w:rsid w:val="000B527B"/>
    <w:rsid w:val="000C63D4"/>
    <w:rsid w:val="000C691E"/>
    <w:rsid w:val="000D54DD"/>
    <w:rsid w:val="000D760B"/>
    <w:rsid w:val="000E0E08"/>
    <w:rsid w:val="000E4E0F"/>
    <w:rsid w:val="000F2DDB"/>
    <w:rsid w:val="000F3B21"/>
    <w:rsid w:val="000F47CC"/>
    <w:rsid w:val="000F52A7"/>
    <w:rsid w:val="000F560D"/>
    <w:rsid w:val="000F6E4A"/>
    <w:rsid w:val="001010C8"/>
    <w:rsid w:val="0010332F"/>
    <w:rsid w:val="00104019"/>
    <w:rsid w:val="0010763E"/>
    <w:rsid w:val="00114164"/>
    <w:rsid w:val="00114B89"/>
    <w:rsid w:val="001159F5"/>
    <w:rsid w:val="001231E9"/>
    <w:rsid w:val="001274CD"/>
    <w:rsid w:val="001349CB"/>
    <w:rsid w:val="00136625"/>
    <w:rsid w:val="001372BC"/>
    <w:rsid w:val="00137B4C"/>
    <w:rsid w:val="00141C1E"/>
    <w:rsid w:val="00141C2B"/>
    <w:rsid w:val="001469D7"/>
    <w:rsid w:val="00160758"/>
    <w:rsid w:val="0016348E"/>
    <w:rsid w:val="00165DD7"/>
    <w:rsid w:val="0016639C"/>
    <w:rsid w:val="001808BA"/>
    <w:rsid w:val="00182901"/>
    <w:rsid w:val="0018348A"/>
    <w:rsid w:val="0018394D"/>
    <w:rsid w:val="001845E5"/>
    <w:rsid w:val="00186694"/>
    <w:rsid w:val="0018768B"/>
    <w:rsid w:val="0019447C"/>
    <w:rsid w:val="001946F0"/>
    <w:rsid w:val="001B16B1"/>
    <w:rsid w:val="001B214F"/>
    <w:rsid w:val="001B3370"/>
    <w:rsid w:val="001B553B"/>
    <w:rsid w:val="001B71EB"/>
    <w:rsid w:val="001C0F09"/>
    <w:rsid w:val="001D1D90"/>
    <w:rsid w:val="001D1E17"/>
    <w:rsid w:val="001D2701"/>
    <w:rsid w:val="001E12C4"/>
    <w:rsid w:val="001E1C8F"/>
    <w:rsid w:val="001E2CD4"/>
    <w:rsid w:val="001E64E4"/>
    <w:rsid w:val="001E7853"/>
    <w:rsid w:val="001F039D"/>
    <w:rsid w:val="001F1907"/>
    <w:rsid w:val="002003AC"/>
    <w:rsid w:val="00201DAA"/>
    <w:rsid w:val="00204467"/>
    <w:rsid w:val="00215C8C"/>
    <w:rsid w:val="002161B7"/>
    <w:rsid w:val="00216CF3"/>
    <w:rsid w:val="00222B80"/>
    <w:rsid w:val="00224DFA"/>
    <w:rsid w:val="00225AB9"/>
    <w:rsid w:val="00226129"/>
    <w:rsid w:val="00230704"/>
    <w:rsid w:val="002362EE"/>
    <w:rsid w:val="00243711"/>
    <w:rsid w:val="00243BBE"/>
    <w:rsid w:val="00247801"/>
    <w:rsid w:val="00247F30"/>
    <w:rsid w:val="00250FB0"/>
    <w:rsid w:val="00254FFE"/>
    <w:rsid w:val="00257FB4"/>
    <w:rsid w:val="00260B76"/>
    <w:rsid w:val="0027012F"/>
    <w:rsid w:val="002729A2"/>
    <w:rsid w:val="002823BC"/>
    <w:rsid w:val="00285242"/>
    <w:rsid w:val="00292F74"/>
    <w:rsid w:val="002A2829"/>
    <w:rsid w:val="002A4F00"/>
    <w:rsid w:val="002A51EB"/>
    <w:rsid w:val="002B1F87"/>
    <w:rsid w:val="002B27D4"/>
    <w:rsid w:val="002B416E"/>
    <w:rsid w:val="002C7064"/>
    <w:rsid w:val="002C774D"/>
    <w:rsid w:val="002E4B58"/>
    <w:rsid w:val="002E6BEF"/>
    <w:rsid w:val="002E7662"/>
    <w:rsid w:val="002E77A4"/>
    <w:rsid w:val="002F4268"/>
    <w:rsid w:val="002F78AD"/>
    <w:rsid w:val="003003FC"/>
    <w:rsid w:val="00302737"/>
    <w:rsid w:val="00311356"/>
    <w:rsid w:val="00311AE4"/>
    <w:rsid w:val="003142E0"/>
    <w:rsid w:val="00315BB6"/>
    <w:rsid w:val="003228A1"/>
    <w:rsid w:val="00324D0B"/>
    <w:rsid w:val="00326494"/>
    <w:rsid w:val="00331AD7"/>
    <w:rsid w:val="00331C5C"/>
    <w:rsid w:val="00331DEE"/>
    <w:rsid w:val="00331F09"/>
    <w:rsid w:val="003336CC"/>
    <w:rsid w:val="0033513D"/>
    <w:rsid w:val="003352B8"/>
    <w:rsid w:val="00335EA4"/>
    <w:rsid w:val="003374FF"/>
    <w:rsid w:val="00340875"/>
    <w:rsid w:val="00343A4F"/>
    <w:rsid w:val="003473D0"/>
    <w:rsid w:val="00347C98"/>
    <w:rsid w:val="00356870"/>
    <w:rsid w:val="0037246E"/>
    <w:rsid w:val="00373205"/>
    <w:rsid w:val="00374922"/>
    <w:rsid w:val="00375DF6"/>
    <w:rsid w:val="003771EC"/>
    <w:rsid w:val="00381197"/>
    <w:rsid w:val="0038462F"/>
    <w:rsid w:val="003851A3"/>
    <w:rsid w:val="00391A9C"/>
    <w:rsid w:val="00394231"/>
    <w:rsid w:val="003958CC"/>
    <w:rsid w:val="0039715A"/>
    <w:rsid w:val="003A0076"/>
    <w:rsid w:val="003A64FE"/>
    <w:rsid w:val="003A663C"/>
    <w:rsid w:val="003A7001"/>
    <w:rsid w:val="003A786F"/>
    <w:rsid w:val="003B2B1A"/>
    <w:rsid w:val="003B4A36"/>
    <w:rsid w:val="003B4CBC"/>
    <w:rsid w:val="003B6507"/>
    <w:rsid w:val="003C1C27"/>
    <w:rsid w:val="003C54C3"/>
    <w:rsid w:val="003C6732"/>
    <w:rsid w:val="003C6E42"/>
    <w:rsid w:val="003D114B"/>
    <w:rsid w:val="003E20A7"/>
    <w:rsid w:val="003E4BEC"/>
    <w:rsid w:val="003E51FE"/>
    <w:rsid w:val="003E577E"/>
    <w:rsid w:val="003F5905"/>
    <w:rsid w:val="003F7339"/>
    <w:rsid w:val="00402253"/>
    <w:rsid w:val="0040440F"/>
    <w:rsid w:val="00406FBE"/>
    <w:rsid w:val="00410F4C"/>
    <w:rsid w:val="00412711"/>
    <w:rsid w:val="0042099A"/>
    <w:rsid w:val="0042382E"/>
    <w:rsid w:val="00425BF2"/>
    <w:rsid w:val="00430628"/>
    <w:rsid w:val="00433639"/>
    <w:rsid w:val="00436B79"/>
    <w:rsid w:val="00436FFD"/>
    <w:rsid w:val="004433F7"/>
    <w:rsid w:val="00446F73"/>
    <w:rsid w:val="004523C1"/>
    <w:rsid w:val="0045367A"/>
    <w:rsid w:val="00455D96"/>
    <w:rsid w:val="00457AA5"/>
    <w:rsid w:val="0046519A"/>
    <w:rsid w:val="004660ED"/>
    <w:rsid w:val="00472C2C"/>
    <w:rsid w:val="0048053F"/>
    <w:rsid w:val="0048360D"/>
    <w:rsid w:val="004838E1"/>
    <w:rsid w:val="00484C2E"/>
    <w:rsid w:val="00486790"/>
    <w:rsid w:val="00493CEF"/>
    <w:rsid w:val="00493D5D"/>
    <w:rsid w:val="004952B4"/>
    <w:rsid w:val="004A1ADD"/>
    <w:rsid w:val="004A393B"/>
    <w:rsid w:val="004A4C30"/>
    <w:rsid w:val="004A5432"/>
    <w:rsid w:val="004A6984"/>
    <w:rsid w:val="004A7309"/>
    <w:rsid w:val="004B0310"/>
    <w:rsid w:val="004B4A14"/>
    <w:rsid w:val="004B4AE2"/>
    <w:rsid w:val="004B7710"/>
    <w:rsid w:val="004D053E"/>
    <w:rsid w:val="004D24CC"/>
    <w:rsid w:val="004D37D2"/>
    <w:rsid w:val="004D6D14"/>
    <w:rsid w:val="004E3C69"/>
    <w:rsid w:val="004E4AF2"/>
    <w:rsid w:val="004F447C"/>
    <w:rsid w:val="004F61A6"/>
    <w:rsid w:val="00501C14"/>
    <w:rsid w:val="005042F2"/>
    <w:rsid w:val="00504711"/>
    <w:rsid w:val="0050750B"/>
    <w:rsid w:val="00514203"/>
    <w:rsid w:val="00514EFC"/>
    <w:rsid w:val="00515D3D"/>
    <w:rsid w:val="005268D4"/>
    <w:rsid w:val="005327EC"/>
    <w:rsid w:val="00533833"/>
    <w:rsid w:val="00533865"/>
    <w:rsid w:val="00536DE5"/>
    <w:rsid w:val="00541D9D"/>
    <w:rsid w:val="00546A28"/>
    <w:rsid w:val="005508C0"/>
    <w:rsid w:val="00551722"/>
    <w:rsid w:val="00560127"/>
    <w:rsid w:val="00562866"/>
    <w:rsid w:val="00563264"/>
    <w:rsid w:val="0056582D"/>
    <w:rsid w:val="00566806"/>
    <w:rsid w:val="00566B0F"/>
    <w:rsid w:val="005736B1"/>
    <w:rsid w:val="005762B7"/>
    <w:rsid w:val="00576AC8"/>
    <w:rsid w:val="00580468"/>
    <w:rsid w:val="005853D7"/>
    <w:rsid w:val="005879AB"/>
    <w:rsid w:val="00587B02"/>
    <w:rsid w:val="005935AC"/>
    <w:rsid w:val="005A2406"/>
    <w:rsid w:val="005B05E7"/>
    <w:rsid w:val="005B1384"/>
    <w:rsid w:val="005B5267"/>
    <w:rsid w:val="005C4F66"/>
    <w:rsid w:val="005C697F"/>
    <w:rsid w:val="005D2439"/>
    <w:rsid w:val="005E17E7"/>
    <w:rsid w:val="005E57A4"/>
    <w:rsid w:val="005E7057"/>
    <w:rsid w:val="005F3A45"/>
    <w:rsid w:val="005F60A1"/>
    <w:rsid w:val="006041EB"/>
    <w:rsid w:val="00610177"/>
    <w:rsid w:val="006134A1"/>
    <w:rsid w:val="00622771"/>
    <w:rsid w:val="006261F7"/>
    <w:rsid w:val="006366C0"/>
    <w:rsid w:val="00640DC4"/>
    <w:rsid w:val="006437F0"/>
    <w:rsid w:val="00645718"/>
    <w:rsid w:val="006476BE"/>
    <w:rsid w:val="00657868"/>
    <w:rsid w:val="006606C1"/>
    <w:rsid w:val="00661246"/>
    <w:rsid w:val="00663201"/>
    <w:rsid w:val="006635EE"/>
    <w:rsid w:val="00663DCA"/>
    <w:rsid w:val="00664C52"/>
    <w:rsid w:val="0067237A"/>
    <w:rsid w:val="00676DC5"/>
    <w:rsid w:val="00684DA0"/>
    <w:rsid w:val="0068694C"/>
    <w:rsid w:val="00690195"/>
    <w:rsid w:val="00691AAE"/>
    <w:rsid w:val="00692CC9"/>
    <w:rsid w:val="00696F90"/>
    <w:rsid w:val="00697A36"/>
    <w:rsid w:val="006A2D9B"/>
    <w:rsid w:val="006A3B30"/>
    <w:rsid w:val="006A62A5"/>
    <w:rsid w:val="006B3E9C"/>
    <w:rsid w:val="006C3C03"/>
    <w:rsid w:val="006C52F6"/>
    <w:rsid w:val="006C7632"/>
    <w:rsid w:val="006D331A"/>
    <w:rsid w:val="006D39CC"/>
    <w:rsid w:val="006D59F8"/>
    <w:rsid w:val="006D7C0D"/>
    <w:rsid w:val="006E7914"/>
    <w:rsid w:val="006E7A5E"/>
    <w:rsid w:val="006F5B82"/>
    <w:rsid w:val="006F7071"/>
    <w:rsid w:val="00705277"/>
    <w:rsid w:val="00705EEE"/>
    <w:rsid w:val="00706434"/>
    <w:rsid w:val="00707352"/>
    <w:rsid w:val="00710CAD"/>
    <w:rsid w:val="00713CBE"/>
    <w:rsid w:val="00716D9A"/>
    <w:rsid w:val="007255BE"/>
    <w:rsid w:val="00726DBB"/>
    <w:rsid w:val="00732AFE"/>
    <w:rsid w:val="00734443"/>
    <w:rsid w:val="00734785"/>
    <w:rsid w:val="00737720"/>
    <w:rsid w:val="00741D9B"/>
    <w:rsid w:val="00746ADE"/>
    <w:rsid w:val="00750ADB"/>
    <w:rsid w:val="00750B46"/>
    <w:rsid w:val="007512AB"/>
    <w:rsid w:val="00760C82"/>
    <w:rsid w:val="00760E37"/>
    <w:rsid w:val="00774F22"/>
    <w:rsid w:val="00780BEC"/>
    <w:rsid w:val="00781EE1"/>
    <w:rsid w:val="00781F15"/>
    <w:rsid w:val="0079199A"/>
    <w:rsid w:val="00792F80"/>
    <w:rsid w:val="00792FCB"/>
    <w:rsid w:val="00796317"/>
    <w:rsid w:val="007A3E33"/>
    <w:rsid w:val="007B30F9"/>
    <w:rsid w:val="007B5F8E"/>
    <w:rsid w:val="007B76F5"/>
    <w:rsid w:val="007C2F6E"/>
    <w:rsid w:val="007C38BF"/>
    <w:rsid w:val="007D25B5"/>
    <w:rsid w:val="007D2A4C"/>
    <w:rsid w:val="007D2FB4"/>
    <w:rsid w:val="007D40F0"/>
    <w:rsid w:val="007D51C4"/>
    <w:rsid w:val="007E2301"/>
    <w:rsid w:val="007E59B6"/>
    <w:rsid w:val="007E724D"/>
    <w:rsid w:val="007F26E2"/>
    <w:rsid w:val="007F3DC6"/>
    <w:rsid w:val="007F66C0"/>
    <w:rsid w:val="00800305"/>
    <w:rsid w:val="0080074F"/>
    <w:rsid w:val="00801E3A"/>
    <w:rsid w:val="00805FE1"/>
    <w:rsid w:val="00811D4A"/>
    <w:rsid w:val="008125B2"/>
    <w:rsid w:val="00812945"/>
    <w:rsid w:val="00814491"/>
    <w:rsid w:val="00820C92"/>
    <w:rsid w:val="00826D33"/>
    <w:rsid w:val="008344D6"/>
    <w:rsid w:val="008406D9"/>
    <w:rsid w:val="00843CF9"/>
    <w:rsid w:val="00844D34"/>
    <w:rsid w:val="00845FB7"/>
    <w:rsid w:val="008463EC"/>
    <w:rsid w:val="008507F0"/>
    <w:rsid w:val="0085111E"/>
    <w:rsid w:val="0085172E"/>
    <w:rsid w:val="00854F79"/>
    <w:rsid w:val="00856272"/>
    <w:rsid w:val="008571A8"/>
    <w:rsid w:val="008605B5"/>
    <w:rsid w:val="00860CE4"/>
    <w:rsid w:val="00864C7D"/>
    <w:rsid w:val="00871AE3"/>
    <w:rsid w:val="00872AD4"/>
    <w:rsid w:val="00876B93"/>
    <w:rsid w:val="00877404"/>
    <w:rsid w:val="00877744"/>
    <w:rsid w:val="0088273F"/>
    <w:rsid w:val="00887924"/>
    <w:rsid w:val="0089388F"/>
    <w:rsid w:val="00893FC9"/>
    <w:rsid w:val="008943A0"/>
    <w:rsid w:val="008943C0"/>
    <w:rsid w:val="00895B3D"/>
    <w:rsid w:val="00897BF0"/>
    <w:rsid w:val="008A40B0"/>
    <w:rsid w:val="008A5186"/>
    <w:rsid w:val="008A57CC"/>
    <w:rsid w:val="008A77A9"/>
    <w:rsid w:val="008A7ACE"/>
    <w:rsid w:val="008A7C5A"/>
    <w:rsid w:val="008B4A3B"/>
    <w:rsid w:val="008C0CA4"/>
    <w:rsid w:val="008C598A"/>
    <w:rsid w:val="008C5A67"/>
    <w:rsid w:val="008C6563"/>
    <w:rsid w:val="008C7629"/>
    <w:rsid w:val="008D034C"/>
    <w:rsid w:val="008D1AE8"/>
    <w:rsid w:val="008D233C"/>
    <w:rsid w:val="008D35A8"/>
    <w:rsid w:val="008E0C1C"/>
    <w:rsid w:val="008E114C"/>
    <w:rsid w:val="008E4397"/>
    <w:rsid w:val="008E7733"/>
    <w:rsid w:val="008F51CE"/>
    <w:rsid w:val="009102C2"/>
    <w:rsid w:val="00911C7E"/>
    <w:rsid w:val="00914BCF"/>
    <w:rsid w:val="009232CD"/>
    <w:rsid w:val="00924775"/>
    <w:rsid w:val="00930101"/>
    <w:rsid w:val="00931B8E"/>
    <w:rsid w:val="0093475F"/>
    <w:rsid w:val="0093556E"/>
    <w:rsid w:val="009435C0"/>
    <w:rsid w:val="00952D61"/>
    <w:rsid w:val="00962E4F"/>
    <w:rsid w:val="0096475D"/>
    <w:rsid w:val="00967546"/>
    <w:rsid w:val="00974901"/>
    <w:rsid w:val="00981207"/>
    <w:rsid w:val="00994BF5"/>
    <w:rsid w:val="009A7716"/>
    <w:rsid w:val="009B0764"/>
    <w:rsid w:val="009B33D6"/>
    <w:rsid w:val="009C2509"/>
    <w:rsid w:val="009C3EA6"/>
    <w:rsid w:val="009C506B"/>
    <w:rsid w:val="009C523D"/>
    <w:rsid w:val="009D1227"/>
    <w:rsid w:val="009D29F9"/>
    <w:rsid w:val="009D5EAA"/>
    <w:rsid w:val="009E0A4F"/>
    <w:rsid w:val="009E215D"/>
    <w:rsid w:val="009E7E52"/>
    <w:rsid w:val="009F1356"/>
    <w:rsid w:val="009F1AF2"/>
    <w:rsid w:val="009F2FD0"/>
    <w:rsid w:val="009F46DD"/>
    <w:rsid w:val="009F5C82"/>
    <w:rsid w:val="009F7538"/>
    <w:rsid w:val="009F76DB"/>
    <w:rsid w:val="00A010AE"/>
    <w:rsid w:val="00A0156A"/>
    <w:rsid w:val="00A05607"/>
    <w:rsid w:val="00A1217B"/>
    <w:rsid w:val="00A146A8"/>
    <w:rsid w:val="00A155BE"/>
    <w:rsid w:val="00A16E5D"/>
    <w:rsid w:val="00A17328"/>
    <w:rsid w:val="00A20E10"/>
    <w:rsid w:val="00A23003"/>
    <w:rsid w:val="00A3480B"/>
    <w:rsid w:val="00A35A25"/>
    <w:rsid w:val="00A40323"/>
    <w:rsid w:val="00A40CEC"/>
    <w:rsid w:val="00A41598"/>
    <w:rsid w:val="00A42FAA"/>
    <w:rsid w:val="00A466DA"/>
    <w:rsid w:val="00A467AF"/>
    <w:rsid w:val="00A50E61"/>
    <w:rsid w:val="00A533B8"/>
    <w:rsid w:val="00A63428"/>
    <w:rsid w:val="00A72739"/>
    <w:rsid w:val="00A75387"/>
    <w:rsid w:val="00A75BAB"/>
    <w:rsid w:val="00A86B64"/>
    <w:rsid w:val="00A92409"/>
    <w:rsid w:val="00A93F78"/>
    <w:rsid w:val="00A956F5"/>
    <w:rsid w:val="00A964F5"/>
    <w:rsid w:val="00A9679D"/>
    <w:rsid w:val="00A96C08"/>
    <w:rsid w:val="00A975D1"/>
    <w:rsid w:val="00A97F3C"/>
    <w:rsid w:val="00AA34F6"/>
    <w:rsid w:val="00AA368D"/>
    <w:rsid w:val="00AB1CB6"/>
    <w:rsid w:val="00AB2ABA"/>
    <w:rsid w:val="00AB2EF4"/>
    <w:rsid w:val="00AB4469"/>
    <w:rsid w:val="00AB7447"/>
    <w:rsid w:val="00AC7986"/>
    <w:rsid w:val="00AD25B6"/>
    <w:rsid w:val="00AD73E6"/>
    <w:rsid w:val="00AE3317"/>
    <w:rsid w:val="00AE3B4E"/>
    <w:rsid w:val="00AE57A3"/>
    <w:rsid w:val="00AF0F7D"/>
    <w:rsid w:val="00AF280D"/>
    <w:rsid w:val="00AF3BD3"/>
    <w:rsid w:val="00AF58A5"/>
    <w:rsid w:val="00B047A2"/>
    <w:rsid w:val="00B058BE"/>
    <w:rsid w:val="00B11471"/>
    <w:rsid w:val="00B1240C"/>
    <w:rsid w:val="00B134FD"/>
    <w:rsid w:val="00B17813"/>
    <w:rsid w:val="00B20688"/>
    <w:rsid w:val="00B20946"/>
    <w:rsid w:val="00B218EE"/>
    <w:rsid w:val="00B3058B"/>
    <w:rsid w:val="00B31CD9"/>
    <w:rsid w:val="00B327A7"/>
    <w:rsid w:val="00B33152"/>
    <w:rsid w:val="00B35EFD"/>
    <w:rsid w:val="00B37EEC"/>
    <w:rsid w:val="00B411CB"/>
    <w:rsid w:val="00B420E7"/>
    <w:rsid w:val="00B73895"/>
    <w:rsid w:val="00B74953"/>
    <w:rsid w:val="00B80EAE"/>
    <w:rsid w:val="00B81571"/>
    <w:rsid w:val="00B81B7E"/>
    <w:rsid w:val="00B857E7"/>
    <w:rsid w:val="00B93D75"/>
    <w:rsid w:val="00B9518D"/>
    <w:rsid w:val="00B95417"/>
    <w:rsid w:val="00BA4BEC"/>
    <w:rsid w:val="00BB06A3"/>
    <w:rsid w:val="00BB4716"/>
    <w:rsid w:val="00BC1685"/>
    <w:rsid w:val="00BC4E8A"/>
    <w:rsid w:val="00BC6EA1"/>
    <w:rsid w:val="00BC7A8F"/>
    <w:rsid w:val="00BD0048"/>
    <w:rsid w:val="00BD2DE6"/>
    <w:rsid w:val="00BD7EDF"/>
    <w:rsid w:val="00BE12C5"/>
    <w:rsid w:val="00BE4859"/>
    <w:rsid w:val="00BE64DE"/>
    <w:rsid w:val="00BF1BF4"/>
    <w:rsid w:val="00BF1E1C"/>
    <w:rsid w:val="00BF30F2"/>
    <w:rsid w:val="00BF32AA"/>
    <w:rsid w:val="00BF58E1"/>
    <w:rsid w:val="00C008F2"/>
    <w:rsid w:val="00C00E70"/>
    <w:rsid w:val="00C05B01"/>
    <w:rsid w:val="00C131D3"/>
    <w:rsid w:val="00C1335B"/>
    <w:rsid w:val="00C137F3"/>
    <w:rsid w:val="00C16D5C"/>
    <w:rsid w:val="00C17484"/>
    <w:rsid w:val="00C20A34"/>
    <w:rsid w:val="00C263F0"/>
    <w:rsid w:val="00C27033"/>
    <w:rsid w:val="00C31806"/>
    <w:rsid w:val="00C32902"/>
    <w:rsid w:val="00C32A3D"/>
    <w:rsid w:val="00C344F2"/>
    <w:rsid w:val="00C4088C"/>
    <w:rsid w:val="00C410A2"/>
    <w:rsid w:val="00C41273"/>
    <w:rsid w:val="00C41BE6"/>
    <w:rsid w:val="00C52933"/>
    <w:rsid w:val="00C52E9E"/>
    <w:rsid w:val="00C564D9"/>
    <w:rsid w:val="00C67AF5"/>
    <w:rsid w:val="00C70330"/>
    <w:rsid w:val="00C72C5B"/>
    <w:rsid w:val="00C73243"/>
    <w:rsid w:val="00C73B21"/>
    <w:rsid w:val="00C805B8"/>
    <w:rsid w:val="00C81047"/>
    <w:rsid w:val="00C819CD"/>
    <w:rsid w:val="00C81DA9"/>
    <w:rsid w:val="00C84AD7"/>
    <w:rsid w:val="00C869F9"/>
    <w:rsid w:val="00C94305"/>
    <w:rsid w:val="00C95A6E"/>
    <w:rsid w:val="00C96230"/>
    <w:rsid w:val="00CA1315"/>
    <w:rsid w:val="00CA2971"/>
    <w:rsid w:val="00CA3277"/>
    <w:rsid w:val="00CA3C41"/>
    <w:rsid w:val="00CB0AD0"/>
    <w:rsid w:val="00CB1656"/>
    <w:rsid w:val="00CB1B6C"/>
    <w:rsid w:val="00CC1DBD"/>
    <w:rsid w:val="00CC4125"/>
    <w:rsid w:val="00CC54CD"/>
    <w:rsid w:val="00CD4405"/>
    <w:rsid w:val="00CE021D"/>
    <w:rsid w:val="00CE2B8F"/>
    <w:rsid w:val="00CE47D2"/>
    <w:rsid w:val="00CE7049"/>
    <w:rsid w:val="00CF1832"/>
    <w:rsid w:val="00CF33D9"/>
    <w:rsid w:val="00CF4308"/>
    <w:rsid w:val="00CF542F"/>
    <w:rsid w:val="00CF72D3"/>
    <w:rsid w:val="00D228C1"/>
    <w:rsid w:val="00D359CF"/>
    <w:rsid w:val="00D42312"/>
    <w:rsid w:val="00D47E8C"/>
    <w:rsid w:val="00D5004D"/>
    <w:rsid w:val="00D52F8D"/>
    <w:rsid w:val="00D562AD"/>
    <w:rsid w:val="00D56619"/>
    <w:rsid w:val="00D61DEC"/>
    <w:rsid w:val="00D623AD"/>
    <w:rsid w:val="00D627A4"/>
    <w:rsid w:val="00D65DB1"/>
    <w:rsid w:val="00D66D9C"/>
    <w:rsid w:val="00D7319F"/>
    <w:rsid w:val="00D75707"/>
    <w:rsid w:val="00D80234"/>
    <w:rsid w:val="00D81DDD"/>
    <w:rsid w:val="00D8251F"/>
    <w:rsid w:val="00D9038F"/>
    <w:rsid w:val="00D959CF"/>
    <w:rsid w:val="00DA1DBD"/>
    <w:rsid w:val="00DA37C4"/>
    <w:rsid w:val="00DA78EE"/>
    <w:rsid w:val="00DA7E94"/>
    <w:rsid w:val="00DC55E6"/>
    <w:rsid w:val="00DD7B4B"/>
    <w:rsid w:val="00DE3EFB"/>
    <w:rsid w:val="00DF0BEA"/>
    <w:rsid w:val="00DF313F"/>
    <w:rsid w:val="00DF3E46"/>
    <w:rsid w:val="00DF7FA2"/>
    <w:rsid w:val="00E1111D"/>
    <w:rsid w:val="00E12FA5"/>
    <w:rsid w:val="00E20ED4"/>
    <w:rsid w:val="00E2123F"/>
    <w:rsid w:val="00E23D89"/>
    <w:rsid w:val="00E275E1"/>
    <w:rsid w:val="00E27C81"/>
    <w:rsid w:val="00E31DDB"/>
    <w:rsid w:val="00E34640"/>
    <w:rsid w:val="00E42701"/>
    <w:rsid w:val="00E50E56"/>
    <w:rsid w:val="00E55F97"/>
    <w:rsid w:val="00E57065"/>
    <w:rsid w:val="00E57685"/>
    <w:rsid w:val="00E60642"/>
    <w:rsid w:val="00E61823"/>
    <w:rsid w:val="00E6323F"/>
    <w:rsid w:val="00E67E1B"/>
    <w:rsid w:val="00E73189"/>
    <w:rsid w:val="00E7439C"/>
    <w:rsid w:val="00E760E6"/>
    <w:rsid w:val="00E84BF6"/>
    <w:rsid w:val="00E84FBA"/>
    <w:rsid w:val="00E90CB2"/>
    <w:rsid w:val="00E94065"/>
    <w:rsid w:val="00E97BED"/>
    <w:rsid w:val="00EA036B"/>
    <w:rsid w:val="00EA0F11"/>
    <w:rsid w:val="00EA61D6"/>
    <w:rsid w:val="00EB069E"/>
    <w:rsid w:val="00EB25AF"/>
    <w:rsid w:val="00EB3F99"/>
    <w:rsid w:val="00EB44FF"/>
    <w:rsid w:val="00EB61C4"/>
    <w:rsid w:val="00EB7092"/>
    <w:rsid w:val="00EB783D"/>
    <w:rsid w:val="00EC34B4"/>
    <w:rsid w:val="00EC7294"/>
    <w:rsid w:val="00EC7A3F"/>
    <w:rsid w:val="00ED0CED"/>
    <w:rsid w:val="00EE1FE2"/>
    <w:rsid w:val="00EE46B1"/>
    <w:rsid w:val="00EE555B"/>
    <w:rsid w:val="00EE5BE4"/>
    <w:rsid w:val="00EF36AD"/>
    <w:rsid w:val="00EF74B7"/>
    <w:rsid w:val="00F00DD7"/>
    <w:rsid w:val="00F12D2A"/>
    <w:rsid w:val="00F13A4A"/>
    <w:rsid w:val="00F14F7D"/>
    <w:rsid w:val="00F22225"/>
    <w:rsid w:val="00F2714A"/>
    <w:rsid w:val="00F30AE3"/>
    <w:rsid w:val="00F446F1"/>
    <w:rsid w:val="00F4553D"/>
    <w:rsid w:val="00F46DAB"/>
    <w:rsid w:val="00F52B38"/>
    <w:rsid w:val="00F53C2E"/>
    <w:rsid w:val="00F555F3"/>
    <w:rsid w:val="00F5597F"/>
    <w:rsid w:val="00F67B9C"/>
    <w:rsid w:val="00F74362"/>
    <w:rsid w:val="00F7542E"/>
    <w:rsid w:val="00F82922"/>
    <w:rsid w:val="00F84B3D"/>
    <w:rsid w:val="00F84D7B"/>
    <w:rsid w:val="00F87681"/>
    <w:rsid w:val="00F913CD"/>
    <w:rsid w:val="00F95E31"/>
    <w:rsid w:val="00FA0BCD"/>
    <w:rsid w:val="00FA27B0"/>
    <w:rsid w:val="00FA3C05"/>
    <w:rsid w:val="00FA3CA1"/>
    <w:rsid w:val="00FB095A"/>
    <w:rsid w:val="00FB0E2A"/>
    <w:rsid w:val="00FB3C48"/>
    <w:rsid w:val="00FB537C"/>
    <w:rsid w:val="00FB595B"/>
    <w:rsid w:val="00FB7715"/>
    <w:rsid w:val="00FC363E"/>
    <w:rsid w:val="00FC4CFC"/>
    <w:rsid w:val="00FC7C60"/>
    <w:rsid w:val="00FD2B5D"/>
    <w:rsid w:val="00FD3597"/>
    <w:rsid w:val="00FD3F9B"/>
    <w:rsid w:val="00FE1741"/>
    <w:rsid w:val="00FE28EA"/>
    <w:rsid w:val="00FE350B"/>
    <w:rsid w:val="00FE5514"/>
    <w:rsid w:val="00FF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247F30"/>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646FA"/>
    <w:pPr>
      <w:widowControl w:val="0"/>
      <w:numPr>
        <w:numId w:val="1"/>
      </w:numPr>
      <w:spacing w:before="500" w:after="240"/>
      <w:outlineLvl w:val="1"/>
    </w:pPr>
    <w:rPr>
      <w:rFonts w:ascii="Arial" w:eastAsia="Times New Roman" w:hAnsi="Arial" w:cs="Times New Roman"/>
      <w:b/>
      <w:color w:val="005EB8"/>
      <w:sz w:val="32"/>
      <w:szCs w:val="26"/>
    </w:rPr>
  </w:style>
  <w:style w:type="paragraph" w:styleId="Heading3">
    <w:name w:val="heading 3"/>
    <w:basedOn w:val="Style1"/>
    <w:next w:val="Normal"/>
    <w:link w:val="Heading3Char"/>
    <w:uiPriority w:val="9"/>
    <w:unhideWhenUsed/>
    <w:qFormat/>
    <w:rsid w:val="00A956F5"/>
    <w:pPr>
      <w:outlineLvl w:val="2"/>
    </w:pPr>
    <w:rPr>
      <w:b/>
      <w:bCs w:val="0"/>
    </w:rPr>
  </w:style>
  <w:style w:type="paragraph" w:styleId="Heading4">
    <w:name w:val="heading 4"/>
    <w:basedOn w:val="Normal"/>
    <w:next w:val="Normal"/>
    <w:link w:val="Heading4Char"/>
    <w:uiPriority w:val="9"/>
    <w:unhideWhenUsed/>
    <w:qFormat/>
    <w:rsid w:val="00201DAA"/>
    <w:pPr>
      <w:widowControl w:val="0"/>
      <w:numPr>
        <w:ilvl w:val="3"/>
        <w:numId w:val="24"/>
      </w:numPr>
      <w:spacing w:before="360" w:after="10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numPr>
        <w:ilvl w:val="4"/>
        <w:numId w:val="24"/>
      </w:numPr>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numPr>
        <w:ilvl w:val="5"/>
        <w:numId w:val="24"/>
      </w:numPr>
      <w:spacing w:before="36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numPr>
        <w:ilvl w:val="6"/>
        <w:numId w:val="24"/>
      </w:numPr>
      <w:spacing w:before="40" w:after="0"/>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numPr>
        <w:ilvl w:val="7"/>
        <w:numId w:val="24"/>
      </w:numPr>
      <w:spacing w:before="40" w:after="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numPr>
        <w:ilvl w:val="8"/>
        <w:numId w:val="24"/>
      </w:numPr>
      <w:spacing w:before="40" w:after="0"/>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0646FA"/>
    <w:rPr>
      <w:rFonts w:ascii="Arial" w:eastAsia="Times New Roman" w:hAnsi="Arial" w:cs="Times New Roman"/>
      <w:b/>
      <w:color w:val="005EB8"/>
      <w:sz w:val="32"/>
      <w:szCs w:val="26"/>
    </w:rPr>
  </w:style>
  <w:style w:type="character" w:customStyle="1" w:styleId="Heading3Char">
    <w:name w:val="Heading 3 Char"/>
    <w:basedOn w:val="DefaultParagraphFont"/>
    <w:link w:val="Heading3"/>
    <w:uiPriority w:val="9"/>
    <w:rsid w:val="00A956F5"/>
    <w:rPr>
      <w:rFonts w:ascii="Arial" w:eastAsia="Times New Roman" w:hAnsi="Arial" w:cs="Times New Roman"/>
      <w:b/>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Heading3"/>
    <w:qFormat/>
    <w:rsid w:val="005A2406"/>
    <w:pPr>
      <w:numPr>
        <w:ilvl w:val="2"/>
      </w:numPr>
    </w:pPr>
    <w:rPr>
      <w:b w:val="0"/>
      <w:bCs/>
    </w:r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6B3E9C"/>
    <w:pPr>
      <w:numPr>
        <w:numId w:val="9"/>
      </w:numPr>
      <w:contextualSpacing/>
    </w:pPr>
    <w:rPr>
      <w:rFonts w:cs="Times New Roman (Body CS)"/>
    </w:rPr>
  </w:style>
  <w:style w:type="paragraph" w:customStyle="1" w:styleId="Style1">
    <w:name w:val="Style1"/>
    <w:basedOn w:val="Heading2"/>
    <w:qFormat/>
    <w:rsid w:val="005A2406"/>
    <w:pPr>
      <w:numPr>
        <w:ilvl w:val="1"/>
      </w:numPr>
      <w:spacing w:before="200" w:after="200"/>
    </w:pPr>
    <w:rPr>
      <w:b w:val="0"/>
      <w:bCs/>
      <w:color w:val="auto"/>
      <w:sz w:val="24"/>
      <w:szCs w:val="24"/>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10"/>
      </w:numPr>
    </w:pPr>
  </w:style>
  <w:style w:type="numbering" w:customStyle="1" w:styleId="CurrentList8">
    <w:name w:val="Current List8"/>
    <w:uiPriority w:val="99"/>
    <w:rsid w:val="006B3E9C"/>
    <w:pPr>
      <w:numPr>
        <w:numId w:val="11"/>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customStyle="1" w:styleId="ListParagraphChar">
    <w:name w:val="List Paragraph Char"/>
    <w:aliases w:val="F5 List Paragraph Char"/>
    <w:link w:val="ListParagraph"/>
    <w:uiPriority w:val="34"/>
    <w:locked/>
    <w:rsid w:val="004A6984"/>
    <w:rPr>
      <w:rFonts w:cs="Times New Roman (Body CS)"/>
      <w:color w:val="231F20" w:themeColor="text1"/>
    </w:rPr>
  </w:style>
  <w:style w:type="character" w:styleId="UnresolvedMention">
    <w:name w:val="Unresolved Mention"/>
    <w:basedOn w:val="DefaultParagraphFont"/>
    <w:uiPriority w:val="99"/>
    <w:semiHidden/>
    <w:unhideWhenUsed/>
    <w:rsid w:val="0033513D"/>
    <w:rPr>
      <w:color w:val="605E5C"/>
      <w:shd w:val="clear" w:color="auto" w:fill="E1DFDD"/>
    </w:rPr>
  </w:style>
  <w:style w:type="paragraph" w:customStyle="1" w:styleId="Default">
    <w:name w:val="Default"/>
    <w:rsid w:val="00A86B64"/>
    <w:pPr>
      <w:autoSpaceDE w:val="0"/>
      <w:autoSpaceDN w:val="0"/>
      <w:adjustRightInd w:val="0"/>
    </w:pPr>
    <w:rPr>
      <w:rFonts w:ascii="Arial" w:hAnsi="Arial" w:cs="Arial"/>
      <w:color w:val="000000"/>
    </w:rPr>
  </w:style>
  <w:style w:type="table" w:styleId="ListTable3-Accent1">
    <w:name w:val="List Table 3 Accent 1"/>
    <w:aliases w:val="ICB Template Table"/>
    <w:basedOn w:val="TableNormal"/>
    <w:uiPriority w:val="48"/>
    <w:rsid w:val="00C410A2"/>
    <w:tblPr>
      <w:tblStyleRowBandSize w:val="1"/>
      <w:tblStyleColBandSize w:val="1"/>
      <w:tblBorders>
        <w:top w:val="single" w:sz="4" w:space="0" w:color="003087" w:themeColor="accent1"/>
        <w:left w:val="single" w:sz="4" w:space="0" w:color="003087" w:themeColor="accent1"/>
        <w:bottom w:val="single" w:sz="4" w:space="0" w:color="003087" w:themeColor="accent1"/>
        <w:right w:val="single" w:sz="4" w:space="0" w:color="003087" w:themeColor="accent1"/>
      </w:tblBorders>
    </w:tblPr>
    <w:tblStylePr w:type="firstRow">
      <w:rPr>
        <w:b/>
        <w:bCs/>
        <w:color w:val="FFFFFF" w:themeColor="background1"/>
      </w:rPr>
      <w:tblPr/>
      <w:tcPr>
        <w:shd w:val="clear" w:color="auto" w:fill="003087" w:themeFill="accent1"/>
      </w:tcPr>
    </w:tblStylePr>
    <w:tblStylePr w:type="lastRow">
      <w:rPr>
        <w:b/>
        <w:bCs/>
      </w:rPr>
      <w:tblPr/>
      <w:tcPr>
        <w:tcBorders>
          <w:top w:val="double" w:sz="4" w:space="0" w:color="0030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087" w:themeColor="accent1"/>
          <w:right w:val="single" w:sz="4" w:space="0" w:color="003087" w:themeColor="accent1"/>
        </w:tcBorders>
      </w:tcPr>
    </w:tblStylePr>
    <w:tblStylePr w:type="band1Horz">
      <w:tblPr/>
      <w:tcPr>
        <w:tcBorders>
          <w:top w:val="single" w:sz="4" w:space="0" w:color="003087" w:themeColor="accent1"/>
          <w:bottom w:val="single" w:sz="4" w:space="0" w:color="0030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87" w:themeColor="accent1"/>
          <w:left w:val="nil"/>
        </w:tcBorders>
      </w:tcPr>
    </w:tblStylePr>
    <w:tblStylePr w:type="swCell">
      <w:tblPr/>
      <w:tcPr>
        <w:tcBorders>
          <w:top w:val="double" w:sz="4" w:space="0" w:color="003087" w:themeColor="accent1"/>
          <w:right w:val="nil"/>
        </w:tcBorders>
      </w:tcPr>
    </w:tblStylePr>
  </w:style>
  <w:style w:type="table" w:styleId="TableGridLight">
    <w:name w:val="Grid Table Light"/>
    <w:basedOn w:val="TableNormal"/>
    <w:uiPriority w:val="40"/>
    <w:rsid w:val="009D29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F2DDB"/>
    <w:rPr>
      <w:color w:val="00A399" w:themeColor="followedHyperlink"/>
      <w:u w:val="single"/>
    </w:rPr>
  </w:style>
  <w:style w:type="paragraph" w:styleId="Revision">
    <w:name w:val="Revision"/>
    <w:hidden/>
    <w:uiPriority w:val="99"/>
    <w:semiHidden/>
    <w:rsid w:val="0085111E"/>
    <w:rPr>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urementportal.com/glossary/" TargetMode="External"/><Relationship Id="rId18" Type="http://schemas.openxmlformats.org/officeDocument/2006/relationships/hyperlink" Target="http://www.procurementportal.com/glossary/" TargetMode="External"/><Relationship Id="rId26" Type="http://schemas.openxmlformats.org/officeDocument/2006/relationships/hyperlink" Target="https://cfa.nhs.uk/fraud-prevention/reference-guide/cyber-enabled-fraud/reporting" TargetMode="External"/><Relationship Id="rId39" Type="http://schemas.openxmlformats.org/officeDocument/2006/relationships/hyperlink" Target="http://www.legislation.gov.uk/ukpga/2012/3/enacted" TargetMode="External"/><Relationship Id="rId21" Type="http://schemas.openxmlformats.org/officeDocument/2006/relationships/hyperlink" Target="http://www.procurementportal.com/glossary/" TargetMode="External"/><Relationship Id="rId34" Type="http://schemas.openxmlformats.org/officeDocument/2006/relationships/hyperlink" Target="https://www.legislation.gov.uk/uksi/2020/1319/contents/made" TargetMode="External"/><Relationship Id="rId42" Type="http://schemas.openxmlformats.org/officeDocument/2006/relationships/hyperlink" Target="https://www.gov.uk/government/publications/procurement-policy-note-new-thresholds-2020" TargetMode="External"/><Relationship Id="rId47" Type="http://schemas.openxmlformats.org/officeDocument/2006/relationships/hyperlink" Target="https://www.england.nhs.uk/ourwork/coi/" TargetMode="External"/><Relationship Id="rId50" Type="http://schemas.openxmlformats.org/officeDocument/2006/relationships/hyperlink" Target="http://www.legislation.gov.uk/ukpga/2010/15/pdfs/ukpga_20100015_en.pdf"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rprocurement.co.uk/files/Uploads/Documents/timescale_tracker.pdf" TargetMode="External"/><Relationship Id="rId29" Type="http://schemas.openxmlformats.org/officeDocument/2006/relationships/hyperlink" Target="https://www.legislation.gov.uk/uksi/2020/1319/contents/made" TargetMode="External"/><Relationship Id="rId11" Type="http://schemas.openxmlformats.org/officeDocument/2006/relationships/hyperlink" Target="http://www.procurementportal.com/glossary/" TargetMode="External"/><Relationship Id="rId24" Type="http://schemas.openxmlformats.org/officeDocument/2006/relationships/hyperlink" Target="https://cfa.nhs.uk/reportfraud" TargetMode="External"/><Relationship Id="rId32" Type="http://schemas.openxmlformats.org/officeDocument/2006/relationships/hyperlink" Target="https://www.legislation.gov.uk/uksi/2020/1319/contents/made" TargetMode="External"/><Relationship Id="rId37" Type="http://schemas.openxmlformats.org/officeDocument/2006/relationships/hyperlink" Target="http://www.legislation.gov.uk/uksi/2013/500/contents/made" TargetMode="External"/><Relationship Id="rId40" Type="http://schemas.openxmlformats.org/officeDocument/2006/relationships/hyperlink" Target="http://www.dh.gov.uk/en/Publicationsandstatistics/Publications/PublicationsPolicyAndGuidance/DH_128455" TargetMode="External"/><Relationship Id="rId45" Type="http://schemas.openxmlformats.org/officeDocument/2006/relationships/hyperlink" Target="https://www.gov.uk/government/publications/protecting-and-promoting-patients-interests-the-role-of-sector-regulation"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www.procurementportal.com/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curementportal.com/glossary/" TargetMode="External"/><Relationship Id="rId22" Type="http://schemas.openxmlformats.org/officeDocument/2006/relationships/hyperlink" Target="https://cfa.nhs.uk/reportfraud" TargetMode="External"/><Relationship Id="rId27" Type="http://schemas.openxmlformats.org/officeDocument/2006/relationships/hyperlink" Target="http://www.legislation.gov.uk/uksi/2015/102/pdfs/uksi_20150102_en.pdf" TargetMode="External"/><Relationship Id="rId30" Type="http://schemas.openxmlformats.org/officeDocument/2006/relationships/hyperlink" Target="https://www.legislation.gov.uk/uksi/2020/1319/contents/made" TargetMode="External"/><Relationship Id="rId35" Type="http://schemas.openxmlformats.org/officeDocument/2006/relationships/hyperlink" Target="https://www.legislation.gov.uk/uksi/2020/1319/contents/made" TargetMode="External"/><Relationship Id="rId43" Type="http://schemas.openxmlformats.org/officeDocument/2006/relationships/hyperlink" Target="http://webarchive.nationalarchives.gov.uk/20100503135839/http:/www.ogc.gov.uk/documents/Introduction_to_the_EU_rules.pdf" TargetMode="External"/><Relationship Id="rId48" Type="http://schemas.openxmlformats.org/officeDocument/2006/relationships/hyperlink" Target="https://www.gov.uk/guidance/transposing-eu-procurement-directiv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legislation.gov.uk/ukpga/2010/23/pdfs/ukpga_20100023_en.pdf" TargetMode="External"/><Relationship Id="rId3" Type="http://schemas.openxmlformats.org/officeDocument/2006/relationships/customXml" Target="../customXml/item3.xml"/><Relationship Id="rId12" Type="http://schemas.openxmlformats.org/officeDocument/2006/relationships/hyperlink" Target="http://www.procurementportal.com/glossary/" TargetMode="External"/><Relationship Id="rId17" Type="http://schemas.openxmlformats.org/officeDocument/2006/relationships/hyperlink" Target="http://www.opsi.gov.uk/si/si2006/20060005.htm" TargetMode="External"/><Relationship Id="rId25" Type="http://schemas.openxmlformats.org/officeDocument/2006/relationships/hyperlink" Target="http://www.gov.uk" TargetMode="External"/><Relationship Id="rId33" Type="http://schemas.openxmlformats.org/officeDocument/2006/relationships/hyperlink" Target="https://www.legislation.gov.uk/uksi/2020/1319/contents/made" TargetMode="External"/><Relationship Id="rId38" Type="http://schemas.openxmlformats.org/officeDocument/2006/relationships/hyperlink" Target="https://www.gov.uk/government/publications/procurement-patient-choice-and-competition-regulations-guidance" TargetMode="External"/><Relationship Id="rId46" Type="http://schemas.openxmlformats.org/officeDocument/2006/relationships/hyperlink" Target="https://www.gov.uk/transposing-eu-procurement-directives" TargetMode="External"/><Relationship Id="rId20" Type="http://schemas.openxmlformats.org/officeDocument/2006/relationships/hyperlink" Target="http://www.procurementportal.com/glossary/" TargetMode="External"/><Relationship Id="rId41" Type="http://schemas.openxmlformats.org/officeDocument/2006/relationships/hyperlink" Target="https://www.gov.uk/government/publications/transparency-requirements-for-publishing-on-contracts-find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ocurementportal.com/glossary/" TargetMode="External"/><Relationship Id="rId23" Type="http://schemas.openxmlformats.org/officeDocument/2006/relationships/hyperlink" Target="https://www.england.nhs.uk/wp-content/uploads/2017/08/integrated-support-assurance-process-part-a.pdf" TargetMode="External"/><Relationship Id="rId28" Type="http://schemas.openxmlformats.org/officeDocument/2006/relationships/hyperlink" Target="https://www.legislation.gov.uk/uksi/2020/1319/contents/made" TargetMode="External"/><Relationship Id="rId36" Type="http://schemas.openxmlformats.org/officeDocument/2006/relationships/hyperlink" Target="https://www.legislation.gov.uk/uksi/2021/872/contents/made" TargetMode="External"/><Relationship Id="rId49" Type="http://schemas.openxmlformats.org/officeDocument/2006/relationships/hyperlink" Target="http://www.legislation.gov.uk/uksi/2006/246/pdfs/uksi_20060246_en.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legislation.gov.uk/uksi/2020/1319/contents/made" TargetMode="External"/><Relationship Id="rId44" Type="http://schemas.openxmlformats.org/officeDocument/2006/relationships/hyperlink" Target="http://www.nao.org.uk/freedom-of-information/wp-content/uploads/sites/13/2013/03/Procurement_manual.pdf" TargetMode="External"/><Relationship Id="rId52" Type="http://schemas.openxmlformats.org/officeDocument/2006/relationships/hyperlink" Target="https://stage.equalityhumanrights.com/sites/default/files/buying_better_outcomes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0" ma:contentTypeDescription="Create a new document." ma:contentTypeScope="" ma:versionID="a714732fab45f2ad4eb1d7d671c98bca">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4e31a7abcf2463825c6716df18018986"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346B6313-235B-4127-A245-87FB27A77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1BC46-5152-4ED1-9A35-2C4D718D6E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4BF012-E288-4840-ABD5-8A6DE4A5D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181</TotalTime>
  <Pages>1</Pages>
  <Words>11430</Words>
  <Characters>65155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Procurement &amp; Contracting Policy / Version 1.0</vt:lpstr>
    </vt:vector>
  </TitlesOfParts>
  <Manager/>
  <Company/>
  <LinksUpToDate>false</LinksUpToDate>
  <CharactersWithSpaces>76433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&amp; Contracting Policy / Version 1.0</dc:title>
  <dc:subject/>
  <dc:creator>Adams Nicola (07G) Thurrock CCG</dc:creator>
  <cp:keywords/>
  <dc:description/>
  <cp:lastModifiedBy>O'CONNOR, Sara (NHS MID AND SOUTH ESSEX ICB - 06Q)</cp:lastModifiedBy>
  <cp:revision>71</cp:revision>
  <cp:lastPrinted>2021-12-03T14:01:00Z</cp:lastPrinted>
  <dcterms:created xsi:type="dcterms:W3CDTF">2023-01-09T10:16:00Z</dcterms:created>
  <dcterms:modified xsi:type="dcterms:W3CDTF">2023-01-17T10:22:00Z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0x010100DDCAC4A9ACD5654AA9292D86DEB8FB29</vt:lpwstr>
  </property>
</Properties>
</file>