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BB" w:rsidRDefault="001E5A95" w:rsidP="00346B71">
      <w:pPr>
        <w:pStyle w:val="NoSpacing"/>
        <w:jc w:val="center"/>
        <w:rPr>
          <w:sz w:val="52"/>
          <w:szCs w:val="52"/>
        </w:rPr>
      </w:pPr>
      <w:bookmarkStart w:id="0" w:name="Top"/>
      <w:bookmarkEnd w:id="0"/>
      <w:r w:rsidRPr="00346B71">
        <w:rPr>
          <w:sz w:val="52"/>
          <w:szCs w:val="52"/>
        </w:rPr>
        <w:t>Mid Essex SRP – Appendix</w:t>
      </w:r>
    </w:p>
    <w:p w:rsidR="00346B71" w:rsidRPr="00346B71" w:rsidRDefault="00346B71" w:rsidP="00346B71">
      <w:pPr>
        <w:pStyle w:val="NoSpacing"/>
        <w:jc w:val="center"/>
        <w:rPr>
          <w:sz w:val="52"/>
          <w:szCs w:val="52"/>
        </w:rPr>
      </w:pPr>
    </w:p>
    <w:p w:rsidR="001E5A95" w:rsidRDefault="001E5A95" w:rsidP="00346B71">
      <w:pPr>
        <w:pStyle w:val="NoSpacing"/>
        <w:rPr>
          <w:szCs w:val="24"/>
        </w:rPr>
      </w:pPr>
    </w:p>
    <w:p w:rsidR="001E5A95" w:rsidRDefault="001E5A95" w:rsidP="00346B71">
      <w:pPr>
        <w:pStyle w:val="NoSpacing"/>
        <w:rPr>
          <w:szCs w:val="24"/>
        </w:rPr>
      </w:pPr>
      <w:r w:rsidRPr="001E5A95">
        <w:rPr>
          <w:szCs w:val="24"/>
        </w:rPr>
        <w:t>Across mid and south Essex for the following procedures* individual CCGs will retain an individual commissioned policy and will not be part of the common Mid &amp; South Essex CCGs common commissioning policy.</w:t>
      </w:r>
    </w:p>
    <w:p w:rsidR="00346B71" w:rsidRPr="001E5A95" w:rsidRDefault="00346B71" w:rsidP="00346B71">
      <w:pPr>
        <w:pStyle w:val="NoSpacing"/>
        <w:rPr>
          <w:szCs w:val="24"/>
        </w:rPr>
      </w:pPr>
    </w:p>
    <w:p w:rsidR="001E5A95" w:rsidRPr="001E5A95" w:rsidRDefault="001E5A95" w:rsidP="00346B71">
      <w:pPr>
        <w:pStyle w:val="NoSpacing"/>
        <w:rPr>
          <w:szCs w:val="24"/>
        </w:rPr>
      </w:pPr>
      <w:r w:rsidRPr="001E5A95">
        <w:rPr>
          <w:szCs w:val="24"/>
        </w:rPr>
        <w:t xml:space="preserve">Access criteria for treatments may vary between CCGs and GPs/providers must confirm funding arrangements before referral/treatment.  </w:t>
      </w:r>
    </w:p>
    <w:p w:rsidR="001E5A95" w:rsidRDefault="001E5A95" w:rsidP="00346B71">
      <w:pPr>
        <w:pStyle w:val="NoSpacing"/>
        <w:rPr>
          <w:szCs w:val="24"/>
        </w:rPr>
      </w:pPr>
      <w:r w:rsidRPr="001E5A95">
        <w:rPr>
          <w:szCs w:val="24"/>
        </w:rPr>
        <w:t>At the time of publication these include:</w:t>
      </w:r>
    </w:p>
    <w:p w:rsidR="00346B71" w:rsidRDefault="00346B71" w:rsidP="00346B71">
      <w:pPr>
        <w:pStyle w:val="NoSpacing"/>
        <w:rPr>
          <w:szCs w:val="24"/>
        </w:rPr>
      </w:pPr>
    </w:p>
    <w:p w:rsidR="00346B71" w:rsidRPr="001E5A95" w:rsidRDefault="00346B71" w:rsidP="00346B71">
      <w:pPr>
        <w:pStyle w:val="NoSpacing"/>
        <w:rPr>
          <w:szCs w:val="24"/>
        </w:rPr>
      </w:pPr>
    </w:p>
    <w:p w:rsidR="001E5A95" w:rsidRDefault="001E5A95" w:rsidP="00346B71">
      <w:pPr>
        <w:pStyle w:val="NoSpacing"/>
        <w:rPr>
          <w:szCs w:val="24"/>
        </w:rPr>
      </w:pPr>
    </w:p>
    <w:p w:rsidR="001E5A95" w:rsidRDefault="0007073E" w:rsidP="00346B71">
      <w:pPr>
        <w:pStyle w:val="NoSpacing"/>
        <w:rPr>
          <w:szCs w:val="24"/>
        </w:rPr>
      </w:pPr>
      <w:hyperlink w:anchor="AssistedConception" w:history="1">
        <w:r w:rsidR="001E5A95" w:rsidRPr="00346B71">
          <w:rPr>
            <w:rStyle w:val="Hyperlink"/>
            <w:rFonts w:cstheme="minorBidi"/>
            <w:szCs w:val="24"/>
          </w:rPr>
          <w:t>Assisted Conception</w:t>
        </w:r>
      </w:hyperlink>
      <w:r w:rsidR="001E5A95">
        <w:rPr>
          <w:szCs w:val="24"/>
        </w:rPr>
        <w:t xml:space="preserve"> – including IVF/ICS/IUI – specialist fertility services</w:t>
      </w:r>
    </w:p>
    <w:p w:rsidR="001E5A95" w:rsidRDefault="0007073E" w:rsidP="00346B71">
      <w:pPr>
        <w:pStyle w:val="NoSpacing"/>
        <w:rPr>
          <w:szCs w:val="24"/>
        </w:rPr>
      </w:pPr>
      <w:hyperlink w:anchor="Bariatric_Surgery" w:history="1">
        <w:r w:rsidR="001E5A95" w:rsidRPr="00746DB4">
          <w:rPr>
            <w:rStyle w:val="Hyperlink"/>
            <w:rFonts w:cstheme="minorBidi"/>
            <w:szCs w:val="24"/>
          </w:rPr>
          <w:t>Bariatric Surgery</w:t>
        </w:r>
      </w:hyperlink>
    </w:p>
    <w:p w:rsidR="001E5A95" w:rsidRDefault="0007073E" w:rsidP="00346B71">
      <w:pPr>
        <w:pStyle w:val="NoSpacing"/>
        <w:rPr>
          <w:szCs w:val="24"/>
        </w:rPr>
      </w:pPr>
      <w:hyperlink w:anchor="BreastAsymmetry" w:history="1">
        <w:r w:rsidR="001E5A95" w:rsidRPr="00746DB4">
          <w:rPr>
            <w:rStyle w:val="Hyperlink"/>
            <w:rFonts w:cstheme="minorBidi"/>
            <w:szCs w:val="24"/>
          </w:rPr>
          <w:t>Breast Asymmetry</w:t>
        </w:r>
      </w:hyperlink>
      <w:r w:rsidR="007F0618">
        <w:rPr>
          <w:rStyle w:val="Hyperlink"/>
          <w:rFonts w:cstheme="minorBidi"/>
          <w:szCs w:val="24"/>
        </w:rPr>
        <w:t xml:space="preserve"> (Criteria not changed – wording changed for consistency)</w:t>
      </w:r>
    </w:p>
    <w:p w:rsidR="001E5A95" w:rsidRDefault="0007073E" w:rsidP="00346B71">
      <w:pPr>
        <w:pStyle w:val="NoSpacing"/>
        <w:rPr>
          <w:szCs w:val="24"/>
        </w:rPr>
      </w:pPr>
      <w:hyperlink w:anchor="BreastReduction" w:history="1">
        <w:r w:rsidR="001E5A95" w:rsidRPr="00746DB4">
          <w:rPr>
            <w:rStyle w:val="Hyperlink"/>
            <w:rFonts w:cstheme="minorBidi"/>
            <w:szCs w:val="24"/>
          </w:rPr>
          <w:t>Breast Reduction</w:t>
        </w:r>
      </w:hyperlink>
      <w:r w:rsidR="007F0618">
        <w:rPr>
          <w:rStyle w:val="Hyperlink"/>
          <w:rFonts w:cstheme="minorBidi"/>
          <w:szCs w:val="24"/>
        </w:rPr>
        <w:t xml:space="preserve"> (Criteria not changed – wording changed for consistency)</w:t>
      </w:r>
    </w:p>
    <w:p w:rsidR="001E5A95" w:rsidRDefault="0007073E" w:rsidP="00346B71">
      <w:pPr>
        <w:pStyle w:val="NoSpacing"/>
        <w:rPr>
          <w:szCs w:val="24"/>
        </w:rPr>
      </w:pPr>
      <w:hyperlink w:anchor="FemaleSterilisation" w:history="1">
        <w:r w:rsidR="001E5A95" w:rsidRPr="00FA5747">
          <w:rPr>
            <w:rStyle w:val="Hyperlink"/>
            <w:rFonts w:cstheme="minorBidi"/>
            <w:szCs w:val="24"/>
          </w:rPr>
          <w:t>Female Sterilisation</w:t>
        </w:r>
      </w:hyperlink>
    </w:p>
    <w:p w:rsidR="001E5A95" w:rsidRDefault="0007073E" w:rsidP="00346B71">
      <w:pPr>
        <w:pStyle w:val="NoSpacing"/>
        <w:rPr>
          <w:szCs w:val="24"/>
        </w:rPr>
      </w:pPr>
      <w:hyperlink w:anchor="Gynaecomastia" w:history="1">
        <w:r w:rsidR="001E5A95" w:rsidRPr="00FA5747">
          <w:rPr>
            <w:rStyle w:val="Hyperlink"/>
            <w:rFonts w:cstheme="minorBidi"/>
            <w:szCs w:val="24"/>
          </w:rPr>
          <w:t>Gynaecomastia</w:t>
        </w:r>
      </w:hyperlink>
      <w:r w:rsidR="007F0618">
        <w:rPr>
          <w:rStyle w:val="Hyperlink"/>
          <w:rFonts w:cstheme="minorBidi"/>
          <w:szCs w:val="24"/>
        </w:rPr>
        <w:t xml:space="preserve"> (Change from v1.0 - moved to main policy document)</w:t>
      </w:r>
    </w:p>
    <w:p w:rsidR="001E5A95" w:rsidRDefault="0007073E" w:rsidP="00346B71">
      <w:pPr>
        <w:pStyle w:val="NoSpacing"/>
        <w:rPr>
          <w:szCs w:val="24"/>
        </w:rPr>
      </w:pPr>
      <w:hyperlink w:anchor="Vasectomies" w:history="1">
        <w:r w:rsidR="001E5A95" w:rsidRPr="00FA5747">
          <w:rPr>
            <w:rStyle w:val="Hyperlink"/>
            <w:rFonts w:cstheme="minorBidi"/>
            <w:szCs w:val="24"/>
          </w:rPr>
          <w:t>Vasectomies</w:t>
        </w:r>
      </w:hyperlink>
    </w:p>
    <w:p w:rsidR="001E5A95" w:rsidRDefault="001E5A95" w:rsidP="00346B71">
      <w:pPr>
        <w:pStyle w:val="NoSpacing"/>
        <w:rPr>
          <w:szCs w:val="24"/>
        </w:rPr>
      </w:pPr>
    </w:p>
    <w:p w:rsidR="001E5A95" w:rsidRPr="001E5A95" w:rsidRDefault="001E5A95" w:rsidP="001E5A95">
      <w:pPr>
        <w:rPr>
          <w:rFonts w:ascii="Arial" w:hAnsi="Arial" w:cs="Arial"/>
          <w:sz w:val="24"/>
          <w:szCs w:val="24"/>
        </w:rPr>
      </w:pPr>
    </w:p>
    <w:p w:rsidR="001E5A95" w:rsidRDefault="001E5A95" w:rsidP="001E5A95">
      <w:pPr>
        <w:jc w:val="center"/>
        <w:rPr>
          <w:rFonts w:ascii="Arial" w:hAnsi="Arial" w:cs="Arial"/>
          <w:sz w:val="48"/>
          <w:szCs w:val="48"/>
        </w:rPr>
      </w:pPr>
    </w:p>
    <w:p w:rsidR="001E5A95" w:rsidRDefault="001E5A95" w:rsidP="001E5A95">
      <w:pPr>
        <w:jc w:val="center"/>
        <w:rPr>
          <w:rFonts w:ascii="Arial" w:hAnsi="Arial" w:cs="Arial"/>
          <w:sz w:val="48"/>
          <w:szCs w:val="48"/>
        </w:rPr>
      </w:pPr>
    </w:p>
    <w:p w:rsidR="001E5A95" w:rsidRDefault="001E5A9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:rsidR="00346B71" w:rsidRPr="00346B71" w:rsidRDefault="0007073E" w:rsidP="00346B71">
      <w:pPr>
        <w:jc w:val="right"/>
        <w:rPr>
          <w:rFonts w:ascii="Arial" w:hAnsi="Arial" w:cs="Arial"/>
          <w:sz w:val="24"/>
          <w:szCs w:val="24"/>
        </w:rPr>
      </w:pPr>
      <w:hyperlink w:anchor="Top" w:history="1">
        <w:r w:rsidR="00346B71" w:rsidRPr="00346B71">
          <w:rPr>
            <w:rStyle w:val="Hyperlink"/>
            <w:rFonts w:ascii="Arial" w:hAnsi="Arial"/>
            <w:b/>
            <w:sz w:val="24"/>
            <w:szCs w:val="24"/>
          </w:rPr>
          <w:t>Back to Index</w:t>
        </w:r>
      </w:hyperlink>
    </w:p>
    <w:tbl>
      <w:tblPr>
        <w:tblW w:w="0" w:type="auto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shd w:val="clear" w:color="auto" w:fill="D7E4FD"/>
        <w:tblLook w:val="00A0" w:firstRow="1" w:lastRow="0" w:firstColumn="1" w:lastColumn="0" w:noHBand="0" w:noVBand="0"/>
      </w:tblPr>
      <w:tblGrid>
        <w:gridCol w:w="2906"/>
        <w:gridCol w:w="6114"/>
      </w:tblGrid>
      <w:tr w:rsidR="00346B71" w:rsidRPr="00346B71" w:rsidTr="003A43C5">
        <w:trPr>
          <w:trHeight w:val="375"/>
        </w:trPr>
        <w:tc>
          <w:tcPr>
            <w:tcW w:w="2965" w:type="dxa"/>
            <w:shd w:val="clear" w:color="auto" w:fill="D7E4FD"/>
            <w:vAlign w:val="center"/>
          </w:tcPr>
          <w:p w:rsidR="00346B71" w:rsidRPr="00346B71" w:rsidRDefault="00346B71" w:rsidP="003A4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B71">
              <w:rPr>
                <w:rFonts w:ascii="Arial" w:hAnsi="Arial" w:cs="Arial"/>
                <w:sz w:val="24"/>
                <w:szCs w:val="24"/>
              </w:rPr>
              <w:br w:type="column"/>
            </w:r>
            <w:r w:rsidRPr="00346B71">
              <w:rPr>
                <w:rFonts w:ascii="Arial" w:hAnsi="Arial" w:cs="Arial"/>
                <w:sz w:val="24"/>
                <w:szCs w:val="24"/>
              </w:rPr>
              <w:br w:type="column"/>
            </w:r>
            <w:r w:rsidRPr="00346B71">
              <w:rPr>
                <w:rFonts w:ascii="Arial" w:hAnsi="Arial" w:cs="Arial"/>
                <w:b/>
                <w:sz w:val="24"/>
                <w:szCs w:val="24"/>
              </w:rPr>
              <w:t>Policy statement:</w:t>
            </w:r>
          </w:p>
        </w:tc>
        <w:bookmarkStart w:id="1" w:name="AssistedConception"/>
        <w:bookmarkEnd w:id="1"/>
        <w:tc>
          <w:tcPr>
            <w:tcW w:w="6299" w:type="dxa"/>
            <w:shd w:val="clear" w:color="auto" w:fill="auto"/>
            <w:vAlign w:val="center"/>
          </w:tcPr>
          <w:p w:rsidR="00346B71" w:rsidRPr="00346B71" w:rsidRDefault="00346B71" w:rsidP="003A4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B7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46B71">
              <w:rPr>
                <w:rFonts w:ascii="Arial" w:hAnsi="Arial" w:cs="Arial"/>
                <w:sz w:val="24"/>
                <w:szCs w:val="24"/>
              </w:rPr>
              <w:instrText xml:space="preserve"> HYPERLINK \l "Index" </w:instrText>
            </w:r>
            <w:r w:rsidRPr="00346B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B7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Assisted Conception (Using IVF/ICS/IUI </w:t>
            </w:r>
            <w:r w:rsidRPr="00346B71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Pr="00346B71">
              <w:rPr>
                <w:rFonts w:ascii="Arial" w:hAnsi="Arial" w:cs="Arial"/>
                <w:b/>
                <w:color w:val="000000"/>
                <w:sz w:val="24"/>
                <w:szCs w:val="24"/>
              </w:rPr>
              <w:t>-Specialist Fertility Services)</w:t>
            </w:r>
          </w:p>
        </w:tc>
      </w:tr>
      <w:tr w:rsidR="00346B71" w:rsidRPr="00346B71" w:rsidTr="003A43C5">
        <w:trPr>
          <w:trHeight w:val="375"/>
        </w:trPr>
        <w:tc>
          <w:tcPr>
            <w:tcW w:w="2965" w:type="dxa"/>
            <w:shd w:val="clear" w:color="auto" w:fill="D7E4FD"/>
            <w:vAlign w:val="center"/>
          </w:tcPr>
          <w:p w:rsidR="00346B71" w:rsidRPr="00346B71" w:rsidRDefault="00346B71" w:rsidP="003A4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B71">
              <w:rPr>
                <w:rFonts w:ascii="Arial" w:hAnsi="Arial" w:cs="Arial"/>
                <w:b/>
                <w:sz w:val="24"/>
                <w:szCs w:val="24"/>
              </w:rPr>
              <w:t>Status:</w:t>
            </w:r>
          </w:p>
        </w:tc>
        <w:tc>
          <w:tcPr>
            <w:tcW w:w="6299" w:type="dxa"/>
            <w:shd w:val="clear" w:color="auto" w:fill="auto"/>
            <w:vAlign w:val="center"/>
          </w:tcPr>
          <w:p w:rsidR="00346B71" w:rsidRPr="00346B71" w:rsidRDefault="00346B71" w:rsidP="003A4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B71">
              <w:rPr>
                <w:rFonts w:ascii="Arial" w:hAnsi="Arial" w:cs="Arial"/>
                <w:b/>
                <w:sz w:val="24"/>
                <w:szCs w:val="24"/>
              </w:rPr>
              <w:t>Not Routinely Funded</w:t>
            </w:r>
          </w:p>
        </w:tc>
      </w:tr>
    </w:tbl>
    <w:p w:rsidR="00346B71" w:rsidRPr="00346B71" w:rsidRDefault="00346B71" w:rsidP="00346B71">
      <w:pPr>
        <w:rPr>
          <w:rFonts w:ascii="Arial" w:hAnsi="Arial" w:cs="Arial"/>
          <w:sz w:val="24"/>
          <w:szCs w:val="24"/>
        </w:rPr>
      </w:pPr>
    </w:p>
    <w:p w:rsidR="00346B71" w:rsidRPr="00346B71" w:rsidRDefault="00346B71" w:rsidP="00346B71">
      <w:pPr>
        <w:rPr>
          <w:rFonts w:ascii="Arial" w:hAnsi="Arial" w:cs="Arial"/>
          <w:sz w:val="24"/>
          <w:szCs w:val="24"/>
        </w:rPr>
      </w:pPr>
      <w:r w:rsidRPr="00346B71">
        <w:rPr>
          <w:rFonts w:ascii="Arial" w:hAnsi="Arial" w:cs="Arial"/>
          <w:sz w:val="24"/>
          <w:szCs w:val="24"/>
        </w:rPr>
        <w:t xml:space="preserve">MECCG does not routinely fund Specialist Fertility Services- including assisted conception using IVF/ICS/IUI. </w:t>
      </w:r>
    </w:p>
    <w:p w:rsidR="00346B71" w:rsidRPr="00346B71" w:rsidRDefault="00346B71" w:rsidP="00346B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46B71">
        <w:rPr>
          <w:rFonts w:ascii="Arial" w:hAnsi="Arial" w:cs="Arial"/>
          <w:color w:val="000000"/>
          <w:sz w:val="24"/>
          <w:szCs w:val="24"/>
        </w:rPr>
        <w:t xml:space="preserve">These services/procedures have been assessed as a </w:t>
      </w:r>
      <w:r w:rsidRPr="00346B71">
        <w:rPr>
          <w:rFonts w:ascii="Arial" w:hAnsi="Arial" w:cs="Arial"/>
          <w:b/>
          <w:bCs/>
          <w:color w:val="000000"/>
          <w:sz w:val="24"/>
          <w:szCs w:val="24"/>
        </w:rPr>
        <w:t xml:space="preserve">Low Clinical Priority </w:t>
      </w:r>
      <w:r w:rsidRPr="00346B71">
        <w:rPr>
          <w:rFonts w:ascii="Arial" w:hAnsi="Arial" w:cs="Arial"/>
          <w:color w:val="000000"/>
          <w:sz w:val="24"/>
          <w:szCs w:val="24"/>
        </w:rPr>
        <w:t xml:space="preserve">by MECCG and will not be funded unless there are </w:t>
      </w:r>
      <w:r w:rsidRPr="00346B71">
        <w:rPr>
          <w:rFonts w:ascii="Arial" w:hAnsi="Arial" w:cs="Arial"/>
          <w:b/>
          <w:bCs/>
          <w:color w:val="000000"/>
          <w:sz w:val="24"/>
          <w:szCs w:val="24"/>
        </w:rPr>
        <w:t xml:space="preserve">exceptional clinical circumstances.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Patients not meeting the above criteria will not be funded unless there are </w:t>
      </w:r>
      <w:r w:rsidRPr="00EB690E">
        <w:rPr>
          <w:rFonts w:ascii="Arial" w:hAnsi="Arial" w:cs="Arial"/>
          <w:b/>
          <w:color w:val="000000"/>
          <w:sz w:val="24"/>
          <w:szCs w:val="24"/>
        </w:rPr>
        <w:t>clinically exceptional circumstances.</w:t>
      </w:r>
      <w:r w:rsidRPr="00EB690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Individual funding requests should only be made where the patient demonstrates clinical exceptionality.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Further information on applying for funding in exceptional clinical circumstances can be found on the CCGs’ website. </w:t>
      </w:r>
    </w:p>
    <w:p w:rsidR="00346B71" w:rsidRPr="00EB690E" w:rsidRDefault="00346B71" w:rsidP="00346B7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7349"/>
      </w:tblGrid>
      <w:tr w:rsidR="00346B71" w:rsidRPr="00346B71" w:rsidTr="003A43C5">
        <w:tc>
          <w:tcPr>
            <w:tcW w:w="1668" w:type="dxa"/>
          </w:tcPr>
          <w:p w:rsidR="00346B71" w:rsidRPr="00346B71" w:rsidRDefault="00346B71" w:rsidP="003A43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ICD10 codes</w:t>
            </w:r>
          </w:p>
        </w:tc>
        <w:tc>
          <w:tcPr>
            <w:tcW w:w="7574" w:type="dxa"/>
          </w:tcPr>
          <w:p w:rsidR="00346B71" w:rsidRPr="00346B71" w:rsidRDefault="00346B71" w:rsidP="003A43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46B71" w:rsidRPr="00346B71" w:rsidTr="003A43C5">
        <w:tc>
          <w:tcPr>
            <w:tcW w:w="1668" w:type="dxa"/>
          </w:tcPr>
          <w:p w:rsidR="00346B71" w:rsidRPr="00346B71" w:rsidRDefault="00346B71" w:rsidP="003A43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OPCS codes</w:t>
            </w:r>
          </w:p>
        </w:tc>
        <w:tc>
          <w:tcPr>
            <w:tcW w:w="7574" w:type="dxa"/>
          </w:tcPr>
          <w:p w:rsidR="00346B71" w:rsidRPr="00346B71" w:rsidRDefault="00346B71" w:rsidP="003A43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Q13*, Q21* </w:t>
            </w:r>
          </w:p>
          <w:p w:rsidR="00346B71" w:rsidRPr="00346B71" w:rsidRDefault="00346B71" w:rsidP="003A43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N34.2, N34.4, N34.5, N34.6 (sperm Extraction)</w:t>
            </w:r>
          </w:p>
        </w:tc>
      </w:tr>
      <w:tr w:rsidR="00346B71" w:rsidRPr="00346B71" w:rsidTr="003A43C5">
        <w:tc>
          <w:tcPr>
            <w:tcW w:w="1668" w:type="dxa"/>
          </w:tcPr>
          <w:p w:rsidR="00346B71" w:rsidRPr="00346B71" w:rsidRDefault="00346B71" w:rsidP="003A43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OPCS/ICD10</w:t>
            </w:r>
          </w:p>
          <w:p w:rsidR="00346B71" w:rsidRPr="00346B71" w:rsidRDefault="00346B71" w:rsidP="003A43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codes</w:t>
            </w:r>
          </w:p>
        </w:tc>
        <w:tc>
          <w:tcPr>
            <w:tcW w:w="7574" w:type="dxa"/>
          </w:tcPr>
          <w:p w:rsidR="00346B71" w:rsidRPr="00346B71" w:rsidRDefault="00346B71" w:rsidP="003A43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346B71" w:rsidRPr="00346B71" w:rsidRDefault="00346B71" w:rsidP="00346B71">
      <w:pPr>
        <w:rPr>
          <w:rFonts w:ascii="Arial" w:hAnsi="Arial" w:cs="Arial"/>
          <w:sz w:val="24"/>
          <w:szCs w:val="24"/>
        </w:rPr>
      </w:pPr>
      <w:r w:rsidRPr="00346B71">
        <w:rPr>
          <w:rFonts w:ascii="Arial" w:hAnsi="Arial" w:cs="Arial"/>
          <w:sz w:val="24"/>
          <w:szCs w:val="24"/>
        </w:rPr>
        <w:br w:type="page"/>
      </w:r>
    </w:p>
    <w:p w:rsidR="00346B71" w:rsidRPr="00346B71" w:rsidRDefault="0007073E" w:rsidP="00346B71">
      <w:pPr>
        <w:jc w:val="right"/>
        <w:rPr>
          <w:rFonts w:ascii="Arial" w:hAnsi="Arial" w:cs="Arial"/>
          <w:sz w:val="24"/>
          <w:szCs w:val="24"/>
        </w:rPr>
      </w:pPr>
      <w:hyperlink w:anchor="Top" w:history="1">
        <w:r w:rsidR="00346B71" w:rsidRPr="00346B71">
          <w:rPr>
            <w:rStyle w:val="Hyperlink"/>
            <w:rFonts w:ascii="Arial" w:hAnsi="Arial"/>
            <w:b/>
            <w:sz w:val="24"/>
            <w:szCs w:val="24"/>
          </w:rPr>
          <w:t>Back to Index</w:t>
        </w:r>
      </w:hyperlink>
    </w:p>
    <w:tbl>
      <w:tblPr>
        <w:tblpPr w:leftFromText="180" w:rightFromText="180" w:vertAnchor="text" w:horzAnchor="margin" w:tblpY="62"/>
        <w:tblW w:w="0" w:type="auto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shd w:val="clear" w:color="auto" w:fill="D7E4FD"/>
        <w:tblLook w:val="00A0" w:firstRow="1" w:lastRow="0" w:firstColumn="1" w:lastColumn="0" w:noHBand="0" w:noVBand="0"/>
      </w:tblPr>
      <w:tblGrid>
        <w:gridCol w:w="2907"/>
        <w:gridCol w:w="6113"/>
      </w:tblGrid>
      <w:tr w:rsidR="00346B71" w:rsidRPr="00346B71" w:rsidTr="003A43C5">
        <w:trPr>
          <w:trHeight w:val="375"/>
        </w:trPr>
        <w:tc>
          <w:tcPr>
            <w:tcW w:w="2959" w:type="dxa"/>
            <w:shd w:val="clear" w:color="auto" w:fill="D7E4FD"/>
            <w:vAlign w:val="center"/>
          </w:tcPr>
          <w:p w:rsidR="00346B71" w:rsidRPr="00346B71" w:rsidRDefault="00346B71" w:rsidP="003A43C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B71">
              <w:rPr>
                <w:rFonts w:ascii="Arial" w:hAnsi="Arial" w:cs="Arial"/>
                <w:b/>
                <w:color w:val="000000"/>
                <w:sz w:val="24"/>
                <w:szCs w:val="24"/>
              </w:rPr>
              <w:t>Policy statement: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346B71" w:rsidRPr="00346B71" w:rsidRDefault="00346B71" w:rsidP="003A43C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2" w:name="Bariatric_Surgery"/>
            <w:bookmarkEnd w:id="2"/>
            <w:r w:rsidRPr="00346B71">
              <w:rPr>
                <w:rFonts w:ascii="Arial" w:hAnsi="Arial" w:cs="Arial"/>
                <w:b/>
                <w:color w:val="000000"/>
                <w:sz w:val="24"/>
                <w:szCs w:val="24"/>
              </w:rPr>
              <w:t>Bariatric Surgery and access to specialist obesity services</w:t>
            </w:r>
          </w:p>
        </w:tc>
      </w:tr>
      <w:tr w:rsidR="00346B71" w:rsidRPr="00346B71" w:rsidTr="003A43C5">
        <w:trPr>
          <w:trHeight w:val="375"/>
        </w:trPr>
        <w:tc>
          <w:tcPr>
            <w:tcW w:w="2959" w:type="dxa"/>
            <w:shd w:val="clear" w:color="auto" w:fill="D7E4FD"/>
            <w:vAlign w:val="center"/>
          </w:tcPr>
          <w:p w:rsidR="00346B71" w:rsidRPr="00346B71" w:rsidRDefault="00346B71" w:rsidP="003A43C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B71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Status: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346B71" w:rsidRPr="00346B71" w:rsidRDefault="00346B71" w:rsidP="003A43C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B71">
              <w:rPr>
                <w:rFonts w:ascii="Arial" w:hAnsi="Arial" w:cs="Arial"/>
                <w:b/>
                <w:color w:val="000000"/>
                <w:sz w:val="24"/>
                <w:szCs w:val="24"/>
              </w:rPr>
              <w:t>Individual Prior Approval</w:t>
            </w:r>
          </w:p>
        </w:tc>
      </w:tr>
    </w:tbl>
    <w:p w:rsidR="00346B71" w:rsidRPr="00346B71" w:rsidRDefault="00346B71" w:rsidP="00346B71">
      <w:pPr>
        <w:pStyle w:val="NoSpacing"/>
        <w:rPr>
          <w:rFonts w:cs="Arial"/>
          <w:szCs w:val="24"/>
        </w:rPr>
      </w:pPr>
    </w:p>
    <w:p w:rsidR="00346B71" w:rsidRPr="00346B71" w:rsidRDefault="00346B71" w:rsidP="00346B71">
      <w:pPr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Essex County Council is responsible for commissioning Tier 2 support and currently commissions support for overweight or obese patients with a BMI over 25kg/m</w:t>
      </w:r>
      <w:r w:rsidRPr="00346B71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346B71">
        <w:rPr>
          <w:rFonts w:ascii="Arial" w:hAnsi="Arial" w:cs="Arial"/>
          <w:iCs/>
          <w:sz w:val="24"/>
          <w:szCs w:val="24"/>
        </w:rPr>
        <w:t xml:space="preserve"> or 23kg/m</w:t>
      </w:r>
      <w:r w:rsidRPr="00346B71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346B71">
        <w:rPr>
          <w:rFonts w:ascii="Arial" w:hAnsi="Arial" w:cs="Arial"/>
          <w:iCs/>
          <w:sz w:val="24"/>
          <w:szCs w:val="24"/>
        </w:rPr>
        <w:t xml:space="preserve"> for those from African-Caribbean or Asian [South Asian and Chinese] populations.  </w:t>
      </w:r>
    </w:p>
    <w:p w:rsidR="00346B71" w:rsidRPr="00346B71" w:rsidRDefault="00346B71" w:rsidP="00346B71">
      <w:pPr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For compliance with this policy, people may also access commercially available courses which meet the following criteria:</w:t>
      </w:r>
    </w:p>
    <w:p w:rsidR="00346B71" w:rsidRPr="00346B71" w:rsidRDefault="00346B71" w:rsidP="00346B71">
      <w:pPr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 xml:space="preserve">Multi-component course i.e. diet, physical activity and behaviour change     </w:t>
      </w:r>
    </w:p>
    <w:p w:rsidR="00346B71" w:rsidRPr="00346B71" w:rsidRDefault="00346B71" w:rsidP="00346B71">
      <w:pPr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Focused on life-long lifestyle change</w:t>
      </w:r>
    </w:p>
    <w:p w:rsidR="00346B71" w:rsidRPr="00346B71" w:rsidRDefault="00346B71" w:rsidP="00346B71">
      <w:pPr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Course lasted at least 3 months</w:t>
      </w:r>
    </w:p>
    <w:p w:rsidR="00346B71" w:rsidRPr="00346B71" w:rsidRDefault="00346B71" w:rsidP="00346B71">
      <w:pPr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 xml:space="preserve">Sessions were held weekly or fortnightly </w:t>
      </w:r>
    </w:p>
    <w:p w:rsidR="00346B71" w:rsidRPr="00346B71" w:rsidRDefault="00346B71" w:rsidP="00346B71">
      <w:pPr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Each session included a weigh-in</w:t>
      </w:r>
    </w:p>
    <w:p w:rsidR="00346B71" w:rsidRPr="00346B71" w:rsidRDefault="00346B71" w:rsidP="00346B71">
      <w:pPr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 xml:space="preserve">Specific dietary targets were set, agreed and monitored   </w:t>
      </w:r>
    </w:p>
    <w:p w:rsidR="00346B71" w:rsidRPr="00346B71" w:rsidRDefault="00346B71" w:rsidP="00346B71">
      <w:pPr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Discussions taken around reducing sedentary behaviour and physical activities that can be easily incorporated into everyday life for the long term</w:t>
      </w:r>
    </w:p>
    <w:p w:rsidR="00346B71" w:rsidRPr="00346B71" w:rsidRDefault="00346B71" w:rsidP="00346B71">
      <w:pPr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Used a variety of behaviour-change methods</w:t>
      </w:r>
    </w:p>
    <w:p w:rsidR="00346B71" w:rsidRDefault="00346B71" w:rsidP="00346B71">
      <w:pPr>
        <w:rPr>
          <w:rFonts w:ascii="Arial" w:hAnsi="Arial" w:cs="Arial"/>
          <w:iCs/>
          <w:sz w:val="24"/>
          <w:szCs w:val="24"/>
        </w:rPr>
      </w:pPr>
    </w:p>
    <w:p w:rsidR="00346B71" w:rsidRPr="00346B71" w:rsidRDefault="00346B71" w:rsidP="00346B71">
      <w:pPr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This currently includes courses offered by Weight Watchers®, Slimming World® but other compliant courses are available.</w:t>
      </w:r>
    </w:p>
    <w:p w:rsidR="00346B71" w:rsidRPr="00346B71" w:rsidRDefault="00346B71" w:rsidP="00346B71">
      <w:pPr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To access ECC commissioned Tier 2 support for either GP or patient self-referral contact current provider-ACE Weight Management Service (‘My Weight Matters’) on 0800 022 4524 then option 3.</w:t>
      </w:r>
    </w:p>
    <w:p w:rsidR="00346B71" w:rsidRPr="00346B71" w:rsidRDefault="00346B71" w:rsidP="00346B71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MECCG does not commission Tier 3 specialist multidisciplinary obesity services.</w:t>
      </w:r>
    </w:p>
    <w:p w:rsidR="00346B71" w:rsidRPr="00346B71" w:rsidRDefault="00346B71" w:rsidP="00346B71">
      <w:pPr>
        <w:rPr>
          <w:rFonts w:ascii="Arial" w:hAnsi="Arial" w:cs="Arial"/>
          <w:b/>
          <w:iCs/>
          <w:sz w:val="24"/>
          <w:szCs w:val="24"/>
        </w:rPr>
      </w:pPr>
      <w:r w:rsidRPr="00346B71">
        <w:rPr>
          <w:rFonts w:ascii="Arial" w:hAnsi="Arial" w:cs="Arial"/>
          <w:b/>
          <w:iCs/>
          <w:sz w:val="24"/>
          <w:szCs w:val="24"/>
        </w:rPr>
        <w:t>Individual prior approval</w:t>
      </w:r>
    </w:p>
    <w:p w:rsidR="00346B71" w:rsidRPr="00346B71" w:rsidRDefault="00346B71" w:rsidP="00346B71">
      <w:pPr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 xml:space="preserve">Patients will </w:t>
      </w:r>
      <w:r w:rsidRPr="00346B71">
        <w:rPr>
          <w:rFonts w:ascii="Arial" w:hAnsi="Arial" w:cs="Arial"/>
          <w:b/>
          <w:iCs/>
          <w:sz w:val="24"/>
          <w:szCs w:val="24"/>
        </w:rPr>
        <w:t>be considered for referral</w:t>
      </w:r>
      <w:r w:rsidRPr="00346B71">
        <w:rPr>
          <w:rFonts w:ascii="Arial" w:hAnsi="Arial" w:cs="Arial"/>
          <w:iCs/>
          <w:sz w:val="24"/>
          <w:szCs w:val="24"/>
        </w:rPr>
        <w:t xml:space="preserve"> to Specialist Obesity Services, which include assessment for bariatric surgery, if they meet the following criteria:</w:t>
      </w:r>
    </w:p>
    <w:p w:rsidR="00346B71" w:rsidRPr="00346B71" w:rsidRDefault="00346B71" w:rsidP="00346B7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Patient is 18 year or older.</w:t>
      </w:r>
    </w:p>
    <w:p w:rsidR="00346B71" w:rsidRPr="00346B71" w:rsidRDefault="00346B71" w:rsidP="00346B7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Patient has BMI ≥ 35 for at least 5 years with significant co-morbidities (for example type 2 diabetes, hypertension, cardiovascular disease, osteoarthritis, dyslipidaemia and sleep apnoea), OR Patients with BMI ≥ 40 for at least 5 years without co-morbidities</w:t>
      </w:r>
    </w:p>
    <w:p w:rsidR="00346B71" w:rsidRPr="00346B71" w:rsidRDefault="00346B71" w:rsidP="00346B7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Patient provides evidence of attendance, engagement and full participation in a weight management programme.  Engagement can be judged by attendance records and achievement of pre-set individualised targets (for example steady and sustained weight loss of 5-10%, or maintaining constant weight whilst stopping smoking).</w:t>
      </w:r>
    </w:p>
    <w:p w:rsidR="00346B71" w:rsidRPr="00346B71" w:rsidRDefault="00346B71" w:rsidP="00346B71">
      <w:pPr>
        <w:numPr>
          <w:ilvl w:val="0"/>
          <w:numId w:val="1"/>
        </w:numPr>
        <w:ind w:left="720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Patient has completed a Tier 2 weight management course within the last 12 months.-</w:t>
      </w:r>
      <w:r w:rsidRPr="00346B71">
        <w:rPr>
          <w:rFonts w:ascii="Arial" w:eastAsia="Calibri" w:hAnsi="Arial" w:cs="Arial"/>
          <w:sz w:val="24"/>
          <w:szCs w:val="24"/>
        </w:rPr>
        <w:t xml:space="preserve"> </w:t>
      </w:r>
      <w:r w:rsidRPr="00346B71">
        <w:rPr>
          <w:rFonts w:ascii="Arial" w:hAnsi="Arial" w:cs="Arial"/>
          <w:iCs/>
          <w:sz w:val="24"/>
          <w:szCs w:val="24"/>
        </w:rPr>
        <w:t>Examples of Tier 2 courses would include My Weight Matters (delivered by ACE), Slimming World and Weight Watchers, although others are available.  Such a programme should be in the spirit of a lifestyle weight management service as described by NICE (“Managing overweight and obesity in adults”, NICE Public Health Guidance 53, May 2014):-</w:t>
      </w:r>
    </w:p>
    <w:p w:rsidR="00346B71" w:rsidRPr="00346B71" w:rsidRDefault="00346B71" w:rsidP="00346B71">
      <w:pPr>
        <w:numPr>
          <w:ilvl w:val="1"/>
          <w:numId w:val="1"/>
        </w:numPr>
        <w:ind w:left="1440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Are multi-component, e.g. consider diet, physical activity levels and behaviour change;</w:t>
      </w:r>
    </w:p>
    <w:p w:rsidR="00346B71" w:rsidRPr="00346B71" w:rsidRDefault="00346B71" w:rsidP="00346B71">
      <w:pPr>
        <w:numPr>
          <w:ilvl w:val="1"/>
          <w:numId w:val="1"/>
        </w:numPr>
        <w:ind w:left="1440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Focus on life-long lifestyle change;</w:t>
      </w:r>
    </w:p>
    <w:p w:rsidR="00346B71" w:rsidRPr="00346B71" w:rsidRDefault="00346B71" w:rsidP="00346B71">
      <w:pPr>
        <w:numPr>
          <w:ilvl w:val="1"/>
          <w:numId w:val="1"/>
        </w:numPr>
        <w:ind w:left="1440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Last at least 3 months, and that sessions are offered at least weekly or fortnightly and include a 'weigh-in' at each session;</w:t>
      </w:r>
    </w:p>
    <w:p w:rsidR="00346B71" w:rsidRPr="00346B71" w:rsidRDefault="00346B71" w:rsidP="00346B71">
      <w:pPr>
        <w:numPr>
          <w:ilvl w:val="1"/>
          <w:numId w:val="1"/>
        </w:numPr>
        <w:ind w:left="1440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Ensure specific dietary targets are agreed and progress monitored;</w:t>
      </w:r>
    </w:p>
    <w:p w:rsidR="00346B71" w:rsidRPr="00346B71" w:rsidRDefault="00346B71" w:rsidP="00346B71">
      <w:pPr>
        <w:numPr>
          <w:ilvl w:val="1"/>
          <w:numId w:val="1"/>
        </w:numPr>
        <w:ind w:left="1440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Ensure discussions take place about how to reduce sedentary behaviour and the type of physical activities that can easily be integrated into everyday life and maintained in the long term;</w:t>
      </w:r>
    </w:p>
    <w:p w:rsidR="00346B71" w:rsidRPr="00346B71" w:rsidRDefault="00346B71" w:rsidP="00346B71">
      <w:pPr>
        <w:numPr>
          <w:ilvl w:val="1"/>
          <w:numId w:val="1"/>
        </w:numPr>
        <w:ind w:left="1440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Use a variety of behaviour-change methods, e.g. how to make changes to the social environment; self-monitoring of weight and behaviours that can affect weight.</w:t>
      </w:r>
    </w:p>
    <w:p w:rsidR="00346B71" w:rsidRPr="00346B71" w:rsidRDefault="00346B71" w:rsidP="00346B71">
      <w:pPr>
        <w:ind w:firstLine="720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AND</w:t>
      </w:r>
    </w:p>
    <w:p w:rsidR="00346B71" w:rsidRPr="00346B71" w:rsidRDefault="00346B71" w:rsidP="00346B71">
      <w:pPr>
        <w:numPr>
          <w:ilvl w:val="0"/>
          <w:numId w:val="2"/>
        </w:numPr>
        <w:ind w:left="1080"/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 xml:space="preserve">Patient has completed a Tier 3 weight management programme </w:t>
      </w:r>
      <w:r w:rsidRPr="00346B71">
        <w:rPr>
          <w:rFonts w:ascii="Arial" w:hAnsi="Arial" w:cs="Arial"/>
          <w:b/>
          <w:iCs/>
          <w:sz w:val="24"/>
          <w:szCs w:val="24"/>
        </w:rPr>
        <w:t>or</w:t>
      </w:r>
      <w:r w:rsidRPr="00346B71">
        <w:rPr>
          <w:rFonts w:ascii="Arial" w:hAnsi="Arial" w:cs="Arial"/>
          <w:iCs/>
          <w:sz w:val="24"/>
          <w:szCs w:val="24"/>
        </w:rPr>
        <w:t xml:space="preserve"> has kept a 12 month (minimum) diary recording physical exercise undertaken, diet consumed and weight progress which has been reviewed and signed by a registered healthcare professional at least once every 3 months.  The healthcare professional should keep a record of their discussion with the patient re progress.  Patients who partially complete a Tier 3 management programme may count time spent within Tier 3 towards this 12 month minimum requirement.</w:t>
      </w:r>
    </w:p>
    <w:p w:rsidR="00346B71" w:rsidRPr="00346B71" w:rsidRDefault="00346B71" w:rsidP="00346B71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>Patient is a non-smoker at the time of referral (as confirmed by CO monitor-for adults reading of 6 COppm (1.59%COHb) or less) and maintains this status.</w:t>
      </w:r>
    </w:p>
    <w:p w:rsidR="00346B71" w:rsidRPr="00346B71" w:rsidRDefault="00346B71" w:rsidP="00346B71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346B71">
        <w:rPr>
          <w:rFonts w:ascii="Arial" w:hAnsi="Arial" w:cs="Arial"/>
          <w:iCs/>
          <w:sz w:val="24"/>
          <w:szCs w:val="24"/>
        </w:rPr>
        <w:t xml:space="preserve">GP has addressed and optimised management of any underlying social circumstances or clinical conditions which may be affecting weight management in the patient e.g. </w:t>
      </w:r>
      <w:r w:rsidRPr="00346B71">
        <w:rPr>
          <w:rFonts w:ascii="Arial" w:hAnsi="Arial" w:cs="Arial"/>
          <w:iCs/>
          <w:sz w:val="24"/>
          <w:szCs w:val="24"/>
          <w:lang w:val="en"/>
        </w:rPr>
        <w:t>hormone problems such as underactive thyroid, Cushing's syndrome, polycystic ovarian syndrome (PCOS); substance misuse</w:t>
      </w:r>
    </w:p>
    <w:p w:rsidR="00346B71" w:rsidRPr="00346B71" w:rsidRDefault="00346B71" w:rsidP="00346B71">
      <w:pPr>
        <w:numPr>
          <w:ilvl w:val="1"/>
          <w:numId w:val="2"/>
        </w:numPr>
        <w:rPr>
          <w:rFonts w:ascii="Arial" w:hAnsi="Arial" w:cs="Arial"/>
          <w:iCs/>
          <w:sz w:val="24"/>
          <w:szCs w:val="24"/>
          <w:lang w:val="en"/>
        </w:rPr>
      </w:pPr>
      <w:r w:rsidRPr="00346B71">
        <w:rPr>
          <w:rFonts w:ascii="Arial" w:hAnsi="Arial" w:cs="Arial"/>
          <w:iCs/>
          <w:sz w:val="24"/>
          <w:szCs w:val="24"/>
          <w:lang w:val="en"/>
        </w:rPr>
        <w:t xml:space="preserve">lack of sleep- </w:t>
      </w:r>
      <w:r w:rsidRPr="00346B71">
        <w:rPr>
          <w:rFonts w:ascii="Arial" w:hAnsi="Arial" w:cs="Arial"/>
          <w:iCs/>
          <w:sz w:val="24"/>
          <w:szCs w:val="24"/>
          <w:u w:val="single"/>
          <w:lang w:val="en"/>
        </w:rPr>
        <w:t>exclude obstructive sleep apnoea</w:t>
      </w:r>
      <w:r w:rsidRPr="00346B71">
        <w:rPr>
          <w:rFonts w:ascii="Arial" w:hAnsi="Arial" w:cs="Arial"/>
          <w:iCs/>
          <w:sz w:val="24"/>
          <w:szCs w:val="24"/>
          <w:lang w:val="en"/>
        </w:rPr>
        <w:t>-Epworth score of 10 or less</w:t>
      </w:r>
    </w:p>
    <w:p w:rsidR="00346B71" w:rsidRPr="00346B71" w:rsidRDefault="00346B71" w:rsidP="00346B71">
      <w:pPr>
        <w:numPr>
          <w:ilvl w:val="1"/>
          <w:numId w:val="2"/>
        </w:numPr>
        <w:rPr>
          <w:rFonts w:ascii="Arial" w:hAnsi="Arial" w:cs="Arial"/>
          <w:iCs/>
          <w:sz w:val="24"/>
          <w:szCs w:val="24"/>
          <w:lang w:val="en"/>
        </w:rPr>
      </w:pPr>
      <w:r w:rsidRPr="00346B71">
        <w:rPr>
          <w:rFonts w:ascii="Arial" w:hAnsi="Arial" w:cs="Arial"/>
          <w:iCs/>
          <w:sz w:val="24"/>
          <w:szCs w:val="24"/>
          <w:lang w:val="en"/>
        </w:rPr>
        <w:t>depression- patients with a score of more than 17 on PHQ9 screening tool must be referred to IAPT and condition managed before referral</w:t>
      </w:r>
    </w:p>
    <w:p w:rsidR="00346B71" w:rsidRPr="00346B71" w:rsidRDefault="00346B71" w:rsidP="00346B71">
      <w:pPr>
        <w:numPr>
          <w:ilvl w:val="1"/>
          <w:numId w:val="2"/>
        </w:numPr>
        <w:rPr>
          <w:rFonts w:ascii="Arial" w:hAnsi="Arial" w:cs="Arial"/>
          <w:iCs/>
          <w:sz w:val="24"/>
          <w:szCs w:val="24"/>
          <w:lang w:val="en"/>
        </w:rPr>
      </w:pPr>
      <w:r w:rsidRPr="00346B71">
        <w:rPr>
          <w:rFonts w:ascii="Arial" w:hAnsi="Arial" w:cs="Arial"/>
          <w:iCs/>
          <w:sz w:val="24"/>
          <w:szCs w:val="24"/>
          <w:lang w:val="en"/>
        </w:rPr>
        <w:t xml:space="preserve">alcohol consumption-refer to </w:t>
      </w:r>
      <w:hyperlink r:id="rId7" w:history="1">
        <w:r w:rsidRPr="00346B71">
          <w:rPr>
            <w:rFonts w:ascii="Arial" w:hAnsi="Arial" w:cs="Arial"/>
            <w:iCs/>
            <w:color w:val="0000FF"/>
            <w:sz w:val="24"/>
            <w:szCs w:val="24"/>
            <w:u w:val="single"/>
            <w:lang w:val="en"/>
          </w:rPr>
          <w:t>http://openroad.org.uk/contact_us/</w:t>
        </w:r>
      </w:hyperlink>
      <w:r w:rsidRPr="00346B71">
        <w:rPr>
          <w:rFonts w:ascii="Arial" w:hAnsi="Arial" w:cs="Arial"/>
          <w:iCs/>
          <w:sz w:val="24"/>
          <w:szCs w:val="24"/>
          <w:lang w:val="en"/>
        </w:rPr>
        <w:t xml:space="preserve"> and condition managed before referral</w:t>
      </w:r>
    </w:p>
    <w:p w:rsidR="00346B71" w:rsidRPr="00346B71" w:rsidRDefault="00346B71" w:rsidP="00346B71">
      <w:pPr>
        <w:numPr>
          <w:ilvl w:val="1"/>
          <w:numId w:val="2"/>
        </w:numPr>
        <w:rPr>
          <w:rFonts w:ascii="Arial" w:hAnsi="Arial" w:cs="Arial"/>
          <w:iCs/>
          <w:sz w:val="24"/>
          <w:szCs w:val="24"/>
          <w:lang w:val="en"/>
        </w:rPr>
      </w:pPr>
      <w:r w:rsidRPr="00346B71">
        <w:rPr>
          <w:rFonts w:ascii="Arial" w:hAnsi="Arial" w:cs="Arial"/>
          <w:iCs/>
          <w:sz w:val="24"/>
          <w:szCs w:val="24"/>
          <w:lang w:val="en"/>
        </w:rPr>
        <w:t xml:space="preserve">social circumstances- refer to appropriate service through Essex Connects (social prescribing project)  </w:t>
      </w:r>
      <w:hyperlink r:id="rId8" w:history="1">
        <w:r w:rsidRPr="00346B71">
          <w:rPr>
            <w:rFonts w:ascii="Arial" w:hAnsi="Arial" w:cs="Arial"/>
            <w:iCs/>
            <w:color w:val="0000FF"/>
            <w:sz w:val="24"/>
            <w:szCs w:val="24"/>
            <w:u w:val="single"/>
          </w:rPr>
          <w:t>http://www.nice.org.uk/guidance/PH53</w:t>
        </w:r>
      </w:hyperlink>
    </w:p>
    <w:p w:rsidR="00346B71" w:rsidRPr="00346B71" w:rsidRDefault="00346B71" w:rsidP="00346B71">
      <w:pPr>
        <w:rPr>
          <w:rFonts w:ascii="Arial" w:hAnsi="Arial" w:cs="Arial"/>
          <w:iCs/>
          <w:sz w:val="24"/>
          <w:szCs w:val="24"/>
          <w:lang w:val="en"/>
        </w:rPr>
      </w:pPr>
      <w:r w:rsidRPr="00346B71">
        <w:rPr>
          <w:rFonts w:ascii="Arial" w:hAnsi="Arial" w:cs="Arial"/>
          <w:iCs/>
          <w:sz w:val="24"/>
          <w:szCs w:val="24"/>
          <w:lang w:val="en"/>
        </w:rPr>
        <w:t xml:space="preserve">MECCG commissions Complex and Specialised Obesity Surgery in accordance with the NHS England’s Clinical Commissioning Policy: Complex &amp; Specialised Obesity Surgery, </w:t>
      </w:r>
    </w:p>
    <w:p w:rsidR="00346B71" w:rsidRPr="00346B71" w:rsidRDefault="00346B71" w:rsidP="00346B71">
      <w:pPr>
        <w:rPr>
          <w:rFonts w:ascii="Arial" w:hAnsi="Arial" w:cs="Arial"/>
          <w:iCs/>
          <w:sz w:val="24"/>
          <w:szCs w:val="24"/>
          <w:lang w:val="en"/>
        </w:rPr>
      </w:pPr>
      <w:r w:rsidRPr="00346B71">
        <w:rPr>
          <w:rFonts w:ascii="Arial" w:hAnsi="Arial" w:cs="Arial"/>
          <w:iCs/>
          <w:sz w:val="24"/>
          <w:szCs w:val="24"/>
          <w:lang w:val="en"/>
        </w:rPr>
        <w:t>www.england.nhs.uk/wp-)content/uploads/2013/04/a05-p-a.pdf) released April 2013, which has been adopted for use by MECCG.</w:t>
      </w:r>
    </w:p>
    <w:p w:rsidR="00346B71" w:rsidRPr="00346B71" w:rsidRDefault="00346B71" w:rsidP="00346B71">
      <w:pPr>
        <w:rPr>
          <w:rFonts w:ascii="Arial" w:hAnsi="Arial" w:cs="Arial"/>
          <w:iCs/>
          <w:sz w:val="24"/>
          <w:szCs w:val="24"/>
          <w:lang w:val="en"/>
        </w:rPr>
      </w:pPr>
      <w:r w:rsidRPr="00346B71">
        <w:rPr>
          <w:rFonts w:ascii="Arial" w:eastAsia="Calibri" w:hAnsi="Arial" w:cs="Arial"/>
          <w:sz w:val="24"/>
          <w:szCs w:val="24"/>
        </w:rPr>
        <w:t xml:space="preserve">Patients assessed by the Specialist Obesity Services as being suitable for bariatric surgery must notify the Individual Funding Co-ordinator and confirm compliance with commissioning policy by completing the proforma.  </w:t>
      </w:r>
      <w:r w:rsidRPr="00346B71">
        <w:rPr>
          <w:rFonts w:ascii="Arial" w:eastAsia="Calibri" w:hAnsi="Arial" w:cs="Arial"/>
          <w:b/>
          <w:sz w:val="24"/>
          <w:szCs w:val="24"/>
        </w:rPr>
        <w:t>MECCG will not fund procedures performed outside policy and which have not been notified to MECCG prior to surgery.</w:t>
      </w:r>
    </w:p>
    <w:p w:rsidR="00346B71" w:rsidRPr="00346B71" w:rsidRDefault="00346B71" w:rsidP="00346B71">
      <w:pPr>
        <w:rPr>
          <w:rFonts w:ascii="Arial" w:eastAsia="Calibri" w:hAnsi="Arial" w:cs="Arial"/>
          <w:sz w:val="24"/>
          <w:szCs w:val="24"/>
        </w:rPr>
      </w:pPr>
    </w:p>
    <w:p w:rsidR="00346B71" w:rsidRPr="00346B71" w:rsidRDefault="00346B71" w:rsidP="00346B71">
      <w:pPr>
        <w:rPr>
          <w:rFonts w:ascii="Arial" w:eastAsia="Calibri" w:hAnsi="Arial" w:cs="Arial"/>
          <w:sz w:val="24"/>
          <w:szCs w:val="24"/>
        </w:rPr>
      </w:pPr>
      <w:r w:rsidRPr="00346B71">
        <w:rPr>
          <w:rFonts w:ascii="Arial" w:eastAsia="Calibri" w:hAnsi="Arial" w:cs="Arial"/>
          <w:sz w:val="24"/>
          <w:szCs w:val="24"/>
        </w:rPr>
        <w:t>MECCG does not commission bariatric surgery for children under the age of 18 years of age.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Patients not meeting the above criteria will not be funded unless there are </w:t>
      </w:r>
      <w:r w:rsidRPr="00EB690E">
        <w:rPr>
          <w:rFonts w:ascii="Arial" w:hAnsi="Arial" w:cs="Arial"/>
          <w:b/>
          <w:color w:val="000000"/>
          <w:sz w:val="24"/>
          <w:szCs w:val="24"/>
        </w:rPr>
        <w:t>clinically exceptional circumstances.</w:t>
      </w:r>
      <w:r w:rsidRPr="00EB690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Individual funding requests should only be made where the patient demonstrates clinical exceptionality.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Further information on applying for funding in exceptional clinical circumstances can be found on the CCGs’ website. </w:t>
      </w:r>
    </w:p>
    <w:p w:rsidR="00346B71" w:rsidRPr="00346B71" w:rsidRDefault="00346B71" w:rsidP="00346B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6B71">
        <w:rPr>
          <w:rFonts w:ascii="Arial" w:hAnsi="Arial" w:cs="Arial"/>
          <w:sz w:val="24"/>
          <w:szCs w:val="24"/>
        </w:rPr>
        <w:t xml:space="preserve">A patient decision aid may be useful for the patient to assess the benefits and risks of treatment options. Please see </w:t>
      </w:r>
      <w:hyperlink r:id="rId9" w:history="1">
        <w:r w:rsidRPr="00346B71">
          <w:rPr>
            <w:rStyle w:val="Hyperlink"/>
            <w:rFonts w:ascii="Arial" w:hAnsi="Arial"/>
            <w:color w:val="0070C0"/>
            <w:sz w:val="24"/>
            <w:szCs w:val="24"/>
          </w:rPr>
          <w:t>patient decision aid</w:t>
        </w:r>
      </w:hyperlink>
      <w:r w:rsidRPr="00346B71">
        <w:rPr>
          <w:rFonts w:ascii="Arial" w:hAnsi="Arial" w:cs="Arial"/>
          <w:sz w:val="24"/>
          <w:szCs w:val="24"/>
        </w:rPr>
        <w:t xml:space="preserve"> that can be used for bariatric surgery.</w:t>
      </w:r>
    </w:p>
    <w:p w:rsidR="00346B71" w:rsidRPr="00346B71" w:rsidRDefault="00346B71" w:rsidP="00346B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6B71">
        <w:rPr>
          <w:rFonts w:ascii="Arial" w:hAnsi="Arial" w:cs="Arial"/>
          <w:color w:val="000000"/>
          <w:sz w:val="24"/>
          <w:szCs w:val="24"/>
        </w:rPr>
        <w:t>Ref:</w:t>
      </w:r>
      <w:r w:rsidRPr="00346B71">
        <w:rPr>
          <w:rFonts w:ascii="Arial" w:hAnsi="Arial" w:cs="Arial"/>
          <w:color w:val="000000"/>
          <w:sz w:val="24"/>
          <w:szCs w:val="24"/>
        </w:rPr>
        <w:tab/>
      </w:r>
      <w:hyperlink r:id="rId10" w:history="1">
        <w:r w:rsidRPr="00346B71">
          <w:rPr>
            <w:rFonts w:ascii="Arial" w:hAnsi="Arial" w:cs="Arial"/>
            <w:color w:val="0070C0"/>
            <w:sz w:val="24"/>
            <w:szCs w:val="24"/>
            <w:u w:val="single"/>
          </w:rPr>
          <w:t>http://www.nice.org.uk/guidance/PH53</w:t>
        </w:r>
      </w:hyperlink>
    </w:p>
    <w:p w:rsidR="00346B71" w:rsidRPr="00346B71" w:rsidRDefault="0007073E" w:rsidP="00346B71">
      <w:pPr>
        <w:autoSpaceDE w:val="0"/>
        <w:autoSpaceDN w:val="0"/>
        <w:adjustRightInd w:val="0"/>
        <w:ind w:firstLine="720"/>
        <w:rPr>
          <w:rFonts w:ascii="Arial" w:hAnsi="Arial" w:cs="Arial"/>
          <w:color w:val="0070C0"/>
          <w:sz w:val="24"/>
          <w:szCs w:val="24"/>
          <w:u w:val="single"/>
        </w:rPr>
      </w:pPr>
      <w:hyperlink r:id="rId11" w:history="1">
        <w:r w:rsidR="00346B71" w:rsidRPr="00346B71">
          <w:rPr>
            <w:rStyle w:val="Hyperlink"/>
            <w:rFonts w:ascii="Arial" w:hAnsi="Arial"/>
            <w:color w:val="0070C0"/>
            <w:sz w:val="24"/>
            <w:szCs w:val="24"/>
            <w:u w:val="single"/>
          </w:rPr>
          <w:t>https://www.nice.org.uk/guidance/cg189</w:t>
        </w:r>
      </w:hyperlink>
    </w:p>
    <w:p w:rsidR="00346B71" w:rsidRPr="00346B71" w:rsidRDefault="00346B71" w:rsidP="00346B71">
      <w:pPr>
        <w:pStyle w:val="NoSpacing"/>
        <w:rPr>
          <w:rFonts w:cs="Arial"/>
          <w:color w:val="000000"/>
          <w:szCs w:val="24"/>
        </w:rPr>
      </w:pPr>
    </w:p>
    <w:p w:rsidR="00346B71" w:rsidRPr="00346B71" w:rsidRDefault="00346B71" w:rsidP="00346B71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7373"/>
      </w:tblGrid>
      <w:tr w:rsidR="00346B71" w:rsidRPr="00346B71" w:rsidTr="003A43C5">
        <w:tc>
          <w:tcPr>
            <w:tcW w:w="1668" w:type="dxa"/>
          </w:tcPr>
          <w:p w:rsidR="00346B71" w:rsidRPr="00346B71" w:rsidRDefault="00346B71" w:rsidP="003A43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ICD10 codes</w:t>
            </w:r>
          </w:p>
        </w:tc>
        <w:tc>
          <w:tcPr>
            <w:tcW w:w="7574" w:type="dxa"/>
          </w:tcPr>
          <w:p w:rsidR="00346B71" w:rsidRPr="00346B71" w:rsidRDefault="00346B71" w:rsidP="003A43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E66 </w:t>
            </w:r>
            <w:r w:rsidRPr="00346B71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(see below for combined use)</w:t>
            </w:r>
          </w:p>
        </w:tc>
      </w:tr>
      <w:tr w:rsidR="00346B71" w:rsidRPr="00346B71" w:rsidTr="003A43C5">
        <w:tc>
          <w:tcPr>
            <w:tcW w:w="1668" w:type="dxa"/>
          </w:tcPr>
          <w:p w:rsidR="00346B71" w:rsidRPr="00346B71" w:rsidRDefault="00346B71" w:rsidP="003A43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OPCS codes</w:t>
            </w:r>
          </w:p>
        </w:tc>
        <w:tc>
          <w:tcPr>
            <w:tcW w:w="7574" w:type="dxa"/>
          </w:tcPr>
          <w:p w:rsidR="00346B71" w:rsidRPr="00346B71" w:rsidRDefault="00346B71" w:rsidP="003A43C5">
            <w:pPr>
              <w:pStyle w:val="NoSpacing"/>
              <w:rPr>
                <w:rFonts w:cs="Arial"/>
                <w:szCs w:val="24"/>
              </w:rPr>
            </w:pPr>
            <w:r w:rsidRPr="00346B71">
              <w:rPr>
                <w:rFonts w:cs="Arial"/>
                <w:szCs w:val="24"/>
              </w:rPr>
              <w:t>G28.1 – G28.9 with ICD10 code E66*</w:t>
            </w:r>
          </w:p>
          <w:p w:rsidR="00346B71" w:rsidRPr="00346B71" w:rsidRDefault="00346B71" w:rsidP="003A43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G30.1 – G30.9</w:t>
            </w:r>
          </w:p>
          <w:p w:rsidR="00346B71" w:rsidRPr="00346B71" w:rsidRDefault="00346B71" w:rsidP="003A43C5">
            <w:pPr>
              <w:pStyle w:val="NoSpacing"/>
              <w:rPr>
                <w:rFonts w:cs="Arial"/>
                <w:szCs w:val="24"/>
              </w:rPr>
            </w:pPr>
            <w:r w:rsidRPr="00346B71">
              <w:rPr>
                <w:rFonts w:eastAsiaTheme="minorHAnsi" w:cs="Arial"/>
                <w:szCs w:val="24"/>
                <w:lang w:eastAsia="en-US"/>
              </w:rPr>
              <w:t>G31.1, G31.2,</w:t>
            </w:r>
            <w:r w:rsidRPr="00346B71">
              <w:rPr>
                <w:rFonts w:cs="Arial"/>
                <w:szCs w:val="24"/>
              </w:rPr>
              <w:t xml:space="preserve"> G31.8, G31.9 with ICD10 code E66*</w:t>
            </w:r>
          </w:p>
          <w:p w:rsidR="00346B71" w:rsidRPr="00346B71" w:rsidRDefault="00346B71" w:rsidP="003A43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G38.7 </w:t>
            </w:r>
          </w:p>
          <w:p w:rsidR="00346B71" w:rsidRPr="00346B71" w:rsidRDefault="00346B71" w:rsidP="003A43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B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(G71.6 – removal of Gastric Band)</w:t>
            </w:r>
          </w:p>
          <w:p w:rsidR="00346B71" w:rsidRPr="00346B71" w:rsidRDefault="00346B71" w:rsidP="003A43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346B71" w:rsidRPr="00346B71" w:rsidRDefault="00346B71" w:rsidP="00346B71">
      <w:pPr>
        <w:rPr>
          <w:rFonts w:ascii="Arial" w:hAnsi="Arial" w:cs="Arial"/>
          <w:sz w:val="24"/>
          <w:szCs w:val="24"/>
        </w:rPr>
      </w:pPr>
    </w:p>
    <w:p w:rsidR="00346B71" w:rsidRPr="00346B71" w:rsidRDefault="00346B71" w:rsidP="00346B71">
      <w:pPr>
        <w:rPr>
          <w:rFonts w:ascii="Arial" w:hAnsi="Arial" w:cs="Arial"/>
          <w:sz w:val="24"/>
          <w:szCs w:val="24"/>
        </w:rPr>
      </w:pPr>
      <w:r w:rsidRPr="00346B71">
        <w:rPr>
          <w:rFonts w:ascii="Arial" w:hAnsi="Arial" w:cs="Arial"/>
          <w:sz w:val="24"/>
          <w:szCs w:val="24"/>
        </w:rPr>
        <w:br w:type="page"/>
      </w:r>
    </w:p>
    <w:p w:rsidR="00746DB4" w:rsidRPr="00346B71" w:rsidRDefault="0007073E" w:rsidP="00746DB4">
      <w:pPr>
        <w:jc w:val="right"/>
        <w:rPr>
          <w:rFonts w:ascii="Arial" w:hAnsi="Arial" w:cs="Arial"/>
          <w:sz w:val="24"/>
          <w:szCs w:val="24"/>
        </w:rPr>
      </w:pPr>
      <w:hyperlink w:anchor="Top" w:history="1">
        <w:r w:rsidR="00746DB4" w:rsidRPr="00346B71">
          <w:rPr>
            <w:rStyle w:val="Hyperlink"/>
            <w:rFonts w:ascii="Arial" w:hAnsi="Arial"/>
            <w:b/>
            <w:sz w:val="24"/>
            <w:szCs w:val="24"/>
          </w:rPr>
          <w:t>Back to Index</w:t>
        </w:r>
      </w:hyperlink>
    </w:p>
    <w:tbl>
      <w:tblPr>
        <w:tblW w:w="0" w:type="auto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shd w:val="clear" w:color="auto" w:fill="D7E4FD"/>
        <w:tblLook w:val="00A0" w:firstRow="1" w:lastRow="0" w:firstColumn="1" w:lastColumn="0" w:noHBand="0" w:noVBand="0"/>
      </w:tblPr>
      <w:tblGrid>
        <w:gridCol w:w="2903"/>
        <w:gridCol w:w="6117"/>
      </w:tblGrid>
      <w:tr w:rsidR="00746DB4" w:rsidRPr="00746DB4" w:rsidTr="003A43C5">
        <w:trPr>
          <w:trHeight w:val="375"/>
        </w:trPr>
        <w:tc>
          <w:tcPr>
            <w:tcW w:w="2957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D7E4FD"/>
            <w:vAlign w:val="center"/>
            <w:hideMark/>
          </w:tcPr>
          <w:p w:rsidR="00746DB4" w:rsidRPr="00746DB4" w:rsidRDefault="00746DB4" w:rsidP="00746DB4">
            <w:pPr>
              <w:pStyle w:val="NoSpacing"/>
              <w:rPr>
                <w:b/>
              </w:rPr>
            </w:pPr>
            <w:r w:rsidRPr="00746DB4">
              <w:rPr>
                <w:b/>
              </w:rPr>
              <w:t>Policy statement:</w:t>
            </w:r>
          </w:p>
        </w:tc>
        <w:tc>
          <w:tcPr>
            <w:tcW w:w="6285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auto"/>
            <w:vAlign w:val="center"/>
            <w:hideMark/>
          </w:tcPr>
          <w:p w:rsidR="00746DB4" w:rsidRPr="00746DB4" w:rsidRDefault="00746DB4" w:rsidP="00746DB4">
            <w:pPr>
              <w:pStyle w:val="NoSpacing"/>
              <w:rPr>
                <w:b/>
              </w:rPr>
            </w:pPr>
            <w:bookmarkStart w:id="3" w:name="BreastAsymmetry"/>
            <w:bookmarkEnd w:id="3"/>
            <w:r w:rsidRPr="00746DB4">
              <w:rPr>
                <w:b/>
              </w:rPr>
              <w:t>Breast Asymmetry</w:t>
            </w:r>
          </w:p>
        </w:tc>
      </w:tr>
      <w:tr w:rsidR="00746DB4" w:rsidRPr="00746DB4" w:rsidTr="003A43C5">
        <w:trPr>
          <w:trHeight w:val="375"/>
        </w:trPr>
        <w:tc>
          <w:tcPr>
            <w:tcW w:w="2957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D7E4FD"/>
            <w:vAlign w:val="center"/>
            <w:hideMark/>
          </w:tcPr>
          <w:p w:rsidR="00746DB4" w:rsidRPr="00746DB4" w:rsidRDefault="00746DB4" w:rsidP="00746DB4">
            <w:pPr>
              <w:pStyle w:val="NoSpacing"/>
              <w:rPr>
                <w:b/>
              </w:rPr>
            </w:pPr>
            <w:r w:rsidRPr="00746DB4">
              <w:rPr>
                <w:b/>
              </w:rPr>
              <w:t>Status:</w:t>
            </w:r>
          </w:p>
        </w:tc>
        <w:tc>
          <w:tcPr>
            <w:tcW w:w="6285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auto"/>
            <w:vAlign w:val="center"/>
            <w:hideMark/>
          </w:tcPr>
          <w:p w:rsidR="00746DB4" w:rsidRPr="00746DB4" w:rsidRDefault="00746DB4" w:rsidP="007F0618">
            <w:pPr>
              <w:pStyle w:val="NoSpacing"/>
              <w:rPr>
                <w:b/>
                <w:noProof/>
              </w:rPr>
            </w:pPr>
            <w:r w:rsidRPr="00746DB4">
              <w:rPr>
                <w:b/>
                <w:noProof/>
              </w:rPr>
              <w:t>Not Funded</w:t>
            </w:r>
          </w:p>
        </w:tc>
      </w:tr>
    </w:tbl>
    <w:p w:rsidR="00746DB4" w:rsidRPr="00746DB4" w:rsidRDefault="00746DB4" w:rsidP="00746DB4">
      <w:pPr>
        <w:rPr>
          <w:rFonts w:ascii="Arial" w:hAnsi="Arial" w:cs="Arial"/>
          <w:sz w:val="24"/>
          <w:szCs w:val="24"/>
        </w:rPr>
      </w:pPr>
    </w:p>
    <w:p w:rsidR="00746DB4" w:rsidRPr="00746DB4" w:rsidRDefault="007F0618" w:rsidP="00746DB4">
      <w:pPr>
        <w:pStyle w:val="NoSpacing"/>
      </w:pPr>
      <w:r w:rsidRPr="00661A7B">
        <w:rPr>
          <w:sz w:val="22"/>
        </w:rPr>
        <w:t xml:space="preserve">Procedures to treat </w:t>
      </w:r>
      <w:r>
        <w:rPr>
          <w:sz w:val="22"/>
        </w:rPr>
        <w:t>breast asymmetry</w:t>
      </w:r>
      <w:r w:rsidRPr="00661A7B">
        <w:rPr>
          <w:sz w:val="22"/>
        </w:rPr>
        <w:t xml:space="preserve"> </w:t>
      </w:r>
      <w:r w:rsidRPr="007534D0">
        <w:rPr>
          <w:b/>
          <w:i/>
          <w:sz w:val="22"/>
        </w:rPr>
        <w:t>will not be</w:t>
      </w:r>
      <w:r w:rsidRPr="00661A7B">
        <w:rPr>
          <w:sz w:val="22"/>
        </w:rPr>
        <w:t xml:space="preserve"> funded</w:t>
      </w:r>
    </w:p>
    <w:p w:rsidR="007F0618" w:rsidRDefault="007F0618" w:rsidP="00746DB4">
      <w:pPr>
        <w:pStyle w:val="NoSpacing"/>
      </w:pP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Patients not meeting the above criteria will not be funded unless there are </w:t>
      </w:r>
      <w:r w:rsidRPr="00EB690E">
        <w:rPr>
          <w:rFonts w:ascii="Arial" w:hAnsi="Arial" w:cs="Arial"/>
          <w:b/>
          <w:color w:val="000000"/>
          <w:sz w:val="24"/>
          <w:szCs w:val="24"/>
        </w:rPr>
        <w:t>clinically exceptional circumstances.</w:t>
      </w:r>
      <w:r w:rsidRPr="00EB690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Individual funding requests should only be made where the patient demonstrates clinical exceptionality.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Further information on applying for funding in exceptional clinical circumstances can be found on the CCGs’ website. </w:t>
      </w:r>
    </w:p>
    <w:p w:rsidR="00746DB4" w:rsidRPr="00746DB4" w:rsidRDefault="00746DB4" w:rsidP="00746DB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1668"/>
        <w:gridCol w:w="7596"/>
      </w:tblGrid>
      <w:tr w:rsidR="00746DB4" w:rsidRPr="00746DB4" w:rsidTr="003A43C5">
        <w:tc>
          <w:tcPr>
            <w:tcW w:w="1668" w:type="dxa"/>
          </w:tcPr>
          <w:p w:rsidR="00746DB4" w:rsidRPr="00746DB4" w:rsidRDefault="00746DB4" w:rsidP="003A4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DB4">
              <w:rPr>
                <w:rFonts w:ascii="Arial" w:hAnsi="Arial" w:cs="Arial"/>
                <w:sz w:val="24"/>
                <w:szCs w:val="24"/>
              </w:rPr>
              <w:t>ICD10 codes</w:t>
            </w:r>
          </w:p>
        </w:tc>
        <w:tc>
          <w:tcPr>
            <w:tcW w:w="7596" w:type="dxa"/>
          </w:tcPr>
          <w:p w:rsidR="00746DB4" w:rsidRPr="00746DB4" w:rsidRDefault="00746DB4" w:rsidP="003A43C5">
            <w:pPr>
              <w:pStyle w:val="NoSpacing"/>
              <w:rPr>
                <w:rFonts w:cs="Arial"/>
                <w:szCs w:val="24"/>
              </w:rPr>
            </w:pPr>
            <w:r w:rsidRPr="00746DB4">
              <w:rPr>
                <w:rFonts w:cs="Arial"/>
                <w:szCs w:val="24"/>
              </w:rPr>
              <w:t>Z411</w:t>
            </w:r>
          </w:p>
        </w:tc>
      </w:tr>
      <w:tr w:rsidR="00746DB4" w:rsidRPr="00746DB4" w:rsidTr="003A43C5">
        <w:tc>
          <w:tcPr>
            <w:tcW w:w="1668" w:type="dxa"/>
          </w:tcPr>
          <w:p w:rsidR="00746DB4" w:rsidRPr="00746DB4" w:rsidRDefault="00746DB4" w:rsidP="003A43C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  <w:r w:rsidRPr="00746DB4">
              <w:rPr>
                <w:rFonts w:ascii="Arial" w:hAnsi="Arial" w:cs="Arial"/>
                <w:sz w:val="24"/>
                <w:szCs w:val="24"/>
              </w:rPr>
              <w:t>OPCS codes</w:t>
            </w:r>
          </w:p>
        </w:tc>
        <w:tc>
          <w:tcPr>
            <w:tcW w:w="7596" w:type="dxa"/>
          </w:tcPr>
          <w:p w:rsidR="00746DB4" w:rsidRPr="00746DB4" w:rsidRDefault="00746DB4" w:rsidP="003A43C5">
            <w:pPr>
              <w:pStyle w:val="NoSpacing"/>
              <w:rPr>
                <w:rFonts w:cs="Arial"/>
                <w:color w:val="000000"/>
                <w:szCs w:val="24"/>
              </w:rPr>
            </w:pPr>
            <w:r w:rsidRPr="00746DB4">
              <w:rPr>
                <w:rFonts w:cs="Arial"/>
                <w:color w:val="000000"/>
                <w:szCs w:val="24"/>
              </w:rPr>
              <w:t>B30.1 – B30.9,  B31.1 – B31.9 with ICD code above</w:t>
            </w:r>
          </w:p>
        </w:tc>
      </w:tr>
    </w:tbl>
    <w:p w:rsidR="001E5A95" w:rsidRDefault="001E5A95" w:rsidP="001E5A95">
      <w:pPr>
        <w:jc w:val="center"/>
        <w:rPr>
          <w:rFonts w:ascii="Arial" w:hAnsi="Arial" w:cs="Arial"/>
          <w:sz w:val="24"/>
          <w:szCs w:val="24"/>
        </w:rPr>
      </w:pPr>
    </w:p>
    <w:p w:rsidR="00746DB4" w:rsidRDefault="00746DB4" w:rsidP="001E5A95">
      <w:pPr>
        <w:jc w:val="center"/>
        <w:rPr>
          <w:rFonts w:ascii="Arial" w:hAnsi="Arial" w:cs="Arial"/>
          <w:sz w:val="24"/>
          <w:szCs w:val="24"/>
        </w:rPr>
      </w:pPr>
    </w:p>
    <w:p w:rsidR="00746DB4" w:rsidRDefault="00746DB4" w:rsidP="001E5A95">
      <w:pPr>
        <w:jc w:val="center"/>
        <w:rPr>
          <w:rFonts w:ascii="Arial" w:hAnsi="Arial" w:cs="Arial"/>
          <w:sz w:val="24"/>
          <w:szCs w:val="24"/>
        </w:rPr>
      </w:pPr>
    </w:p>
    <w:p w:rsidR="00746DB4" w:rsidRDefault="00746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6DB4" w:rsidRPr="00346B71" w:rsidRDefault="0007073E" w:rsidP="00746DB4">
      <w:pPr>
        <w:jc w:val="right"/>
        <w:rPr>
          <w:rFonts w:ascii="Arial" w:hAnsi="Arial" w:cs="Arial"/>
          <w:sz w:val="24"/>
          <w:szCs w:val="24"/>
        </w:rPr>
      </w:pPr>
      <w:hyperlink w:anchor="Top" w:history="1">
        <w:r w:rsidR="00746DB4" w:rsidRPr="00346B71">
          <w:rPr>
            <w:rStyle w:val="Hyperlink"/>
            <w:rFonts w:ascii="Arial" w:hAnsi="Arial"/>
            <w:b/>
            <w:sz w:val="24"/>
            <w:szCs w:val="24"/>
          </w:rPr>
          <w:t>Back to Index</w:t>
        </w:r>
      </w:hyperlink>
    </w:p>
    <w:tbl>
      <w:tblPr>
        <w:tblW w:w="0" w:type="auto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shd w:val="clear" w:color="auto" w:fill="D7E4FD"/>
        <w:tblLook w:val="00A0" w:firstRow="1" w:lastRow="0" w:firstColumn="1" w:lastColumn="0" w:noHBand="0" w:noVBand="0"/>
      </w:tblPr>
      <w:tblGrid>
        <w:gridCol w:w="2904"/>
        <w:gridCol w:w="6116"/>
      </w:tblGrid>
      <w:tr w:rsidR="00746DB4" w:rsidRPr="00746DB4" w:rsidTr="003A43C5">
        <w:trPr>
          <w:trHeight w:val="375"/>
        </w:trPr>
        <w:tc>
          <w:tcPr>
            <w:tcW w:w="2957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D7E4FD"/>
            <w:vAlign w:val="center"/>
            <w:hideMark/>
          </w:tcPr>
          <w:p w:rsidR="00746DB4" w:rsidRPr="00746DB4" w:rsidRDefault="00746DB4" w:rsidP="00746DB4">
            <w:pPr>
              <w:pStyle w:val="NoSpacing"/>
              <w:rPr>
                <w:b/>
              </w:rPr>
            </w:pPr>
            <w:r w:rsidRPr="00746DB4">
              <w:rPr>
                <w:b/>
              </w:rPr>
              <w:t>Policy statement:</w:t>
            </w:r>
          </w:p>
        </w:tc>
        <w:tc>
          <w:tcPr>
            <w:tcW w:w="6285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auto"/>
            <w:vAlign w:val="center"/>
            <w:hideMark/>
          </w:tcPr>
          <w:p w:rsidR="00746DB4" w:rsidRPr="00746DB4" w:rsidRDefault="00746DB4" w:rsidP="00746DB4">
            <w:pPr>
              <w:pStyle w:val="NoSpacing"/>
              <w:rPr>
                <w:b/>
              </w:rPr>
            </w:pPr>
            <w:bookmarkStart w:id="4" w:name="BreastReduction"/>
            <w:bookmarkEnd w:id="4"/>
            <w:r w:rsidRPr="00746DB4">
              <w:rPr>
                <w:b/>
              </w:rPr>
              <w:t>Breast Reduction</w:t>
            </w:r>
          </w:p>
        </w:tc>
      </w:tr>
      <w:tr w:rsidR="00746DB4" w:rsidRPr="00746DB4" w:rsidTr="003A43C5">
        <w:trPr>
          <w:trHeight w:val="375"/>
        </w:trPr>
        <w:tc>
          <w:tcPr>
            <w:tcW w:w="2957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D7E4FD"/>
            <w:vAlign w:val="center"/>
            <w:hideMark/>
          </w:tcPr>
          <w:p w:rsidR="00746DB4" w:rsidRPr="00746DB4" w:rsidRDefault="00746DB4" w:rsidP="00746DB4">
            <w:pPr>
              <w:pStyle w:val="NoSpacing"/>
              <w:rPr>
                <w:b/>
              </w:rPr>
            </w:pPr>
            <w:r w:rsidRPr="00746DB4">
              <w:rPr>
                <w:b/>
              </w:rPr>
              <w:t>Status:</w:t>
            </w:r>
          </w:p>
        </w:tc>
        <w:tc>
          <w:tcPr>
            <w:tcW w:w="6285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auto"/>
            <w:vAlign w:val="center"/>
            <w:hideMark/>
          </w:tcPr>
          <w:p w:rsidR="00746DB4" w:rsidRPr="00746DB4" w:rsidRDefault="00746DB4" w:rsidP="007F0618">
            <w:pPr>
              <w:pStyle w:val="NoSpacing"/>
              <w:rPr>
                <w:b/>
                <w:noProof/>
              </w:rPr>
            </w:pPr>
            <w:r w:rsidRPr="00746DB4">
              <w:rPr>
                <w:b/>
                <w:noProof/>
              </w:rPr>
              <w:t>Not Funded</w:t>
            </w:r>
          </w:p>
        </w:tc>
      </w:tr>
    </w:tbl>
    <w:p w:rsidR="00746DB4" w:rsidRPr="00896E62" w:rsidRDefault="00746DB4" w:rsidP="00746DB4">
      <w:pPr>
        <w:pStyle w:val="NoSpacing"/>
      </w:pPr>
    </w:p>
    <w:p w:rsidR="007F0618" w:rsidRPr="00285FF6" w:rsidRDefault="007F0618" w:rsidP="007F0618">
      <w:pPr>
        <w:pStyle w:val="Default"/>
        <w:rPr>
          <w:color w:val="auto"/>
          <w:sz w:val="22"/>
          <w:szCs w:val="22"/>
        </w:rPr>
      </w:pPr>
      <w:r w:rsidRPr="00661A7B">
        <w:rPr>
          <w:color w:val="auto"/>
          <w:sz w:val="22"/>
          <w:szCs w:val="22"/>
        </w:rPr>
        <w:t xml:space="preserve">Procedures </w:t>
      </w:r>
      <w:r>
        <w:rPr>
          <w:color w:val="auto"/>
          <w:sz w:val="22"/>
          <w:szCs w:val="22"/>
        </w:rPr>
        <w:t>for breast reduction</w:t>
      </w:r>
      <w:r w:rsidRPr="00661A7B">
        <w:rPr>
          <w:color w:val="auto"/>
          <w:sz w:val="22"/>
          <w:szCs w:val="22"/>
        </w:rPr>
        <w:t xml:space="preserve"> </w:t>
      </w:r>
      <w:r w:rsidRPr="007534D0">
        <w:rPr>
          <w:b/>
          <w:i/>
          <w:color w:val="auto"/>
          <w:sz w:val="22"/>
          <w:szCs w:val="22"/>
        </w:rPr>
        <w:t>will not be</w:t>
      </w:r>
      <w:r w:rsidRPr="00661A7B">
        <w:rPr>
          <w:color w:val="auto"/>
          <w:sz w:val="22"/>
          <w:szCs w:val="22"/>
        </w:rPr>
        <w:t xml:space="preserve"> funded.</w:t>
      </w:r>
    </w:p>
    <w:p w:rsidR="007F0618" w:rsidRDefault="007F0618" w:rsidP="00746DB4">
      <w:pPr>
        <w:pStyle w:val="NoSpacing"/>
      </w:pP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Patients not meeting the above criteria will not be funded unless there are </w:t>
      </w:r>
      <w:r w:rsidRPr="00EB690E">
        <w:rPr>
          <w:rFonts w:ascii="Arial" w:hAnsi="Arial" w:cs="Arial"/>
          <w:b/>
          <w:color w:val="000000"/>
          <w:sz w:val="24"/>
          <w:szCs w:val="24"/>
        </w:rPr>
        <w:t>clinically exceptional circumstances.</w:t>
      </w:r>
      <w:r w:rsidRPr="00EB690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Individual funding requests should only be made where the patient demonstrates clinical exceptionality.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Further information on applying for funding in exceptional clinical circumstances can be found on the CCGs’ website. </w:t>
      </w:r>
    </w:p>
    <w:p w:rsidR="00746DB4" w:rsidRDefault="00746DB4" w:rsidP="00746DB4">
      <w:pPr>
        <w:pStyle w:val="NoSpacing"/>
        <w:rPr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7377"/>
      </w:tblGrid>
      <w:tr w:rsidR="00746DB4" w:rsidRPr="000F06A4" w:rsidTr="003A43C5">
        <w:tc>
          <w:tcPr>
            <w:tcW w:w="1668" w:type="dxa"/>
          </w:tcPr>
          <w:p w:rsidR="00746DB4" w:rsidRPr="000B64B2" w:rsidRDefault="00746DB4" w:rsidP="00746DB4">
            <w:pPr>
              <w:pStyle w:val="NoSpacing"/>
            </w:pPr>
            <w:r w:rsidRPr="000B64B2">
              <w:t>ICD10</w:t>
            </w:r>
            <w:r>
              <w:t xml:space="preserve"> codes</w:t>
            </w:r>
          </w:p>
        </w:tc>
        <w:tc>
          <w:tcPr>
            <w:tcW w:w="7596" w:type="dxa"/>
          </w:tcPr>
          <w:p w:rsidR="00746DB4" w:rsidRPr="000F06A4" w:rsidRDefault="00746DB4" w:rsidP="00746DB4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Exclude cancer related diagnosis codes</w:t>
            </w:r>
          </w:p>
        </w:tc>
      </w:tr>
      <w:tr w:rsidR="00746DB4" w:rsidRPr="000F06A4" w:rsidTr="003A43C5">
        <w:tc>
          <w:tcPr>
            <w:tcW w:w="1668" w:type="dxa"/>
          </w:tcPr>
          <w:p w:rsidR="00746DB4" w:rsidRDefault="00746DB4" w:rsidP="00746DB4">
            <w:pPr>
              <w:pStyle w:val="NoSpacing"/>
              <w:rPr>
                <w:rFonts w:ascii="Calibri" w:hAnsi="Calibri"/>
                <w:color w:val="0000FF"/>
                <w:sz w:val="22"/>
                <w:u w:val="single"/>
              </w:rPr>
            </w:pPr>
            <w:r>
              <w:t xml:space="preserve">OPCS </w:t>
            </w:r>
            <w:r w:rsidRPr="000B64B2">
              <w:t>codes</w:t>
            </w:r>
          </w:p>
        </w:tc>
        <w:tc>
          <w:tcPr>
            <w:tcW w:w="7596" w:type="dxa"/>
          </w:tcPr>
          <w:p w:rsidR="00746DB4" w:rsidRPr="000F06A4" w:rsidRDefault="00746DB4" w:rsidP="00746DB4">
            <w:pPr>
              <w:pStyle w:val="NoSpacing"/>
              <w:rPr>
                <w:color w:val="000000" w:themeColor="text1"/>
              </w:rPr>
            </w:pPr>
            <w:r w:rsidRPr="00DD2C43">
              <w:rPr>
                <w:color w:val="000000"/>
              </w:rPr>
              <w:t>B31</w:t>
            </w:r>
            <w:r>
              <w:rPr>
                <w:color w:val="000000"/>
              </w:rPr>
              <w:t>.</w:t>
            </w:r>
            <w:r w:rsidRPr="00DD2C43">
              <w:rPr>
                <w:color w:val="000000"/>
              </w:rPr>
              <w:t>2 B30</w:t>
            </w:r>
            <w:r>
              <w:rPr>
                <w:color w:val="000000"/>
              </w:rPr>
              <w:t>.</w:t>
            </w:r>
            <w:r w:rsidRPr="00DD2C43">
              <w:rPr>
                <w:color w:val="000000"/>
              </w:rPr>
              <w:t>1 B30</w:t>
            </w:r>
            <w:r>
              <w:rPr>
                <w:color w:val="000000"/>
              </w:rPr>
              <w:t>.</w:t>
            </w:r>
            <w:r w:rsidRPr="00DD2C43">
              <w:rPr>
                <w:color w:val="000000"/>
              </w:rPr>
              <w:t>8 B30</w:t>
            </w:r>
            <w:r>
              <w:rPr>
                <w:color w:val="000000"/>
              </w:rPr>
              <w:t>.</w:t>
            </w:r>
            <w:r w:rsidRPr="00DD2C4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(coding overlaps with reconstruction)</w:t>
            </w:r>
          </w:p>
        </w:tc>
      </w:tr>
    </w:tbl>
    <w:p w:rsidR="00746DB4" w:rsidRDefault="00746DB4" w:rsidP="001E5A95">
      <w:pPr>
        <w:jc w:val="center"/>
        <w:rPr>
          <w:rFonts w:ascii="Arial" w:hAnsi="Arial" w:cs="Arial"/>
          <w:sz w:val="24"/>
          <w:szCs w:val="24"/>
        </w:rPr>
      </w:pPr>
    </w:p>
    <w:p w:rsidR="00746DB4" w:rsidRDefault="00746DB4" w:rsidP="001E5A95">
      <w:pPr>
        <w:jc w:val="center"/>
        <w:rPr>
          <w:rFonts w:ascii="Arial" w:hAnsi="Arial" w:cs="Arial"/>
          <w:sz w:val="24"/>
          <w:szCs w:val="24"/>
        </w:rPr>
      </w:pPr>
    </w:p>
    <w:p w:rsidR="00746DB4" w:rsidRDefault="00746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6DB4" w:rsidRPr="00346B71" w:rsidRDefault="0007073E" w:rsidP="00746DB4">
      <w:pPr>
        <w:jc w:val="right"/>
        <w:rPr>
          <w:rFonts w:ascii="Arial" w:hAnsi="Arial" w:cs="Arial"/>
          <w:sz w:val="24"/>
          <w:szCs w:val="24"/>
        </w:rPr>
      </w:pPr>
      <w:hyperlink w:anchor="Top" w:history="1">
        <w:r w:rsidR="00746DB4" w:rsidRPr="00346B71">
          <w:rPr>
            <w:rStyle w:val="Hyperlink"/>
            <w:rFonts w:ascii="Arial" w:hAnsi="Arial"/>
            <w:b/>
            <w:sz w:val="24"/>
            <w:szCs w:val="24"/>
          </w:rPr>
          <w:t>Back to Index</w:t>
        </w:r>
      </w:hyperlink>
    </w:p>
    <w:tbl>
      <w:tblPr>
        <w:tblW w:w="0" w:type="auto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shd w:val="clear" w:color="auto" w:fill="D7E4FD"/>
        <w:tblLook w:val="00A0" w:firstRow="1" w:lastRow="0" w:firstColumn="1" w:lastColumn="0" w:noHBand="0" w:noVBand="0"/>
      </w:tblPr>
      <w:tblGrid>
        <w:gridCol w:w="2903"/>
        <w:gridCol w:w="6117"/>
      </w:tblGrid>
      <w:tr w:rsidR="00FA5747" w:rsidRPr="00D64A6A" w:rsidTr="003A43C5">
        <w:trPr>
          <w:trHeight w:val="375"/>
        </w:trPr>
        <w:tc>
          <w:tcPr>
            <w:tcW w:w="2957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D7E4FD"/>
            <w:vAlign w:val="center"/>
            <w:hideMark/>
          </w:tcPr>
          <w:p w:rsidR="00FA5747" w:rsidRPr="00D64A6A" w:rsidRDefault="00FA5747" w:rsidP="003A43C5">
            <w:pPr>
              <w:pStyle w:val="NoSpacing"/>
              <w:rPr>
                <w:rFonts w:cs="Arial"/>
                <w:b/>
                <w:szCs w:val="24"/>
              </w:rPr>
            </w:pPr>
            <w:r w:rsidRPr="00D64A6A">
              <w:rPr>
                <w:rFonts w:cs="Arial"/>
                <w:b/>
                <w:szCs w:val="24"/>
              </w:rPr>
              <w:t>Policy statement:</w:t>
            </w:r>
          </w:p>
        </w:tc>
        <w:tc>
          <w:tcPr>
            <w:tcW w:w="6285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auto"/>
            <w:vAlign w:val="center"/>
          </w:tcPr>
          <w:p w:rsidR="00FA5747" w:rsidRPr="00D64A6A" w:rsidRDefault="00FA5747" w:rsidP="003A43C5">
            <w:pPr>
              <w:pStyle w:val="NoSpacing"/>
              <w:rPr>
                <w:rFonts w:cs="Arial"/>
                <w:b/>
                <w:szCs w:val="24"/>
              </w:rPr>
            </w:pPr>
            <w:bookmarkStart w:id="5" w:name="FemaleSterilisation"/>
            <w:bookmarkEnd w:id="5"/>
            <w:r>
              <w:rPr>
                <w:rFonts w:cs="Arial"/>
                <w:b/>
                <w:szCs w:val="24"/>
              </w:rPr>
              <w:t>Female Sterilisation</w:t>
            </w:r>
          </w:p>
        </w:tc>
      </w:tr>
      <w:tr w:rsidR="00FA5747" w:rsidRPr="00D64A6A" w:rsidTr="003A43C5">
        <w:trPr>
          <w:trHeight w:val="375"/>
        </w:trPr>
        <w:tc>
          <w:tcPr>
            <w:tcW w:w="2957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D7E4FD"/>
            <w:vAlign w:val="center"/>
            <w:hideMark/>
          </w:tcPr>
          <w:p w:rsidR="00FA5747" w:rsidRPr="00D64A6A" w:rsidRDefault="00FA5747" w:rsidP="003A43C5">
            <w:pPr>
              <w:pStyle w:val="NoSpacing"/>
              <w:rPr>
                <w:rFonts w:cs="Arial"/>
                <w:b/>
                <w:szCs w:val="24"/>
              </w:rPr>
            </w:pPr>
            <w:r w:rsidRPr="00D64A6A">
              <w:rPr>
                <w:rFonts w:cs="Arial"/>
                <w:b/>
                <w:szCs w:val="24"/>
              </w:rPr>
              <w:t>Status:</w:t>
            </w:r>
          </w:p>
        </w:tc>
        <w:tc>
          <w:tcPr>
            <w:tcW w:w="6285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auto"/>
            <w:vAlign w:val="center"/>
          </w:tcPr>
          <w:p w:rsidR="00FA5747" w:rsidRPr="00D64A6A" w:rsidRDefault="00FA5747" w:rsidP="003A43C5">
            <w:pPr>
              <w:pStyle w:val="NoSpacing"/>
              <w:rPr>
                <w:rFonts w:cs="Arial"/>
                <w:b/>
                <w:noProof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>Not Routinely Funded</w:t>
            </w:r>
          </w:p>
        </w:tc>
      </w:tr>
    </w:tbl>
    <w:p w:rsidR="00FA5747" w:rsidRPr="00DC53E5" w:rsidRDefault="00FA5747" w:rsidP="00FA5747">
      <w:pPr>
        <w:pStyle w:val="NoSpacing"/>
        <w:rPr>
          <w:rFonts w:cs="Arial"/>
          <w:szCs w:val="24"/>
        </w:rPr>
      </w:pPr>
    </w:p>
    <w:p w:rsidR="00FA5747" w:rsidRDefault="00FA5747" w:rsidP="00FA5747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MECCG</w:t>
      </w:r>
      <w:r w:rsidRPr="00EC50A9">
        <w:rPr>
          <w:rFonts w:cs="Arial"/>
          <w:szCs w:val="24"/>
        </w:rPr>
        <w:t xml:space="preserve"> does not routinely fund </w:t>
      </w:r>
      <w:r>
        <w:rPr>
          <w:rFonts w:cs="Arial"/>
          <w:szCs w:val="24"/>
        </w:rPr>
        <w:t>female sterilisation.</w:t>
      </w:r>
    </w:p>
    <w:p w:rsidR="00FA5747" w:rsidRPr="00EC50A9" w:rsidRDefault="00FA5747" w:rsidP="00FA5747">
      <w:pPr>
        <w:pStyle w:val="NoSpacing"/>
        <w:rPr>
          <w:rFonts w:cs="Arial"/>
          <w:szCs w:val="24"/>
        </w:rPr>
      </w:pPr>
    </w:p>
    <w:p w:rsidR="00FA5747" w:rsidRPr="00EC50A9" w:rsidRDefault="00FA5747" w:rsidP="00FA5747">
      <w:pPr>
        <w:pStyle w:val="NoSpacing"/>
        <w:rPr>
          <w:rFonts w:cs="Arial"/>
          <w:bCs/>
          <w:color w:val="000000"/>
          <w:szCs w:val="24"/>
        </w:rPr>
      </w:pPr>
      <w:r w:rsidRPr="00EC50A9">
        <w:rPr>
          <w:rFonts w:cs="Arial"/>
          <w:color w:val="000000"/>
          <w:szCs w:val="24"/>
        </w:rPr>
        <w:t xml:space="preserve">This service/procedure has been assessed as a </w:t>
      </w:r>
      <w:r w:rsidRPr="00CE52AD">
        <w:rPr>
          <w:rFonts w:cs="Arial"/>
          <w:b/>
          <w:bCs/>
          <w:color w:val="000000"/>
          <w:szCs w:val="24"/>
        </w:rPr>
        <w:t>Low Clinical Priority</w:t>
      </w:r>
      <w:r w:rsidRPr="00EC50A9">
        <w:rPr>
          <w:rFonts w:cs="Arial"/>
          <w:bCs/>
          <w:color w:val="000000"/>
          <w:szCs w:val="24"/>
        </w:rPr>
        <w:t xml:space="preserve"> </w:t>
      </w:r>
      <w:r w:rsidRPr="00EC50A9">
        <w:rPr>
          <w:rFonts w:cs="Arial"/>
          <w:color w:val="000000"/>
          <w:szCs w:val="24"/>
        </w:rPr>
        <w:t xml:space="preserve">by </w:t>
      </w:r>
      <w:r>
        <w:rPr>
          <w:rFonts w:cs="Arial"/>
          <w:color w:val="000000"/>
          <w:szCs w:val="24"/>
        </w:rPr>
        <w:t>MECCG</w:t>
      </w:r>
      <w:r w:rsidRPr="00EC50A9">
        <w:rPr>
          <w:rFonts w:cs="Arial"/>
          <w:color w:val="000000"/>
          <w:szCs w:val="24"/>
        </w:rPr>
        <w:t xml:space="preserve"> and will not be funded unless there are </w:t>
      </w:r>
      <w:r w:rsidRPr="00CE52AD">
        <w:rPr>
          <w:rFonts w:cs="Arial"/>
          <w:b/>
          <w:bCs/>
          <w:color w:val="000000"/>
          <w:szCs w:val="24"/>
        </w:rPr>
        <w:t>exceptional clinical circumstances</w:t>
      </w:r>
      <w:r w:rsidRPr="00EC50A9">
        <w:rPr>
          <w:rFonts w:cs="Arial"/>
          <w:bCs/>
          <w:color w:val="000000"/>
          <w:szCs w:val="24"/>
        </w:rPr>
        <w:t xml:space="preserve">. </w:t>
      </w:r>
    </w:p>
    <w:p w:rsidR="00FA5747" w:rsidRPr="00EC50A9" w:rsidRDefault="00FA5747" w:rsidP="00FA5747">
      <w:pPr>
        <w:pStyle w:val="NoSpacing"/>
        <w:rPr>
          <w:rFonts w:cs="Arial"/>
          <w:color w:val="000000"/>
          <w:szCs w:val="24"/>
        </w:rPr>
      </w:pP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Patients not meeting the above criteria will not be funded unless there are </w:t>
      </w:r>
      <w:r w:rsidRPr="00EB690E">
        <w:rPr>
          <w:rFonts w:ascii="Arial" w:hAnsi="Arial" w:cs="Arial"/>
          <w:b/>
          <w:color w:val="000000"/>
          <w:sz w:val="24"/>
          <w:szCs w:val="24"/>
        </w:rPr>
        <w:t>clinically exceptional circumstances.</w:t>
      </w:r>
      <w:r w:rsidRPr="00EB690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Individual funding requests should only be made where the patient demonstrates clinical exceptionality.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Further information on applying for funding in exceptional clinical circumstances can be found on the CCGs’ website. </w:t>
      </w:r>
    </w:p>
    <w:p w:rsidR="00FA5747" w:rsidRPr="00EC50A9" w:rsidRDefault="00FA5747" w:rsidP="00FA5747">
      <w:pPr>
        <w:pStyle w:val="NoSpacing"/>
        <w:rPr>
          <w:rFonts w:cs="Arial"/>
          <w:color w:val="000000"/>
          <w:szCs w:val="24"/>
        </w:rPr>
      </w:pPr>
    </w:p>
    <w:tbl>
      <w:tblPr>
        <w:tblStyle w:val="TableGrid"/>
        <w:tblpPr w:leftFromText="180" w:rightFromText="180" w:vertAnchor="text" w:horzAnchor="margin" w:tblpY="920"/>
        <w:tblW w:w="0" w:type="auto"/>
        <w:tblLook w:val="04A0" w:firstRow="1" w:lastRow="0" w:firstColumn="1" w:lastColumn="0" w:noHBand="0" w:noVBand="1"/>
      </w:tblPr>
      <w:tblGrid>
        <w:gridCol w:w="1782"/>
        <w:gridCol w:w="7234"/>
      </w:tblGrid>
      <w:tr w:rsidR="00FA5747" w:rsidRPr="00EC50A9" w:rsidTr="003A43C5">
        <w:tc>
          <w:tcPr>
            <w:tcW w:w="1809" w:type="dxa"/>
          </w:tcPr>
          <w:p w:rsidR="00FA5747" w:rsidRPr="00014DF7" w:rsidRDefault="00FA5747" w:rsidP="003A43C5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ICD10 codes</w:t>
            </w:r>
          </w:p>
        </w:tc>
        <w:tc>
          <w:tcPr>
            <w:tcW w:w="7433" w:type="dxa"/>
          </w:tcPr>
          <w:p w:rsidR="00FA5747" w:rsidRPr="00EC50A9" w:rsidRDefault="00FA5747" w:rsidP="003A43C5">
            <w:pPr>
              <w:pStyle w:val="NoSpacing"/>
              <w:rPr>
                <w:rFonts w:cs="Arial"/>
                <w:color w:val="000000"/>
                <w:szCs w:val="24"/>
              </w:rPr>
            </w:pPr>
          </w:p>
        </w:tc>
      </w:tr>
      <w:tr w:rsidR="00FA5747" w:rsidRPr="00EC50A9" w:rsidTr="003A43C5">
        <w:tc>
          <w:tcPr>
            <w:tcW w:w="1809" w:type="dxa"/>
          </w:tcPr>
          <w:p w:rsidR="00FA5747" w:rsidRPr="00EC50A9" w:rsidRDefault="00FA5747" w:rsidP="003A43C5">
            <w:pPr>
              <w:pStyle w:val="NoSpacing"/>
              <w:jc w:val="center"/>
              <w:rPr>
                <w:rFonts w:eastAsiaTheme="minorHAnsi" w:cs="Arial"/>
                <w:color w:val="000000"/>
                <w:szCs w:val="24"/>
              </w:rPr>
            </w:pPr>
            <w:r w:rsidRPr="00014DF7">
              <w:rPr>
                <w:rFonts w:eastAsiaTheme="minorHAnsi" w:cs="Arial"/>
                <w:szCs w:val="24"/>
              </w:rPr>
              <w:t>OPCS</w:t>
            </w:r>
            <w:r>
              <w:rPr>
                <w:rFonts w:eastAsiaTheme="minorHAnsi" w:cs="Arial"/>
                <w:szCs w:val="24"/>
              </w:rPr>
              <w:t xml:space="preserve"> </w:t>
            </w:r>
            <w:r w:rsidRPr="00014DF7">
              <w:rPr>
                <w:rFonts w:eastAsiaTheme="minorHAnsi" w:cs="Arial"/>
                <w:szCs w:val="24"/>
              </w:rPr>
              <w:t>codes</w:t>
            </w:r>
          </w:p>
        </w:tc>
        <w:tc>
          <w:tcPr>
            <w:tcW w:w="7433" w:type="dxa"/>
          </w:tcPr>
          <w:p w:rsidR="00FA5747" w:rsidRPr="00EC50A9" w:rsidRDefault="00FA5747" w:rsidP="003A43C5">
            <w:pPr>
              <w:pStyle w:val="NoSpacing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Q27*, Q28*</w:t>
            </w:r>
          </w:p>
        </w:tc>
      </w:tr>
    </w:tbl>
    <w:p w:rsidR="00746DB4" w:rsidRDefault="00746DB4" w:rsidP="00FA5747">
      <w:pPr>
        <w:jc w:val="center"/>
        <w:rPr>
          <w:rFonts w:ascii="Arial" w:hAnsi="Arial" w:cs="Arial"/>
          <w:sz w:val="24"/>
          <w:szCs w:val="24"/>
        </w:rPr>
      </w:pPr>
    </w:p>
    <w:p w:rsidR="00FA5747" w:rsidRDefault="00FA5747" w:rsidP="00FA5747">
      <w:pPr>
        <w:jc w:val="center"/>
        <w:rPr>
          <w:rFonts w:ascii="Arial" w:hAnsi="Arial" w:cs="Arial"/>
          <w:sz w:val="24"/>
          <w:szCs w:val="24"/>
        </w:rPr>
      </w:pPr>
    </w:p>
    <w:p w:rsidR="00FA5747" w:rsidRDefault="00FA5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5747" w:rsidRPr="00346B71" w:rsidRDefault="0007073E" w:rsidP="00FA5747">
      <w:pPr>
        <w:jc w:val="right"/>
        <w:rPr>
          <w:rFonts w:ascii="Arial" w:hAnsi="Arial" w:cs="Arial"/>
          <w:sz w:val="24"/>
          <w:szCs w:val="24"/>
        </w:rPr>
      </w:pPr>
      <w:hyperlink w:anchor="Top" w:history="1">
        <w:r w:rsidR="00FA5747" w:rsidRPr="00346B71">
          <w:rPr>
            <w:rStyle w:val="Hyperlink"/>
            <w:rFonts w:ascii="Arial" w:hAnsi="Arial"/>
            <w:b/>
            <w:sz w:val="24"/>
            <w:szCs w:val="24"/>
          </w:rPr>
          <w:t>Back to Index</w:t>
        </w:r>
      </w:hyperlink>
    </w:p>
    <w:tbl>
      <w:tblPr>
        <w:tblW w:w="0" w:type="auto"/>
        <w:tblBorders>
          <w:top w:val="single" w:sz="2" w:space="0" w:color="0066CC"/>
          <w:left w:val="single" w:sz="2" w:space="0" w:color="0066CC"/>
          <w:bottom w:val="single" w:sz="2" w:space="0" w:color="0066CC"/>
          <w:right w:val="single" w:sz="2" w:space="0" w:color="0066CC"/>
          <w:insideH w:val="single" w:sz="2" w:space="0" w:color="0066CC"/>
          <w:insideV w:val="single" w:sz="2" w:space="0" w:color="0066CC"/>
        </w:tblBorders>
        <w:shd w:val="clear" w:color="auto" w:fill="D7E4FD"/>
        <w:tblLook w:val="00A0" w:firstRow="1" w:lastRow="0" w:firstColumn="1" w:lastColumn="0" w:noHBand="0" w:noVBand="0"/>
      </w:tblPr>
      <w:tblGrid>
        <w:gridCol w:w="2902"/>
        <w:gridCol w:w="6118"/>
      </w:tblGrid>
      <w:tr w:rsidR="00FA5747" w:rsidRPr="00FA5747" w:rsidTr="003A43C5">
        <w:trPr>
          <w:trHeight w:val="375"/>
        </w:trPr>
        <w:tc>
          <w:tcPr>
            <w:tcW w:w="2957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D7E4FD"/>
            <w:vAlign w:val="center"/>
            <w:hideMark/>
          </w:tcPr>
          <w:p w:rsidR="00FA5747" w:rsidRPr="00FA5747" w:rsidRDefault="00FA5747" w:rsidP="00FA5747">
            <w:pPr>
              <w:pStyle w:val="NoSpacing"/>
              <w:rPr>
                <w:b/>
              </w:rPr>
            </w:pPr>
            <w:r w:rsidRPr="00FA5747">
              <w:rPr>
                <w:b/>
              </w:rPr>
              <w:t>Policy statement:</w:t>
            </w:r>
          </w:p>
        </w:tc>
        <w:tc>
          <w:tcPr>
            <w:tcW w:w="6285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auto"/>
            <w:vAlign w:val="center"/>
          </w:tcPr>
          <w:p w:rsidR="00FA5747" w:rsidRPr="00FA5747" w:rsidRDefault="00FA5747" w:rsidP="00FA5747">
            <w:pPr>
              <w:pStyle w:val="NoSpacing"/>
              <w:rPr>
                <w:b/>
              </w:rPr>
            </w:pPr>
            <w:bookmarkStart w:id="6" w:name="Vasectomies"/>
            <w:bookmarkEnd w:id="6"/>
            <w:r w:rsidRPr="00FA5747">
              <w:rPr>
                <w:b/>
              </w:rPr>
              <w:t>Vasectomies</w:t>
            </w:r>
          </w:p>
        </w:tc>
      </w:tr>
      <w:tr w:rsidR="00FA5747" w:rsidRPr="00FA5747" w:rsidTr="003A43C5">
        <w:trPr>
          <w:trHeight w:val="375"/>
        </w:trPr>
        <w:tc>
          <w:tcPr>
            <w:tcW w:w="2957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D7E4FD"/>
            <w:vAlign w:val="center"/>
            <w:hideMark/>
          </w:tcPr>
          <w:p w:rsidR="00FA5747" w:rsidRPr="00FA5747" w:rsidRDefault="00FA5747" w:rsidP="00FA5747">
            <w:pPr>
              <w:pStyle w:val="NoSpacing"/>
              <w:rPr>
                <w:b/>
              </w:rPr>
            </w:pPr>
            <w:r w:rsidRPr="00FA5747">
              <w:rPr>
                <w:b/>
              </w:rPr>
              <w:t>Status:</w:t>
            </w:r>
          </w:p>
        </w:tc>
        <w:tc>
          <w:tcPr>
            <w:tcW w:w="6285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shd w:val="clear" w:color="auto" w:fill="auto"/>
            <w:vAlign w:val="center"/>
          </w:tcPr>
          <w:p w:rsidR="00FA5747" w:rsidRPr="00FA5747" w:rsidRDefault="00FA5747" w:rsidP="00FA5747">
            <w:pPr>
              <w:pStyle w:val="NoSpacing"/>
              <w:rPr>
                <w:b/>
                <w:noProof/>
              </w:rPr>
            </w:pPr>
            <w:r w:rsidRPr="00FA5747">
              <w:rPr>
                <w:b/>
                <w:noProof/>
              </w:rPr>
              <w:t>Not Routinely Funded</w:t>
            </w:r>
          </w:p>
        </w:tc>
      </w:tr>
    </w:tbl>
    <w:p w:rsidR="00FA5747" w:rsidRDefault="00FA5747" w:rsidP="00FA5747">
      <w:pPr>
        <w:pStyle w:val="NoSpacing"/>
        <w:rPr>
          <w:i/>
          <w:sz w:val="18"/>
          <w:szCs w:val="18"/>
        </w:rPr>
      </w:pPr>
    </w:p>
    <w:p w:rsidR="00FA5747" w:rsidRPr="00762FDE" w:rsidRDefault="00FA5747" w:rsidP="00FA5747">
      <w:pPr>
        <w:pStyle w:val="NoSpacing"/>
      </w:pPr>
      <w:r>
        <w:t>MECCG</w:t>
      </w:r>
      <w:r w:rsidRPr="00762FDE">
        <w:t xml:space="preserve"> does not routinely fund vasectomies</w:t>
      </w:r>
      <w:r>
        <w:t>.</w:t>
      </w:r>
    </w:p>
    <w:p w:rsidR="00FA5747" w:rsidRPr="00E62BDC" w:rsidRDefault="00FA5747" w:rsidP="00FA5747">
      <w:pPr>
        <w:pStyle w:val="NoSpacing"/>
        <w:rPr>
          <w:bCs/>
          <w:color w:val="000000"/>
        </w:rPr>
      </w:pPr>
      <w:r w:rsidRPr="00E62BDC">
        <w:rPr>
          <w:color w:val="000000"/>
        </w:rPr>
        <w:t xml:space="preserve">This service/procedure has been assessed as a </w:t>
      </w:r>
      <w:r w:rsidRPr="00FA5747">
        <w:rPr>
          <w:b/>
          <w:bCs/>
          <w:color w:val="000000"/>
        </w:rPr>
        <w:t>Low Clinical Priority</w:t>
      </w:r>
      <w:r w:rsidRPr="00E62BDC">
        <w:rPr>
          <w:bCs/>
          <w:color w:val="000000"/>
        </w:rPr>
        <w:t xml:space="preserve"> </w:t>
      </w:r>
      <w:r w:rsidRPr="00E62BDC">
        <w:rPr>
          <w:color w:val="000000"/>
        </w:rPr>
        <w:t xml:space="preserve">by </w:t>
      </w:r>
      <w:r>
        <w:rPr>
          <w:color w:val="000000"/>
        </w:rPr>
        <w:t>MECCG</w:t>
      </w:r>
      <w:r w:rsidRPr="00E62BDC">
        <w:rPr>
          <w:color w:val="000000"/>
        </w:rPr>
        <w:t xml:space="preserve"> and will not be funded unless there are </w:t>
      </w:r>
      <w:r w:rsidRPr="00FA5747">
        <w:rPr>
          <w:b/>
          <w:bCs/>
          <w:color w:val="000000"/>
        </w:rPr>
        <w:t>exceptional clinical circumstances.</w:t>
      </w:r>
      <w:r w:rsidRPr="00E62BDC">
        <w:rPr>
          <w:bCs/>
          <w:color w:val="000000"/>
        </w:rPr>
        <w:t xml:space="preserve"> </w:t>
      </w:r>
    </w:p>
    <w:p w:rsidR="00FA5747" w:rsidRPr="00E62BDC" w:rsidRDefault="00FA5747" w:rsidP="00FA5747">
      <w:pPr>
        <w:pStyle w:val="NoSpacing"/>
        <w:rPr>
          <w:color w:val="000000"/>
        </w:rPr>
      </w:pP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Patients not meeting the above criteria will not be funded unless there are </w:t>
      </w:r>
      <w:r w:rsidRPr="00EB690E">
        <w:rPr>
          <w:rFonts w:ascii="Arial" w:hAnsi="Arial" w:cs="Arial"/>
          <w:b/>
          <w:color w:val="000000"/>
          <w:sz w:val="24"/>
          <w:szCs w:val="24"/>
        </w:rPr>
        <w:t>clinically exceptional circumstances.</w:t>
      </w:r>
      <w:r w:rsidRPr="00EB690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Individual funding requests should only be made where the patient demonstrates clinical exceptionality.  </w:t>
      </w:r>
    </w:p>
    <w:p w:rsidR="00EB690E" w:rsidRPr="00EB690E" w:rsidRDefault="00EB690E" w:rsidP="00EB69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90E">
        <w:rPr>
          <w:rFonts w:ascii="Arial" w:hAnsi="Arial" w:cs="Arial"/>
          <w:color w:val="000000"/>
          <w:sz w:val="24"/>
          <w:szCs w:val="24"/>
        </w:rPr>
        <w:t xml:space="preserve">Further information on applying for funding in exceptional clinical circumstances can be found on the CCGs’ website. </w:t>
      </w:r>
    </w:p>
    <w:p w:rsidR="00FA5747" w:rsidRDefault="00FA5747" w:rsidP="00FA5747">
      <w:pPr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920"/>
        <w:tblW w:w="0" w:type="auto"/>
        <w:tblLook w:val="04A0" w:firstRow="1" w:lastRow="0" w:firstColumn="1" w:lastColumn="0" w:noHBand="0" w:noVBand="1"/>
      </w:tblPr>
      <w:tblGrid>
        <w:gridCol w:w="1597"/>
        <w:gridCol w:w="7419"/>
      </w:tblGrid>
      <w:tr w:rsidR="00FA5747" w:rsidRPr="00014DF7" w:rsidTr="003A43C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47" w:rsidRPr="00014DF7" w:rsidRDefault="00FA5747" w:rsidP="003A43C5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ICD10 codes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47" w:rsidRDefault="00FA5747" w:rsidP="003A43C5">
            <w:pPr>
              <w:pStyle w:val="NoSpacing"/>
              <w:rPr>
                <w:rFonts w:cs="Arial"/>
                <w:color w:val="000000"/>
                <w:szCs w:val="24"/>
              </w:rPr>
            </w:pPr>
          </w:p>
        </w:tc>
      </w:tr>
      <w:tr w:rsidR="00FA5747" w:rsidRPr="00014DF7" w:rsidTr="003A43C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7" w:rsidRPr="00014DF7" w:rsidRDefault="00FA5747" w:rsidP="003A43C5">
            <w:pPr>
              <w:pStyle w:val="NoSpacing"/>
              <w:jc w:val="center"/>
              <w:rPr>
                <w:rFonts w:eastAsiaTheme="minorHAnsi" w:cs="Arial"/>
                <w:b/>
                <w:color w:val="000000"/>
                <w:szCs w:val="24"/>
                <w:lang w:eastAsia="en-US"/>
              </w:rPr>
            </w:pPr>
            <w:r w:rsidRPr="00014DF7">
              <w:rPr>
                <w:rFonts w:eastAsiaTheme="minorHAnsi" w:cs="Arial"/>
                <w:szCs w:val="24"/>
              </w:rPr>
              <w:t>OPCS</w:t>
            </w:r>
            <w:r>
              <w:rPr>
                <w:rFonts w:eastAsiaTheme="minorHAnsi" w:cs="Arial"/>
                <w:szCs w:val="24"/>
              </w:rPr>
              <w:t xml:space="preserve"> </w:t>
            </w:r>
            <w:r w:rsidRPr="00014DF7">
              <w:rPr>
                <w:rFonts w:eastAsiaTheme="minorHAnsi" w:cs="Arial"/>
                <w:szCs w:val="24"/>
              </w:rPr>
              <w:t>codes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7" w:rsidRPr="00014DF7" w:rsidRDefault="00FA5747" w:rsidP="003A43C5">
            <w:pPr>
              <w:pStyle w:val="NoSpacing"/>
              <w:rPr>
                <w:rFonts w:eastAsiaTheme="minorHAnsi" w:cs="Arial"/>
                <w:color w:val="000000"/>
                <w:szCs w:val="24"/>
                <w:lang w:eastAsia="en-US"/>
              </w:rPr>
            </w:pPr>
            <w:r>
              <w:rPr>
                <w:rFonts w:eastAsiaTheme="minorHAnsi" w:cs="Arial"/>
                <w:color w:val="000000"/>
                <w:szCs w:val="24"/>
                <w:lang w:eastAsia="en-US"/>
              </w:rPr>
              <w:t>N17.1</w:t>
            </w:r>
          </w:p>
        </w:tc>
      </w:tr>
    </w:tbl>
    <w:p w:rsidR="00FA5747" w:rsidRPr="00746DB4" w:rsidRDefault="00FA5747" w:rsidP="00FA5747">
      <w:pPr>
        <w:jc w:val="center"/>
        <w:rPr>
          <w:rFonts w:ascii="Arial" w:hAnsi="Arial" w:cs="Arial"/>
          <w:sz w:val="24"/>
          <w:szCs w:val="24"/>
        </w:rPr>
      </w:pPr>
    </w:p>
    <w:sectPr w:rsidR="00FA5747" w:rsidRPr="00746DB4" w:rsidSect="00BE13C1">
      <w:footerReference w:type="default" r:id="rId12"/>
      <w:pgSz w:w="11906" w:h="16838"/>
      <w:pgMar w:top="1134" w:right="1440" w:bottom="851" w:left="144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3E" w:rsidRDefault="0007073E" w:rsidP="001E5A95">
      <w:pPr>
        <w:spacing w:after="0" w:line="240" w:lineRule="auto"/>
      </w:pPr>
      <w:r>
        <w:separator/>
      </w:r>
    </w:p>
  </w:endnote>
  <w:endnote w:type="continuationSeparator" w:id="0">
    <w:p w:rsidR="0007073E" w:rsidRDefault="0007073E" w:rsidP="001E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C1" w:rsidRPr="009562A9" w:rsidRDefault="00BE13C1" w:rsidP="00BE13C1">
    <w:pPr>
      <w:pStyle w:val="Footer"/>
      <w:jc w:val="right"/>
    </w:pPr>
    <w:r w:rsidRPr="002D74C2">
      <w:rPr>
        <w:rFonts w:ascii="Arial" w:hAnsi="Arial" w:cs="Arial"/>
        <w:b/>
        <w:noProof/>
        <w:color w:val="0066CC"/>
        <w:sz w:val="16"/>
        <w:szCs w:val="16"/>
        <w:lang w:eastAsia="en-GB"/>
        <w14:textFill>
          <w14:gradFill>
            <w14:gsLst>
              <w14:gs w14:pos="0">
                <w14:srgbClr w14:val="0066CC">
                  <w14:shade w14:val="30000"/>
                  <w14:satMod w14:val="115000"/>
                </w14:srgbClr>
              </w14:gs>
              <w14:gs w14:pos="50000">
                <w14:srgbClr w14:val="0066CC">
                  <w14:shade w14:val="67500"/>
                  <w14:satMod w14:val="115000"/>
                </w14:srgbClr>
              </w14:gs>
              <w14:gs w14:pos="100000">
                <w14:srgbClr w14:val="0066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8DAE53F" wp14:editId="209954CE">
              <wp:simplePos x="0" y="0"/>
              <wp:positionH relativeFrom="column">
                <wp:posOffset>-571500</wp:posOffset>
              </wp:positionH>
              <wp:positionV relativeFrom="paragraph">
                <wp:posOffset>-88901</wp:posOffset>
              </wp:positionV>
              <wp:extent cx="65151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60A0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-7pt" to="468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" strokecolor="#06c" strokeweight="1.5pt"/>
          </w:pict>
        </mc:Fallback>
      </mc:AlternateContent>
    </w:r>
    <w:hyperlink r:id="rId1" w:history="1">
      <w:r w:rsidR="00BB38A5">
        <w:rPr>
          <w:rStyle w:val="Hyperlink"/>
          <w:rFonts w:ascii="Arial" w:hAnsi="Arial"/>
          <w:b/>
          <w:noProof/>
          <w:sz w:val="16"/>
          <w:szCs w:val="16"/>
          <w14:textFill>
            <w14:gradFill>
              <w14:gsLst>
                <w14:gs w14:pos="0">
                  <w14:srgbClr w14:val="0066CC">
                    <w14:shade w14:val="30000"/>
                    <w14:satMod w14:val="115000"/>
                  </w14:srgbClr>
                </w14:gs>
                <w14:gs w14:pos="50000">
                  <w14:srgbClr w14:val="0066CC">
                    <w14:shade w14:val="67500"/>
                    <w14:satMod w14:val="115000"/>
                  </w14:srgbClr>
                </w14:gs>
                <w14:gs w14:pos="100000">
                  <w14:srgbClr w14:val="0066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Mid</w:t>
      </w:r>
    </w:hyperlink>
    <w:r w:rsidR="00BB38A5">
      <w:rPr>
        <w:rStyle w:val="Hyperlink"/>
        <w:rFonts w:ascii="Arial" w:hAnsi="Arial"/>
        <w:b/>
        <w:sz w:val="16"/>
        <w:szCs w:val="16"/>
        <w14:textFill>
          <w14:gradFill>
            <w14:gsLst>
              <w14:gs w14:pos="0">
                <w14:srgbClr w14:val="0066CC">
                  <w14:shade w14:val="30000"/>
                  <w14:satMod w14:val="115000"/>
                </w14:srgbClr>
              </w14:gs>
              <w14:gs w14:pos="50000">
                <w14:srgbClr w14:val="0066CC">
                  <w14:shade w14:val="67500"/>
                  <w14:satMod w14:val="115000"/>
                </w14:srgbClr>
              </w14:gs>
              <w14:gs w14:pos="100000">
                <w14:srgbClr w14:val="0066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&amp; South Essex CCGs Service Restriction Policy</w:t>
    </w:r>
    <w:r w:rsidRPr="002D74C2">
      <w:rPr>
        <w:rFonts w:ascii="Arial" w:hAnsi="Arial" w:cs="Arial"/>
        <w:b/>
        <w:color w:val="0066CC"/>
        <w:sz w:val="16"/>
        <w:szCs w:val="16"/>
      </w:rPr>
      <w:tab/>
    </w:r>
    <w:r w:rsidRPr="002D74C2">
      <w:rPr>
        <w:rFonts w:ascii="Arial" w:hAnsi="Arial" w:cs="Arial"/>
        <w:b/>
        <w:color w:val="0066CC"/>
        <w:sz w:val="16"/>
        <w:szCs w:val="16"/>
      </w:rPr>
      <w:tab/>
    </w:r>
    <w:r w:rsidRPr="009562A9">
      <w:rPr>
        <w:rFonts w:ascii="Arial" w:hAnsi="Arial" w:cs="Arial"/>
      </w:rPr>
      <w:fldChar w:fldCharType="begin"/>
    </w:r>
    <w:r w:rsidRPr="009562A9">
      <w:rPr>
        <w:rFonts w:ascii="Arial" w:hAnsi="Arial" w:cs="Arial"/>
      </w:rPr>
      <w:instrText xml:space="preserve">PAGE  </w:instrText>
    </w:r>
    <w:r w:rsidRPr="009562A9">
      <w:rPr>
        <w:rFonts w:ascii="Arial" w:hAnsi="Arial" w:cs="Arial"/>
      </w:rPr>
      <w:fldChar w:fldCharType="separate"/>
    </w:r>
    <w:r w:rsidR="00E46991">
      <w:rPr>
        <w:rFonts w:ascii="Arial" w:hAnsi="Arial" w:cs="Arial"/>
        <w:noProof/>
      </w:rPr>
      <w:t>1</w:t>
    </w:r>
    <w:r w:rsidRPr="009562A9">
      <w:rPr>
        <w:rFonts w:ascii="Arial" w:hAnsi="Arial" w:cs="Arial"/>
      </w:rPr>
      <w:fldChar w:fldCharType="end"/>
    </w:r>
  </w:p>
  <w:p w:rsidR="00BE13C1" w:rsidRPr="002D74C2" w:rsidRDefault="00BE13C1" w:rsidP="00BE13C1">
    <w:pPr>
      <w:pStyle w:val="Header"/>
      <w:spacing w:after="120"/>
      <w:rPr>
        <w:rFonts w:ascii="Arial" w:hAnsi="Arial" w:cs="Arial"/>
        <w:b/>
        <w:color w:val="0066CC"/>
        <w:sz w:val="16"/>
        <w:szCs w:val="16"/>
      </w:rPr>
    </w:pPr>
    <w:r w:rsidRPr="002D74C2">
      <w:rPr>
        <w:rFonts w:ascii="Arial" w:hAnsi="Arial" w:cs="Arial"/>
        <w:b/>
        <w:color w:val="0066CC"/>
        <w:sz w:val="16"/>
        <w:szCs w:val="16"/>
      </w:rPr>
      <w:t xml:space="preserve">        </w:t>
    </w:r>
  </w:p>
  <w:p w:rsidR="00BE13C1" w:rsidRPr="002D74C2" w:rsidRDefault="00BE13C1" w:rsidP="00BE13C1">
    <w:pPr>
      <w:pStyle w:val="Header"/>
      <w:spacing w:after="120"/>
      <w:rPr>
        <w:rFonts w:ascii="Arial" w:hAnsi="Arial" w:cs="Arial"/>
        <w:sz w:val="16"/>
        <w:szCs w:val="16"/>
      </w:rPr>
    </w:pPr>
    <w:r w:rsidRPr="002D74C2">
      <w:rPr>
        <w:rFonts w:ascii="Arial" w:hAnsi="Arial" w:cs="Arial"/>
        <w:sz w:val="16"/>
        <w:szCs w:val="16"/>
      </w:rPr>
      <w:t xml:space="preserve">Please check website for latest versions of policies as may be subject to change throughout the year: </w:t>
    </w:r>
  </w:p>
  <w:p w:rsidR="00BE13C1" w:rsidRDefault="00BE1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3E" w:rsidRDefault="0007073E" w:rsidP="001E5A95">
      <w:pPr>
        <w:spacing w:after="0" w:line="240" w:lineRule="auto"/>
      </w:pPr>
      <w:r>
        <w:separator/>
      </w:r>
    </w:p>
  </w:footnote>
  <w:footnote w:type="continuationSeparator" w:id="0">
    <w:p w:rsidR="0007073E" w:rsidRDefault="0007073E" w:rsidP="001E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758F"/>
    <w:multiLevelType w:val="hybridMultilevel"/>
    <w:tmpl w:val="440CF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35E60"/>
    <w:multiLevelType w:val="hybridMultilevel"/>
    <w:tmpl w:val="96EE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52792"/>
    <w:multiLevelType w:val="hybridMultilevel"/>
    <w:tmpl w:val="EEBC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5"/>
    <w:rsid w:val="0007073E"/>
    <w:rsid w:val="001A562E"/>
    <w:rsid w:val="001A6220"/>
    <w:rsid w:val="001E5A95"/>
    <w:rsid w:val="00294410"/>
    <w:rsid w:val="00346B71"/>
    <w:rsid w:val="0035090C"/>
    <w:rsid w:val="00451F58"/>
    <w:rsid w:val="004E6E36"/>
    <w:rsid w:val="00661243"/>
    <w:rsid w:val="006A6969"/>
    <w:rsid w:val="00746DB4"/>
    <w:rsid w:val="007F0618"/>
    <w:rsid w:val="00A73BBB"/>
    <w:rsid w:val="00AB3C57"/>
    <w:rsid w:val="00AC2DE8"/>
    <w:rsid w:val="00BB38A5"/>
    <w:rsid w:val="00BE13C1"/>
    <w:rsid w:val="00E46991"/>
    <w:rsid w:val="00EB690E"/>
    <w:rsid w:val="00F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34856-C654-492B-A519-2AC9FBBF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562E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E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95"/>
  </w:style>
  <w:style w:type="paragraph" w:styleId="Footer">
    <w:name w:val="footer"/>
    <w:basedOn w:val="Normal"/>
    <w:link w:val="FooterChar"/>
    <w:uiPriority w:val="99"/>
    <w:unhideWhenUsed/>
    <w:rsid w:val="001E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95"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6B71"/>
    <w:rPr>
      <w:rFonts w:cs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46B71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6B71"/>
    <w:rPr>
      <w:color w:val="800080" w:themeColor="followedHyperlink"/>
      <w:u w:val="single"/>
    </w:rPr>
  </w:style>
  <w:style w:type="paragraph" w:customStyle="1" w:styleId="Default">
    <w:name w:val="Default"/>
    <w:rsid w:val="00746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PH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road.org.uk/contact_u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ce.org.uk/guidance/PH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s.evidence.nhs.uk/resources/hub/1057533/attachme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dessexccg.nhs.uk/your-health-services/service-restriction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Clare  (06Q) NHS Mid Essex CCG</dc:creator>
  <cp:lastModifiedBy>Lawson Kaye (99E) Basildon &amp; Brentwood CCG</cp:lastModifiedBy>
  <cp:revision>1</cp:revision>
  <dcterms:created xsi:type="dcterms:W3CDTF">2020-06-16T14:54:00Z</dcterms:created>
  <dcterms:modified xsi:type="dcterms:W3CDTF">2020-06-16T14:54:00Z</dcterms:modified>
</cp:coreProperties>
</file>